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E0B1A" w:rsidRPr="00964C89" w14:paraId="6915D2A8" w14:textId="77777777" w:rsidTr="00F3326C">
        <w:trPr>
          <w:trHeight w:hRule="exact" w:val="418"/>
          <w:jc w:val="center"/>
        </w:trPr>
        <w:tc>
          <w:tcPr>
            <w:tcW w:w="8721" w:type="dxa"/>
            <w:gridSpan w:val="2"/>
          </w:tcPr>
          <w:p w14:paraId="21B2F2B5" w14:textId="77777777" w:rsidR="00BE0B1A" w:rsidRPr="00964C89" w:rsidRDefault="00BE0B1A" w:rsidP="00677ECD">
            <w:pPr>
              <w:pStyle w:val="a3"/>
              <w:jc w:val="center"/>
              <w:rPr>
                <w:rFonts w:ascii="Tahoma" w:hAnsi="Tahoma" w:cs="Tahoma"/>
                <w:b/>
                <w:bCs/>
                <w:color w:val="000080"/>
                <w:rtl/>
              </w:rPr>
            </w:pPr>
            <w:bookmarkStart w:id="0" w:name="FirstLawyer"/>
            <w:bookmarkStart w:id="1" w:name="LastJudge"/>
            <w:r w:rsidRPr="00964C89">
              <w:rPr>
                <w:rFonts w:ascii="FrankRuehl" w:hAnsi="FrankRuehl" w:cs="FrankRuehl"/>
                <w:b/>
                <w:bCs/>
                <w:color w:val="000080"/>
                <w:sz w:val="28"/>
                <w:szCs w:val="28"/>
                <w:rtl/>
              </w:rPr>
              <w:t>בית משפט השלום בירושלים</w:t>
            </w:r>
          </w:p>
        </w:tc>
      </w:tr>
      <w:tr w:rsidR="00BE0B1A" w:rsidRPr="00964C89" w14:paraId="5EC7248C" w14:textId="77777777" w:rsidTr="00F3326C">
        <w:trPr>
          <w:trHeight w:val="337"/>
          <w:jc w:val="center"/>
        </w:trPr>
        <w:tc>
          <w:tcPr>
            <w:tcW w:w="5054" w:type="dxa"/>
          </w:tcPr>
          <w:p w14:paraId="053F6D1F" w14:textId="77777777" w:rsidR="00BE0B1A" w:rsidRPr="00964C89" w:rsidRDefault="00BE0B1A" w:rsidP="00677ECD">
            <w:pPr>
              <w:rPr>
                <w:rFonts w:cs="FrankRuehl"/>
                <w:b/>
                <w:bCs/>
                <w:sz w:val="28"/>
                <w:szCs w:val="28"/>
                <w:rtl/>
              </w:rPr>
            </w:pPr>
            <w:r w:rsidRPr="00964C89">
              <w:rPr>
                <w:rFonts w:cs="FrankRuehl"/>
                <w:b/>
                <w:bCs/>
                <w:sz w:val="28"/>
                <w:szCs w:val="28"/>
                <w:rtl/>
              </w:rPr>
              <w:t>ת"פ</w:t>
            </w:r>
            <w:r w:rsidRPr="00964C89">
              <w:rPr>
                <w:rFonts w:cs="FrankRuehl" w:hint="cs"/>
                <w:b/>
                <w:bCs/>
                <w:sz w:val="28"/>
                <w:szCs w:val="28"/>
                <w:rtl/>
              </w:rPr>
              <w:t xml:space="preserve"> </w:t>
            </w:r>
            <w:r w:rsidRPr="00964C89">
              <w:rPr>
                <w:rFonts w:cs="FrankRuehl"/>
                <w:b/>
                <w:bCs/>
                <w:sz w:val="28"/>
                <w:szCs w:val="28"/>
                <w:rtl/>
              </w:rPr>
              <w:t>11145-05-20</w:t>
            </w:r>
            <w:r w:rsidRPr="00964C89">
              <w:rPr>
                <w:rFonts w:cs="FrankRuehl" w:hint="cs"/>
                <w:b/>
                <w:bCs/>
                <w:sz w:val="28"/>
                <w:szCs w:val="28"/>
                <w:rtl/>
              </w:rPr>
              <w:t xml:space="preserve"> </w:t>
            </w:r>
            <w:r w:rsidRPr="00964C89">
              <w:rPr>
                <w:rFonts w:ascii="FrankRuehl" w:hAnsi="FrankRuehl" w:cs="FrankRuehl"/>
                <w:b/>
                <w:bCs/>
                <w:sz w:val="28"/>
                <w:szCs w:val="28"/>
                <w:rtl/>
              </w:rPr>
              <w:t>מדינת ישראל נ' פרוכטר</w:t>
            </w:r>
            <w:r w:rsidRPr="00964C89">
              <w:rPr>
                <w:rFonts w:ascii="FrankRuehl" w:hAnsi="FrankRuehl" w:cs="FrankRuehl"/>
                <w:b/>
                <w:bCs/>
                <w:sz w:val="28"/>
                <w:szCs w:val="28"/>
                <w:rtl/>
              </w:rPr>
              <w:br/>
            </w:r>
            <w:r w:rsidRPr="00964C89">
              <w:rPr>
                <w:rFonts w:ascii="FrankRuehl" w:hAnsi="FrankRuehl" w:cs="FrankRuehl"/>
                <w:b/>
                <w:bCs/>
                <w:rtl/>
              </w:rPr>
              <w:t>פל"א 975030-2020</w:t>
            </w:r>
          </w:p>
          <w:p w14:paraId="6D49FBED" w14:textId="77777777" w:rsidR="00BE0B1A" w:rsidRPr="00964C89" w:rsidRDefault="00BE0B1A" w:rsidP="00677ECD">
            <w:pPr>
              <w:pStyle w:val="a3"/>
              <w:rPr>
                <w:rFonts w:cs="FrankRuehl"/>
                <w:b/>
                <w:bCs/>
                <w:sz w:val="28"/>
                <w:szCs w:val="28"/>
                <w:rtl/>
              </w:rPr>
            </w:pPr>
          </w:p>
        </w:tc>
        <w:tc>
          <w:tcPr>
            <w:tcW w:w="3667" w:type="dxa"/>
          </w:tcPr>
          <w:p w14:paraId="4A529FBE" w14:textId="77777777" w:rsidR="00BE0B1A" w:rsidRPr="00964C89" w:rsidRDefault="00BE0B1A" w:rsidP="00677ECD">
            <w:pPr>
              <w:pStyle w:val="a3"/>
              <w:jc w:val="right"/>
              <w:rPr>
                <w:rFonts w:cs="FrankRuehl"/>
                <w:sz w:val="28"/>
                <w:szCs w:val="28"/>
                <w:rtl/>
              </w:rPr>
            </w:pPr>
          </w:p>
        </w:tc>
      </w:tr>
    </w:tbl>
    <w:p w14:paraId="18D1F79D" w14:textId="77777777" w:rsidR="00BE0B1A" w:rsidRPr="00964C89" w:rsidRDefault="00BE0B1A" w:rsidP="00BE0B1A">
      <w:pPr>
        <w:pStyle w:val="a3"/>
        <w:rPr>
          <w:rtl/>
        </w:rPr>
      </w:pPr>
      <w:r w:rsidRPr="00964C89">
        <w:rPr>
          <w:rFonts w:hint="cs"/>
          <w:rtl/>
        </w:rPr>
        <w:t xml:space="preserve"> </w:t>
      </w:r>
    </w:p>
    <w:p w14:paraId="4A14F2F7" w14:textId="77777777" w:rsidR="00BE0B1A" w:rsidRPr="00964C89" w:rsidRDefault="00BE0B1A" w:rsidP="00BE0B1A">
      <w:pPr>
        <w:rPr>
          <w:rtl/>
        </w:rPr>
      </w:pPr>
    </w:p>
    <w:p w14:paraId="20B9B8A9" w14:textId="77777777" w:rsidR="00BE0B1A" w:rsidRPr="00964C89" w:rsidRDefault="00BE0B1A" w:rsidP="00BE0B1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E0B1A" w:rsidRPr="00964C89" w14:paraId="07A6ECCA" w14:textId="77777777" w:rsidTr="00BE0B1A">
        <w:trPr>
          <w:trHeight w:val="295"/>
          <w:jc w:val="center"/>
        </w:trPr>
        <w:tc>
          <w:tcPr>
            <w:tcW w:w="923" w:type="dxa"/>
            <w:tcBorders>
              <w:top w:val="nil"/>
              <w:left w:val="nil"/>
              <w:bottom w:val="nil"/>
              <w:right w:val="nil"/>
            </w:tcBorders>
            <w:shd w:val="clear" w:color="auto" w:fill="auto"/>
          </w:tcPr>
          <w:p w14:paraId="0FEDF773" w14:textId="77777777" w:rsidR="00BE0B1A" w:rsidRPr="00964C89" w:rsidRDefault="00BE0B1A" w:rsidP="00BE0B1A">
            <w:pPr>
              <w:jc w:val="both"/>
              <w:rPr>
                <w:rFonts w:ascii="FrankRuehl" w:hAnsi="FrankRuehl" w:cs="FrankRuehl"/>
                <w:b/>
                <w:bCs/>
                <w:sz w:val="28"/>
                <w:szCs w:val="28"/>
              </w:rPr>
            </w:pPr>
            <w:r w:rsidRPr="00964C89">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73AB844" w14:textId="77777777" w:rsidR="00BE0B1A" w:rsidRPr="00964C89" w:rsidRDefault="00BE0B1A" w:rsidP="00677ECD">
            <w:pPr>
              <w:rPr>
                <w:rFonts w:ascii="FrankRuehl" w:hAnsi="FrankRuehl" w:cs="FrankRuehl"/>
                <w:b/>
                <w:bCs/>
                <w:sz w:val="28"/>
                <w:szCs w:val="28"/>
                <w:rtl/>
              </w:rPr>
            </w:pPr>
            <w:r w:rsidRPr="00964C89">
              <w:rPr>
                <w:rFonts w:ascii="FrankRuehl" w:hAnsi="FrankRuehl" w:cs="FrankRuehl"/>
                <w:b/>
                <w:bCs/>
                <w:sz w:val="28"/>
                <w:szCs w:val="28"/>
                <w:rtl/>
              </w:rPr>
              <w:t>כבוד השופט  דוד שאול גבאי ריכטר</w:t>
            </w:r>
          </w:p>
          <w:p w14:paraId="62BBD919" w14:textId="77777777" w:rsidR="00BE0B1A" w:rsidRPr="00964C89" w:rsidRDefault="00BE0B1A" w:rsidP="00677ECD">
            <w:pPr>
              <w:rPr>
                <w:rFonts w:ascii="FrankRuehl" w:hAnsi="FrankRuehl" w:cs="FrankRuehl"/>
                <w:b/>
                <w:bCs/>
                <w:sz w:val="28"/>
                <w:szCs w:val="28"/>
                <w:rtl/>
              </w:rPr>
            </w:pPr>
          </w:p>
          <w:p w14:paraId="5B849076" w14:textId="77777777" w:rsidR="00BE0B1A" w:rsidRPr="00964C89" w:rsidRDefault="00BE0B1A" w:rsidP="00BE0B1A">
            <w:pPr>
              <w:jc w:val="both"/>
              <w:rPr>
                <w:rFonts w:ascii="FrankRuehl" w:hAnsi="FrankRuehl" w:cs="FrankRuehl"/>
                <w:b/>
                <w:bCs/>
                <w:sz w:val="28"/>
                <w:szCs w:val="28"/>
              </w:rPr>
            </w:pPr>
          </w:p>
        </w:tc>
      </w:tr>
      <w:tr w:rsidR="00BE0B1A" w:rsidRPr="00964C89" w14:paraId="5A3D845B" w14:textId="77777777" w:rsidTr="00BE0B1A">
        <w:trPr>
          <w:trHeight w:val="355"/>
          <w:jc w:val="center"/>
        </w:trPr>
        <w:tc>
          <w:tcPr>
            <w:tcW w:w="923" w:type="dxa"/>
            <w:tcBorders>
              <w:top w:val="nil"/>
              <w:left w:val="nil"/>
              <w:bottom w:val="nil"/>
              <w:right w:val="nil"/>
            </w:tcBorders>
            <w:shd w:val="clear" w:color="auto" w:fill="auto"/>
          </w:tcPr>
          <w:p w14:paraId="29D6C6C5" w14:textId="77777777" w:rsidR="00BE0B1A" w:rsidRPr="00964C89" w:rsidRDefault="00BE0B1A" w:rsidP="00BE0B1A">
            <w:pPr>
              <w:jc w:val="both"/>
              <w:rPr>
                <w:rFonts w:ascii="FrankRuehl" w:hAnsi="FrankRuehl" w:cs="FrankRuehl"/>
                <w:b/>
                <w:bCs/>
                <w:sz w:val="28"/>
                <w:szCs w:val="28"/>
              </w:rPr>
            </w:pPr>
            <w:bookmarkStart w:id="2" w:name="FirstAppellant"/>
            <w:r w:rsidRPr="00964C89">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F942EB0" w14:textId="77777777" w:rsidR="00BE0B1A" w:rsidRPr="00964C89" w:rsidRDefault="00BE0B1A" w:rsidP="00677ECD">
            <w:pPr>
              <w:rPr>
                <w:rFonts w:ascii="FrankRuehl" w:hAnsi="FrankRuehl" w:cs="FrankRuehl"/>
                <w:b/>
                <w:bCs/>
                <w:sz w:val="28"/>
                <w:szCs w:val="28"/>
              </w:rPr>
            </w:pPr>
            <w:r w:rsidRPr="00964C89">
              <w:rPr>
                <w:rFonts w:ascii="FrankRuehl" w:hAnsi="FrankRuehl" w:cs="FrankRuehl"/>
                <w:b/>
                <w:bCs/>
                <w:sz w:val="28"/>
                <w:szCs w:val="28"/>
                <w:rtl/>
              </w:rPr>
              <w:t>מדינת ישראל</w:t>
            </w:r>
            <w:r w:rsidRPr="00964C89">
              <w:rPr>
                <w:rFonts w:ascii="FrankRuehl" w:hAnsi="FrankRuehl" w:cs="FrankRuehl"/>
                <w:b/>
                <w:bCs/>
                <w:sz w:val="28"/>
                <w:szCs w:val="28"/>
                <w:rtl/>
              </w:rPr>
              <w:br/>
              <w:t xml:space="preserve">ע"י </w:t>
            </w:r>
            <w:r w:rsidRPr="00964C89">
              <w:rPr>
                <w:rFonts w:ascii="FrankRuehl" w:hAnsi="FrankRuehl" w:cs="FrankRuehl" w:hint="cs"/>
                <w:b/>
                <w:bCs/>
                <w:sz w:val="28"/>
                <w:szCs w:val="28"/>
                <w:rtl/>
              </w:rPr>
              <w:t xml:space="preserve">ב"כ עו"ד צח דהן, </w:t>
            </w:r>
            <w:r w:rsidRPr="00964C89">
              <w:rPr>
                <w:rFonts w:ascii="FrankRuehl" w:hAnsi="FrankRuehl" w:cs="FrankRuehl"/>
                <w:b/>
                <w:bCs/>
                <w:sz w:val="28"/>
                <w:szCs w:val="28"/>
                <w:rtl/>
              </w:rPr>
              <w:t>תביעות ירושלים</w:t>
            </w:r>
          </w:p>
        </w:tc>
        <w:tc>
          <w:tcPr>
            <w:tcW w:w="3771" w:type="dxa"/>
            <w:tcBorders>
              <w:top w:val="nil"/>
              <w:left w:val="nil"/>
              <w:bottom w:val="nil"/>
              <w:right w:val="nil"/>
            </w:tcBorders>
            <w:shd w:val="clear" w:color="auto" w:fill="auto"/>
          </w:tcPr>
          <w:p w14:paraId="62CFD57A" w14:textId="77777777" w:rsidR="00BE0B1A" w:rsidRPr="00964C89" w:rsidRDefault="00BE0B1A" w:rsidP="00BE0B1A">
            <w:pPr>
              <w:jc w:val="both"/>
              <w:rPr>
                <w:rFonts w:ascii="FrankRuehl" w:hAnsi="FrankRuehl" w:cs="FrankRuehl"/>
                <w:b/>
                <w:bCs/>
                <w:sz w:val="28"/>
                <w:szCs w:val="28"/>
              </w:rPr>
            </w:pPr>
          </w:p>
        </w:tc>
      </w:tr>
      <w:bookmarkEnd w:id="2"/>
      <w:tr w:rsidR="00BE0B1A" w:rsidRPr="00964C89" w14:paraId="47FF5813" w14:textId="77777777" w:rsidTr="00BE0B1A">
        <w:trPr>
          <w:trHeight w:val="355"/>
          <w:jc w:val="center"/>
        </w:trPr>
        <w:tc>
          <w:tcPr>
            <w:tcW w:w="923" w:type="dxa"/>
            <w:tcBorders>
              <w:top w:val="nil"/>
              <w:left w:val="nil"/>
              <w:bottom w:val="nil"/>
              <w:right w:val="nil"/>
            </w:tcBorders>
            <w:shd w:val="clear" w:color="auto" w:fill="auto"/>
          </w:tcPr>
          <w:p w14:paraId="050B8B80" w14:textId="77777777" w:rsidR="00BE0B1A" w:rsidRPr="00964C89" w:rsidRDefault="00BE0B1A" w:rsidP="00BE0B1A">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6F36B51" w14:textId="77777777" w:rsidR="00BE0B1A" w:rsidRPr="00964C89" w:rsidRDefault="00BE0B1A" w:rsidP="00BE0B1A">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6368D6A5" w14:textId="77777777" w:rsidR="00BE0B1A" w:rsidRPr="00964C89" w:rsidRDefault="00BE0B1A" w:rsidP="00BE0B1A">
            <w:pPr>
              <w:jc w:val="right"/>
              <w:rPr>
                <w:rFonts w:ascii="FrankRuehl" w:hAnsi="FrankRuehl" w:cs="FrankRuehl"/>
                <w:b/>
                <w:bCs/>
                <w:sz w:val="28"/>
                <w:szCs w:val="28"/>
                <w:rtl/>
              </w:rPr>
            </w:pPr>
            <w:r w:rsidRPr="00964C89">
              <w:rPr>
                <w:rFonts w:ascii="FrankRuehl" w:hAnsi="FrankRuehl" w:cs="FrankRuehl"/>
                <w:b/>
                <w:bCs/>
                <w:sz w:val="28"/>
                <w:szCs w:val="28"/>
                <w:rtl/>
              </w:rPr>
              <w:t>המאשימה</w:t>
            </w:r>
          </w:p>
        </w:tc>
      </w:tr>
      <w:tr w:rsidR="00BE0B1A" w:rsidRPr="00964C89" w14:paraId="24477F4E" w14:textId="77777777" w:rsidTr="00BE0B1A">
        <w:trPr>
          <w:trHeight w:val="355"/>
          <w:jc w:val="center"/>
        </w:trPr>
        <w:tc>
          <w:tcPr>
            <w:tcW w:w="923" w:type="dxa"/>
            <w:tcBorders>
              <w:top w:val="nil"/>
              <w:left w:val="nil"/>
              <w:bottom w:val="nil"/>
              <w:right w:val="nil"/>
            </w:tcBorders>
            <w:shd w:val="clear" w:color="auto" w:fill="auto"/>
          </w:tcPr>
          <w:p w14:paraId="29E2AC77" w14:textId="77777777" w:rsidR="00BE0B1A" w:rsidRPr="00964C89" w:rsidRDefault="00BE0B1A" w:rsidP="00BE0B1A">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7FF29B8" w14:textId="77777777" w:rsidR="00BE0B1A" w:rsidRPr="00964C89" w:rsidRDefault="00BE0B1A" w:rsidP="00BE0B1A">
            <w:pPr>
              <w:jc w:val="center"/>
              <w:rPr>
                <w:rFonts w:ascii="FrankRuehl" w:hAnsi="FrankRuehl" w:cs="FrankRuehl"/>
                <w:b/>
                <w:bCs/>
                <w:sz w:val="28"/>
                <w:szCs w:val="28"/>
                <w:rtl/>
              </w:rPr>
            </w:pPr>
          </w:p>
          <w:p w14:paraId="12F0658B" w14:textId="77777777" w:rsidR="00BE0B1A" w:rsidRPr="00964C89" w:rsidRDefault="00BE0B1A" w:rsidP="00BE0B1A">
            <w:pPr>
              <w:jc w:val="center"/>
              <w:rPr>
                <w:rFonts w:ascii="FrankRuehl" w:hAnsi="FrankRuehl" w:cs="FrankRuehl"/>
                <w:b/>
                <w:bCs/>
                <w:sz w:val="28"/>
                <w:szCs w:val="28"/>
                <w:rtl/>
              </w:rPr>
            </w:pPr>
            <w:r w:rsidRPr="00964C89">
              <w:rPr>
                <w:rFonts w:ascii="FrankRuehl" w:hAnsi="FrankRuehl" w:cs="FrankRuehl"/>
                <w:b/>
                <w:bCs/>
                <w:sz w:val="28"/>
                <w:szCs w:val="28"/>
                <w:rtl/>
              </w:rPr>
              <w:t>נגד</w:t>
            </w:r>
          </w:p>
          <w:p w14:paraId="2B7435FA" w14:textId="77777777" w:rsidR="00BE0B1A" w:rsidRPr="00964C89" w:rsidRDefault="00BE0B1A" w:rsidP="00BE0B1A">
            <w:pPr>
              <w:jc w:val="both"/>
              <w:rPr>
                <w:rFonts w:ascii="FrankRuehl" w:hAnsi="FrankRuehl" w:cs="FrankRuehl"/>
                <w:b/>
                <w:bCs/>
                <w:sz w:val="28"/>
                <w:szCs w:val="28"/>
              </w:rPr>
            </w:pPr>
          </w:p>
        </w:tc>
      </w:tr>
      <w:tr w:rsidR="00BE0B1A" w:rsidRPr="00964C89" w14:paraId="140F1B45" w14:textId="77777777" w:rsidTr="00BE0B1A">
        <w:trPr>
          <w:trHeight w:val="355"/>
          <w:jc w:val="center"/>
        </w:trPr>
        <w:tc>
          <w:tcPr>
            <w:tcW w:w="923" w:type="dxa"/>
            <w:tcBorders>
              <w:top w:val="nil"/>
              <w:left w:val="nil"/>
              <w:bottom w:val="nil"/>
              <w:right w:val="nil"/>
            </w:tcBorders>
            <w:shd w:val="clear" w:color="auto" w:fill="auto"/>
          </w:tcPr>
          <w:p w14:paraId="65EB91C0" w14:textId="77777777" w:rsidR="00BE0B1A" w:rsidRPr="00964C89" w:rsidRDefault="00BE0B1A" w:rsidP="00677ECD">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1943585B" w14:textId="77777777" w:rsidR="00BE0B1A" w:rsidRPr="00964C89" w:rsidRDefault="00BE0B1A" w:rsidP="00677ECD">
            <w:pPr>
              <w:rPr>
                <w:rFonts w:ascii="FrankRuehl" w:hAnsi="FrankRuehl" w:cs="FrankRuehl"/>
                <w:b/>
                <w:bCs/>
                <w:sz w:val="28"/>
                <w:szCs w:val="28"/>
                <w:rtl/>
              </w:rPr>
            </w:pPr>
            <w:r w:rsidRPr="00964C89">
              <w:rPr>
                <w:rFonts w:ascii="FrankRuehl" w:hAnsi="FrankRuehl" w:cs="FrankRuehl"/>
                <w:b/>
                <w:bCs/>
                <w:sz w:val="28"/>
                <w:szCs w:val="28"/>
                <w:rtl/>
              </w:rPr>
              <w:t xml:space="preserve">חיים יוסף פרוכטר </w:t>
            </w:r>
            <w:r w:rsidRPr="00964C89">
              <w:rPr>
                <w:rFonts w:ascii="FrankRuehl" w:hAnsi="FrankRuehl" w:cs="FrankRuehl"/>
                <w:b/>
                <w:bCs/>
                <w:sz w:val="28"/>
                <w:szCs w:val="28"/>
                <w:rtl/>
              </w:rPr>
              <w:br/>
              <w:t>ע"י ב"כ עוה"ד לורה בר אלון</w:t>
            </w:r>
          </w:p>
        </w:tc>
        <w:tc>
          <w:tcPr>
            <w:tcW w:w="3771" w:type="dxa"/>
            <w:tcBorders>
              <w:top w:val="nil"/>
              <w:left w:val="nil"/>
              <w:bottom w:val="nil"/>
              <w:right w:val="nil"/>
            </w:tcBorders>
            <w:shd w:val="clear" w:color="auto" w:fill="auto"/>
          </w:tcPr>
          <w:p w14:paraId="47A15A39" w14:textId="77777777" w:rsidR="00BE0B1A" w:rsidRPr="00964C89" w:rsidRDefault="00BE0B1A" w:rsidP="00BE0B1A">
            <w:pPr>
              <w:jc w:val="right"/>
              <w:rPr>
                <w:rFonts w:ascii="FrankRuehl" w:hAnsi="FrankRuehl" w:cs="FrankRuehl"/>
                <w:b/>
                <w:bCs/>
                <w:sz w:val="28"/>
                <w:szCs w:val="28"/>
              </w:rPr>
            </w:pPr>
          </w:p>
        </w:tc>
      </w:tr>
      <w:tr w:rsidR="00BE0B1A" w:rsidRPr="00964C89" w14:paraId="6BCD0B50" w14:textId="77777777" w:rsidTr="00BE0B1A">
        <w:trPr>
          <w:trHeight w:val="355"/>
          <w:jc w:val="center"/>
        </w:trPr>
        <w:tc>
          <w:tcPr>
            <w:tcW w:w="923" w:type="dxa"/>
            <w:tcBorders>
              <w:top w:val="nil"/>
              <w:left w:val="nil"/>
              <w:bottom w:val="nil"/>
              <w:right w:val="nil"/>
            </w:tcBorders>
            <w:shd w:val="clear" w:color="auto" w:fill="auto"/>
          </w:tcPr>
          <w:p w14:paraId="2295E263" w14:textId="77777777" w:rsidR="00BE0B1A" w:rsidRPr="00964C89" w:rsidRDefault="00BE0B1A" w:rsidP="00BE0B1A">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B1AABE8" w14:textId="77777777" w:rsidR="00BE0B1A" w:rsidRPr="00964C89" w:rsidRDefault="00BE0B1A" w:rsidP="00BE0B1A">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7941C91B" w14:textId="77777777" w:rsidR="00BE0B1A" w:rsidRPr="00964C89" w:rsidRDefault="00BE0B1A" w:rsidP="00BE0B1A">
            <w:pPr>
              <w:jc w:val="right"/>
              <w:rPr>
                <w:rFonts w:ascii="FrankRuehl" w:hAnsi="FrankRuehl" w:cs="FrankRuehl"/>
                <w:b/>
                <w:bCs/>
                <w:sz w:val="28"/>
                <w:szCs w:val="28"/>
              </w:rPr>
            </w:pPr>
            <w:r w:rsidRPr="00964C89">
              <w:rPr>
                <w:rFonts w:ascii="FrankRuehl" w:hAnsi="FrankRuehl" w:cs="FrankRuehl"/>
                <w:b/>
                <w:bCs/>
                <w:sz w:val="28"/>
                <w:szCs w:val="28"/>
                <w:rtl/>
              </w:rPr>
              <w:t>הנאשם</w:t>
            </w:r>
          </w:p>
        </w:tc>
      </w:tr>
    </w:tbl>
    <w:p w14:paraId="3437FBAB" w14:textId="77777777" w:rsidR="00F3326C" w:rsidRDefault="00F3326C" w:rsidP="00964C89">
      <w:pPr>
        <w:rPr>
          <w:sz w:val="26"/>
          <w:szCs w:val="26"/>
          <w:rtl/>
        </w:rPr>
      </w:pPr>
    </w:p>
    <w:p w14:paraId="62BE8F7C" w14:textId="77777777" w:rsidR="00F3326C" w:rsidRPr="00F3326C" w:rsidRDefault="00F3326C" w:rsidP="00F3326C">
      <w:pPr>
        <w:spacing w:after="120" w:line="240" w:lineRule="exact"/>
        <w:ind w:left="283" w:hanging="283"/>
        <w:jc w:val="both"/>
        <w:rPr>
          <w:rFonts w:ascii="FrankRuehl" w:hAnsi="FrankRuehl" w:cs="FrankRuehl"/>
          <w:rtl/>
        </w:rPr>
      </w:pPr>
    </w:p>
    <w:p w14:paraId="43936303" w14:textId="77777777" w:rsidR="009E103D" w:rsidRPr="009E103D" w:rsidRDefault="009E103D" w:rsidP="009E103D">
      <w:pPr>
        <w:spacing w:before="120" w:after="120" w:line="240" w:lineRule="exact"/>
        <w:ind w:left="283" w:hanging="283"/>
        <w:jc w:val="both"/>
        <w:rPr>
          <w:rFonts w:ascii="FrankRuehl" w:hAnsi="FrankRuehl" w:cs="FrankRuehl"/>
          <w:rtl/>
        </w:rPr>
      </w:pPr>
    </w:p>
    <w:p w14:paraId="084A3133" w14:textId="77777777" w:rsidR="002F1457" w:rsidRDefault="002F1457" w:rsidP="002F1457">
      <w:pPr>
        <w:rPr>
          <w:sz w:val="26"/>
          <w:szCs w:val="26"/>
          <w:rtl/>
        </w:rPr>
      </w:pPr>
      <w:bookmarkStart w:id="3" w:name="LawTable"/>
      <w:bookmarkEnd w:id="3"/>
    </w:p>
    <w:p w14:paraId="214E3377" w14:textId="77777777" w:rsidR="002F1457" w:rsidRPr="002F1457" w:rsidRDefault="002F1457" w:rsidP="002F1457">
      <w:pPr>
        <w:spacing w:before="120" w:after="120" w:line="240" w:lineRule="exact"/>
        <w:ind w:left="283" w:hanging="283"/>
        <w:jc w:val="both"/>
        <w:rPr>
          <w:rFonts w:ascii="FrankRuehl" w:hAnsi="FrankRuehl" w:cs="FrankRuehl"/>
          <w:rtl/>
        </w:rPr>
      </w:pPr>
    </w:p>
    <w:p w14:paraId="50193013" w14:textId="77777777" w:rsidR="002F1457" w:rsidRPr="002F1457" w:rsidRDefault="002F1457" w:rsidP="002F1457">
      <w:pPr>
        <w:spacing w:before="120" w:after="120" w:line="240" w:lineRule="exact"/>
        <w:ind w:left="283" w:hanging="283"/>
        <w:jc w:val="both"/>
        <w:rPr>
          <w:rFonts w:ascii="FrankRuehl" w:hAnsi="FrankRuehl" w:cs="FrankRuehl"/>
          <w:rtl/>
        </w:rPr>
      </w:pPr>
    </w:p>
    <w:p w14:paraId="71562C8E" w14:textId="77777777" w:rsidR="002F1457" w:rsidRPr="002F1457" w:rsidRDefault="002F1457" w:rsidP="002F1457">
      <w:pPr>
        <w:spacing w:before="120" w:after="120" w:line="240" w:lineRule="exact"/>
        <w:ind w:left="283" w:hanging="283"/>
        <w:jc w:val="both"/>
        <w:rPr>
          <w:rFonts w:ascii="FrankRuehl" w:hAnsi="FrankRuehl" w:cs="FrankRuehl"/>
          <w:rtl/>
        </w:rPr>
      </w:pPr>
      <w:r w:rsidRPr="002F1457">
        <w:rPr>
          <w:rFonts w:ascii="FrankRuehl" w:hAnsi="FrankRuehl" w:cs="FrankRuehl"/>
          <w:rtl/>
        </w:rPr>
        <w:t xml:space="preserve">חקיקה שאוזכרה: </w:t>
      </w:r>
    </w:p>
    <w:p w14:paraId="11F833C2" w14:textId="77777777" w:rsidR="002F1457" w:rsidRPr="002F1457" w:rsidRDefault="002F1457" w:rsidP="002F1457">
      <w:pPr>
        <w:spacing w:before="120" w:after="120" w:line="240" w:lineRule="exact"/>
        <w:ind w:left="283" w:hanging="283"/>
        <w:jc w:val="both"/>
        <w:rPr>
          <w:rFonts w:ascii="FrankRuehl" w:hAnsi="FrankRuehl" w:cs="FrankRuehl"/>
          <w:rtl/>
        </w:rPr>
      </w:pPr>
      <w:hyperlink r:id="rId7" w:history="1">
        <w:r w:rsidRPr="002F1457">
          <w:rPr>
            <w:rFonts w:ascii="FrankRuehl" w:hAnsi="FrankRuehl" w:cs="FrankRuehl"/>
            <w:color w:val="0000FF"/>
            <w:rtl/>
          </w:rPr>
          <w:t>פקודת הסמים המסוכנים [נוסח חדש], תשל"ג-1973</w:t>
        </w:r>
      </w:hyperlink>
      <w:r w:rsidRPr="002F1457">
        <w:rPr>
          <w:rFonts w:ascii="FrankRuehl" w:hAnsi="FrankRuehl" w:cs="FrankRuehl"/>
          <w:rtl/>
        </w:rPr>
        <w:t xml:space="preserve">: סע'  </w:t>
      </w:r>
      <w:hyperlink r:id="rId8" w:history="1">
        <w:r w:rsidRPr="002F1457">
          <w:rPr>
            <w:rFonts w:ascii="FrankRuehl" w:hAnsi="FrankRuehl" w:cs="FrankRuehl"/>
            <w:color w:val="0000FF"/>
            <w:rtl/>
          </w:rPr>
          <w:t>7.א.</w:t>
        </w:r>
      </w:hyperlink>
      <w:r w:rsidRPr="002F1457">
        <w:rPr>
          <w:rFonts w:ascii="FrankRuehl" w:hAnsi="FrankRuehl" w:cs="FrankRuehl"/>
          <w:rtl/>
        </w:rPr>
        <w:t xml:space="preserve">, </w:t>
      </w:r>
      <w:hyperlink r:id="rId9" w:history="1">
        <w:r w:rsidRPr="002F1457">
          <w:rPr>
            <w:rFonts w:ascii="FrankRuehl" w:hAnsi="FrankRuehl" w:cs="FrankRuehl"/>
            <w:color w:val="0000FF"/>
            <w:rtl/>
          </w:rPr>
          <w:t>7.ג</w:t>
        </w:r>
      </w:hyperlink>
      <w:r w:rsidRPr="002F1457">
        <w:rPr>
          <w:rFonts w:ascii="FrankRuehl" w:hAnsi="FrankRuehl" w:cs="FrankRuehl"/>
          <w:rtl/>
        </w:rPr>
        <w:t xml:space="preserve">, </w:t>
      </w:r>
      <w:hyperlink r:id="rId10" w:history="1">
        <w:r w:rsidRPr="002F1457">
          <w:rPr>
            <w:rFonts w:ascii="FrankRuehl" w:hAnsi="FrankRuehl" w:cs="FrankRuehl"/>
            <w:color w:val="0000FF"/>
            <w:rtl/>
          </w:rPr>
          <w:t>13</w:t>
        </w:r>
      </w:hyperlink>
      <w:r w:rsidRPr="002F1457">
        <w:rPr>
          <w:rFonts w:ascii="FrankRuehl" w:hAnsi="FrankRuehl" w:cs="FrankRuehl"/>
          <w:rtl/>
        </w:rPr>
        <w:t xml:space="preserve">, </w:t>
      </w:r>
      <w:hyperlink r:id="rId11" w:history="1">
        <w:r w:rsidRPr="002F1457">
          <w:rPr>
            <w:rFonts w:ascii="FrankRuehl" w:hAnsi="FrankRuehl" w:cs="FrankRuehl"/>
            <w:color w:val="0000FF"/>
            <w:rtl/>
          </w:rPr>
          <w:t>19.א</w:t>
        </w:r>
      </w:hyperlink>
    </w:p>
    <w:p w14:paraId="79E649CD" w14:textId="77777777" w:rsidR="002F1457" w:rsidRPr="002F1457" w:rsidRDefault="002F1457" w:rsidP="002F1457">
      <w:pPr>
        <w:spacing w:before="120" w:after="120" w:line="240" w:lineRule="exact"/>
        <w:ind w:left="283" w:hanging="283"/>
        <w:jc w:val="both"/>
        <w:rPr>
          <w:rFonts w:ascii="FrankRuehl" w:hAnsi="FrankRuehl" w:cs="FrankRuehl"/>
          <w:rtl/>
        </w:rPr>
      </w:pPr>
      <w:hyperlink r:id="rId12" w:history="1">
        <w:r w:rsidRPr="002F1457">
          <w:rPr>
            <w:rFonts w:ascii="FrankRuehl" w:hAnsi="FrankRuehl" w:cs="FrankRuehl"/>
            <w:color w:val="0000FF"/>
            <w:rtl/>
          </w:rPr>
          <w:t>חוק העונשין, תשל"ז-1977</w:t>
        </w:r>
      </w:hyperlink>
      <w:r w:rsidRPr="002F1457">
        <w:rPr>
          <w:rFonts w:ascii="FrankRuehl" w:hAnsi="FrankRuehl" w:cs="FrankRuehl"/>
          <w:rtl/>
        </w:rPr>
        <w:t xml:space="preserve">: סע'  </w:t>
      </w:r>
      <w:hyperlink r:id="rId13" w:history="1">
        <w:r w:rsidRPr="002F1457">
          <w:rPr>
            <w:rFonts w:ascii="FrankRuehl" w:hAnsi="FrankRuehl" w:cs="FrankRuehl"/>
            <w:color w:val="0000FF"/>
            <w:rtl/>
          </w:rPr>
          <w:t>31</w:t>
        </w:r>
      </w:hyperlink>
      <w:r w:rsidRPr="002F1457">
        <w:rPr>
          <w:rFonts w:ascii="FrankRuehl" w:hAnsi="FrankRuehl" w:cs="FrankRuehl"/>
          <w:rtl/>
        </w:rPr>
        <w:t xml:space="preserve">, </w:t>
      </w:r>
      <w:hyperlink r:id="rId14" w:history="1">
        <w:r w:rsidRPr="002F1457">
          <w:rPr>
            <w:rFonts w:ascii="FrankRuehl" w:hAnsi="FrankRuehl" w:cs="FrankRuehl"/>
            <w:color w:val="0000FF"/>
            <w:rtl/>
          </w:rPr>
          <w:t>40ט'</w:t>
        </w:r>
      </w:hyperlink>
      <w:r w:rsidRPr="002F1457">
        <w:rPr>
          <w:rFonts w:ascii="FrankRuehl" w:hAnsi="FrankRuehl" w:cs="FrankRuehl"/>
          <w:rtl/>
        </w:rPr>
        <w:t xml:space="preserve">, </w:t>
      </w:r>
      <w:hyperlink r:id="rId15" w:history="1">
        <w:r w:rsidRPr="002F1457">
          <w:rPr>
            <w:rFonts w:ascii="FrankRuehl" w:hAnsi="FrankRuehl" w:cs="FrankRuehl"/>
            <w:color w:val="0000FF"/>
            <w:rtl/>
          </w:rPr>
          <w:t>40יא</w:t>
        </w:r>
      </w:hyperlink>
    </w:p>
    <w:p w14:paraId="12AA43BF" w14:textId="77777777" w:rsidR="002F1457" w:rsidRPr="002F1457" w:rsidRDefault="002F1457" w:rsidP="002F1457">
      <w:pPr>
        <w:rPr>
          <w:sz w:val="26"/>
          <w:szCs w:val="26"/>
          <w:rtl/>
        </w:rPr>
      </w:pPr>
      <w:bookmarkStart w:id="4" w:name="LawTable_End"/>
      <w:bookmarkEnd w:id="4"/>
    </w:p>
    <w:p w14:paraId="28F5BD0C" w14:textId="77777777" w:rsidR="00BE0B1A" w:rsidRPr="009E103D" w:rsidRDefault="00BE0B1A" w:rsidP="009E103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0B1A" w14:paraId="392568E7" w14:textId="77777777" w:rsidTr="00BE0B1A">
        <w:trPr>
          <w:trHeight w:val="355"/>
          <w:jc w:val="center"/>
        </w:trPr>
        <w:tc>
          <w:tcPr>
            <w:tcW w:w="8820" w:type="dxa"/>
            <w:tcBorders>
              <w:top w:val="nil"/>
              <w:left w:val="nil"/>
              <w:bottom w:val="nil"/>
              <w:right w:val="nil"/>
            </w:tcBorders>
            <w:shd w:val="clear" w:color="auto" w:fill="auto"/>
          </w:tcPr>
          <w:p w14:paraId="766233D9" w14:textId="77777777" w:rsidR="00964C89" w:rsidRPr="00964C89" w:rsidRDefault="00964C89" w:rsidP="00964C89">
            <w:pPr>
              <w:jc w:val="center"/>
              <w:rPr>
                <w:rFonts w:ascii="FrankRuehl" w:hAnsi="FrankRuehl" w:cs="FrankRuehl"/>
                <w:b/>
                <w:bCs/>
                <w:sz w:val="40"/>
                <w:szCs w:val="40"/>
                <w:u w:val="single"/>
                <w:rtl/>
              </w:rPr>
            </w:pPr>
            <w:bookmarkStart w:id="5" w:name="PsakDin" w:colFirst="0" w:colLast="0"/>
            <w:bookmarkEnd w:id="0"/>
            <w:bookmarkEnd w:id="1"/>
            <w:r w:rsidRPr="00964C89">
              <w:rPr>
                <w:rFonts w:ascii="FrankRuehl" w:hAnsi="FrankRuehl" w:cs="FrankRuehl"/>
                <w:b/>
                <w:bCs/>
                <w:sz w:val="40"/>
                <w:szCs w:val="40"/>
                <w:u w:val="single"/>
                <w:rtl/>
              </w:rPr>
              <w:t>גזר דין</w:t>
            </w:r>
          </w:p>
          <w:p w14:paraId="306BF868" w14:textId="77777777" w:rsidR="00BE0B1A" w:rsidRPr="00964C89" w:rsidRDefault="00BE0B1A" w:rsidP="00964C89">
            <w:pPr>
              <w:jc w:val="center"/>
              <w:rPr>
                <w:rFonts w:ascii="FrankRuehl" w:hAnsi="FrankRuehl" w:cs="FrankRuehl"/>
                <w:bCs/>
                <w:sz w:val="32"/>
                <w:szCs w:val="32"/>
                <w:u w:val="single"/>
                <w:rtl/>
              </w:rPr>
            </w:pPr>
          </w:p>
        </w:tc>
      </w:tr>
      <w:bookmarkEnd w:id="5"/>
    </w:tbl>
    <w:p w14:paraId="6B362574" w14:textId="77777777" w:rsidR="00BE0B1A" w:rsidRDefault="00BE0B1A" w:rsidP="00BE0B1A">
      <w:pPr>
        <w:spacing w:line="360" w:lineRule="auto"/>
        <w:rPr>
          <w:rFonts w:cs="FrankRuehl"/>
          <w:b/>
          <w:bCs/>
          <w:sz w:val="28"/>
          <w:szCs w:val="28"/>
          <w:u w:val="single"/>
          <w:rtl/>
        </w:rPr>
      </w:pPr>
    </w:p>
    <w:p w14:paraId="1747D48B" w14:textId="77777777" w:rsidR="00BE0B1A" w:rsidRDefault="00BE0B1A" w:rsidP="00BE0B1A">
      <w:pPr>
        <w:spacing w:line="360" w:lineRule="auto"/>
        <w:rPr>
          <w:rFonts w:cs="FrankRuehl"/>
          <w:b/>
          <w:bCs/>
          <w:sz w:val="28"/>
          <w:szCs w:val="28"/>
          <w:u w:val="single"/>
        </w:rPr>
      </w:pPr>
      <w:r>
        <w:rPr>
          <w:rFonts w:cs="FrankRuehl"/>
          <w:b/>
          <w:bCs/>
          <w:sz w:val="28"/>
          <w:szCs w:val="28"/>
          <w:u w:val="single"/>
          <w:rtl/>
        </w:rPr>
        <w:t>כתב האישום</w:t>
      </w:r>
    </w:p>
    <w:p w14:paraId="39B1A6A6" w14:textId="77777777" w:rsidR="00BE0B1A" w:rsidRDefault="00BE0B1A" w:rsidP="00BE0B1A">
      <w:pPr>
        <w:spacing w:line="360" w:lineRule="auto"/>
        <w:jc w:val="both"/>
        <w:rPr>
          <w:rFonts w:cs="FrankRuehl"/>
          <w:sz w:val="28"/>
          <w:szCs w:val="28"/>
          <w:rtl/>
        </w:rPr>
      </w:pPr>
      <w:bookmarkStart w:id="6" w:name="ABSTRACT_START"/>
      <w:bookmarkEnd w:id="6"/>
      <w:r>
        <w:rPr>
          <w:rFonts w:cs="FrankRuehl"/>
          <w:sz w:val="28"/>
          <w:szCs w:val="28"/>
          <w:rtl/>
        </w:rPr>
        <w:t>הנאשם הורשע על פי הודאתו בעביר</w:t>
      </w:r>
      <w:r>
        <w:rPr>
          <w:rFonts w:cs="FrankRuehl" w:hint="cs"/>
          <w:sz w:val="28"/>
          <w:szCs w:val="28"/>
          <w:rtl/>
        </w:rPr>
        <w:t xml:space="preserve">ה של סיוע לסחר בסמים מסוכנים, לפי סעיפים </w:t>
      </w:r>
      <w:hyperlink r:id="rId16" w:history="1">
        <w:r w:rsidR="00F3326C" w:rsidRPr="00F3326C">
          <w:rPr>
            <w:rStyle w:val="Hyperlink"/>
            <w:rFonts w:cs="FrankRuehl"/>
            <w:sz w:val="28"/>
            <w:szCs w:val="28"/>
            <w:rtl/>
          </w:rPr>
          <w:t>13 ו – 19א</w:t>
        </w:r>
      </w:hyperlink>
      <w:r>
        <w:rPr>
          <w:rFonts w:cs="FrankRuehl" w:hint="cs"/>
          <w:sz w:val="28"/>
          <w:szCs w:val="28"/>
          <w:rtl/>
        </w:rPr>
        <w:t xml:space="preserve"> ל</w:t>
      </w:r>
      <w:hyperlink r:id="rId17" w:history="1">
        <w:r w:rsidR="00964C89" w:rsidRPr="00964C89">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 xml:space="preserve">) + </w:t>
      </w:r>
      <w:hyperlink r:id="rId18" w:history="1">
        <w:r w:rsidR="00F3326C" w:rsidRPr="00F3326C">
          <w:rPr>
            <w:rStyle w:val="Hyperlink"/>
            <w:rFonts w:cs="FrankRuehl" w:hint="eastAsia"/>
            <w:sz w:val="28"/>
            <w:szCs w:val="28"/>
            <w:rtl/>
          </w:rPr>
          <w:t>סעיף</w:t>
        </w:r>
        <w:r w:rsidR="00F3326C" w:rsidRPr="00F3326C">
          <w:rPr>
            <w:rStyle w:val="Hyperlink"/>
            <w:rFonts w:cs="FrankRuehl"/>
            <w:sz w:val="28"/>
            <w:szCs w:val="28"/>
            <w:rtl/>
          </w:rPr>
          <w:t xml:space="preserve"> 31</w:t>
        </w:r>
      </w:hyperlink>
      <w:r>
        <w:rPr>
          <w:rFonts w:cs="FrankRuehl" w:hint="cs"/>
          <w:sz w:val="28"/>
          <w:szCs w:val="28"/>
          <w:rtl/>
        </w:rPr>
        <w:t xml:space="preserve"> ל</w:t>
      </w:r>
      <w:hyperlink r:id="rId19" w:history="1">
        <w:r w:rsidR="00964C89" w:rsidRPr="00964C89">
          <w:rPr>
            <w:rFonts w:cs="FrankRuehl"/>
            <w:color w:val="0000FF"/>
            <w:sz w:val="28"/>
            <w:szCs w:val="28"/>
            <w:u w:val="single"/>
            <w:rtl/>
          </w:rPr>
          <w:t>חוק העונשין</w:t>
        </w:r>
      </w:hyperlink>
      <w:r>
        <w:rPr>
          <w:rFonts w:cs="FrankRuehl" w:hint="cs"/>
          <w:sz w:val="28"/>
          <w:szCs w:val="28"/>
          <w:rtl/>
        </w:rPr>
        <w:t xml:space="preserve">, תשל"ז </w:t>
      </w:r>
      <w:r>
        <w:rPr>
          <w:rFonts w:cs="FrankRuehl"/>
          <w:sz w:val="28"/>
          <w:szCs w:val="28"/>
          <w:rtl/>
        </w:rPr>
        <w:t>–</w:t>
      </w:r>
      <w:r>
        <w:rPr>
          <w:rFonts w:cs="FrankRuehl" w:hint="cs"/>
          <w:sz w:val="28"/>
          <w:szCs w:val="28"/>
          <w:rtl/>
        </w:rPr>
        <w:t xml:space="preserve"> 1977 (</w:t>
      </w:r>
      <w:r>
        <w:rPr>
          <w:rFonts w:cs="FrankRuehl" w:hint="cs"/>
          <w:b/>
          <w:bCs/>
          <w:sz w:val="28"/>
          <w:szCs w:val="28"/>
          <w:rtl/>
        </w:rPr>
        <w:t>חוק העונשין</w:t>
      </w:r>
      <w:r>
        <w:rPr>
          <w:rFonts w:cs="FrankRuehl" w:hint="cs"/>
          <w:sz w:val="28"/>
          <w:szCs w:val="28"/>
          <w:rtl/>
        </w:rPr>
        <w:t xml:space="preserve">) ובעבירה של סיוע להחזקת סמים שלא לצריכה עצמית, לפי סעיפים </w:t>
      </w:r>
      <w:hyperlink r:id="rId20" w:history="1">
        <w:r w:rsidR="00F3326C" w:rsidRPr="00F3326C">
          <w:rPr>
            <w:rStyle w:val="Hyperlink"/>
            <w:rFonts w:cs="FrankRuehl"/>
            <w:sz w:val="28"/>
            <w:szCs w:val="28"/>
            <w:rtl/>
          </w:rPr>
          <w:t>7(א) ו7(ג)</w:t>
        </w:r>
      </w:hyperlink>
      <w:r>
        <w:rPr>
          <w:rFonts w:cs="FrankRuehl" w:hint="cs"/>
          <w:sz w:val="28"/>
          <w:szCs w:val="28"/>
          <w:rtl/>
        </w:rPr>
        <w:t xml:space="preserve"> לפקודת הסמים + סעיף </w:t>
      </w:r>
      <w:hyperlink r:id="rId21" w:history="1">
        <w:r w:rsidR="00F3326C" w:rsidRPr="00F3326C">
          <w:rPr>
            <w:rStyle w:val="Hyperlink"/>
            <w:rFonts w:cs="FrankRuehl"/>
            <w:sz w:val="28"/>
            <w:szCs w:val="28"/>
            <w:rtl/>
          </w:rPr>
          <w:t>31</w:t>
        </w:r>
      </w:hyperlink>
      <w:r>
        <w:rPr>
          <w:rFonts w:cs="FrankRuehl" w:hint="cs"/>
          <w:sz w:val="28"/>
          <w:szCs w:val="28"/>
          <w:rtl/>
        </w:rPr>
        <w:t xml:space="preserve"> לחוק העונשין.</w:t>
      </w:r>
    </w:p>
    <w:p w14:paraId="6F52F316" w14:textId="77777777" w:rsidR="00BE0B1A" w:rsidRDefault="00BE0B1A" w:rsidP="00BE0B1A">
      <w:pPr>
        <w:jc w:val="both"/>
        <w:rPr>
          <w:rFonts w:cs="FrankRuehl"/>
          <w:sz w:val="28"/>
          <w:szCs w:val="28"/>
          <w:rtl/>
        </w:rPr>
      </w:pPr>
      <w:bookmarkStart w:id="7" w:name="ABSTRACT_END"/>
      <w:bookmarkEnd w:id="7"/>
    </w:p>
    <w:p w14:paraId="5C448974" w14:textId="77777777" w:rsidR="00BE0B1A" w:rsidRDefault="00BE0B1A" w:rsidP="00BE0B1A">
      <w:pPr>
        <w:spacing w:line="360" w:lineRule="auto"/>
        <w:jc w:val="both"/>
        <w:rPr>
          <w:rFonts w:cs="FrankRuehl"/>
          <w:sz w:val="28"/>
          <w:szCs w:val="28"/>
        </w:rPr>
      </w:pPr>
      <w:r>
        <w:rPr>
          <w:rFonts w:cs="FrankRuehl" w:hint="cs"/>
          <w:sz w:val="28"/>
          <w:szCs w:val="28"/>
          <w:rtl/>
        </w:rPr>
        <w:t>על פי עובדות כתב האישום, ביום 21.4.2020, קיבל חננאל שמואל זגורי (</w:t>
      </w:r>
      <w:r>
        <w:rPr>
          <w:rFonts w:cs="FrankRuehl" w:hint="cs"/>
          <w:b/>
          <w:bCs/>
          <w:sz w:val="28"/>
          <w:szCs w:val="28"/>
          <w:rtl/>
        </w:rPr>
        <w:t>חננאל</w:t>
      </w:r>
      <w:r>
        <w:rPr>
          <w:rFonts w:cs="FrankRuehl" w:hint="cs"/>
          <w:sz w:val="28"/>
          <w:szCs w:val="28"/>
          <w:rtl/>
        </w:rPr>
        <w:t>) לידיו 371.17 גרם קנבוס מחולק לשקיות. חננאל ביקש מהנאשם, כי ישמש עבורו נהג במהלך ביצוע הסחר בסם, באמצעות רכב אותו שאל מאחר. חננאל הניח את הסם מתחת לסדין במושב האחורי ברכב ויחד עם הנאשם הגיעו ברכב לרחוב ריש לקיש בירושלים (</w:t>
      </w:r>
      <w:r>
        <w:rPr>
          <w:rFonts w:cs="FrankRuehl" w:hint="cs"/>
          <w:b/>
          <w:bCs/>
          <w:sz w:val="28"/>
          <w:szCs w:val="28"/>
          <w:rtl/>
        </w:rPr>
        <w:t>המקום</w:t>
      </w:r>
      <w:r>
        <w:rPr>
          <w:rFonts w:cs="FrankRuehl" w:hint="cs"/>
          <w:sz w:val="28"/>
          <w:szCs w:val="28"/>
          <w:rtl/>
        </w:rPr>
        <w:t>). זמן קצר קודם לכן ביקש  ת"ח לרכוש קנבוס באמצעות יישומון "טלגראם" תוך שהוא משאיר הודעה עם  פרטיו, כתובת המקום ובקשתו. לאחר הגעת חננאל והנאשם למקום, התקשר חננאל לתום ואמר לו שהגיע עם הסם. ת"ח ניגש למושב הנהג ברכב, אז מסר לו חננאל שקית ובה 5 גרם של קנבוס, בתמורה שילם לו תום 350 ₪. בהמשך לכך, נסעו חננאל והנאשם ברכב, כאשר הנאשם נוהג בו והגיעו לרחוב חיים סירני בירושלים שם מכר חננאל לאדם נוסף 10 גרם קנבוס תמורת 400 ₪.</w:t>
      </w:r>
    </w:p>
    <w:p w14:paraId="4C5A07B9" w14:textId="77777777" w:rsidR="00BE0B1A" w:rsidRPr="00051D0B" w:rsidRDefault="00BE0B1A" w:rsidP="00BE0B1A">
      <w:pPr>
        <w:jc w:val="both"/>
        <w:rPr>
          <w:rFonts w:cs="FrankRuehl"/>
          <w:b/>
          <w:bCs/>
          <w:sz w:val="28"/>
          <w:szCs w:val="28"/>
          <w:u w:val="single"/>
        </w:rPr>
      </w:pPr>
    </w:p>
    <w:p w14:paraId="34E72338" w14:textId="77777777" w:rsidR="00BE0B1A" w:rsidRPr="008326C4" w:rsidRDefault="00BE0B1A" w:rsidP="00BE0B1A">
      <w:pPr>
        <w:spacing w:line="360" w:lineRule="auto"/>
        <w:jc w:val="both"/>
        <w:rPr>
          <w:rFonts w:cs="FrankRuehl"/>
          <w:sz w:val="28"/>
          <w:szCs w:val="28"/>
          <w:rtl/>
        </w:rPr>
      </w:pPr>
      <w:r w:rsidRPr="008326C4">
        <w:rPr>
          <w:rFonts w:cs="FrankRuehl" w:hint="cs"/>
          <w:sz w:val="28"/>
          <w:szCs w:val="28"/>
          <w:rtl/>
        </w:rPr>
        <w:t>היום צירף הנאשם תיק נוסף שטרם הוגש והוגדר כתיק פתוח, במסגרתו הודה בשימוש עצמי בסמים, עבירה מיום 22.12.2020.</w:t>
      </w:r>
    </w:p>
    <w:p w14:paraId="223EDB1C" w14:textId="77777777" w:rsidR="00BE0B1A" w:rsidRDefault="00BE0B1A" w:rsidP="00BE0B1A">
      <w:pPr>
        <w:spacing w:line="360" w:lineRule="auto"/>
        <w:jc w:val="both"/>
        <w:rPr>
          <w:rFonts w:cs="FrankRuehl"/>
          <w:b/>
          <w:bCs/>
          <w:sz w:val="28"/>
          <w:szCs w:val="28"/>
          <w:u w:val="single"/>
          <w:rtl/>
        </w:rPr>
      </w:pPr>
    </w:p>
    <w:p w14:paraId="60688AC0" w14:textId="77777777" w:rsidR="00BE0B1A" w:rsidRDefault="00BE0B1A" w:rsidP="00BE0B1A">
      <w:pPr>
        <w:spacing w:line="360" w:lineRule="auto"/>
        <w:jc w:val="both"/>
        <w:rPr>
          <w:rFonts w:cs="FrankRuehl"/>
          <w:b/>
          <w:bCs/>
          <w:sz w:val="28"/>
          <w:szCs w:val="28"/>
          <w:u w:val="single"/>
        </w:rPr>
      </w:pPr>
      <w:r>
        <w:rPr>
          <w:rFonts w:cs="FrankRuehl"/>
          <w:b/>
          <w:bCs/>
          <w:sz w:val="28"/>
          <w:szCs w:val="28"/>
          <w:u w:val="single"/>
          <w:rtl/>
        </w:rPr>
        <w:t>מהלך הדיון</w:t>
      </w:r>
    </w:p>
    <w:p w14:paraId="259FCFD4" w14:textId="77777777" w:rsidR="00BE0B1A" w:rsidRDefault="00BE0B1A" w:rsidP="00BE0B1A">
      <w:pPr>
        <w:spacing w:line="360" w:lineRule="auto"/>
        <w:jc w:val="both"/>
        <w:rPr>
          <w:rFonts w:cs="FrankRuehl"/>
          <w:sz w:val="28"/>
          <w:szCs w:val="28"/>
        </w:rPr>
      </w:pPr>
      <w:r>
        <w:rPr>
          <w:rFonts w:cs="FrankRuehl" w:hint="cs"/>
          <w:sz w:val="28"/>
          <w:szCs w:val="28"/>
          <w:rtl/>
        </w:rPr>
        <w:t>הנאשם נעצר עד תום ההליכים נגדו ביום 6.5.2020 ושהה במעצר בית קרוב לשנה. במהלך השנה, הוקלו תנאי מעצר הבית למעצר בית חלקי וביום 14.3.2021 שונו תנאיו המגבילים למעצר בית לילי בלבד. ביום 16.11.2020 הורשע הנאשם על פי הודאתו בכתב האישום המתוקן, במסגרת הסדר טיעון, ללא הסכמה עונשית. הנאשם נשלח לשירות המבחן שהגיש תסקירים בעניינו.</w:t>
      </w:r>
    </w:p>
    <w:p w14:paraId="7EF4B6F4" w14:textId="77777777" w:rsidR="00BE0B1A" w:rsidRDefault="00BE0B1A" w:rsidP="00BE0B1A">
      <w:pPr>
        <w:spacing w:line="360" w:lineRule="auto"/>
        <w:jc w:val="both"/>
        <w:rPr>
          <w:rFonts w:cs="FrankRuehl"/>
          <w:b/>
          <w:bCs/>
          <w:sz w:val="28"/>
          <w:szCs w:val="28"/>
          <w:u w:val="single"/>
        </w:rPr>
      </w:pPr>
    </w:p>
    <w:p w14:paraId="0D1B9EA9" w14:textId="77777777" w:rsidR="00BE0B1A" w:rsidRDefault="00BE0B1A" w:rsidP="00BE0B1A">
      <w:pPr>
        <w:spacing w:line="360" w:lineRule="auto"/>
        <w:jc w:val="both"/>
        <w:rPr>
          <w:rFonts w:cs="FrankRuehl"/>
          <w:b/>
          <w:bCs/>
          <w:sz w:val="28"/>
          <w:szCs w:val="28"/>
          <w:u w:val="single"/>
        </w:rPr>
      </w:pPr>
      <w:r>
        <w:rPr>
          <w:rFonts w:cs="FrankRuehl"/>
          <w:b/>
          <w:bCs/>
          <w:sz w:val="28"/>
          <w:szCs w:val="28"/>
          <w:u w:val="single"/>
          <w:rtl/>
        </w:rPr>
        <w:t>תסקיר שירות המבחן</w:t>
      </w:r>
    </w:p>
    <w:p w14:paraId="77A28226" w14:textId="77777777" w:rsidR="00BE0B1A" w:rsidRDefault="00BE0B1A" w:rsidP="00BE0B1A">
      <w:pPr>
        <w:spacing w:line="360" w:lineRule="auto"/>
        <w:jc w:val="both"/>
        <w:rPr>
          <w:rFonts w:ascii="FrankRuehl" w:hAnsi="FrankRuehl" w:cs="FrankRuehl"/>
          <w:sz w:val="28"/>
          <w:szCs w:val="28"/>
        </w:rPr>
      </w:pPr>
      <w:r>
        <w:rPr>
          <w:rFonts w:cs="FrankRuehl" w:hint="cs"/>
          <w:sz w:val="28"/>
          <w:szCs w:val="28"/>
          <w:rtl/>
        </w:rPr>
        <w:t xml:space="preserve">בעניינו של הנאשם הוגשו ארבעה תסקירים. </w:t>
      </w:r>
      <w:r>
        <w:rPr>
          <w:rFonts w:cs="FrankRuehl"/>
          <w:sz w:val="28"/>
          <w:szCs w:val="28"/>
          <w:rtl/>
        </w:rPr>
        <w:t>מהתסקיר</w:t>
      </w:r>
      <w:r>
        <w:rPr>
          <w:rFonts w:cs="FrankRuehl" w:hint="cs"/>
          <w:sz w:val="28"/>
          <w:szCs w:val="28"/>
          <w:rtl/>
        </w:rPr>
        <w:t>ים</w:t>
      </w:r>
      <w:r>
        <w:rPr>
          <w:rFonts w:cs="FrankRuehl"/>
          <w:sz w:val="28"/>
          <w:szCs w:val="28"/>
          <w:rtl/>
        </w:rPr>
        <w:t xml:space="preserve"> שהוגש</w:t>
      </w:r>
      <w:r>
        <w:rPr>
          <w:rFonts w:cs="FrankRuehl" w:hint="cs"/>
          <w:sz w:val="28"/>
          <w:szCs w:val="28"/>
          <w:rtl/>
        </w:rPr>
        <w:t>ו</w:t>
      </w:r>
      <w:r>
        <w:rPr>
          <w:rFonts w:cs="FrankRuehl"/>
          <w:sz w:val="28"/>
          <w:szCs w:val="28"/>
          <w:rtl/>
        </w:rPr>
        <w:t xml:space="preserve"> עולה</w:t>
      </w:r>
      <w:r>
        <w:rPr>
          <w:rFonts w:cs="FrankRuehl" w:hint="cs"/>
          <w:sz w:val="28"/>
          <w:szCs w:val="28"/>
          <w:rtl/>
        </w:rPr>
        <w:t xml:space="preserve"> כי הנאשם כבן 20, רווק וכאמור שוהה במעצר בית לילי בבית הוריו בישוב בית"ר עילית. הנאשם התחנך במסגרות חינוך חרדיות, כאשר לדבריו חווה קשיים במהלך הלימודים על רקע קושי לעמוד בכללים ובדרישות של המסגרות השונות. בהיותו בן 17, משפחתו עברה להתגורר בחו"ל למשך שנה והנאשם נשאר ללמוד בישיבה בארץ. לדבריו במהלך תקופה זו, החל לחוות קשיים רגשיים וכן החל שימוש בסם מסוג קנאביס בנסיבות חברתיות, על רקע רצונו להשתלב בחברה וכאמצעי למפלט ובריחה מרגשות כואבים. הנאשם שלל שימוש לרעה באלכוהול. בהתייחסותו לעבירה הנוכחית, סיפר הנאשם כי נענה לבקשה של מכר שיסיע אותו בתמורה לתשלום. לדבריו, לא היה מודע למטרת הנסיעה וכאשר הבין במה מדובר, חשש בשל פחד מתגובתו והתנהלותו של המכר. שירות המבחן </w:t>
      </w:r>
      <w:r>
        <w:rPr>
          <w:rFonts w:cs="FrankRuehl" w:hint="cs"/>
          <w:sz w:val="28"/>
          <w:szCs w:val="28"/>
          <w:rtl/>
        </w:rPr>
        <w:lastRenderedPageBreak/>
        <w:t xml:space="preserve">התרשם כי הנאשם הביע חרטה על ביצוע מעשיו, על אף שניסה לטשטש ממידת אחריותו. במהלך תקופת הדחיה, שירות המבחן דיווח כי בדיקות לגילוי שרידי סם שמסר הנאשם, נמצאו חיוביות לשימוש בקנאביס ועל אף שהנאשם נעדר עבר פלילי, נפתח נגדו תיק חדש בביצוע עבירה של החזקת סם לשימוש עצמי. עם זאת, משני התסקירים האחרונים שהוגשו בעניינו של הנאשם עולה, כי בחודשים האחרונים הנאשם החל לעבור תהליך הכולל התייצבות תעסוקתית, התחלת טיפול ביחידה להתמכרויות וגילוי מודעות ראשונית לדפוסי התנהלותו. בדיקות לגילוי שירידי סם שמסר העידו על הימנעות משימוש בסמים ולא נפתחו לו תיקים חדשים. שירות המבחן מסר כי הנאשם מתמיד בטיפול וישנה התרשמות כי הפיק לקחים מההליך הפלילי ושואף לשמור על אורח חיים נורמטיבי ומתפקד. </w:t>
      </w:r>
      <w:r>
        <w:rPr>
          <w:rFonts w:ascii="FrankRuehl" w:hAnsi="FrankRuehl" w:cs="FrankRuehl"/>
          <w:sz w:val="28"/>
          <w:szCs w:val="28"/>
          <w:rtl/>
        </w:rPr>
        <w:t xml:space="preserve">שירות המבחן סבר, כי במסגרת ההליך הפלילי, הנאשם גילה כוחות לערוך שינוי חיובי בחייו, ומכאן </w:t>
      </w:r>
      <w:r>
        <w:rPr>
          <w:rFonts w:ascii="FrankRuehl" w:hAnsi="FrankRuehl" w:cs="FrankRuehl" w:hint="cs"/>
          <w:sz w:val="28"/>
          <w:szCs w:val="28"/>
          <w:rtl/>
        </w:rPr>
        <w:t>קבלת ה</w:t>
      </w:r>
      <w:r>
        <w:rPr>
          <w:rFonts w:ascii="FrankRuehl" w:hAnsi="FrankRuehl" w:cs="FrankRuehl"/>
          <w:sz w:val="28"/>
          <w:szCs w:val="28"/>
          <w:rtl/>
        </w:rPr>
        <w:t>אחריות</w:t>
      </w:r>
      <w:r>
        <w:rPr>
          <w:rFonts w:ascii="FrankRuehl" w:hAnsi="FrankRuehl" w:cs="FrankRuehl" w:hint="cs"/>
          <w:sz w:val="28"/>
          <w:szCs w:val="28"/>
          <w:rtl/>
        </w:rPr>
        <w:t xml:space="preserve"> על המעשים </w:t>
      </w:r>
      <w:r>
        <w:rPr>
          <w:rFonts w:ascii="FrankRuehl" w:hAnsi="FrankRuehl" w:cs="FrankRuehl"/>
          <w:sz w:val="28"/>
          <w:szCs w:val="28"/>
          <w:rtl/>
        </w:rPr>
        <w:t xml:space="preserve">ועל חייו כאחד. לפיכך, המליץ שירות המבחן על הטלת </w:t>
      </w:r>
      <w:r>
        <w:rPr>
          <w:rFonts w:ascii="FrankRuehl" w:hAnsi="FrankRuehl" w:cs="FrankRuehl" w:hint="cs"/>
          <w:sz w:val="28"/>
          <w:szCs w:val="28"/>
          <w:rtl/>
        </w:rPr>
        <w:t>250</w:t>
      </w:r>
      <w:r>
        <w:rPr>
          <w:rFonts w:ascii="FrankRuehl" w:hAnsi="FrankRuehl" w:cs="FrankRuehl"/>
          <w:sz w:val="28"/>
          <w:szCs w:val="28"/>
          <w:rtl/>
        </w:rPr>
        <w:t xml:space="preserve"> שעות של"ץ וצו מבחן למשך שנה. כמו כן המליץ שירות המבחן על ביטול ההרשעה בשל גילו הצעיר של הנאשם והיותו בתחילת חייו הבוגרים.</w:t>
      </w:r>
    </w:p>
    <w:p w14:paraId="3067D3F5" w14:textId="77777777" w:rsidR="00BE0B1A" w:rsidRPr="00F82A2B" w:rsidRDefault="00BE0B1A" w:rsidP="00BE0B1A">
      <w:pPr>
        <w:spacing w:line="360" w:lineRule="auto"/>
        <w:jc w:val="both"/>
        <w:rPr>
          <w:rFonts w:cs="FrankRuehl"/>
          <w:b/>
          <w:bCs/>
          <w:sz w:val="28"/>
          <w:szCs w:val="28"/>
          <w:u w:val="single"/>
        </w:rPr>
      </w:pPr>
    </w:p>
    <w:p w14:paraId="1A3B2411" w14:textId="77777777" w:rsidR="00BE0B1A" w:rsidRDefault="00BE0B1A" w:rsidP="00BE0B1A">
      <w:pPr>
        <w:spacing w:line="360" w:lineRule="auto"/>
        <w:jc w:val="both"/>
        <w:rPr>
          <w:rFonts w:cs="FrankRuehl"/>
          <w:b/>
          <w:bCs/>
          <w:sz w:val="28"/>
          <w:szCs w:val="28"/>
          <w:u w:val="single"/>
          <w:rtl/>
        </w:rPr>
      </w:pPr>
      <w:r>
        <w:rPr>
          <w:rFonts w:cs="FrankRuehl"/>
          <w:b/>
          <w:bCs/>
          <w:sz w:val="28"/>
          <w:szCs w:val="28"/>
          <w:u w:val="single"/>
          <w:rtl/>
        </w:rPr>
        <w:t>טיעונים לעונש</w:t>
      </w:r>
    </w:p>
    <w:p w14:paraId="69E34D48" w14:textId="77777777" w:rsidR="00BE0B1A" w:rsidRDefault="00BE0B1A" w:rsidP="00BE0B1A">
      <w:pPr>
        <w:spacing w:line="360" w:lineRule="auto"/>
        <w:jc w:val="both"/>
        <w:rPr>
          <w:rFonts w:cs="FrankRuehl"/>
          <w:sz w:val="28"/>
          <w:szCs w:val="28"/>
          <w:rtl/>
        </w:rPr>
      </w:pPr>
      <w:r>
        <w:rPr>
          <w:rFonts w:cs="FrankRuehl"/>
          <w:sz w:val="28"/>
          <w:szCs w:val="28"/>
          <w:rtl/>
        </w:rPr>
        <w:t xml:space="preserve">הצדדים לא הגיעו להסכמה עונשית. </w:t>
      </w:r>
    </w:p>
    <w:p w14:paraId="5018AA55" w14:textId="77777777" w:rsidR="00BE0B1A" w:rsidRDefault="00BE0B1A" w:rsidP="00BE0B1A">
      <w:pPr>
        <w:spacing w:line="360" w:lineRule="auto"/>
        <w:jc w:val="both"/>
        <w:rPr>
          <w:rFonts w:cs="FrankRuehl"/>
          <w:sz w:val="28"/>
          <w:szCs w:val="28"/>
          <w:rtl/>
        </w:rPr>
      </w:pPr>
      <w:r>
        <w:rPr>
          <w:rFonts w:cs="FrankRuehl"/>
          <w:sz w:val="28"/>
          <w:szCs w:val="28"/>
          <w:rtl/>
        </w:rPr>
        <w:t>מחד, ב"כ המאשימה טען</w:t>
      </w:r>
      <w:r>
        <w:rPr>
          <w:rFonts w:cs="FrankRuehl" w:hint="cs"/>
          <w:sz w:val="28"/>
          <w:szCs w:val="28"/>
          <w:rtl/>
        </w:rPr>
        <w:t xml:space="preserve"> למתחמי ענישה המגיעים עד 24 חודשי מאסר, ועתר להטיל על הנאשם מאסר בן 7 חודשים יחס עם ענישה נלווית. </w:t>
      </w:r>
    </w:p>
    <w:p w14:paraId="5D4B5D49" w14:textId="77777777" w:rsidR="00BE0B1A" w:rsidRDefault="00BE0B1A" w:rsidP="00BE0B1A">
      <w:pPr>
        <w:spacing w:line="360" w:lineRule="auto"/>
        <w:jc w:val="both"/>
        <w:rPr>
          <w:rFonts w:cs="FrankRuehl"/>
          <w:sz w:val="28"/>
          <w:szCs w:val="28"/>
          <w:rtl/>
        </w:rPr>
      </w:pPr>
      <w:r>
        <w:rPr>
          <w:rFonts w:cs="FrankRuehl"/>
          <w:sz w:val="28"/>
          <w:szCs w:val="28"/>
          <w:rtl/>
        </w:rPr>
        <w:t xml:space="preserve">מאידך, </w:t>
      </w:r>
      <w:r>
        <w:rPr>
          <w:rFonts w:cs="FrankRuehl" w:hint="cs"/>
          <w:sz w:val="28"/>
          <w:szCs w:val="28"/>
          <w:rtl/>
        </w:rPr>
        <w:t xml:space="preserve">ביקשה </w:t>
      </w:r>
      <w:r>
        <w:rPr>
          <w:rFonts w:cs="FrankRuehl"/>
          <w:sz w:val="28"/>
          <w:szCs w:val="28"/>
          <w:rtl/>
        </w:rPr>
        <w:t xml:space="preserve">הסניגורית  </w:t>
      </w:r>
      <w:r>
        <w:rPr>
          <w:rFonts w:cs="FrankRuehl" w:hint="cs"/>
          <w:sz w:val="28"/>
          <w:szCs w:val="28"/>
          <w:rtl/>
        </w:rPr>
        <w:t>להיעתר לבקשת שירות המבחן ולאמץ את המלצתו.</w:t>
      </w:r>
    </w:p>
    <w:p w14:paraId="2F46B4A1" w14:textId="77777777" w:rsidR="00BE0B1A" w:rsidRDefault="00BE0B1A" w:rsidP="00BE0B1A">
      <w:pPr>
        <w:spacing w:line="360" w:lineRule="auto"/>
        <w:jc w:val="both"/>
        <w:rPr>
          <w:rFonts w:cs="FrankRuehl"/>
          <w:sz w:val="28"/>
          <w:szCs w:val="28"/>
          <w:rtl/>
        </w:rPr>
      </w:pPr>
    </w:p>
    <w:p w14:paraId="468C48AC" w14:textId="77777777" w:rsidR="00BE0B1A" w:rsidRDefault="00BE0B1A" w:rsidP="00BE0B1A">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0ECCD391" w14:textId="77777777" w:rsidR="00BE0B1A" w:rsidRDefault="00BE0B1A" w:rsidP="00BE0B1A">
      <w:pPr>
        <w:spacing w:line="360" w:lineRule="auto"/>
        <w:jc w:val="both"/>
        <w:rPr>
          <w:rFonts w:cs="FrankRuehl"/>
          <w:b/>
          <w:bCs/>
          <w:sz w:val="28"/>
          <w:szCs w:val="28"/>
          <w:u w:val="single"/>
        </w:rPr>
      </w:pPr>
    </w:p>
    <w:p w14:paraId="62DD166C" w14:textId="77777777" w:rsidR="00BE0B1A" w:rsidRDefault="00BE0B1A" w:rsidP="00BE0B1A">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w:t>
      </w:r>
      <w:r>
        <w:rPr>
          <w:rFonts w:cs="FrankRuehl" w:hint="cs"/>
          <w:sz w:val="28"/>
          <w:szCs w:val="28"/>
          <w:rtl/>
        </w:rPr>
        <w:t xml:space="preserve"> </w:t>
      </w:r>
      <w:r>
        <w:rPr>
          <w:rFonts w:ascii="FrankRuehl" w:hAnsi="FrankRuehl" w:cs="FrankRuehl"/>
          <w:sz w:val="28"/>
          <w:szCs w:val="28"/>
          <w:rtl/>
        </w:rPr>
        <w:t>עבירות של סחר בסם הן עבירות חמורות מטבען, המסייעות להרחיב את נגע הסמים בקרב האוכלוסייה הכללית, נגע הפוגע בכל רבדיה ומערער את יציבות החברה וביטחונה. כב' השופט עמית עמד ב</w:t>
      </w:r>
      <w:hyperlink r:id="rId22" w:history="1">
        <w:r w:rsidR="00964C89" w:rsidRPr="00964C89">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Pr>
          <w:rFonts w:ascii="FrankRuehl" w:hAnsi="FrankRuehl" w:cs="FrankRuehl"/>
          <w:b/>
          <w:bCs/>
          <w:sz w:val="28"/>
          <w:szCs w:val="28"/>
          <w:u w:val="single"/>
          <w:rtl/>
        </w:rPr>
        <w:t>זנזורי</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12.8.2018) על הקלות הבלתי נסבלת של ביצוע עבירות מעין אלה באמצעות הסתייעות ביישומונים בטלפונים הניידים ועמד על חומרת המעשים והצורך להרתיע מי שמבצע עבירות מסוג זה, גם אם מדובר באדם נורמטיבי שבחר ליטול סיכון ולהסתבך בעולם הפלילי (פסקה 8). מידת הפגיעה בערכים המוגנים נמוכה-בינונית.</w:t>
      </w:r>
    </w:p>
    <w:p w14:paraId="56B228A4" w14:textId="77777777" w:rsidR="00BE0B1A" w:rsidRDefault="00BE0B1A" w:rsidP="00BE0B1A">
      <w:pPr>
        <w:spacing w:line="360" w:lineRule="auto"/>
        <w:jc w:val="both"/>
        <w:rPr>
          <w:rFonts w:cs="FrankRuehl"/>
          <w:sz w:val="28"/>
          <w:szCs w:val="28"/>
          <w:rtl/>
        </w:rPr>
      </w:pPr>
    </w:p>
    <w:p w14:paraId="0BCDFBA4" w14:textId="77777777" w:rsidR="00BE0B1A" w:rsidRDefault="00BE0B1A" w:rsidP="00BE0B1A">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3" w:history="1">
        <w:r w:rsidR="00F3326C" w:rsidRPr="00F3326C">
          <w:rPr>
            <w:rStyle w:val="Hyperlink"/>
            <w:rFonts w:cs="FrankRuehl"/>
            <w:b/>
            <w:bCs/>
            <w:sz w:val="28"/>
            <w:szCs w:val="28"/>
            <w:rtl/>
          </w:rPr>
          <w:t>סעיף 40ט'</w:t>
        </w:r>
      </w:hyperlink>
      <w:r>
        <w:rPr>
          <w:rFonts w:cs="FrankRuehl"/>
          <w:b/>
          <w:bCs/>
          <w:sz w:val="28"/>
          <w:szCs w:val="28"/>
          <w:u w:val="single"/>
          <w:rtl/>
        </w:rPr>
        <w:t xml:space="preserve"> ל</w:t>
      </w:r>
      <w:hyperlink r:id="rId24" w:history="1">
        <w:r w:rsidR="00964C89" w:rsidRPr="00964C8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לדברי הנאשם, לא ידע כי בכוונת חננאל לסחור בסמים, עת נהג ברכב, לפיכך לא ניתן לקבוע בוודאות כי מדובר בעבירות מתוכננות. עם זאת, הנאשם סיפר כי במהלך הנסיעה, הבין כי חננאל סוחר בסמים, אך פחד מתגובתו לכן המשיך בנסיעה עמו, ועל כך יש לו אחריות בלעדית על המעשים, למרות גילו הצעיר. הנאשם צריך היה להימנע מביצוע המעשים, בהיותו בגיר.</w:t>
      </w:r>
    </w:p>
    <w:p w14:paraId="783B70CE" w14:textId="77777777" w:rsidR="00BE0B1A" w:rsidRDefault="00BE0B1A" w:rsidP="00BE0B1A">
      <w:pPr>
        <w:spacing w:line="360" w:lineRule="auto"/>
        <w:jc w:val="both"/>
        <w:rPr>
          <w:rFonts w:cs="FrankRuehl"/>
          <w:b/>
          <w:bCs/>
          <w:sz w:val="28"/>
          <w:szCs w:val="28"/>
          <w:u w:val="single"/>
          <w:rtl/>
        </w:rPr>
      </w:pPr>
    </w:p>
    <w:p w14:paraId="1B6391D0" w14:textId="77777777" w:rsidR="00BE0B1A" w:rsidRDefault="00BE0B1A" w:rsidP="00BE0B1A">
      <w:pPr>
        <w:spacing w:line="360" w:lineRule="auto"/>
        <w:jc w:val="both"/>
        <w:rPr>
          <w:rFonts w:ascii="FrankRuehl" w:hAnsi="FrankRuehl" w:cs="FrankRuehl"/>
          <w:sz w:val="28"/>
          <w:szCs w:val="28"/>
          <w:rtl/>
        </w:rPr>
      </w:pPr>
      <w:r>
        <w:rPr>
          <w:rFonts w:ascii="FrankRuehl" w:hAnsi="FrankRuehl" w:cs="FrankRuehl"/>
          <w:b/>
          <w:bCs/>
          <w:sz w:val="28"/>
          <w:szCs w:val="28"/>
          <w:rtl/>
        </w:rPr>
        <w:t>מדיניות הענישה הנוהגת</w:t>
      </w:r>
      <w:r>
        <w:rPr>
          <w:rFonts w:ascii="FrankRuehl" w:hAnsi="FrankRuehl" w:cs="FrankRuehl"/>
          <w:sz w:val="28"/>
          <w:szCs w:val="28"/>
          <w:rtl/>
        </w:rPr>
        <w:t xml:space="preserve"> – לרוב בעבירות מסוג זה, מבכר בית המשפט את שיקולי ההרתעה על-פני שיקולים אחרים. במקרה חמור בהרבה ממקרנו, שבו בוצעו עשרות מכירות קנביס לעשרות לקוחות לרבות לקטין אושרו מתחמים הנעים ממאסר קצר ועד 14 חודשי מאסר בגין מכירת סם, ועונשו של נאשם הוחמר מ-9 חודשי עבודות שירות ל-18 חודשי מאסר – </w:t>
      </w:r>
      <w:hyperlink r:id="rId25" w:history="1">
        <w:r w:rsidR="00964C89" w:rsidRPr="00964C89">
          <w:rPr>
            <w:rFonts w:ascii="FrankRuehl" w:hAnsi="FrankRuehl" w:cs="FrankRuehl"/>
            <w:color w:val="0000FF"/>
            <w:sz w:val="28"/>
            <w:szCs w:val="28"/>
            <w:u w:val="single"/>
            <w:rtl/>
          </w:rPr>
          <w:t>רע"פ 7088/20</w:t>
        </w:r>
      </w:hyperlink>
      <w:r>
        <w:rPr>
          <w:rFonts w:ascii="FrankRuehl" w:hAnsi="FrankRuehl" w:cs="FrankRuehl"/>
          <w:sz w:val="28"/>
          <w:szCs w:val="28"/>
          <w:rtl/>
        </w:rPr>
        <w:t xml:space="preserve"> </w:t>
      </w:r>
      <w:r>
        <w:rPr>
          <w:rFonts w:ascii="FrankRuehl" w:hAnsi="FrankRuehl" w:cs="FrankRuehl"/>
          <w:b/>
          <w:bCs/>
          <w:sz w:val="28"/>
          <w:szCs w:val="28"/>
          <w:u w:val="single"/>
          <w:rtl/>
        </w:rPr>
        <w:t>זוהר</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21.10.2020). ממקרה זה יש לגזור לקולא. ב</w:t>
      </w:r>
      <w:hyperlink r:id="rId26" w:history="1">
        <w:r w:rsidR="00964C89" w:rsidRPr="00964C89">
          <w:rPr>
            <w:rFonts w:ascii="FrankRuehl" w:hAnsi="FrankRuehl" w:cs="FrankRuehl"/>
            <w:color w:val="0000FF"/>
            <w:sz w:val="28"/>
            <w:szCs w:val="28"/>
            <w:u w:val="single"/>
            <w:rtl/>
          </w:rPr>
          <w:t>רע"פ 8632/19</w:t>
        </w:r>
      </w:hyperlink>
      <w:r>
        <w:rPr>
          <w:rFonts w:ascii="FrankRuehl" w:hAnsi="FrankRuehl" w:cs="FrankRuehl"/>
          <w:sz w:val="28"/>
          <w:szCs w:val="28"/>
          <w:rtl/>
        </w:rPr>
        <w:t xml:space="preserve"> </w:t>
      </w:r>
      <w:r>
        <w:rPr>
          <w:rFonts w:ascii="FrankRuehl" w:hAnsi="FrankRuehl" w:cs="FrankRuehl"/>
          <w:b/>
          <w:bCs/>
          <w:sz w:val="28"/>
          <w:szCs w:val="28"/>
          <w:u w:val="single"/>
          <w:rtl/>
        </w:rPr>
        <w:t>כהן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אושר עונש של 9 חודשי עבודות שירות חלף עונש של של"ץ בנסיבות הדומות למקרנו, ואולם שם דובר במי שעמד לחובתו מאסר מותנה שהוחלט להפעילו בסופו של דבר ע"י ערכאת הערעור. מכאן שמדובר בנסיבות חמורות ממקרנו. ב</w:t>
      </w:r>
      <w:hyperlink r:id="rId27" w:history="1">
        <w:r w:rsidR="00964C89" w:rsidRPr="00964C89">
          <w:rPr>
            <w:rFonts w:ascii="FrankRuehl" w:hAnsi="FrankRuehl" w:cs="FrankRuehl"/>
            <w:color w:val="0000FF"/>
            <w:sz w:val="28"/>
            <w:szCs w:val="28"/>
            <w:u w:val="single"/>
            <w:rtl/>
          </w:rPr>
          <w:t>רע"פ 5494/19</w:t>
        </w:r>
      </w:hyperlink>
      <w:r>
        <w:rPr>
          <w:rFonts w:ascii="FrankRuehl" w:hAnsi="FrankRuehl" w:cs="FrankRuehl"/>
          <w:sz w:val="28"/>
          <w:szCs w:val="28"/>
          <w:rtl/>
        </w:rPr>
        <w:t xml:space="preserve"> </w:t>
      </w:r>
      <w:r>
        <w:rPr>
          <w:rFonts w:ascii="FrankRuehl" w:hAnsi="FrankRuehl" w:cs="FrankRuehl"/>
          <w:b/>
          <w:bCs/>
          <w:sz w:val="28"/>
          <w:szCs w:val="28"/>
          <w:u w:val="single"/>
          <w:rtl/>
        </w:rPr>
        <w:t>רנד</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22.8.2019) אושר מתחם שבין 6 ל-18 חודשי מאסר ועונש של 6 חודשי מאסר בעבודות שירות, במקרה שבו סחר נאשם פעמיים ב"קריסטל" ונמצאו אצלו סמים מסוג קוקאין והרואין. גם ממקרה זה ניתן לגזור לקולא. ב</w:t>
      </w:r>
      <w:hyperlink r:id="rId28" w:history="1">
        <w:r w:rsidR="00964C89" w:rsidRPr="00964C89">
          <w:rPr>
            <w:rFonts w:ascii="FrankRuehl" w:hAnsi="FrankRuehl" w:cs="FrankRuehl"/>
            <w:color w:val="0000FF"/>
            <w:sz w:val="28"/>
            <w:szCs w:val="28"/>
            <w:u w:val="single"/>
            <w:rtl/>
          </w:rPr>
          <w:t>רע"פ 5478/19</w:t>
        </w:r>
      </w:hyperlink>
      <w:r>
        <w:rPr>
          <w:rFonts w:ascii="FrankRuehl" w:hAnsi="FrankRuehl" w:cs="FrankRuehl"/>
          <w:sz w:val="28"/>
          <w:szCs w:val="28"/>
          <w:rtl/>
        </w:rPr>
        <w:t xml:space="preserve"> </w:t>
      </w:r>
      <w:r>
        <w:rPr>
          <w:rFonts w:ascii="FrankRuehl" w:hAnsi="FrankRuehl" w:cs="FrankRuehl"/>
          <w:b/>
          <w:bCs/>
          <w:sz w:val="28"/>
          <w:szCs w:val="28"/>
          <w:u w:val="single"/>
          <w:rtl/>
        </w:rPr>
        <w:t>לוין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25.8.2019) אושר עונש של 200 שעות של"ץ ומאסר על-תנאי בנסיבות חמורות יותר ממקרנו, של ריבוי מקרי סחר בטלגראס, לרבות סחר עם קטינים. נקבע כי באותן נסיבות לא ניתן היה להימנע מהרשעה. ב</w:t>
      </w:r>
      <w:hyperlink r:id="rId29" w:history="1">
        <w:r w:rsidR="00964C89" w:rsidRPr="00964C89">
          <w:rPr>
            <w:rFonts w:ascii="FrankRuehl" w:hAnsi="FrankRuehl" w:cs="FrankRuehl"/>
            <w:color w:val="0000FF"/>
            <w:sz w:val="28"/>
            <w:szCs w:val="28"/>
            <w:u w:val="single"/>
            <w:rtl/>
          </w:rPr>
          <w:t>ת"פ 24627-10-16</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דיוויס</w:t>
      </w:r>
      <w:r>
        <w:rPr>
          <w:rFonts w:ascii="FrankRuehl" w:hAnsi="FrankRuehl" w:cs="FrankRuehl"/>
          <w:sz w:val="28"/>
          <w:szCs w:val="28"/>
          <w:rtl/>
        </w:rPr>
        <w:t xml:space="preserve"> (מיום 17.7.2017) קבעתי מתחם שבין מאסר מותנה ל-12 חודשי מאסר במקרה של ריבוי מקרי סחר עם קרוב משפחה, והטלתי על נאשם 300 שעות של"ץ וענישה נלווית. ב</w:t>
      </w:r>
      <w:hyperlink r:id="rId30" w:history="1">
        <w:r w:rsidR="00964C89" w:rsidRPr="00964C89">
          <w:rPr>
            <w:rFonts w:ascii="FrankRuehl" w:hAnsi="FrankRuehl" w:cs="FrankRuehl"/>
            <w:color w:val="0000FF"/>
            <w:sz w:val="28"/>
            <w:szCs w:val="28"/>
            <w:u w:val="single"/>
            <w:rtl/>
          </w:rPr>
          <w:t>ת"פ 11314-11-16</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לוי</w:t>
      </w:r>
      <w:r>
        <w:rPr>
          <w:rFonts w:ascii="FrankRuehl" w:hAnsi="FrankRuehl" w:cs="FrankRuehl"/>
          <w:sz w:val="28"/>
          <w:szCs w:val="28"/>
          <w:rtl/>
        </w:rPr>
        <w:t xml:space="preserve"> (מיום 14.1.2018) קבעתי מתחם שבין חודשיים ל-12 חודשי מאסר והטלתי עונש של של"ץ בשל חריגה מטעמי שיקום בנסיבות חמורות יותר של 7 אישומי סחר בקנביס בכמויות גדולות יותר ממקרנו.</w:t>
      </w:r>
    </w:p>
    <w:p w14:paraId="55DD9F85" w14:textId="77777777" w:rsidR="00BE0B1A" w:rsidRDefault="00BE0B1A" w:rsidP="00BE0B1A">
      <w:pPr>
        <w:spacing w:line="360" w:lineRule="auto"/>
        <w:jc w:val="both"/>
        <w:rPr>
          <w:rFonts w:ascii="FrankRuehl" w:hAnsi="FrankRuehl" w:cs="FrankRuehl"/>
          <w:b/>
          <w:bCs/>
          <w:sz w:val="28"/>
          <w:szCs w:val="28"/>
          <w:rtl/>
        </w:rPr>
      </w:pPr>
    </w:p>
    <w:p w14:paraId="323D8BAE" w14:textId="77777777" w:rsidR="00BE0B1A" w:rsidRDefault="00BE0B1A" w:rsidP="00BE0B1A">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לפיכך, מתחם הענישה צריך לנוע בין של"ץ נרחב או חודש מאסר, ועד 9 חודשי מאסר שיכול וירוצו בעבודות שירות וענישה נלווית. </w:t>
      </w:r>
    </w:p>
    <w:p w14:paraId="7E246E4B" w14:textId="77777777" w:rsidR="00BE0B1A" w:rsidRDefault="00BE0B1A" w:rsidP="00BE0B1A">
      <w:pPr>
        <w:spacing w:line="360" w:lineRule="auto"/>
        <w:jc w:val="both"/>
        <w:rPr>
          <w:rFonts w:cs="FrankRuehl"/>
          <w:b/>
          <w:bCs/>
          <w:sz w:val="28"/>
          <w:szCs w:val="28"/>
          <w:u w:val="single"/>
          <w:rtl/>
        </w:rPr>
      </w:pPr>
    </w:p>
    <w:p w14:paraId="56A83C83" w14:textId="77777777" w:rsidR="00BE0B1A" w:rsidRDefault="00BE0B1A" w:rsidP="00BE0B1A">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1" w:history="1">
        <w:r w:rsidR="00F3326C" w:rsidRPr="00F3326C">
          <w:rPr>
            <w:rStyle w:val="Hyperlink"/>
            <w:rFonts w:cs="FrankRuehl"/>
            <w:b/>
            <w:bCs/>
            <w:sz w:val="28"/>
            <w:szCs w:val="28"/>
            <w:rtl/>
          </w:rPr>
          <w:t>סעיף 40י"א</w:t>
        </w:r>
      </w:hyperlink>
      <w:r>
        <w:rPr>
          <w:rFonts w:cs="FrankRuehl"/>
          <w:b/>
          <w:bCs/>
          <w:sz w:val="28"/>
          <w:szCs w:val="28"/>
          <w:u w:val="single"/>
          <w:rtl/>
        </w:rPr>
        <w:t xml:space="preserve"> ל</w:t>
      </w:r>
      <w:hyperlink r:id="rId32" w:history="1">
        <w:r w:rsidR="00964C89" w:rsidRPr="00964C89">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כאמור הנאשם שהה תקופה ממושכת במעצר בית, ללא כל הפרה מצידו למעט תיק הצריכה העצמית; שירות המבחן התרשם כי הנאשם עלה על דרך חדשה, מתמיד בטיפול במסגרתו, נמנע משימוש בסמים, השתלב במעגל התעסוקתי ויש לזקוף זאת לזכותו. הנאשם ביצע את העבירות המיוחסות לו בגיל 19, והתרשמתי כי כיום הוא בוגר יותר, מקבל אחריות על מעשיו, מביע חרטה כנה, מביע חשש מתוצאות ההליך הפלילי ואני סבור כי שליחתו למאסר  ולו בעבודות שירות, יפגע בסיכויי השיקום.</w:t>
      </w:r>
    </w:p>
    <w:p w14:paraId="0F2664CE" w14:textId="77777777" w:rsidR="00BE0B1A" w:rsidRDefault="00BE0B1A" w:rsidP="00BE0B1A">
      <w:pPr>
        <w:spacing w:line="360" w:lineRule="auto"/>
        <w:jc w:val="both"/>
        <w:rPr>
          <w:rFonts w:cs="FrankRuehl"/>
          <w:sz w:val="28"/>
          <w:szCs w:val="28"/>
          <w:rtl/>
        </w:rPr>
      </w:pPr>
    </w:p>
    <w:p w14:paraId="4EF5E5F0" w14:textId="77777777" w:rsidR="00BE0B1A" w:rsidRDefault="00BE0B1A" w:rsidP="00BE0B1A">
      <w:pPr>
        <w:spacing w:line="360" w:lineRule="auto"/>
        <w:jc w:val="both"/>
        <w:rPr>
          <w:rFonts w:cs="FrankRuehl"/>
          <w:sz w:val="28"/>
          <w:szCs w:val="28"/>
          <w:rtl/>
        </w:rPr>
      </w:pPr>
      <w:r>
        <w:rPr>
          <w:rFonts w:cs="FrankRuehl"/>
          <w:b/>
          <w:bCs/>
          <w:sz w:val="28"/>
          <w:szCs w:val="28"/>
          <w:u w:val="single"/>
          <w:rtl/>
        </w:rPr>
        <w:t>אי הרשעה</w:t>
      </w:r>
      <w:r>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33" w:history="1">
        <w:r w:rsidR="00964C89" w:rsidRPr="00964C89">
          <w:rPr>
            <w:rFonts w:cs="FrankRuehl"/>
            <w:color w:val="0000FF"/>
            <w:sz w:val="28"/>
            <w:szCs w:val="28"/>
            <w:u w:val="single"/>
            <w:rtl/>
          </w:rPr>
          <w:t>ע"פ 2083/96</w:t>
        </w:r>
      </w:hyperlink>
      <w:r>
        <w:rPr>
          <w:rFonts w:cs="FrankRuehl"/>
          <w:sz w:val="28"/>
          <w:szCs w:val="28"/>
          <w:rtl/>
        </w:rPr>
        <w:t xml:space="preserve"> </w:t>
      </w:r>
      <w:r>
        <w:rPr>
          <w:rFonts w:cs="FrankRuehl"/>
          <w:b/>
          <w:bCs/>
          <w:sz w:val="28"/>
          <w:szCs w:val="28"/>
          <w:u w:val="single"/>
          <w:rtl/>
        </w:rPr>
        <w:t>כתב</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34" w:history="1">
        <w:r w:rsidR="00964C89" w:rsidRPr="00964C89">
          <w:rPr>
            <w:rFonts w:cs="FrankRuehl"/>
            <w:color w:val="0000FF"/>
            <w:sz w:val="28"/>
            <w:szCs w:val="28"/>
            <w:u w:val="single"/>
            <w:rtl/>
          </w:rPr>
          <w:t>ע"פ 5985/13</w:t>
        </w:r>
      </w:hyperlink>
      <w:r>
        <w:rPr>
          <w:rFonts w:cs="FrankRuehl"/>
          <w:sz w:val="28"/>
          <w:szCs w:val="28"/>
          <w:rtl/>
        </w:rPr>
        <w:t xml:space="preserve"> </w:t>
      </w:r>
      <w:r>
        <w:rPr>
          <w:rFonts w:cs="FrankRuehl"/>
          <w:b/>
          <w:bCs/>
          <w:sz w:val="28"/>
          <w:szCs w:val="28"/>
          <w:u w:val="single"/>
          <w:rtl/>
        </w:rPr>
        <w:t>אבן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2.4.2014) בפסקאות 6 ו-7. </w:t>
      </w:r>
      <w:r>
        <w:rPr>
          <w:rFonts w:cs="FrankRuehl" w:hint="cs"/>
          <w:sz w:val="28"/>
          <w:szCs w:val="28"/>
          <w:rtl/>
        </w:rPr>
        <w:t xml:space="preserve">גם אם הנאשם עונה על התנאי הראשון, נוכח פסיקה בתחום שהוצגה, הרי שלא הוכח נזק קונקרטי כנדרש ע"פ התנאי השני. </w:t>
      </w:r>
    </w:p>
    <w:p w14:paraId="4A82FD61" w14:textId="77777777" w:rsidR="00BE0B1A" w:rsidRDefault="00BE0B1A" w:rsidP="00BE0B1A">
      <w:pPr>
        <w:rPr>
          <w:rFonts w:cs="FrankRuehl"/>
          <w:sz w:val="28"/>
          <w:szCs w:val="28"/>
          <w:rtl/>
        </w:rPr>
      </w:pPr>
    </w:p>
    <w:p w14:paraId="1E3F603C" w14:textId="77777777" w:rsidR="00BE0B1A" w:rsidRDefault="00BE0B1A" w:rsidP="00BE0B1A">
      <w:pPr>
        <w:spacing w:line="360" w:lineRule="auto"/>
        <w:jc w:val="both"/>
        <w:rPr>
          <w:rFonts w:cs="FrankRuehl"/>
          <w:sz w:val="28"/>
          <w:szCs w:val="28"/>
          <w:rtl/>
        </w:rPr>
      </w:pPr>
    </w:p>
    <w:p w14:paraId="005BAA27" w14:textId="77777777" w:rsidR="00BE0B1A" w:rsidRDefault="00BE0B1A" w:rsidP="00BE0B1A">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לפיכך, יש למקם את הנאשם בחלקו התחתון של מתחם הענישה שקבעתי.</w:t>
      </w:r>
    </w:p>
    <w:p w14:paraId="579B512A" w14:textId="77777777" w:rsidR="00BE0B1A" w:rsidRDefault="00BE0B1A" w:rsidP="00BE0B1A">
      <w:pPr>
        <w:spacing w:line="360" w:lineRule="auto"/>
        <w:jc w:val="both"/>
        <w:rPr>
          <w:rFonts w:cs="FrankRuehl"/>
          <w:b/>
          <w:bCs/>
          <w:sz w:val="28"/>
          <w:szCs w:val="28"/>
          <w:u w:val="single"/>
          <w:rtl/>
        </w:rPr>
      </w:pPr>
    </w:p>
    <w:p w14:paraId="7C859E88" w14:textId="77777777" w:rsidR="00BE0B1A" w:rsidRDefault="00BE0B1A" w:rsidP="00BE0B1A">
      <w:pPr>
        <w:spacing w:line="360" w:lineRule="auto"/>
        <w:jc w:val="both"/>
        <w:rPr>
          <w:rFonts w:cs="FrankRuehl"/>
          <w:b/>
          <w:bCs/>
          <w:sz w:val="28"/>
          <w:szCs w:val="28"/>
          <w:u w:val="single"/>
          <w:rtl/>
        </w:rPr>
      </w:pPr>
      <w:r>
        <w:rPr>
          <w:rFonts w:cs="FrankRuehl"/>
          <w:b/>
          <w:bCs/>
          <w:sz w:val="28"/>
          <w:szCs w:val="28"/>
          <w:u w:val="single"/>
          <w:rtl/>
        </w:rPr>
        <w:t>גזירת הדין</w:t>
      </w:r>
    </w:p>
    <w:p w14:paraId="2D1FD3AC" w14:textId="77777777" w:rsidR="00BE0B1A" w:rsidRDefault="00BE0B1A" w:rsidP="00BE0B1A">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39084886" w14:textId="77777777" w:rsidR="00BE0B1A" w:rsidRDefault="00BE0B1A" w:rsidP="00BE0B1A">
      <w:pPr>
        <w:numPr>
          <w:ilvl w:val="0"/>
          <w:numId w:val="1"/>
        </w:numPr>
        <w:spacing w:after="160" w:line="360" w:lineRule="auto"/>
        <w:contextualSpacing/>
        <w:jc w:val="both"/>
        <w:rPr>
          <w:rFonts w:cs="FrankRuehl"/>
          <w:sz w:val="28"/>
          <w:szCs w:val="28"/>
          <w:rtl/>
        </w:rPr>
      </w:pPr>
      <w:r>
        <w:rPr>
          <w:rFonts w:cs="FrankRuehl" w:hint="cs"/>
          <w:sz w:val="28"/>
          <w:szCs w:val="28"/>
          <w:rtl/>
        </w:rPr>
        <w:t xml:space="preserve">250 </w:t>
      </w:r>
      <w:r>
        <w:rPr>
          <w:rFonts w:cs="FrankRuehl"/>
          <w:sz w:val="28"/>
          <w:szCs w:val="28"/>
          <w:rtl/>
        </w:rPr>
        <w:t xml:space="preserve">שעות שירות לתועלת הציבור (של"ץ), אשר ירוצו </w:t>
      </w:r>
      <w:r>
        <w:rPr>
          <w:rFonts w:cs="FrankRuehl" w:hint="cs"/>
          <w:sz w:val="28"/>
          <w:szCs w:val="28"/>
          <w:rtl/>
        </w:rPr>
        <w:t xml:space="preserve">החל מיום 1.11.2021 ב"יד שרה" בירושלים </w:t>
      </w:r>
      <w:r>
        <w:rPr>
          <w:rFonts w:cs="FrankRuehl"/>
          <w:sz w:val="28"/>
          <w:szCs w:val="28"/>
          <w:rtl/>
        </w:rPr>
        <w:t>על-פי התוכנית שהכין שירות המבחן ובפיקוחו. הנאשם הוזהר כי אי-קיום צו השל"ץ באופן משביע רצון עלול להביא להפקעת הצו ולדיון מחודש בשאלת גזר הדין הראוי לרבות הטלת מאסר בפועל;</w:t>
      </w:r>
    </w:p>
    <w:p w14:paraId="0DD30AC2" w14:textId="77777777" w:rsidR="00BE0B1A" w:rsidRDefault="00BE0B1A" w:rsidP="00BE0B1A">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בתוך שנתיים מהיום;</w:t>
      </w:r>
    </w:p>
    <w:p w14:paraId="7450724A" w14:textId="77777777" w:rsidR="00BE0B1A" w:rsidRDefault="00BE0B1A" w:rsidP="00BE0B1A">
      <w:pPr>
        <w:numPr>
          <w:ilvl w:val="0"/>
          <w:numId w:val="1"/>
        </w:numPr>
        <w:spacing w:after="160" w:line="360" w:lineRule="auto"/>
        <w:contextualSpacing/>
        <w:jc w:val="both"/>
        <w:rPr>
          <w:rFonts w:cs="FrankRuehl"/>
          <w:sz w:val="28"/>
          <w:szCs w:val="28"/>
        </w:rPr>
      </w:pPr>
      <w:r>
        <w:rPr>
          <w:rFonts w:cs="FrankRuehl" w:hint="cs"/>
          <w:sz w:val="28"/>
          <w:szCs w:val="28"/>
          <w:rtl/>
        </w:rPr>
        <w:t>6 חודשי  מאסר שלא ירוצו אלא אם יעבור הנאשם כל עבירת פשע לפי פקודת הסמים בתוך שנתיים מהיום;</w:t>
      </w:r>
      <w:r>
        <w:rPr>
          <w:rFonts w:cs="FrankRuehl"/>
          <w:sz w:val="28"/>
          <w:szCs w:val="28"/>
          <w:rtl/>
        </w:rPr>
        <w:t xml:space="preserve"> </w:t>
      </w:r>
    </w:p>
    <w:p w14:paraId="4D3D7B77" w14:textId="77777777" w:rsidR="00BE0B1A" w:rsidRDefault="00BE0B1A" w:rsidP="00BE0B1A">
      <w:pPr>
        <w:numPr>
          <w:ilvl w:val="0"/>
          <w:numId w:val="1"/>
        </w:numPr>
        <w:spacing w:after="160" w:line="360" w:lineRule="auto"/>
        <w:contextualSpacing/>
        <w:jc w:val="both"/>
        <w:rPr>
          <w:rFonts w:cs="FrankRuehl"/>
          <w:sz w:val="28"/>
          <w:szCs w:val="28"/>
        </w:rPr>
      </w:pPr>
      <w:r>
        <w:rPr>
          <w:rFonts w:cs="FrankRuehl" w:hint="cs"/>
          <w:sz w:val="28"/>
          <w:szCs w:val="28"/>
          <w:rtl/>
        </w:rPr>
        <w:t>פסילה מלקבל או מלהחזיק רישיון נהיגה וזאת למשך 12 חודשים, על-תנאי למשך שלוש שנים מהיום, בכל עבירה לפי פקודת הסמים;</w:t>
      </w:r>
    </w:p>
    <w:p w14:paraId="4AB6645D" w14:textId="77777777" w:rsidR="00BE0B1A" w:rsidRDefault="00BE0B1A" w:rsidP="00BE0B1A">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3,000</w:t>
      </w:r>
      <w:r>
        <w:rPr>
          <w:rFonts w:cs="FrankRuehl"/>
          <w:sz w:val="28"/>
          <w:szCs w:val="28"/>
          <w:rtl/>
        </w:rPr>
        <w:t xml:space="preserve">  ₪, או  </w:t>
      </w:r>
      <w:r>
        <w:rPr>
          <w:rFonts w:cs="FrankRuehl" w:hint="cs"/>
          <w:sz w:val="28"/>
          <w:szCs w:val="28"/>
          <w:rtl/>
        </w:rPr>
        <w:t xml:space="preserve">10 </w:t>
      </w:r>
      <w:r>
        <w:rPr>
          <w:rFonts w:cs="FrankRuehl"/>
          <w:sz w:val="28"/>
          <w:szCs w:val="28"/>
          <w:rtl/>
        </w:rPr>
        <w:t xml:space="preserve">ימי מאסר תמורתו אם לא ישולם. הקנס ישולם </w:t>
      </w:r>
      <w:r>
        <w:rPr>
          <w:rFonts w:cs="FrankRuehl" w:hint="cs"/>
          <w:sz w:val="28"/>
          <w:szCs w:val="28"/>
          <w:rtl/>
        </w:rPr>
        <w:t xml:space="preserve">ב-5 תשלומים שווים ורצופים החל מיום 1.11.2021 ובכל 1 לחודש רציף ועוקב. </w:t>
      </w:r>
      <w:r>
        <w:rPr>
          <w:rFonts w:cs="FrankRuehl"/>
          <w:sz w:val="28"/>
          <w:szCs w:val="28"/>
          <w:rtl/>
        </w:rPr>
        <w:t>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52351F59" w14:textId="77777777" w:rsidR="00BE0B1A" w:rsidRDefault="00BE0B1A" w:rsidP="00BE0B1A">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12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5B0071D2" w14:textId="77777777" w:rsidR="00BE0B1A" w:rsidRDefault="00BE0B1A" w:rsidP="00BE0B1A">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עבירה  </w:t>
      </w:r>
      <w:r>
        <w:rPr>
          <w:rFonts w:cs="FrankRuehl" w:hint="cs"/>
          <w:sz w:val="28"/>
          <w:szCs w:val="28"/>
          <w:rtl/>
        </w:rPr>
        <w:t>לפי פקודת הסמים</w:t>
      </w:r>
      <w:r>
        <w:rPr>
          <w:rFonts w:cs="FrankRuehl"/>
          <w:sz w:val="28"/>
          <w:szCs w:val="28"/>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3B1B72FC" w14:textId="77777777" w:rsidR="00BE0B1A" w:rsidRDefault="00BE0B1A" w:rsidP="00BE0B1A">
      <w:pPr>
        <w:spacing w:line="360" w:lineRule="auto"/>
        <w:rPr>
          <w:rFonts w:ascii="FrankRuehl" w:hAnsi="FrankRuehl" w:cs="FrankRuehl"/>
          <w:sz w:val="28"/>
          <w:szCs w:val="28"/>
        </w:rPr>
      </w:pPr>
    </w:p>
    <w:p w14:paraId="27170464" w14:textId="77777777" w:rsidR="00BE0B1A" w:rsidRDefault="00BE0B1A" w:rsidP="00BE0B1A">
      <w:pPr>
        <w:spacing w:line="360" w:lineRule="auto"/>
        <w:rPr>
          <w:rFonts w:ascii="FrankRuehl" w:hAnsi="FrankRuehl" w:cs="FrankRuehl"/>
          <w:sz w:val="28"/>
          <w:szCs w:val="28"/>
        </w:rPr>
      </w:pPr>
      <w:r>
        <w:rPr>
          <w:rFonts w:ascii="FrankRuehl" w:hAnsi="FrankRuehl" w:cs="FrankRuehl"/>
          <w:sz w:val="28"/>
          <w:szCs w:val="28"/>
          <w:rtl/>
        </w:rPr>
        <w:t>מורה על השמדת הסמים.</w:t>
      </w:r>
    </w:p>
    <w:p w14:paraId="391037CF" w14:textId="77777777" w:rsidR="00BE0B1A" w:rsidRDefault="00BE0B1A" w:rsidP="00BE0B1A">
      <w:pPr>
        <w:spacing w:line="360" w:lineRule="auto"/>
        <w:rPr>
          <w:rFonts w:ascii="FrankRuehl" w:hAnsi="FrankRuehl" w:cs="FrankRuehl"/>
          <w:sz w:val="28"/>
          <w:szCs w:val="28"/>
          <w:rtl/>
        </w:rPr>
      </w:pPr>
      <w:r>
        <w:rPr>
          <w:rFonts w:ascii="FrankRuehl" w:hAnsi="FrankRuehl" w:cs="FrankRuehl"/>
          <w:sz w:val="28"/>
          <w:szCs w:val="28"/>
          <w:rtl/>
        </w:rPr>
        <w:t>יש לשלוח לשירות המבחן.</w:t>
      </w:r>
    </w:p>
    <w:p w14:paraId="3E39E4FA" w14:textId="77777777" w:rsidR="00BE0B1A" w:rsidRPr="00964C89" w:rsidRDefault="00964C89" w:rsidP="00BE0B1A">
      <w:pPr>
        <w:rPr>
          <w:rFonts w:ascii="FrankRuehl" w:hAnsi="FrankRuehl" w:cs="FrankRuehl"/>
          <w:color w:val="FFFFFF"/>
          <w:sz w:val="2"/>
          <w:szCs w:val="2"/>
        </w:rPr>
      </w:pPr>
      <w:r w:rsidRPr="00964C89">
        <w:rPr>
          <w:rFonts w:ascii="FrankRuehl" w:hAnsi="FrankRuehl" w:cs="FrankRuehl"/>
          <w:color w:val="FFFFFF"/>
          <w:sz w:val="2"/>
          <w:szCs w:val="2"/>
          <w:rtl/>
        </w:rPr>
        <w:t>5129371</w:t>
      </w:r>
    </w:p>
    <w:p w14:paraId="4E12306C" w14:textId="77777777" w:rsidR="00BE0B1A" w:rsidRDefault="00964C89" w:rsidP="00BE0B1A">
      <w:pPr>
        <w:rPr>
          <w:rtl/>
        </w:rPr>
      </w:pPr>
      <w:r w:rsidRPr="00964C89">
        <w:rPr>
          <w:rFonts w:ascii="FrankRuehl" w:hAnsi="FrankRuehl" w:cs="FrankRuehl"/>
          <w:color w:val="FFFFFF"/>
          <w:sz w:val="2"/>
          <w:szCs w:val="2"/>
          <w:rtl/>
        </w:rPr>
        <w:t>54678313</w:t>
      </w:r>
      <w:r w:rsidR="00BE0B1A">
        <w:rPr>
          <w:rFonts w:ascii="FrankRuehl" w:hAnsi="FrankRuehl" w:cs="FrankRuehl"/>
          <w:sz w:val="28"/>
          <w:szCs w:val="28"/>
          <w:rtl/>
        </w:rPr>
        <w:t>זכות ערעור כחוק לבית המשפט המחוזי בירושלים בתוך 45 יום מהיום.</w:t>
      </w:r>
    </w:p>
    <w:p w14:paraId="2AD884C4" w14:textId="77777777" w:rsidR="00BE0B1A" w:rsidRPr="002B7D23" w:rsidRDefault="00BE0B1A" w:rsidP="00BE0B1A">
      <w:pPr>
        <w:rPr>
          <w:rFonts w:ascii="David" w:hAnsi="David"/>
          <w:sz w:val="26"/>
          <w:szCs w:val="26"/>
          <w:rtl/>
        </w:rPr>
      </w:pPr>
    </w:p>
    <w:p w14:paraId="4F6A0B66" w14:textId="77777777" w:rsidR="00BE0B1A" w:rsidRPr="002B7D23" w:rsidRDefault="00964C89" w:rsidP="00BE0B1A">
      <w:pPr>
        <w:rPr>
          <w:rFonts w:ascii="David" w:hAnsi="David"/>
          <w:sz w:val="26"/>
          <w:szCs w:val="26"/>
          <w:rtl/>
        </w:rPr>
      </w:pPr>
      <w:bookmarkStart w:id="8" w:name="Nitan"/>
      <w:r>
        <w:rPr>
          <w:rFonts w:ascii="David" w:hAnsi="David"/>
          <w:sz w:val="26"/>
          <w:szCs w:val="26"/>
          <w:rtl/>
        </w:rPr>
        <w:t xml:space="preserve">ניתן היום,  ג' תשרי תשפ"ב, 09 ספטמבר 2021, במעמד הצדדים. </w:t>
      </w:r>
      <w:bookmarkEnd w:id="8"/>
    </w:p>
    <w:p w14:paraId="32442ABD" w14:textId="77777777" w:rsidR="00964C89" w:rsidRDefault="00964C89" w:rsidP="00964C89">
      <w:pPr>
        <w:rPr>
          <w:rtl/>
        </w:rPr>
      </w:pPr>
    </w:p>
    <w:p w14:paraId="7C285099" w14:textId="77777777" w:rsidR="00964C89" w:rsidRDefault="00964C89" w:rsidP="00964C8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1A909C6" w14:textId="77777777" w:rsidR="00F3326C" w:rsidRPr="00F3326C" w:rsidRDefault="00F3326C" w:rsidP="00F3326C">
      <w:pPr>
        <w:keepNext/>
        <w:rPr>
          <w:rFonts w:ascii="David" w:hAnsi="David"/>
          <w:color w:val="000000"/>
          <w:sz w:val="22"/>
          <w:szCs w:val="22"/>
          <w:rtl/>
        </w:rPr>
      </w:pPr>
    </w:p>
    <w:p w14:paraId="3CE8C513" w14:textId="77777777" w:rsidR="00F3326C" w:rsidRPr="00F3326C" w:rsidRDefault="00F3326C" w:rsidP="00F3326C">
      <w:pPr>
        <w:keepNext/>
        <w:rPr>
          <w:rFonts w:ascii="David" w:hAnsi="David"/>
          <w:color w:val="000000"/>
          <w:sz w:val="22"/>
          <w:szCs w:val="22"/>
          <w:rtl/>
        </w:rPr>
      </w:pPr>
      <w:r w:rsidRPr="00F3326C">
        <w:rPr>
          <w:rFonts w:ascii="David" w:hAnsi="David"/>
          <w:color w:val="000000"/>
          <w:sz w:val="22"/>
          <w:szCs w:val="22"/>
          <w:rtl/>
        </w:rPr>
        <w:t>דוד שאול גבאי ריכטר 54678313-/</w:t>
      </w:r>
    </w:p>
    <w:p w14:paraId="48DD4311" w14:textId="77777777" w:rsidR="00964C89" w:rsidRPr="00964C89" w:rsidRDefault="00F3326C" w:rsidP="00F3326C">
      <w:pPr>
        <w:rPr>
          <w:color w:val="0000FF"/>
          <w:u w:val="single"/>
        </w:rPr>
      </w:pPr>
      <w:r w:rsidRPr="00F3326C">
        <w:rPr>
          <w:color w:val="000000"/>
          <w:u w:val="single"/>
          <w:rtl/>
        </w:rPr>
        <w:t>נוסח מסמך זה כפוף לשינויי ניסוח ועריכה</w:t>
      </w:r>
    </w:p>
    <w:sectPr w:rsidR="00964C89" w:rsidRPr="00964C89" w:rsidSect="00F3326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44469" w14:textId="77777777" w:rsidR="00C54670" w:rsidRDefault="00C54670" w:rsidP="004E573B">
      <w:r>
        <w:separator/>
      </w:r>
    </w:p>
  </w:endnote>
  <w:endnote w:type="continuationSeparator" w:id="0">
    <w:p w14:paraId="26249ABD" w14:textId="77777777" w:rsidR="00C54670" w:rsidRDefault="00C54670" w:rsidP="004E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B96E" w14:textId="77777777" w:rsidR="00F3326C" w:rsidRDefault="00F3326C" w:rsidP="00F332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3164AA" w14:textId="77777777" w:rsidR="00677ECD" w:rsidRPr="00F3326C" w:rsidRDefault="00F3326C" w:rsidP="00F3326C">
    <w:pPr>
      <w:pStyle w:val="a5"/>
      <w:pBdr>
        <w:top w:val="single" w:sz="4" w:space="1" w:color="auto"/>
        <w:between w:val="single" w:sz="4" w:space="0" w:color="auto"/>
      </w:pBdr>
      <w:spacing w:after="60"/>
      <w:jc w:val="center"/>
      <w:rPr>
        <w:rFonts w:ascii="FrankRuehl" w:hAnsi="FrankRuehl" w:cs="FrankRuehl"/>
        <w:color w:val="000000"/>
      </w:rPr>
    </w:pPr>
    <w:r w:rsidRPr="00F332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6567C" w14:textId="77777777" w:rsidR="00F3326C" w:rsidRDefault="00F3326C" w:rsidP="00F332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56A8">
      <w:rPr>
        <w:rFonts w:ascii="FrankRuehl" w:hAnsi="FrankRuehl" w:cs="FrankRuehl"/>
        <w:noProof/>
        <w:rtl/>
      </w:rPr>
      <w:t>1</w:t>
    </w:r>
    <w:r>
      <w:rPr>
        <w:rFonts w:ascii="FrankRuehl" w:hAnsi="FrankRuehl" w:cs="FrankRuehl"/>
        <w:rtl/>
      </w:rPr>
      <w:fldChar w:fldCharType="end"/>
    </w:r>
  </w:p>
  <w:p w14:paraId="4AD0A265" w14:textId="77777777" w:rsidR="00677ECD" w:rsidRPr="00F3326C" w:rsidRDefault="00F3326C" w:rsidP="00F3326C">
    <w:pPr>
      <w:pStyle w:val="a5"/>
      <w:pBdr>
        <w:top w:val="single" w:sz="4" w:space="1" w:color="auto"/>
        <w:between w:val="single" w:sz="4" w:space="0" w:color="auto"/>
      </w:pBdr>
      <w:spacing w:after="60"/>
      <w:jc w:val="center"/>
      <w:rPr>
        <w:rFonts w:ascii="FrankRuehl" w:hAnsi="FrankRuehl" w:cs="FrankRuehl"/>
        <w:color w:val="000000"/>
      </w:rPr>
    </w:pPr>
    <w:r w:rsidRPr="00F3326C">
      <w:rPr>
        <w:rFonts w:ascii="FrankRuehl" w:hAnsi="FrankRuehl" w:cs="FrankRuehl"/>
        <w:color w:val="000000"/>
      </w:rPr>
      <w:pict w14:anchorId="28AF1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A4A0A" w14:textId="77777777" w:rsidR="00C54670" w:rsidRDefault="00C54670" w:rsidP="004E573B">
      <w:r>
        <w:separator/>
      </w:r>
    </w:p>
  </w:footnote>
  <w:footnote w:type="continuationSeparator" w:id="0">
    <w:p w14:paraId="0E527C7F" w14:textId="77777777" w:rsidR="00C54670" w:rsidRDefault="00C54670" w:rsidP="004E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4CB5" w14:textId="77777777" w:rsidR="00964C89" w:rsidRPr="00F3326C" w:rsidRDefault="00F3326C" w:rsidP="00F332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11145-05-20</w:t>
    </w:r>
    <w:r>
      <w:rPr>
        <w:rFonts w:ascii="David" w:hAnsi="David"/>
        <w:color w:val="000000"/>
        <w:sz w:val="22"/>
        <w:szCs w:val="22"/>
        <w:rtl/>
      </w:rPr>
      <w:tab/>
      <w:t xml:space="preserve"> מדינת ישראל נ' חיים יוסף פרוכטר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77BF" w14:textId="77777777" w:rsidR="00964C89" w:rsidRPr="00F3326C" w:rsidRDefault="00F3326C" w:rsidP="00F332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11145-05-20</w:t>
    </w:r>
    <w:r>
      <w:rPr>
        <w:rFonts w:ascii="David" w:hAnsi="David"/>
        <w:color w:val="000000"/>
        <w:sz w:val="22"/>
        <w:szCs w:val="22"/>
        <w:rtl/>
      </w:rPr>
      <w:tab/>
      <w:t xml:space="preserve"> מדינת ישראל נ' חיים יוסף פרוכטר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28457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0B1A"/>
    <w:rsid w:val="001B5A3B"/>
    <w:rsid w:val="002F1457"/>
    <w:rsid w:val="004356A8"/>
    <w:rsid w:val="004E573B"/>
    <w:rsid w:val="00677ECD"/>
    <w:rsid w:val="00773EFB"/>
    <w:rsid w:val="007A0904"/>
    <w:rsid w:val="008F6365"/>
    <w:rsid w:val="0095171E"/>
    <w:rsid w:val="00964C89"/>
    <w:rsid w:val="009E103D"/>
    <w:rsid w:val="00B56677"/>
    <w:rsid w:val="00BE0B1A"/>
    <w:rsid w:val="00C54670"/>
    <w:rsid w:val="00DB08C9"/>
    <w:rsid w:val="00F332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E02041"/>
  <w15:chartTrackingRefBased/>
  <w15:docId w15:val="{3B5704CE-BC54-4B60-A4C6-7EE58E26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0B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0B1A"/>
    <w:pPr>
      <w:tabs>
        <w:tab w:val="center" w:pos="4153"/>
        <w:tab w:val="right" w:pos="8306"/>
      </w:tabs>
    </w:pPr>
  </w:style>
  <w:style w:type="character" w:customStyle="1" w:styleId="a4">
    <w:name w:val="כותרת עליונה תו"/>
    <w:link w:val="a3"/>
    <w:rsid w:val="00BE0B1A"/>
    <w:rPr>
      <w:rFonts w:ascii="Times New Roman" w:eastAsia="Times New Roman" w:hAnsi="Times New Roman" w:cs="David"/>
      <w:sz w:val="24"/>
      <w:szCs w:val="24"/>
    </w:rPr>
  </w:style>
  <w:style w:type="paragraph" w:styleId="a5">
    <w:name w:val="footer"/>
    <w:basedOn w:val="a"/>
    <w:link w:val="a6"/>
    <w:rsid w:val="00BE0B1A"/>
    <w:pPr>
      <w:tabs>
        <w:tab w:val="center" w:pos="4153"/>
        <w:tab w:val="right" w:pos="8306"/>
      </w:tabs>
    </w:pPr>
  </w:style>
  <w:style w:type="character" w:customStyle="1" w:styleId="a6">
    <w:name w:val="כותרת תחתונה תו"/>
    <w:link w:val="a5"/>
    <w:rsid w:val="00BE0B1A"/>
    <w:rPr>
      <w:rFonts w:ascii="Times New Roman" w:eastAsia="Times New Roman" w:hAnsi="Times New Roman" w:cs="David"/>
      <w:sz w:val="24"/>
      <w:szCs w:val="24"/>
    </w:rPr>
  </w:style>
  <w:style w:type="table" w:styleId="a7">
    <w:name w:val="Table Grid"/>
    <w:basedOn w:val="a1"/>
    <w:rsid w:val="00BE0B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0B1A"/>
  </w:style>
  <w:style w:type="character" w:styleId="Hyperlink">
    <w:name w:val="Hyperlink"/>
    <w:rsid w:val="00964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6314376" TargetMode="External"/><Relationship Id="rId39" Type="http://schemas.openxmlformats.org/officeDocument/2006/relationships/footer" Target="footer2.xml"/><Relationship Id="rId21" Type="http://schemas.openxmlformats.org/officeDocument/2006/relationships/hyperlink" Target="http://www.nevo.co.il/law/70301/31" TargetMode="External"/><Relationship Id="rId34" Type="http://schemas.openxmlformats.org/officeDocument/2006/relationships/hyperlink" Target="http://www.nevo.co.il/case/7980179"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case/2156843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5975844"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5977712" TargetMode="External"/><Relationship Id="rId30" Type="http://schemas.openxmlformats.org/officeDocument/2006/relationships/hyperlink" Target="http://www.nevo.co.il/case/2156529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078610" TargetMode="External"/><Relationship Id="rId33" Type="http://schemas.openxmlformats.org/officeDocument/2006/relationships/hyperlink" Target="http://www.nevo.co.il/case/581078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1815</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10872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3604602</vt:i4>
      </vt:variant>
      <vt:variant>
        <vt:i4>81</vt:i4>
      </vt:variant>
      <vt:variant>
        <vt:i4>0</vt:i4>
      </vt:variant>
      <vt:variant>
        <vt:i4>5</vt:i4>
      </vt:variant>
      <vt:variant>
        <vt:lpwstr>http://www.nevo.co.il/case/7980179</vt:lpwstr>
      </vt:variant>
      <vt:variant>
        <vt:lpwstr/>
      </vt:variant>
      <vt:variant>
        <vt:i4>3276916</vt:i4>
      </vt:variant>
      <vt:variant>
        <vt:i4>78</vt:i4>
      </vt:variant>
      <vt:variant>
        <vt:i4>0</vt:i4>
      </vt:variant>
      <vt:variant>
        <vt:i4>5</vt:i4>
      </vt:variant>
      <vt:variant>
        <vt:lpwstr>http://www.nevo.co.il/case/5810781</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3866737</vt:i4>
      </vt:variant>
      <vt:variant>
        <vt:i4>69</vt:i4>
      </vt:variant>
      <vt:variant>
        <vt:i4>0</vt:i4>
      </vt:variant>
      <vt:variant>
        <vt:i4>5</vt:i4>
      </vt:variant>
      <vt:variant>
        <vt:lpwstr>http://www.nevo.co.il/case/21565292</vt:lpwstr>
      </vt:variant>
      <vt:variant>
        <vt:lpwstr/>
      </vt:variant>
      <vt:variant>
        <vt:i4>3932279</vt:i4>
      </vt:variant>
      <vt:variant>
        <vt:i4>66</vt:i4>
      </vt:variant>
      <vt:variant>
        <vt:i4>0</vt:i4>
      </vt:variant>
      <vt:variant>
        <vt:i4>5</vt:i4>
      </vt:variant>
      <vt:variant>
        <vt:lpwstr>http://www.nevo.co.il/case/21568432</vt:lpwstr>
      </vt:variant>
      <vt:variant>
        <vt:lpwstr/>
      </vt:variant>
      <vt:variant>
        <vt:i4>3801214</vt:i4>
      </vt:variant>
      <vt:variant>
        <vt:i4>63</vt:i4>
      </vt:variant>
      <vt:variant>
        <vt:i4>0</vt:i4>
      </vt:variant>
      <vt:variant>
        <vt:i4>5</vt:i4>
      </vt:variant>
      <vt:variant>
        <vt:lpwstr>http://www.nevo.co.il/case/25975844</vt:lpwstr>
      </vt:variant>
      <vt:variant>
        <vt:lpwstr/>
      </vt:variant>
      <vt:variant>
        <vt:i4>3997809</vt:i4>
      </vt:variant>
      <vt:variant>
        <vt:i4>60</vt:i4>
      </vt:variant>
      <vt:variant>
        <vt:i4>0</vt:i4>
      </vt:variant>
      <vt:variant>
        <vt:i4>5</vt:i4>
      </vt:variant>
      <vt:variant>
        <vt:lpwstr>http://www.nevo.co.il/case/25977712</vt:lpwstr>
      </vt:variant>
      <vt:variant>
        <vt:lpwstr/>
      </vt:variant>
      <vt:variant>
        <vt:i4>3276912</vt:i4>
      </vt:variant>
      <vt:variant>
        <vt:i4>57</vt:i4>
      </vt:variant>
      <vt:variant>
        <vt:i4>0</vt:i4>
      </vt:variant>
      <vt:variant>
        <vt:i4>5</vt:i4>
      </vt:variant>
      <vt:variant>
        <vt:lpwstr>http://www.nevo.co.il/case/26314376</vt:lpwstr>
      </vt:variant>
      <vt:variant>
        <vt:lpwstr/>
      </vt:variant>
      <vt:variant>
        <vt:i4>3866738</vt:i4>
      </vt:variant>
      <vt:variant>
        <vt:i4>54</vt:i4>
      </vt:variant>
      <vt:variant>
        <vt:i4>0</vt:i4>
      </vt:variant>
      <vt:variant>
        <vt:i4>5</vt:i4>
      </vt:variant>
      <vt:variant>
        <vt:lpwstr>http://www.nevo.co.il/case/27078610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11145</vt:lpwstr>
  </property>
  <property fmtid="{D5CDD505-2E9C-101B-9397-08002B2CF9AE}" pid="6" name="NEWPARTB">
    <vt:lpwstr>05</vt:lpwstr>
  </property>
  <property fmtid="{D5CDD505-2E9C-101B-9397-08002B2CF9AE}" pid="7" name="NEWPARTC">
    <vt:lpwstr>20</vt:lpwstr>
  </property>
  <property fmtid="{D5CDD505-2E9C-101B-9397-08002B2CF9AE}" pid="8" name="PROCNUM">
    <vt:lpwstr/>
  </property>
  <property fmtid="{D5CDD505-2E9C-101B-9397-08002B2CF9AE}" pid="9" name="PROCYEAR">
    <vt:lpwstr/>
  </property>
  <property fmtid="{D5CDD505-2E9C-101B-9397-08002B2CF9AE}" pid="10" name="APPELLANT">
    <vt:lpwstr>מדינת ישראל</vt:lpwstr>
  </property>
  <property fmtid="{D5CDD505-2E9C-101B-9397-08002B2CF9AE}" pid="11" name="APPELLEE">
    <vt:lpwstr>חיים יוסף פרוכטר</vt:lpwstr>
  </property>
  <property fmtid="{D5CDD505-2E9C-101B-9397-08002B2CF9AE}" pid="12" name="LAWYER">
    <vt:lpwstr>צח דהן;לורה בר אלון</vt:lpwstr>
  </property>
  <property fmtid="{D5CDD505-2E9C-101B-9397-08002B2CF9AE}" pid="13" name="JUDGE">
    <vt:lpwstr>דוד שאול גבאי ריכטר</vt:lpwstr>
  </property>
  <property fmtid="{D5CDD505-2E9C-101B-9397-08002B2CF9AE}" pid="14" name="CITY">
    <vt:lpwstr>י-ם</vt:lpwstr>
  </property>
  <property fmtid="{D5CDD505-2E9C-101B-9397-08002B2CF9AE}" pid="15" name="DATE">
    <vt:lpwstr>20210909</vt:lpwstr>
  </property>
  <property fmtid="{D5CDD505-2E9C-101B-9397-08002B2CF9AE}" pid="16" name="TYPE_N_DATE">
    <vt:lpwstr>38020210909</vt:lpwstr>
  </property>
  <property fmtid="{D5CDD505-2E9C-101B-9397-08002B2CF9AE}" pid="17" name="WORDNUMPAGES">
    <vt:lpwstr>6</vt:lpwstr>
  </property>
  <property fmtid="{D5CDD505-2E9C-101B-9397-08002B2CF9AE}" pid="18" name="TYPE_ABS_DATE">
    <vt:lpwstr>380020210909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23827604;27078610;26314376;25977712;25975844;21568432;21565292;5810781;7980179</vt:lpwstr>
  </property>
  <property fmtid="{D5CDD505-2E9C-101B-9397-08002B2CF9AE}" pid="36" name="LAWLISTTMP1">
    <vt:lpwstr>4216/013;019.a;007.a;007.c</vt:lpwstr>
  </property>
  <property fmtid="{D5CDD505-2E9C-101B-9397-08002B2CF9AE}" pid="37" name="LAWLISTTMP2">
    <vt:lpwstr>70301/031:2;040i;40ja</vt:lpwstr>
  </property>
</Properties>
</file>