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144DB" w:rsidRPr="00411F1A" w14:paraId="2C608283" w14:textId="77777777" w:rsidTr="00E86B2D">
        <w:trPr>
          <w:trHeight w:hRule="exact" w:val="418"/>
          <w:jc w:val="center"/>
        </w:trPr>
        <w:tc>
          <w:tcPr>
            <w:tcW w:w="8721" w:type="dxa"/>
            <w:gridSpan w:val="2"/>
          </w:tcPr>
          <w:p w14:paraId="6F5BB5F6" w14:textId="77777777" w:rsidR="005144DB" w:rsidRPr="00411F1A" w:rsidRDefault="005144DB" w:rsidP="00095088">
            <w:pPr>
              <w:pStyle w:val="a3"/>
              <w:jc w:val="center"/>
              <w:rPr>
                <w:rFonts w:ascii="Tahoma" w:hAnsi="Tahoma" w:cs="Tahoma"/>
                <w:color w:val="000080"/>
                <w:rtl/>
              </w:rPr>
            </w:pPr>
            <w:bookmarkStart w:id="0" w:name="LastJudge"/>
            <w:r w:rsidRPr="00411F1A">
              <w:rPr>
                <w:rFonts w:ascii="Tahoma" w:hAnsi="Tahoma" w:cs="Tahoma"/>
                <w:b/>
                <w:bCs/>
                <w:color w:val="000080"/>
                <w:rtl/>
              </w:rPr>
              <w:t>בית משפט השלום בראשון לציון</w:t>
            </w:r>
          </w:p>
        </w:tc>
      </w:tr>
      <w:tr w:rsidR="005144DB" w:rsidRPr="00411F1A" w14:paraId="18E9EA83" w14:textId="77777777" w:rsidTr="00E86B2D">
        <w:trPr>
          <w:trHeight w:val="337"/>
          <w:jc w:val="center"/>
        </w:trPr>
        <w:tc>
          <w:tcPr>
            <w:tcW w:w="5054" w:type="dxa"/>
          </w:tcPr>
          <w:p w14:paraId="0D7B9942" w14:textId="77777777" w:rsidR="005144DB" w:rsidRPr="00411F1A" w:rsidRDefault="005144DB" w:rsidP="00095088">
            <w:pPr>
              <w:rPr>
                <w:rFonts w:cs="FrankRuehl"/>
                <w:sz w:val="28"/>
                <w:szCs w:val="28"/>
                <w:rtl/>
              </w:rPr>
            </w:pPr>
            <w:r w:rsidRPr="00411F1A">
              <w:rPr>
                <w:rFonts w:cs="FrankRuehl"/>
                <w:sz w:val="28"/>
                <w:szCs w:val="28"/>
                <w:rtl/>
              </w:rPr>
              <w:t>ת"פ</w:t>
            </w:r>
            <w:r w:rsidRPr="00411F1A">
              <w:rPr>
                <w:rFonts w:cs="FrankRuehl" w:hint="cs"/>
                <w:sz w:val="28"/>
                <w:szCs w:val="28"/>
                <w:rtl/>
              </w:rPr>
              <w:t xml:space="preserve"> </w:t>
            </w:r>
            <w:r w:rsidRPr="00411F1A">
              <w:rPr>
                <w:rFonts w:cs="FrankRuehl"/>
                <w:sz w:val="28"/>
                <w:szCs w:val="28"/>
                <w:rtl/>
              </w:rPr>
              <w:t>21052-05-20</w:t>
            </w:r>
            <w:r w:rsidRPr="00411F1A">
              <w:rPr>
                <w:rFonts w:cs="FrankRuehl" w:hint="cs"/>
                <w:sz w:val="28"/>
                <w:szCs w:val="28"/>
                <w:rtl/>
              </w:rPr>
              <w:t xml:space="preserve"> </w:t>
            </w:r>
            <w:r w:rsidRPr="00411F1A">
              <w:rPr>
                <w:rFonts w:cs="FrankRuehl"/>
                <w:sz w:val="28"/>
                <w:szCs w:val="28"/>
                <w:rtl/>
              </w:rPr>
              <w:t>מדינת ישראל נ' חמו</w:t>
            </w:r>
          </w:p>
          <w:p w14:paraId="59B33F42" w14:textId="77777777" w:rsidR="005144DB" w:rsidRPr="00411F1A" w:rsidRDefault="005144DB" w:rsidP="00095088">
            <w:pPr>
              <w:pStyle w:val="a3"/>
              <w:rPr>
                <w:rFonts w:cs="FrankRuehl"/>
                <w:sz w:val="28"/>
                <w:szCs w:val="28"/>
                <w:rtl/>
              </w:rPr>
            </w:pPr>
          </w:p>
        </w:tc>
        <w:tc>
          <w:tcPr>
            <w:tcW w:w="3667" w:type="dxa"/>
          </w:tcPr>
          <w:p w14:paraId="4C8EAF5A" w14:textId="77777777" w:rsidR="005144DB" w:rsidRPr="00411F1A" w:rsidRDefault="005144DB" w:rsidP="00095088">
            <w:pPr>
              <w:pStyle w:val="a3"/>
              <w:jc w:val="right"/>
              <w:rPr>
                <w:rFonts w:cs="FrankRuehl"/>
                <w:sz w:val="28"/>
                <w:szCs w:val="28"/>
                <w:rtl/>
              </w:rPr>
            </w:pPr>
          </w:p>
        </w:tc>
      </w:tr>
    </w:tbl>
    <w:p w14:paraId="60D65CC2" w14:textId="77777777" w:rsidR="005144DB" w:rsidRPr="00411F1A" w:rsidRDefault="005144DB" w:rsidP="005144DB">
      <w:pPr>
        <w:pStyle w:val="a3"/>
        <w:rPr>
          <w:rtl/>
        </w:rPr>
      </w:pPr>
      <w:r w:rsidRPr="00411F1A">
        <w:rPr>
          <w:rFonts w:hint="cs"/>
          <w:rtl/>
        </w:rPr>
        <w:t xml:space="preserve"> </w:t>
      </w:r>
    </w:p>
    <w:p w14:paraId="1AB16F05" w14:textId="77777777" w:rsidR="005144DB" w:rsidRPr="00411F1A" w:rsidRDefault="005144DB" w:rsidP="005144DB">
      <w:pPr>
        <w:rPr>
          <w:rtl/>
        </w:rPr>
      </w:pPr>
    </w:p>
    <w:p w14:paraId="23FCE5EA" w14:textId="77777777" w:rsidR="005144DB" w:rsidRPr="00411F1A" w:rsidRDefault="005144DB" w:rsidP="005144D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144DB" w:rsidRPr="00411F1A" w14:paraId="7A8AE6F4" w14:textId="77777777" w:rsidTr="005144DB">
        <w:trPr>
          <w:trHeight w:val="295"/>
          <w:jc w:val="center"/>
        </w:trPr>
        <w:tc>
          <w:tcPr>
            <w:tcW w:w="923" w:type="dxa"/>
            <w:tcBorders>
              <w:top w:val="nil"/>
              <w:left w:val="nil"/>
              <w:bottom w:val="nil"/>
              <w:right w:val="nil"/>
            </w:tcBorders>
            <w:shd w:val="clear" w:color="auto" w:fill="auto"/>
          </w:tcPr>
          <w:p w14:paraId="380D0658" w14:textId="77777777" w:rsidR="005144DB" w:rsidRPr="00411F1A" w:rsidRDefault="005144DB" w:rsidP="005144DB">
            <w:pPr>
              <w:jc w:val="both"/>
              <w:rPr>
                <w:rFonts w:ascii="David" w:hAnsi="David"/>
                <w:sz w:val="26"/>
                <w:szCs w:val="26"/>
              </w:rPr>
            </w:pPr>
            <w:r w:rsidRPr="00411F1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6B92A9E" w14:textId="77777777" w:rsidR="005144DB" w:rsidRPr="00411F1A" w:rsidRDefault="005144DB" w:rsidP="00095088">
            <w:pPr>
              <w:rPr>
                <w:rFonts w:ascii="David" w:hAnsi="David"/>
                <w:b/>
                <w:bCs/>
                <w:sz w:val="26"/>
                <w:szCs w:val="26"/>
                <w:rtl/>
              </w:rPr>
            </w:pPr>
            <w:r w:rsidRPr="00411F1A">
              <w:rPr>
                <w:rFonts w:ascii="David" w:hAnsi="David"/>
                <w:b/>
                <w:bCs/>
                <w:sz w:val="26"/>
                <w:szCs w:val="26"/>
                <w:rtl/>
              </w:rPr>
              <w:t>כבוד השופט  טל ענר</w:t>
            </w:r>
          </w:p>
          <w:p w14:paraId="68A4E8A1" w14:textId="77777777" w:rsidR="005144DB" w:rsidRPr="00411F1A" w:rsidRDefault="005144DB" w:rsidP="00095088">
            <w:pPr>
              <w:rPr>
                <w:rFonts w:ascii="David" w:hAnsi="David"/>
                <w:sz w:val="26"/>
                <w:szCs w:val="26"/>
                <w:rtl/>
              </w:rPr>
            </w:pPr>
          </w:p>
          <w:p w14:paraId="197D64A6" w14:textId="77777777" w:rsidR="005144DB" w:rsidRPr="00411F1A" w:rsidRDefault="005144DB" w:rsidP="005144DB">
            <w:pPr>
              <w:jc w:val="both"/>
              <w:rPr>
                <w:rFonts w:ascii="David" w:hAnsi="David"/>
                <w:sz w:val="26"/>
                <w:szCs w:val="26"/>
              </w:rPr>
            </w:pPr>
          </w:p>
        </w:tc>
      </w:tr>
      <w:tr w:rsidR="005144DB" w:rsidRPr="00411F1A" w14:paraId="075AC073" w14:textId="77777777" w:rsidTr="005144DB">
        <w:trPr>
          <w:trHeight w:val="355"/>
          <w:jc w:val="center"/>
        </w:trPr>
        <w:tc>
          <w:tcPr>
            <w:tcW w:w="923" w:type="dxa"/>
            <w:tcBorders>
              <w:top w:val="nil"/>
              <w:left w:val="nil"/>
              <w:bottom w:val="nil"/>
              <w:right w:val="nil"/>
            </w:tcBorders>
            <w:shd w:val="clear" w:color="auto" w:fill="auto"/>
          </w:tcPr>
          <w:p w14:paraId="3DCB16C0" w14:textId="77777777" w:rsidR="005144DB" w:rsidRPr="00411F1A" w:rsidRDefault="005144DB" w:rsidP="005144DB">
            <w:pPr>
              <w:jc w:val="both"/>
              <w:rPr>
                <w:rFonts w:ascii="David" w:hAnsi="David"/>
                <w:sz w:val="26"/>
                <w:szCs w:val="26"/>
              </w:rPr>
            </w:pPr>
            <w:bookmarkStart w:id="1" w:name="FirstAppellant"/>
            <w:r w:rsidRPr="00411F1A">
              <w:rPr>
                <w:rFonts w:ascii="David" w:hAnsi="David"/>
                <w:sz w:val="26"/>
                <w:szCs w:val="26"/>
                <w:rtl/>
              </w:rPr>
              <w:t>בעניין:</w:t>
            </w:r>
          </w:p>
        </w:tc>
        <w:tc>
          <w:tcPr>
            <w:tcW w:w="3219" w:type="dxa"/>
            <w:tcBorders>
              <w:top w:val="nil"/>
              <w:left w:val="nil"/>
              <w:bottom w:val="nil"/>
              <w:right w:val="nil"/>
            </w:tcBorders>
            <w:shd w:val="clear" w:color="auto" w:fill="auto"/>
          </w:tcPr>
          <w:p w14:paraId="3334A42F" w14:textId="77777777" w:rsidR="005144DB" w:rsidRPr="00411F1A" w:rsidRDefault="005144DB" w:rsidP="005144DB">
            <w:pPr>
              <w:suppressLineNumbers/>
            </w:pPr>
            <w:r w:rsidRPr="00411F1A">
              <w:rPr>
                <w:rFonts w:ascii="Arial" w:hAnsi="Arial" w:hint="cs"/>
                <w:b/>
                <w:bCs/>
                <w:sz w:val="26"/>
                <w:szCs w:val="26"/>
                <w:rtl/>
              </w:rPr>
              <w:t>ה</w:t>
            </w:r>
            <w:r w:rsidRPr="00411F1A">
              <w:rPr>
                <w:rFonts w:ascii="Arial" w:hAnsi="Arial"/>
                <w:b/>
                <w:bCs/>
                <w:sz w:val="26"/>
                <w:szCs w:val="26"/>
                <w:rtl/>
              </w:rPr>
              <w:t>מאשימה</w:t>
            </w:r>
          </w:p>
          <w:p w14:paraId="058B7027" w14:textId="77777777" w:rsidR="005144DB" w:rsidRPr="00411F1A" w:rsidRDefault="005144DB" w:rsidP="00095088">
            <w:pPr>
              <w:rPr>
                <w:rFonts w:ascii="David" w:hAnsi="David"/>
                <w:sz w:val="26"/>
                <w:szCs w:val="26"/>
              </w:rPr>
            </w:pPr>
          </w:p>
        </w:tc>
        <w:tc>
          <w:tcPr>
            <w:tcW w:w="4678" w:type="dxa"/>
            <w:tcBorders>
              <w:top w:val="nil"/>
              <w:left w:val="nil"/>
              <w:bottom w:val="nil"/>
              <w:right w:val="nil"/>
            </w:tcBorders>
            <w:shd w:val="clear" w:color="auto" w:fill="auto"/>
            <w:vAlign w:val="center"/>
          </w:tcPr>
          <w:p w14:paraId="515A29CF" w14:textId="77777777" w:rsidR="005144DB" w:rsidRPr="00411F1A" w:rsidRDefault="005144DB" w:rsidP="005144DB">
            <w:pPr>
              <w:suppressLineNumbers/>
            </w:pPr>
            <w:r w:rsidRPr="00411F1A">
              <w:rPr>
                <w:rFonts w:ascii="Arial" w:hAnsi="Arial"/>
                <w:b/>
                <w:bCs/>
                <w:sz w:val="26"/>
                <w:szCs w:val="26"/>
                <w:rtl/>
              </w:rPr>
              <w:t>מדינת ישראל</w:t>
            </w:r>
            <w:r w:rsidRPr="00411F1A">
              <w:rPr>
                <w:rFonts w:ascii="Arial" w:hAnsi="Arial" w:hint="cs"/>
                <w:b/>
                <w:bCs/>
                <w:sz w:val="26"/>
                <w:szCs w:val="26"/>
                <w:rtl/>
              </w:rPr>
              <w:t xml:space="preserve"> </w:t>
            </w:r>
          </w:p>
          <w:p w14:paraId="0B02D965" w14:textId="77777777" w:rsidR="005144DB" w:rsidRPr="00411F1A" w:rsidRDefault="005144DB" w:rsidP="00095088">
            <w:pPr>
              <w:rPr>
                <w:rFonts w:ascii="David" w:hAnsi="David"/>
                <w:sz w:val="26"/>
                <w:szCs w:val="26"/>
              </w:rPr>
            </w:pPr>
          </w:p>
        </w:tc>
      </w:tr>
      <w:bookmarkEnd w:id="1"/>
      <w:tr w:rsidR="005144DB" w:rsidRPr="00411F1A" w14:paraId="2D1C12D6" w14:textId="77777777" w:rsidTr="005144DB">
        <w:trPr>
          <w:trHeight w:val="355"/>
          <w:jc w:val="center"/>
        </w:trPr>
        <w:tc>
          <w:tcPr>
            <w:tcW w:w="923" w:type="dxa"/>
            <w:tcBorders>
              <w:top w:val="nil"/>
              <w:left w:val="nil"/>
              <w:bottom w:val="nil"/>
              <w:right w:val="nil"/>
            </w:tcBorders>
            <w:shd w:val="clear" w:color="auto" w:fill="auto"/>
          </w:tcPr>
          <w:p w14:paraId="3F95BD91" w14:textId="77777777" w:rsidR="005144DB" w:rsidRPr="00411F1A" w:rsidRDefault="005144DB" w:rsidP="005144D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E962995" w14:textId="77777777" w:rsidR="005144DB" w:rsidRPr="00411F1A" w:rsidRDefault="005144DB" w:rsidP="005144DB">
            <w:pPr>
              <w:jc w:val="center"/>
              <w:rPr>
                <w:rFonts w:ascii="David" w:hAnsi="David"/>
                <w:b/>
                <w:bCs/>
                <w:sz w:val="26"/>
                <w:szCs w:val="26"/>
                <w:rtl/>
              </w:rPr>
            </w:pPr>
          </w:p>
          <w:p w14:paraId="11C62507" w14:textId="77777777" w:rsidR="005144DB" w:rsidRPr="00411F1A" w:rsidRDefault="005144DB" w:rsidP="005144DB">
            <w:pPr>
              <w:jc w:val="center"/>
              <w:rPr>
                <w:rFonts w:ascii="David" w:hAnsi="David"/>
                <w:b/>
                <w:bCs/>
                <w:sz w:val="26"/>
                <w:szCs w:val="26"/>
                <w:rtl/>
              </w:rPr>
            </w:pPr>
          </w:p>
          <w:p w14:paraId="79874698" w14:textId="77777777" w:rsidR="005144DB" w:rsidRPr="00411F1A" w:rsidRDefault="005144DB" w:rsidP="005144DB">
            <w:pPr>
              <w:jc w:val="center"/>
              <w:rPr>
                <w:rFonts w:ascii="David" w:hAnsi="David"/>
                <w:b/>
                <w:bCs/>
                <w:sz w:val="26"/>
                <w:szCs w:val="26"/>
                <w:rtl/>
              </w:rPr>
            </w:pPr>
            <w:r w:rsidRPr="00411F1A">
              <w:rPr>
                <w:rFonts w:ascii="David" w:hAnsi="David"/>
                <w:b/>
                <w:bCs/>
                <w:sz w:val="26"/>
                <w:szCs w:val="26"/>
                <w:rtl/>
              </w:rPr>
              <w:t>נגד</w:t>
            </w:r>
          </w:p>
          <w:p w14:paraId="55AC393E" w14:textId="77777777" w:rsidR="005144DB" w:rsidRPr="00411F1A" w:rsidRDefault="005144DB" w:rsidP="005144DB">
            <w:pPr>
              <w:jc w:val="both"/>
              <w:rPr>
                <w:rFonts w:ascii="David" w:hAnsi="David"/>
                <w:sz w:val="26"/>
                <w:szCs w:val="26"/>
                <w:rtl/>
              </w:rPr>
            </w:pPr>
          </w:p>
          <w:p w14:paraId="4B1CDB76" w14:textId="77777777" w:rsidR="005144DB" w:rsidRPr="00411F1A" w:rsidRDefault="005144DB" w:rsidP="005144DB">
            <w:pPr>
              <w:jc w:val="both"/>
              <w:rPr>
                <w:rFonts w:ascii="David" w:hAnsi="David"/>
                <w:sz w:val="26"/>
                <w:szCs w:val="26"/>
              </w:rPr>
            </w:pPr>
          </w:p>
        </w:tc>
      </w:tr>
      <w:tr w:rsidR="005144DB" w:rsidRPr="00411F1A" w14:paraId="71D5D6A6" w14:textId="77777777" w:rsidTr="005144DB">
        <w:trPr>
          <w:trHeight w:val="355"/>
          <w:jc w:val="center"/>
        </w:trPr>
        <w:tc>
          <w:tcPr>
            <w:tcW w:w="923" w:type="dxa"/>
            <w:tcBorders>
              <w:top w:val="nil"/>
              <w:left w:val="nil"/>
              <w:bottom w:val="nil"/>
              <w:right w:val="nil"/>
            </w:tcBorders>
            <w:shd w:val="clear" w:color="auto" w:fill="auto"/>
          </w:tcPr>
          <w:p w14:paraId="290B74D5" w14:textId="77777777" w:rsidR="005144DB" w:rsidRPr="00411F1A" w:rsidRDefault="005144DB" w:rsidP="00095088">
            <w:pPr>
              <w:rPr>
                <w:rFonts w:ascii="David" w:hAnsi="David"/>
                <w:sz w:val="26"/>
                <w:szCs w:val="26"/>
                <w:rtl/>
              </w:rPr>
            </w:pPr>
          </w:p>
        </w:tc>
        <w:tc>
          <w:tcPr>
            <w:tcW w:w="3219" w:type="dxa"/>
            <w:tcBorders>
              <w:top w:val="nil"/>
              <w:left w:val="nil"/>
              <w:bottom w:val="nil"/>
              <w:right w:val="nil"/>
            </w:tcBorders>
            <w:shd w:val="clear" w:color="auto" w:fill="auto"/>
          </w:tcPr>
          <w:p w14:paraId="378DE818" w14:textId="77777777" w:rsidR="005144DB" w:rsidRPr="00411F1A" w:rsidRDefault="005144DB" w:rsidP="00095088">
            <w:pPr>
              <w:rPr>
                <w:rFonts w:ascii="Arial" w:hAnsi="Arial"/>
                <w:b/>
                <w:bCs/>
                <w:sz w:val="26"/>
                <w:szCs w:val="26"/>
                <w:rtl/>
              </w:rPr>
            </w:pPr>
            <w:r w:rsidRPr="00411F1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A0DBCF4" w14:textId="77777777" w:rsidR="005144DB" w:rsidRPr="00411F1A" w:rsidRDefault="005144DB" w:rsidP="005144DB">
            <w:pPr>
              <w:suppressLineNumbers/>
            </w:pPr>
            <w:r w:rsidRPr="00411F1A">
              <w:rPr>
                <w:rFonts w:ascii="Arial" w:hAnsi="Arial"/>
                <w:b/>
                <w:bCs/>
                <w:sz w:val="26"/>
                <w:szCs w:val="26"/>
                <w:rtl/>
              </w:rPr>
              <w:t>רועי חמו</w:t>
            </w:r>
            <w:r w:rsidRPr="00411F1A">
              <w:rPr>
                <w:rFonts w:ascii="Arial" w:hAnsi="Arial" w:hint="cs"/>
                <w:b/>
                <w:bCs/>
                <w:sz w:val="26"/>
                <w:szCs w:val="26"/>
                <w:rtl/>
              </w:rPr>
              <w:t xml:space="preserve"> </w:t>
            </w:r>
          </w:p>
          <w:p w14:paraId="5C16CD7B" w14:textId="77777777" w:rsidR="005144DB" w:rsidRPr="00411F1A" w:rsidRDefault="005144DB" w:rsidP="00095088">
            <w:pPr>
              <w:rPr>
                <w:rFonts w:ascii="David" w:hAnsi="David"/>
                <w:sz w:val="26"/>
                <w:szCs w:val="26"/>
              </w:rPr>
            </w:pPr>
          </w:p>
        </w:tc>
      </w:tr>
    </w:tbl>
    <w:p w14:paraId="33989EE2" w14:textId="77777777" w:rsidR="0058034E" w:rsidRPr="0058034E" w:rsidRDefault="0058034E" w:rsidP="0058034E">
      <w:pPr>
        <w:spacing w:before="120" w:after="120" w:line="240" w:lineRule="exact"/>
        <w:ind w:left="283" w:hanging="283"/>
        <w:jc w:val="both"/>
        <w:rPr>
          <w:rFonts w:ascii="FrankRuehl" w:hAnsi="FrankRuehl" w:cs="FrankRuehl"/>
          <w:rtl/>
        </w:rPr>
      </w:pPr>
    </w:p>
    <w:p w14:paraId="01141242" w14:textId="77777777" w:rsidR="0039214A" w:rsidRPr="0039214A" w:rsidRDefault="0039214A" w:rsidP="0039214A">
      <w:pPr>
        <w:spacing w:before="120" w:after="120" w:line="240" w:lineRule="exact"/>
        <w:ind w:left="283" w:hanging="283"/>
        <w:jc w:val="both"/>
        <w:rPr>
          <w:rFonts w:ascii="FrankRuehl" w:hAnsi="FrankRuehl" w:cs="FrankRuehl"/>
          <w:rtl/>
        </w:rPr>
      </w:pPr>
    </w:p>
    <w:p w14:paraId="7A0D0C65" w14:textId="77777777" w:rsidR="00B15898" w:rsidRDefault="00B15898" w:rsidP="00B15898">
      <w:pPr>
        <w:rPr>
          <w:sz w:val="26"/>
          <w:szCs w:val="26"/>
          <w:rtl/>
        </w:rPr>
      </w:pPr>
      <w:bookmarkStart w:id="2" w:name="LawTable"/>
      <w:bookmarkEnd w:id="2"/>
    </w:p>
    <w:p w14:paraId="61A17527" w14:textId="77777777" w:rsidR="00B15898" w:rsidRPr="00B15898" w:rsidRDefault="00B15898" w:rsidP="00B15898">
      <w:pPr>
        <w:spacing w:before="120" w:after="120" w:line="240" w:lineRule="exact"/>
        <w:ind w:left="283" w:hanging="283"/>
        <w:jc w:val="both"/>
        <w:rPr>
          <w:rFonts w:ascii="FrankRuehl" w:hAnsi="FrankRuehl" w:cs="FrankRuehl"/>
          <w:rtl/>
        </w:rPr>
      </w:pPr>
    </w:p>
    <w:p w14:paraId="0A18454B" w14:textId="77777777" w:rsidR="00B15898" w:rsidRPr="00B15898" w:rsidRDefault="00B15898" w:rsidP="00B15898">
      <w:pPr>
        <w:spacing w:before="120" w:after="120" w:line="240" w:lineRule="exact"/>
        <w:ind w:left="283" w:hanging="283"/>
        <w:jc w:val="both"/>
        <w:rPr>
          <w:rFonts w:ascii="FrankRuehl" w:hAnsi="FrankRuehl" w:cs="FrankRuehl"/>
          <w:rtl/>
        </w:rPr>
      </w:pPr>
    </w:p>
    <w:p w14:paraId="602705D7" w14:textId="77777777" w:rsidR="00B15898" w:rsidRPr="00B15898" w:rsidRDefault="00B15898" w:rsidP="00B15898">
      <w:pPr>
        <w:spacing w:before="120" w:after="120" w:line="240" w:lineRule="exact"/>
        <w:ind w:left="283" w:hanging="283"/>
        <w:jc w:val="both"/>
        <w:rPr>
          <w:rFonts w:ascii="FrankRuehl" w:hAnsi="FrankRuehl" w:cs="FrankRuehl"/>
          <w:rtl/>
        </w:rPr>
      </w:pPr>
      <w:r w:rsidRPr="00B15898">
        <w:rPr>
          <w:rFonts w:ascii="FrankRuehl" w:hAnsi="FrankRuehl" w:cs="FrankRuehl"/>
          <w:rtl/>
        </w:rPr>
        <w:t xml:space="preserve">חקיקה שאוזכרה: </w:t>
      </w:r>
    </w:p>
    <w:p w14:paraId="541800C4" w14:textId="77777777" w:rsidR="00B15898" w:rsidRPr="00B15898" w:rsidRDefault="00B15898" w:rsidP="00B15898">
      <w:pPr>
        <w:spacing w:before="120" w:after="120" w:line="240" w:lineRule="exact"/>
        <w:ind w:left="283" w:hanging="283"/>
        <w:jc w:val="both"/>
        <w:rPr>
          <w:rFonts w:ascii="FrankRuehl" w:hAnsi="FrankRuehl" w:cs="FrankRuehl"/>
          <w:rtl/>
        </w:rPr>
      </w:pPr>
      <w:hyperlink r:id="rId7" w:history="1">
        <w:r w:rsidRPr="00B15898">
          <w:rPr>
            <w:rFonts w:ascii="FrankRuehl" w:hAnsi="FrankRuehl" w:cs="FrankRuehl"/>
            <w:color w:val="0000FF"/>
            <w:rtl/>
          </w:rPr>
          <w:t>פקודת הסמים המסוכנים [נוסח חדש], תשל"ג-1973</w:t>
        </w:r>
      </w:hyperlink>
      <w:r w:rsidRPr="00B15898">
        <w:rPr>
          <w:rFonts w:ascii="FrankRuehl" w:hAnsi="FrankRuehl" w:cs="FrankRuehl"/>
          <w:rtl/>
        </w:rPr>
        <w:t xml:space="preserve">: סע'  </w:t>
      </w:r>
      <w:hyperlink r:id="rId8" w:history="1">
        <w:r w:rsidRPr="00B15898">
          <w:rPr>
            <w:rFonts w:ascii="FrankRuehl" w:hAnsi="FrankRuehl" w:cs="FrankRuehl"/>
            <w:color w:val="0000FF"/>
            <w:rtl/>
          </w:rPr>
          <w:t>1</w:t>
        </w:r>
      </w:hyperlink>
      <w:r w:rsidRPr="00B15898">
        <w:rPr>
          <w:rFonts w:ascii="FrankRuehl" w:hAnsi="FrankRuehl" w:cs="FrankRuehl"/>
          <w:rtl/>
        </w:rPr>
        <w:t xml:space="preserve">, </w:t>
      </w:r>
      <w:hyperlink r:id="rId9" w:history="1">
        <w:r w:rsidRPr="00B15898">
          <w:rPr>
            <w:rFonts w:ascii="FrankRuehl" w:hAnsi="FrankRuehl" w:cs="FrankRuehl"/>
            <w:color w:val="0000FF"/>
            <w:rtl/>
          </w:rPr>
          <w:t>7.א.</w:t>
        </w:r>
      </w:hyperlink>
      <w:r w:rsidRPr="00B15898">
        <w:rPr>
          <w:rFonts w:ascii="FrankRuehl" w:hAnsi="FrankRuehl" w:cs="FrankRuehl"/>
          <w:rtl/>
        </w:rPr>
        <w:t xml:space="preserve">, </w:t>
      </w:r>
      <w:hyperlink r:id="rId10" w:history="1">
        <w:r w:rsidRPr="00B15898">
          <w:rPr>
            <w:rFonts w:ascii="FrankRuehl" w:hAnsi="FrankRuehl" w:cs="FrankRuehl"/>
            <w:color w:val="0000FF"/>
            <w:rtl/>
          </w:rPr>
          <w:t>7.ג</w:t>
        </w:r>
      </w:hyperlink>
      <w:r w:rsidRPr="00B15898">
        <w:rPr>
          <w:rFonts w:ascii="FrankRuehl" w:hAnsi="FrankRuehl" w:cs="FrankRuehl"/>
          <w:rtl/>
        </w:rPr>
        <w:t xml:space="preserve">, </w:t>
      </w:r>
      <w:hyperlink r:id="rId11" w:history="1">
        <w:r w:rsidRPr="00B15898">
          <w:rPr>
            <w:rFonts w:ascii="FrankRuehl" w:hAnsi="FrankRuehl" w:cs="FrankRuehl"/>
            <w:color w:val="0000FF"/>
            <w:rtl/>
          </w:rPr>
          <w:t>36</w:t>
        </w:r>
      </w:hyperlink>
    </w:p>
    <w:p w14:paraId="37E23C1D" w14:textId="77777777" w:rsidR="00B15898" w:rsidRPr="00B15898" w:rsidRDefault="00B15898" w:rsidP="00B15898">
      <w:pPr>
        <w:spacing w:before="120" w:after="120" w:line="240" w:lineRule="exact"/>
        <w:ind w:left="283" w:hanging="283"/>
        <w:jc w:val="both"/>
        <w:rPr>
          <w:rFonts w:ascii="FrankRuehl" w:hAnsi="FrankRuehl" w:cs="FrankRuehl"/>
          <w:rtl/>
        </w:rPr>
      </w:pPr>
      <w:hyperlink r:id="rId12" w:history="1">
        <w:r w:rsidRPr="00B15898">
          <w:rPr>
            <w:rFonts w:ascii="FrankRuehl" w:hAnsi="FrankRuehl" w:cs="FrankRuehl"/>
            <w:color w:val="0000FF"/>
            <w:rtl/>
          </w:rPr>
          <w:t>חוק העונשין, תשל"ז-1977</w:t>
        </w:r>
      </w:hyperlink>
      <w:r w:rsidRPr="00B15898">
        <w:rPr>
          <w:rFonts w:ascii="FrankRuehl" w:hAnsi="FrankRuehl" w:cs="FrankRuehl"/>
          <w:rtl/>
        </w:rPr>
        <w:t xml:space="preserve">: סע'  </w:t>
      </w:r>
      <w:hyperlink r:id="rId13" w:history="1">
        <w:r w:rsidRPr="00B15898">
          <w:rPr>
            <w:rFonts w:ascii="FrankRuehl" w:hAnsi="FrankRuehl" w:cs="FrankRuehl"/>
            <w:color w:val="0000FF"/>
            <w:rtl/>
          </w:rPr>
          <w:t>40ד</w:t>
        </w:r>
      </w:hyperlink>
    </w:p>
    <w:p w14:paraId="7D29075D" w14:textId="77777777" w:rsidR="00B15898" w:rsidRPr="00B15898" w:rsidRDefault="00B15898" w:rsidP="00B15898">
      <w:pPr>
        <w:rPr>
          <w:sz w:val="26"/>
          <w:szCs w:val="26"/>
          <w:rtl/>
        </w:rPr>
      </w:pPr>
      <w:bookmarkStart w:id="3" w:name="LawTable_End"/>
      <w:bookmarkEnd w:id="3"/>
    </w:p>
    <w:p w14:paraId="2A0C6B08" w14:textId="77777777" w:rsidR="005144DB" w:rsidRPr="0039214A" w:rsidRDefault="005144DB" w:rsidP="0039214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44DB" w14:paraId="41166322" w14:textId="77777777" w:rsidTr="005144DB">
        <w:trPr>
          <w:trHeight w:val="355"/>
          <w:jc w:val="center"/>
        </w:trPr>
        <w:tc>
          <w:tcPr>
            <w:tcW w:w="8820" w:type="dxa"/>
            <w:tcBorders>
              <w:top w:val="nil"/>
              <w:left w:val="nil"/>
              <w:bottom w:val="nil"/>
              <w:right w:val="nil"/>
            </w:tcBorders>
            <w:shd w:val="clear" w:color="auto" w:fill="auto"/>
          </w:tcPr>
          <w:p w14:paraId="3972C947" w14:textId="77777777" w:rsidR="00411F1A" w:rsidRPr="00411F1A" w:rsidRDefault="00411F1A" w:rsidP="00411F1A">
            <w:pPr>
              <w:jc w:val="center"/>
              <w:rPr>
                <w:rFonts w:ascii="David" w:hAnsi="David"/>
                <w:b/>
                <w:bCs/>
                <w:sz w:val="32"/>
                <w:szCs w:val="32"/>
                <w:u w:val="single"/>
                <w:rtl/>
              </w:rPr>
            </w:pPr>
            <w:bookmarkStart w:id="4" w:name="PsakDin" w:colFirst="0" w:colLast="0"/>
            <w:bookmarkEnd w:id="0"/>
            <w:r w:rsidRPr="00411F1A">
              <w:rPr>
                <w:rFonts w:ascii="David" w:hAnsi="David"/>
                <w:b/>
                <w:bCs/>
                <w:sz w:val="32"/>
                <w:szCs w:val="32"/>
                <w:u w:val="single"/>
                <w:rtl/>
              </w:rPr>
              <w:t>גזר דין</w:t>
            </w:r>
          </w:p>
          <w:p w14:paraId="03A08B8D" w14:textId="77777777" w:rsidR="005144DB" w:rsidRPr="00411F1A" w:rsidRDefault="005144DB" w:rsidP="00411F1A">
            <w:pPr>
              <w:jc w:val="center"/>
              <w:rPr>
                <w:rFonts w:ascii="David" w:hAnsi="David"/>
                <w:bCs/>
                <w:sz w:val="32"/>
                <w:szCs w:val="32"/>
                <w:u w:val="single"/>
                <w:rtl/>
              </w:rPr>
            </w:pPr>
          </w:p>
        </w:tc>
      </w:tr>
      <w:bookmarkEnd w:id="4"/>
    </w:tbl>
    <w:p w14:paraId="12E5F110" w14:textId="77777777" w:rsidR="005144DB" w:rsidRPr="000F2247" w:rsidRDefault="005144DB" w:rsidP="005144DB">
      <w:pPr>
        <w:rPr>
          <w:rFonts w:ascii="Arial" w:hAnsi="Arial"/>
          <w:b/>
          <w:bCs/>
          <w:sz w:val="26"/>
          <w:szCs w:val="26"/>
          <w:rtl/>
        </w:rPr>
      </w:pPr>
    </w:p>
    <w:p w14:paraId="1A5DA0E5" w14:textId="77777777" w:rsidR="005144DB" w:rsidRPr="000F2247" w:rsidRDefault="005144DB" w:rsidP="005144DB">
      <w:pPr>
        <w:rPr>
          <w:rFonts w:ascii="Arial" w:hAnsi="Arial"/>
          <w:b/>
          <w:bCs/>
          <w:sz w:val="26"/>
          <w:szCs w:val="26"/>
          <w:rtl/>
        </w:rPr>
      </w:pPr>
    </w:p>
    <w:p w14:paraId="14F23FDE" w14:textId="77777777" w:rsidR="005144DB" w:rsidRPr="00355307" w:rsidRDefault="005144DB" w:rsidP="005144DB">
      <w:pPr>
        <w:pStyle w:val="a9"/>
        <w:numPr>
          <w:ilvl w:val="0"/>
          <w:numId w:val="1"/>
        </w:numPr>
        <w:spacing w:line="360" w:lineRule="auto"/>
        <w:jc w:val="both"/>
        <w:rPr>
          <w:rFonts w:ascii="David" w:hAnsi="David"/>
        </w:rPr>
      </w:pPr>
      <w:bookmarkStart w:id="5" w:name="ABSTRACT_START"/>
      <w:bookmarkEnd w:id="5"/>
      <w:r w:rsidRPr="00355307">
        <w:rPr>
          <w:rFonts w:ascii="David" w:hAnsi="David"/>
          <w:rtl/>
        </w:rPr>
        <w:t xml:space="preserve">הנאשם הורשע ביום 27.6.2022, על פי הודאתו בעובדות כתב אישום מתוקן, בעבירה של החזקת סם מסוכן שלא לצריכה עצמית, לפי </w:t>
      </w:r>
      <w:hyperlink r:id="rId14" w:history="1">
        <w:r w:rsidR="00E86B2D" w:rsidRPr="00E86B2D">
          <w:rPr>
            <w:rStyle w:val="Hyperlink"/>
            <w:rFonts w:ascii="David" w:hAnsi="David"/>
            <w:rtl/>
          </w:rPr>
          <w:t>סעיף 7(א)+7(ג)</w:t>
        </w:r>
      </w:hyperlink>
      <w:r w:rsidRPr="00355307">
        <w:rPr>
          <w:rFonts w:ascii="David" w:hAnsi="David"/>
          <w:rtl/>
        </w:rPr>
        <w:t xml:space="preserve"> רישא ל</w:t>
      </w:r>
      <w:hyperlink r:id="rId15" w:history="1">
        <w:r w:rsidR="00411F1A" w:rsidRPr="00411F1A">
          <w:rPr>
            <w:rFonts w:ascii="David" w:hAnsi="David"/>
            <w:color w:val="0000FF"/>
            <w:u w:val="single"/>
            <w:rtl/>
          </w:rPr>
          <w:t>פקודת הסמים המסוכנים</w:t>
        </w:r>
      </w:hyperlink>
      <w:r w:rsidRPr="00355307">
        <w:rPr>
          <w:rFonts w:ascii="David" w:hAnsi="David"/>
          <w:rtl/>
        </w:rPr>
        <w:t xml:space="preserve"> (נוסח חדש) תשל"ג-1973 </w:t>
      </w:r>
      <w:bookmarkStart w:id="6" w:name="ABSTRACT_END"/>
      <w:bookmarkEnd w:id="6"/>
      <w:r w:rsidRPr="00355307">
        <w:rPr>
          <w:rFonts w:ascii="David" w:hAnsi="David"/>
          <w:rtl/>
        </w:rPr>
        <w:t>(להלן: הפקודה).</w:t>
      </w:r>
    </w:p>
    <w:p w14:paraId="2C88F6D9" w14:textId="77777777" w:rsidR="005144DB" w:rsidRPr="00355307" w:rsidRDefault="005144DB" w:rsidP="005144DB">
      <w:pPr>
        <w:pStyle w:val="a9"/>
        <w:spacing w:line="360" w:lineRule="auto"/>
        <w:ind w:left="360"/>
        <w:jc w:val="both"/>
        <w:rPr>
          <w:rFonts w:ascii="David" w:hAnsi="David"/>
        </w:rPr>
      </w:pPr>
    </w:p>
    <w:p w14:paraId="1D72BC73" w14:textId="77777777" w:rsidR="005144DB" w:rsidRPr="00A752DC" w:rsidRDefault="005144DB" w:rsidP="005144DB">
      <w:pPr>
        <w:spacing w:line="360" w:lineRule="auto"/>
        <w:jc w:val="both"/>
        <w:rPr>
          <w:rFonts w:ascii="David" w:hAnsi="David"/>
          <w:u w:val="single"/>
        </w:rPr>
      </w:pPr>
      <w:r w:rsidRPr="00A752DC">
        <w:rPr>
          <w:rFonts w:ascii="David" w:hAnsi="David" w:hint="cs"/>
          <w:u w:val="single"/>
          <w:rtl/>
        </w:rPr>
        <w:t>כתב האישום</w:t>
      </w:r>
    </w:p>
    <w:p w14:paraId="55B4448B" w14:textId="77777777" w:rsidR="005144DB" w:rsidRPr="00A752DC" w:rsidRDefault="005144DB" w:rsidP="005144DB">
      <w:pPr>
        <w:pStyle w:val="a9"/>
        <w:rPr>
          <w:rFonts w:ascii="David" w:hAnsi="David"/>
          <w:rtl/>
        </w:rPr>
      </w:pPr>
    </w:p>
    <w:p w14:paraId="7FB66E3F" w14:textId="77777777" w:rsidR="005144DB" w:rsidRPr="00355307" w:rsidRDefault="005144DB" w:rsidP="005144DB">
      <w:pPr>
        <w:pStyle w:val="a9"/>
        <w:numPr>
          <w:ilvl w:val="0"/>
          <w:numId w:val="1"/>
        </w:numPr>
        <w:spacing w:line="360" w:lineRule="auto"/>
        <w:jc w:val="both"/>
        <w:rPr>
          <w:rFonts w:ascii="David" w:hAnsi="David"/>
        </w:rPr>
      </w:pPr>
      <w:r w:rsidRPr="00355307">
        <w:rPr>
          <w:rFonts w:ascii="David" w:hAnsi="David"/>
          <w:rtl/>
        </w:rPr>
        <w:t xml:space="preserve">בהתאם לאמור בכתב אישום זה, בתאריך 18.7.2018 בחיפוש משטרתי שנערך בביתו דאז, נתפסו סמים מסוכנים על פי הפירוט הבא (ההדגשה </w:t>
      </w:r>
      <w:r>
        <w:rPr>
          <w:rFonts w:ascii="David" w:hAnsi="David" w:hint="cs"/>
          <w:rtl/>
        </w:rPr>
        <w:t xml:space="preserve">בפריט ב' </w:t>
      </w:r>
      <w:r w:rsidRPr="00355307">
        <w:rPr>
          <w:rFonts w:ascii="David" w:hAnsi="David"/>
          <w:rtl/>
        </w:rPr>
        <w:t>אינה במקור והיא קדימון למחלוקת שתוכרע בהמשך):</w:t>
      </w:r>
    </w:p>
    <w:p w14:paraId="14B05A5B" w14:textId="77777777" w:rsidR="005144DB" w:rsidRPr="00355307" w:rsidRDefault="005144DB" w:rsidP="005144DB">
      <w:pPr>
        <w:pStyle w:val="a9"/>
        <w:numPr>
          <w:ilvl w:val="1"/>
          <w:numId w:val="1"/>
        </w:numPr>
        <w:spacing w:line="360" w:lineRule="auto"/>
        <w:jc w:val="both"/>
        <w:rPr>
          <w:rFonts w:ascii="David" w:hAnsi="David"/>
        </w:rPr>
      </w:pPr>
      <w:r w:rsidRPr="00355307">
        <w:rPr>
          <w:rFonts w:ascii="David" w:hAnsi="David"/>
          <w:rtl/>
        </w:rPr>
        <w:lastRenderedPageBreak/>
        <w:t xml:space="preserve">סם מסוכן מסוג </w:t>
      </w:r>
      <w:r w:rsidRPr="00355307">
        <w:rPr>
          <w:rFonts w:ascii="David" w:hAnsi="David"/>
        </w:rPr>
        <w:t>MDMA</w:t>
      </w:r>
      <w:r w:rsidRPr="00355307">
        <w:rPr>
          <w:rFonts w:ascii="David" w:hAnsi="David"/>
          <w:rtl/>
        </w:rPr>
        <w:t xml:space="preserve"> במשקל 118.45 גרם נטו.</w:t>
      </w:r>
    </w:p>
    <w:p w14:paraId="4C870516" w14:textId="77777777" w:rsidR="005144DB" w:rsidRDefault="005144DB" w:rsidP="005144DB">
      <w:pPr>
        <w:pStyle w:val="a9"/>
        <w:numPr>
          <w:ilvl w:val="1"/>
          <w:numId w:val="1"/>
        </w:numPr>
        <w:spacing w:line="360" w:lineRule="auto"/>
        <w:jc w:val="both"/>
        <w:rPr>
          <w:rFonts w:ascii="David" w:hAnsi="David"/>
        </w:rPr>
      </w:pPr>
      <w:r w:rsidRPr="00355307">
        <w:rPr>
          <w:rFonts w:ascii="David" w:hAnsi="David"/>
          <w:u w:val="single"/>
          <w:rtl/>
        </w:rPr>
        <w:t xml:space="preserve">נוזל בנפח 1800 מ"ל (1.8 ליטר) </w:t>
      </w:r>
      <w:r w:rsidRPr="00355307">
        <w:rPr>
          <w:rFonts w:ascii="David" w:hAnsi="David"/>
          <w:b/>
          <w:bCs/>
          <w:u w:val="single"/>
          <w:rtl/>
        </w:rPr>
        <w:t>המכיל סם</w:t>
      </w:r>
      <w:r w:rsidRPr="00355307">
        <w:rPr>
          <w:rFonts w:ascii="David" w:hAnsi="David"/>
          <w:u w:val="single"/>
          <w:rtl/>
        </w:rPr>
        <w:t xml:space="preserve"> מסוכן מסוג </w:t>
      </w:r>
      <w:r w:rsidRPr="00355307">
        <w:rPr>
          <w:rFonts w:ascii="David" w:hAnsi="David"/>
          <w:u w:val="single"/>
        </w:rPr>
        <w:t>MDMA</w:t>
      </w:r>
      <w:r w:rsidRPr="00355307">
        <w:rPr>
          <w:rFonts w:ascii="David" w:hAnsi="David"/>
          <w:rtl/>
        </w:rPr>
        <w:t>.</w:t>
      </w:r>
    </w:p>
    <w:p w14:paraId="72DB0763" w14:textId="77777777" w:rsidR="005144DB" w:rsidRPr="00ED0928" w:rsidRDefault="005144DB" w:rsidP="005144DB">
      <w:pPr>
        <w:pStyle w:val="a9"/>
        <w:numPr>
          <w:ilvl w:val="1"/>
          <w:numId w:val="1"/>
        </w:numPr>
        <w:spacing w:line="360" w:lineRule="auto"/>
        <w:jc w:val="both"/>
        <w:rPr>
          <w:rFonts w:ascii="David" w:hAnsi="David"/>
        </w:rPr>
      </w:pPr>
      <w:r w:rsidRPr="00ED0928">
        <w:rPr>
          <w:rFonts w:ascii="David" w:hAnsi="David" w:hint="cs"/>
          <w:rtl/>
        </w:rPr>
        <w:t xml:space="preserve">6 טבליות </w:t>
      </w:r>
      <w:r w:rsidRPr="00ED0928">
        <w:rPr>
          <w:rFonts w:ascii="David" w:hAnsi="David" w:hint="cs"/>
        </w:rPr>
        <w:t>MD</w:t>
      </w:r>
      <w:r w:rsidRPr="00ED0928">
        <w:rPr>
          <w:rFonts w:ascii="David" w:hAnsi="David"/>
        </w:rPr>
        <w:t>MA</w:t>
      </w:r>
      <w:r>
        <w:rPr>
          <w:rFonts w:ascii="David" w:hAnsi="David" w:hint="cs"/>
          <w:rtl/>
        </w:rPr>
        <w:t>.</w:t>
      </w:r>
    </w:p>
    <w:p w14:paraId="57B75E78" w14:textId="77777777" w:rsidR="005144DB" w:rsidRPr="00355307" w:rsidRDefault="005144DB" w:rsidP="005144DB">
      <w:pPr>
        <w:pStyle w:val="a9"/>
        <w:numPr>
          <w:ilvl w:val="1"/>
          <w:numId w:val="1"/>
        </w:numPr>
        <w:spacing w:line="360" w:lineRule="auto"/>
        <w:jc w:val="both"/>
        <w:rPr>
          <w:rFonts w:ascii="David" w:hAnsi="David"/>
        </w:rPr>
      </w:pPr>
      <w:r w:rsidRPr="00355307">
        <w:rPr>
          <w:rFonts w:ascii="David" w:hAnsi="David"/>
          <w:rtl/>
        </w:rPr>
        <w:t>נוזל של סם מסוכן מסוג קטמין בנפח 10 מ"ל נטו.</w:t>
      </w:r>
    </w:p>
    <w:p w14:paraId="30B00506" w14:textId="77777777" w:rsidR="005144DB" w:rsidRPr="00355307" w:rsidRDefault="005144DB" w:rsidP="005144DB">
      <w:pPr>
        <w:pStyle w:val="a9"/>
        <w:numPr>
          <w:ilvl w:val="1"/>
          <w:numId w:val="1"/>
        </w:numPr>
        <w:spacing w:line="360" w:lineRule="auto"/>
        <w:jc w:val="both"/>
        <w:rPr>
          <w:rFonts w:ascii="David" w:hAnsi="David"/>
        </w:rPr>
      </w:pPr>
      <w:r w:rsidRPr="00355307">
        <w:rPr>
          <w:rFonts w:ascii="David" w:hAnsi="David"/>
          <w:rtl/>
        </w:rPr>
        <w:t>סם מסוכן מסוג פסילוצין (חומר פסיכואקטיבי שמקורו בפטריות) במשקל 1.48 גרם נטו.</w:t>
      </w:r>
    </w:p>
    <w:p w14:paraId="6BBD9271" w14:textId="77777777" w:rsidR="005144DB" w:rsidRPr="00355307" w:rsidRDefault="005144DB" w:rsidP="005144DB">
      <w:pPr>
        <w:pStyle w:val="a9"/>
        <w:spacing w:line="360" w:lineRule="auto"/>
        <w:ind w:left="360"/>
        <w:jc w:val="both"/>
        <w:rPr>
          <w:rFonts w:ascii="David" w:hAnsi="David"/>
        </w:rPr>
      </w:pPr>
    </w:p>
    <w:p w14:paraId="62A7DC07" w14:textId="77777777" w:rsidR="005144DB" w:rsidRPr="00355307" w:rsidRDefault="005144DB" w:rsidP="005144DB">
      <w:pPr>
        <w:pStyle w:val="a9"/>
        <w:numPr>
          <w:ilvl w:val="0"/>
          <w:numId w:val="1"/>
        </w:numPr>
        <w:spacing w:line="360" w:lineRule="auto"/>
        <w:jc w:val="both"/>
        <w:rPr>
          <w:rFonts w:ascii="David" w:hAnsi="David"/>
        </w:rPr>
      </w:pPr>
      <w:r w:rsidRPr="00355307">
        <w:rPr>
          <w:rFonts w:ascii="David" w:hAnsi="David"/>
          <w:rtl/>
        </w:rPr>
        <w:t>בנוסף נתפסו בחיפוש משקל דיגיטלי, 13,300 ₪ במזומן, ו-3</w:t>
      </w:r>
      <w:r>
        <w:rPr>
          <w:rFonts w:ascii="David" w:hAnsi="David" w:hint="cs"/>
          <w:rtl/>
        </w:rPr>
        <w:t>,</w:t>
      </w:r>
      <w:r w:rsidRPr="00355307">
        <w:rPr>
          <w:rFonts w:ascii="David" w:hAnsi="David"/>
          <w:rtl/>
        </w:rPr>
        <w:t>450 יורו במזומן.</w:t>
      </w:r>
    </w:p>
    <w:p w14:paraId="5CB0F6CC" w14:textId="77777777" w:rsidR="005144DB" w:rsidRPr="00355307" w:rsidRDefault="005144DB" w:rsidP="005144DB">
      <w:pPr>
        <w:pStyle w:val="a9"/>
        <w:spacing w:line="360" w:lineRule="auto"/>
        <w:ind w:left="360"/>
        <w:jc w:val="both"/>
        <w:rPr>
          <w:rFonts w:ascii="David" w:hAnsi="David"/>
        </w:rPr>
      </w:pPr>
    </w:p>
    <w:p w14:paraId="0BF8CC6D" w14:textId="77777777" w:rsidR="005144DB" w:rsidRDefault="005144DB" w:rsidP="005144DB">
      <w:pPr>
        <w:spacing w:line="360" w:lineRule="auto"/>
        <w:jc w:val="both"/>
        <w:rPr>
          <w:rFonts w:ascii="David" w:hAnsi="David"/>
          <w:rtl/>
        </w:rPr>
      </w:pPr>
    </w:p>
    <w:p w14:paraId="62C71CAE" w14:textId="77777777" w:rsidR="005144DB" w:rsidRDefault="005144DB" w:rsidP="005144DB">
      <w:pPr>
        <w:spacing w:line="360" w:lineRule="auto"/>
        <w:jc w:val="both"/>
        <w:rPr>
          <w:rFonts w:ascii="David" w:hAnsi="David"/>
          <w:u w:val="single"/>
          <w:rtl/>
        </w:rPr>
      </w:pPr>
      <w:r w:rsidRPr="00A752DC">
        <w:rPr>
          <w:rFonts w:ascii="David" w:hAnsi="David" w:hint="cs"/>
          <w:u w:val="single"/>
          <w:rtl/>
        </w:rPr>
        <w:t>רקע עובדתי ודיוני</w:t>
      </w:r>
    </w:p>
    <w:p w14:paraId="0BA42A10" w14:textId="77777777" w:rsidR="005144DB" w:rsidRPr="00A752DC" w:rsidRDefault="005144DB" w:rsidP="005144DB">
      <w:pPr>
        <w:spacing w:line="360" w:lineRule="auto"/>
        <w:jc w:val="both"/>
        <w:rPr>
          <w:rFonts w:ascii="David" w:hAnsi="David"/>
          <w:u w:val="single"/>
          <w:rtl/>
        </w:rPr>
      </w:pPr>
    </w:p>
    <w:p w14:paraId="33EE5C0A" w14:textId="77777777" w:rsidR="005144DB" w:rsidRPr="0040100A" w:rsidRDefault="005144DB" w:rsidP="005144DB">
      <w:pPr>
        <w:pStyle w:val="a9"/>
        <w:numPr>
          <w:ilvl w:val="0"/>
          <w:numId w:val="1"/>
        </w:numPr>
        <w:spacing w:line="360" w:lineRule="auto"/>
        <w:jc w:val="both"/>
        <w:rPr>
          <w:rFonts w:ascii="David" w:hAnsi="David"/>
        </w:rPr>
      </w:pPr>
      <w:r w:rsidRPr="0040100A">
        <w:rPr>
          <w:rFonts w:ascii="David" w:hAnsi="David"/>
          <w:rtl/>
        </w:rPr>
        <w:t>תסקיר שירות המבחן שהוגש בעניינו של הנאשם</w:t>
      </w:r>
      <w:r w:rsidRPr="0040100A">
        <w:rPr>
          <w:rFonts w:ascii="David" w:hAnsi="David" w:hint="cs"/>
          <w:rtl/>
        </w:rPr>
        <w:t xml:space="preserve"> </w:t>
      </w:r>
      <w:r>
        <w:rPr>
          <w:rFonts w:ascii="David" w:hAnsi="David" w:hint="cs"/>
          <w:rtl/>
        </w:rPr>
        <w:t>-</w:t>
      </w:r>
      <w:r w:rsidRPr="0040100A">
        <w:rPr>
          <w:rFonts w:ascii="David" w:hAnsi="David" w:hint="cs"/>
          <w:rtl/>
        </w:rPr>
        <w:t xml:space="preserve"> נעדר עבר פלילי - מתאר את קורות חייו, שירותו הצבאי כלוחם, תאונת הדרכים שעבר ועוד. הנאשם תאר בפני שירות המבחן מערכת יחסים זוגית שניהל כשהתגורר במרכז הארץ, במסגרתה נהג לצרוך בקביעות עם בת הזוג סמים, לרבות </w:t>
      </w:r>
      <w:r w:rsidRPr="0040100A">
        <w:rPr>
          <w:rFonts w:ascii="David" w:hAnsi="David" w:hint="cs"/>
        </w:rPr>
        <w:t>MDMA</w:t>
      </w:r>
      <w:r w:rsidRPr="0040100A">
        <w:rPr>
          <w:rFonts w:ascii="David" w:hAnsi="David" w:hint="cs"/>
          <w:rtl/>
        </w:rPr>
        <w:t>. בעקבות מעצרו בתיק זה עזב הנאשם את מרכז הארץ ואת בת הזוג, ניתק קשרים חברתיים, ושב להתגורר בחיפה. שירות המבחן התרשם שקיים סיכון שהנאשם יחזור על מעשיו, אך סיכון זה פחת לאור השינויים שערך בחייו ומודעותו לגורמי הסיכון. שירות המבחן המליץ בסיכום להטיל ענישה צופה פני ע</w:t>
      </w:r>
      <w:r>
        <w:rPr>
          <w:rFonts w:ascii="David" w:hAnsi="David" w:hint="cs"/>
          <w:rtl/>
        </w:rPr>
        <w:t>ת</w:t>
      </w:r>
      <w:r w:rsidRPr="0040100A">
        <w:rPr>
          <w:rFonts w:ascii="David" w:hAnsi="David" w:hint="cs"/>
          <w:rtl/>
        </w:rPr>
        <w:t>יד וקנס כספי.</w:t>
      </w:r>
    </w:p>
    <w:p w14:paraId="5A4DB643" w14:textId="77777777" w:rsidR="005144DB" w:rsidRPr="00543A8E" w:rsidRDefault="005144DB" w:rsidP="005144DB">
      <w:pPr>
        <w:pStyle w:val="a9"/>
        <w:spacing w:line="360" w:lineRule="auto"/>
        <w:ind w:left="360"/>
        <w:jc w:val="both"/>
        <w:rPr>
          <w:rFonts w:ascii="David" w:hAnsi="David"/>
        </w:rPr>
      </w:pPr>
    </w:p>
    <w:p w14:paraId="7255FEE1" w14:textId="77777777" w:rsidR="005144DB" w:rsidRPr="00355307" w:rsidRDefault="005144DB" w:rsidP="005144DB">
      <w:pPr>
        <w:pStyle w:val="a9"/>
        <w:numPr>
          <w:ilvl w:val="0"/>
          <w:numId w:val="1"/>
        </w:numPr>
        <w:spacing w:line="360" w:lineRule="auto"/>
        <w:jc w:val="both"/>
        <w:rPr>
          <w:rFonts w:ascii="David" w:hAnsi="David"/>
        </w:rPr>
      </w:pPr>
      <w:r w:rsidRPr="00355307">
        <w:rPr>
          <w:rFonts w:ascii="David" w:hAnsi="David"/>
          <w:rtl/>
        </w:rPr>
        <w:t xml:space="preserve">בטיעונה לעונש עתרה המאשימה הצביעה המאשימה על מגוון סוגי הסמים שנתפסו וכמויותיהם. המאשימה שמה את הדגש על הבקבוק שהכיל </w:t>
      </w:r>
      <w:r w:rsidRPr="00355307">
        <w:rPr>
          <w:rFonts w:ascii="David" w:hAnsi="David"/>
        </w:rPr>
        <w:t>MDMA</w:t>
      </w:r>
      <w:r w:rsidRPr="00355307">
        <w:rPr>
          <w:rFonts w:ascii="David" w:hAnsi="David"/>
          <w:rtl/>
        </w:rPr>
        <w:t xml:space="preserve"> וטענה כי מדובר בכמות שוות ערך לאלפי כדורי </w:t>
      </w:r>
      <w:r w:rsidRPr="00355307">
        <w:rPr>
          <w:rFonts w:ascii="David" w:hAnsi="David"/>
        </w:rPr>
        <w:t>MDMA</w:t>
      </w:r>
      <w:r w:rsidRPr="00355307">
        <w:rPr>
          <w:rFonts w:ascii="David" w:hAnsi="David"/>
          <w:rtl/>
        </w:rPr>
        <w:t>. המאשימה ביקשה, בהתבסס על פסיקה, לקבוע מתחם ענישה של 15 עד 36 חודשי מאסר. המאשימה שללה את האפשרות לסטות ממתחם הענישה מטעמי שיקום ואמרה שיש לקחת את כל האמור בתסקיר "בעירבון מוגבל". בסופו של טיעון עתרה המאשימה לגזור את עונש מאסר "בשליש התחתון של המתחם", לצד רכיבי ענישה נלווים וכן להכריז על הנאשם כעל סוחר סמים ולחלט את הכסף התפוס.</w:t>
      </w:r>
    </w:p>
    <w:p w14:paraId="681FF612" w14:textId="77777777" w:rsidR="005144DB" w:rsidRPr="00355307" w:rsidRDefault="005144DB" w:rsidP="005144DB">
      <w:pPr>
        <w:pStyle w:val="a9"/>
        <w:rPr>
          <w:rFonts w:ascii="David" w:hAnsi="David"/>
          <w:rtl/>
        </w:rPr>
      </w:pPr>
    </w:p>
    <w:p w14:paraId="2D3005F4" w14:textId="77777777" w:rsidR="005144DB" w:rsidRPr="005F533B" w:rsidRDefault="005144DB" w:rsidP="005144DB">
      <w:pPr>
        <w:pStyle w:val="a9"/>
        <w:numPr>
          <w:ilvl w:val="0"/>
          <w:numId w:val="1"/>
        </w:numPr>
        <w:spacing w:line="360" w:lineRule="auto"/>
        <w:jc w:val="both"/>
        <w:rPr>
          <w:rFonts w:ascii="David" w:hAnsi="David"/>
        </w:rPr>
      </w:pPr>
      <w:r w:rsidRPr="005F533B">
        <w:rPr>
          <w:rFonts w:ascii="David" w:hAnsi="David"/>
          <w:rtl/>
        </w:rPr>
        <w:t xml:space="preserve">בטיעון לעונש מפי ההגנה, התברר </w:t>
      </w:r>
      <w:r w:rsidRPr="005F533B">
        <w:rPr>
          <w:rFonts w:ascii="David" w:hAnsi="David" w:hint="cs"/>
          <w:rtl/>
        </w:rPr>
        <w:t>כ</w:t>
      </w:r>
      <w:r w:rsidRPr="005F533B">
        <w:rPr>
          <w:rFonts w:ascii="David" w:hAnsi="David"/>
          <w:rtl/>
        </w:rPr>
        <w:t>י הצדדים חלוקים בנוגע ל</w:t>
      </w:r>
      <w:r w:rsidRPr="005F533B">
        <w:rPr>
          <w:rFonts w:ascii="David" w:hAnsi="David"/>
          <w:u w:val="single"/>
          <w:rtl/>
        </w:rPr>
        <w:t>היקף ההרשעה</w:t>
      </w:r>
      <w:r w:rsidRPr="005F533B">
        <w:rPr>
          <w:rFonts w:ascii="David" w:hAnsi="David"/>
          <w:rtl/>
        </w:rPr>
        <w:t xml:space="preserve"> בהתאם לעובדות כתב האישום המתוקן. הסניגור טען שעיקר החומרה שמייחסת התביעה נובע מהחזקת הבקבוק בו נתפס "נוזל בנפח 1800 מיליליטר </w:t>
      </w:r>
      <w:r w:rsidRPr="005F533B">
        <w:rPr>
          <w:rFonts w:ascii="David" w:hAnsi="David"/>
          <w:u w:val="single"/>
          <w:rtl/>
        </w:rPr>
        <w:t>המכיל</w:t>
      </w:r>
      <w:r w:rsidRPr="005F533B">
        <w:rPr>
          <w:rFonts w:ascii="David" w:hAnsi="David"/>
          <w:rtl/>
        </w:rPr>
        <w:t xml:space="preserve"> סם מסוכן מסוג </w:t>
      </w:r>
      <w:r w:rsidRPr="005F533B">
        <w:rPr>
          <w:rFonts w:ascii="David" w:hAnsi="David"/>
        </w:rPr>
        <w:t>MDMA</w:t>
      </w:r>
      <w:r w:rsidRPr="005F533B">
        <w:rPr>
          <w:rFonts w:ascii="David" w:hAnsi="David"/>
          <w:rtl/>
        </w:rPr>
        <w:t xml:space="preserve">". הסניגור טוען שניסוח זה אינו מאפשר לדעת כמה </w:t>
      </w:r>
      <w:r w:rsidRPr="005F533B">
        <w:rPr>
          <w:rFonts w:ascii="David" w:hAnsi="David"/>
        </w:rPr>
        <w:t>MDMA</w:t>
      </w:r>
      <w:r w:rsidRPr="005F533B">
        <w:rPr>
          <w:rFonts w:ascii="David" w:hAnsi="David"/>
          <w:rtl/>
        </w:rPr>
        <w:t xml:space="preserve"> הכיל הנוזל, ולכן אין לייחס ל</w:t>
      </w:r>
      <w:r w:rsidRPr="005F533B">
        <w:rPr>
          <w:rFonts w:ascii="David" w:hAnsi="David" w:hint="cs"/>
          <w:rtl/>
        </w:rPr>
        <w:t>נאשם</w:t>
      </w:r>
      <w:r w:rsidRPr="005F533B">
        <w:rPr>
          <w:rFonts w:ascii="David" w:hAnsi="David"/>
          <w:rtl/>
        </w:rPr>
        <w:t xml:space="preserve"> בשום אופן החזקת כמות השקולה לאלפי מנות סם כפי שטענה התובעת – בהתבסס על הנחה מובלעת שמדובר בחומר טהור – אלא יש להניח לטובתו, בהיעדר הוכחה לסתור</w:t>
      </w:r>
      <w:r w:rsidRPr="005F533B">
        <w:rPr>
          <w:rFonts w:ascii="David" w:hAnsi="David" w:hint="cs"/>
          <w:rtl/>
        </w:rPr>
        <w:t>,</w:t>
      </w:r>
      <w:r w:rsidRPr="005F533B">
        <w:rPr>
          <w:rFonts w:ascii="David" w:hAnsi="David"/>
          <w:rtl/>
        </w:rPr>
        <w:t xml:space="preserve"> כי מדובר בכמות מזערית של </w:t>
      </w:r>
      <w:r w:rsidRPr="005F533B">
        <w:rPr>
          <w:rFonts w:ascii="David" w:hAnsi="David"/>
        </w:rPr>
        <w:lastRenderedPageBreak/>
        <w:t>MDMA</w:t>
      </w:r>
      <w:r w:rsidRPr="005F533B">
        <w:rPr>
          <w:rFonts w:ascii="David" w:hAnsi="David"/>
          <w:rtl/>
        </w:rPr>
        <w:t>, מדולל במים. בהתבסס על תשתית עובדתית זו ביקש הסניגור לקבוע מתחם ענישה שתחילתו ב-9 חודשי עבודות שירות. הסניגור עתר לגזור עונש לריצוי בעבודות שירות, בין אם כרף תחתון של המתחם לו עתר ובין אם כסטייה לקולא מטעמי שיקום ממתחם מחמיר יותר – נוכח ממצאי תסקיר שירות המבחן. לבסוף גרס הסניגור שלא הוכח כי הנאשם סוחר סמים ולכן יש לדחות את עתירת המאשימה להכריז עליו ככזה ולחלט רכושו.</w:t>
      </w:r>
    </w:p>
    <w:p w14:paraId="26612D52" w14:textId="77777777" w:rsidR="005144DB" w:rsidRPr="00355307" w:rsidRDefault="005144DB" w:rsidP="005144DB">
      <w:pPr>
        <w:pStyle w:val="a9"/>
        <w:spacing w:line="360" w:lineRule="auto"/>
        <w:ind w:left="360"/>
        <w:jc w:val="both"/>
        <w:rPr>
          <w:rFonts w:ascii="David" w:hAnsi="David"/>
        </w:rPr>
      </w:pPr>
    </w:p>
    <w:p w14:paraId="791467CB" w14:textId="77777777" w:rsidR="005144DB" w:rsidRDefault="005144DB" w:rsidP="005144DB">
      <w:pPr>
        <w:spacing w:line="360" w:lineRule="auto"/>
        <w:jc w:val="both"/>
        <w:rPr>
          <w:rFonts w:ascii="David" w:hAnsi="David"/>
          <w:u w:val="single"/>
          <w:rtl/>
        </w:rPr>
      </w:pPr>
    </w:p>
    <w:p w14:paraId="1EDEE21D" w14:textId="77777777" w:rsidR="005144DB" w:rsidRDefault="005144DB" w:rsidP="005144DB">
      <w:pPr>
        <w:spacing w:line="360" w:lineRule="auto"/>
        <w:jc w:val="both"/>
        <w:rPr>
          <w:rFonts w:ascii="David" w:hAnsi="David"/>
          <w:u w:val="single"/>
          <w:rtl/>
        </w:rPr>
      </w:pPr>
    </w:p>
    <w:p w14:paraId="679546AD" w14:textId="77777777" w:rsidR="005144DB" w:rsidRDefault="005144DB" w:rsidP="005144DB">
      <w:pPr>
        <w:spacing w:line="360" w:lineRule="auto"/>
        <w:jc w:val="both"/>
        <w:rPr>
          <w:rFonts w:ascii="David" w:hAnsi="David"/>
          <w:u w:val="single"/>
          <w:rtl/>
        </w:rPr>
      </w:pPr>
    </w:p>
    <w:p w14:paraId="64C55A60" w14:textId="77777777" w:rsidR="005144DB" w:rsidRDefault="005144DB" w:rsidP="005144DB">
      <w:pPr>
        <w:spacing w:line="360" w:lineRule="auto"/>
        <w:jc w:val="both"/>
        <w:rPr>
          <w:rFonts w:ascii="David" w:hAnsi="David"/>
          <w:u w:val="single"/>
          <w:rtl/>
        </w:rPr>
      </w:pPr>
    </w:p>
    <w:p w14:paraId="0228F490" w14:textId="77777777" w:rsidR="005144DB" w:rsidRDefault="005144DB" w:rsidP="005144DB">
      <w:pPr>
        <w:spacing w:line="360" w:lineRule="auto"/>
        <w:jc w:val="both"/>
        <w:rPr>
          <w:rFonts w:ascii="David" w:hAnsi="David"/>
          <w:u w:val="single"/>
          <w:rtl/>
        </w:rPr>
      </w:pPr>
    </w:p>
    <w:p w14:paraId="783AEA10" w14:textId="77777777" w:rsidR="005144DB" w:rsidRPr="00A752DC" w:rsidRDefault="005144DB" w:rsidP="005144DB">
      <w:pPr>
        <w:spacing w:line="360" w:lineRule="auto"/>
        <w:jc w:val="both"/>
        <w:rPr>
          <w:rFonts w:ascii="David" w:hAnsi="David"/>
          <w:u w:val="single"/>
        </w:rPr>
      </w:pPr>
      <w:r w:rsidRPr="00A752DC">
        <w:rPr>
          <w:rFonts w:ascii="David" w:hAnsi="David" w:hint="cs"/>
          <w:u w:val="single"/>
          <w:rtl/>
        </w:rPr>
        <w:t>המחלוקת לגבי החזקת הנוזל ומשמעותה העונשית</w:t>
      </w:r>
    </w:p>
    <w:p w14:paraId="07325909" w14:textId="77777777" w:rsidR="005144DB" w:rsidRPr="005F533B" w:rsidRDefault="005144DB" w:rsidP="005144DB">
      <w:pPr>
        <w:pStyle w:val="a9"/>
        <w:rPr>
          <w:rFonts w:ascii="David" w:hAnsi="David"/>
          <w:rtl/>
        </w:rPr>
      </w:pPr>
    </w:p>
    <w:p w14:paraId="318E63FF" w14:textId="77777777" w:rsidR="005144DB" w:rsidRDefault="005144DB" w:rsidP="005144DB">
      <w:pPr>
        <w:pStyle w:val="a9"/>
        <w:numPr>
          <w:ilvl w:val="0"/>
          <w:numId w:val="1"/>
        </w:numPr>
        <w:spacing w:line="360" w:lineRule="auto"/>
        <w:jc w:val="both"/>
        <w:rPr>
          <w:rFonts w:ascii="David" w:hAnsi="David"/>
        </w:rPr>
      </w:pPr>
      <w:r w:rsidRPr="00355307">
        <w:rPr>
          <w:rFonts w:ascii="David" w:hAnsi="David"/>
          <w:rtl/>
        </w:rPr>
        <w:t xml:space="preserve">הנוזל המכיל </w:t>
      </w:r>
      <w:r w:rsidRPr="00355307">
        <w:rPr>
          <w:rFonts w:ascii="David" w:hAnsi="David"/>
        </w:rPr>
        <w:t>MDMA</w:t>
      </w:r>
      <w:r w:rsidRPr="00355307">
        <w:rPr>
          <w:rFonts w:ascii="David" w:hAnsi="David"/>
          <w:rtl/>
        </w:rPr>
        <w:t xml:space="preserve"> עומד בבסיס עתירתה העונשית המחמירה של המאשימה, ולפיכך יש להכריע תחילה מה משמעות הודאתו של הנאשם בפרט זה בכתב האישום. כזכור, הודה הנאשם שהחזיק ב"נוזל בנפח 1800 מ"ל המכיל סם מסוכן מסוג </w:t>
      </w:r>
      <w:r w:rsidRPr="00355307">
        <w:rPr>
          <w:rFonts w:ascii="David" w:hAnsi="David"/>
        </w:rPr>
        <w:t>MDMA</w:t>
      </w:r>
      <w:r w:rsidRPr="00355307">
        <w:rPr>
          <w:rFonts w:ascii="David" w:hAnsi="David"/>
          <w:rtl/>
        </w:rPr>
        <w:t>".</w:t>
      </w:r>
    </w:p>
    <w:p w14:paraId="3E9EEA2E" w14:textId="77777777" w:rsidR="005144DB" w:rsidRPr="00A31967" w:rsidRDefault="005144DB" w:rsidP="005144DB">
      <w:pPr>
        <w:pStyle w:val="a9"/>
        <w:rPr>
          <w:rFonts w:ascii="David" w:hAnsi="David"/>
          <w:color w:val="000000"/>
          <w:rtl/>
        </w:rPr>
      </w:pPr>
    </w:p>
    <w:p w14:paraId="718AB78E" w14:textId="77777777" w:rsidR="005144DB" w:rsidRPr="005F533B" w:rsidRDefault="005144DB" w:rsidP="005144DB">
      <w:pPr>
        <w:pStyle w:val="a9"/>
        <w:numPr>
          <w:ilvl w:val="0"/>
          <w:numId w:val="1"/>
        </w:numPr>
        <w:spacing w:line="360" w:lineRule="auto"/>
        <w:jc w:val="both"/>
        <w:rPr>
          <w:rFonts w:ascii="David" w:hAnsi="David"/>
        </w:rPr>
      </w:pPr>
      <w:r w:rsidRPr="00A31967">
        <w:rPr>
          <w:rFonts w:ascii="David" w:hAnsi="David"/>
          <w:color w:val="000000"/>
          <w:rtl/>
        </w:rPr>
        <w:t xml:space="preserve">"סם מסוכן" מוגדר </w:t>
      </w:r>
      <w:hyperlink r:id="rId16" w:history="1">
        <w:r w:rsidR="00E86B2D" w:rsidRPr="00E86B2D">
          <w:rPr>
            <w:rStyle w:val="Hyperlink"/>
            <w:rFonts w:ascii="David" w:hAnsi="David"/>
            <w:rtl/>
          </w:rPr>
          <w:t>בסעיף 1</w:t>
        </w:r>
      </w:hyperlink>
      <w:r w:rsidRPr="00A31967">
        <w:rPr>
          <w:rFonts w:ascii="David" w:hAnsi="David"/>
          <w:color w:val="000000"/>
          <w:rtl/>
        </w:rPr>
        <w:t xml:space="preserve"> לפקודה – "חומר מן המפורטים בתוספת הראשונה לרבות כל מלח שלו, וכן כל תכשיר, תרכובת, </w:t>
      </w:r>
      <w:r w:rsidRPr="00A31967">
        <w:rPr>
          <w:rFonts w:ascii="David" w:hAnsi="David"/>
          <w:b/>
          <w:bCs/>
          <w:color w:val="000000"/>
          <w:u w:val="single"/>
          <w:rtl/>
        </w:rPr>
        <w:t>תערובת או תמיסה של חומר כאמור</w:t>
      </w:r>
      <w:r w:rsidRPr="00A31967">
        <w:rPr>
          <w:rFonts w:ascii="David" w:hAnsi="David"/>
          <w:color w:val="000000"/>
          <w:rtl/>
        </w:rPr>
        <w:t xml:space="preserve"> ומלחיהם".</w:t>
      </w:r>
      <w:r w:rsidRPr="00A31967">
        <w:rPr>
          <w:rFonts w:ascii="David" w:hAnsi="David" w:hint="cs"/>
          <w:color w:val="000000"/>
          <w:rtl/>
        </w:rPr>
        <w:t xml:space="preserve"> </w:t>
      </w:r>
    </w:p>
    <w:p w14:paraId="71B0C269" w14:textId="77777777" w:rsidR="005144DB" w:rsidRPr="005F533B" w:rsidRDefault="005144DB" w:rsidP="005144DB">
      <w:pPr>
        <w:pStyle w:val="a9"/>
        <w:rPr>
          <w:rFonts w:ascii="David" w:hAnsi="David"/>
          <w:color w:val="000000"/>
          <w:rtl/>
        </w:rPr>
      </w:pPr>
    </w:p>
    <w:p w14:paraId="251F31DA" w14:textId="77777777" w:rsidR="005144DB" w:rsidRDefault="005144DB" w:rsidP="005144DB">
      <w:pPr>
        <w:pStyle w:val="a9"/>
        <w:spacing w:line="360" w:lineRule="auto"/>
        <w:ind w:left="360"/>
        <w:jc w:val="both"/>
        <w:rPr>
          <w:rFonts w:ascii="David" w:hAnsi="David"/>
          <w:rtl/>
        </w:rPr>
      </w:pPr>
      <w:r w:rsidRPr="00A31967">
        <w:rPr>
          <w:rFonts w:ascii="David" w:hAnsi="David" w:hint="cs"/>
          <w:color w:val="000000"/>
          <w:rtl/>
        </w:rPr>
        <w:t>בהתאם להגדרה זו, אין המאשימה חייבת להוכיח את ריכוזה של התמיסה במקרה של סם בתצורה נוזלית. רוצה לומר: לו ה</w:t>
      </w:r>
      <w:r>
        <w:rPr>
          <w:rFonts w:ascii="David" w:hAnsi="David" w:hint="cs"/>
          <w:color w:val="000000"/>
          <w:rtl/>
        </w:rPr>
        <w:t>י</w:t>
      </w:r>
      <w:r w:rsidRPr="00A31967">
        <w:rPr>
          <w:rFonts w:ascii="David" w:hAnsi="David" w:hint="cs"/>
          <w:color w:val="000000"/>
          <w:rtl/>
        </w:rPr>
        <w:t xml:space="preserve">יתה התביעה </w:t>
      </w:r>
      <w:r>
        <w:rPr>
          <w:rFonts w:ascii="David" w:hAnsi="David" w:hint="cs"/>
          <w:color w:val="000000"/>
          <w:rtl/>
        </w:rPr>
        <w:t>מייחסת לנאשם ב</w:t>
      </w:r>
      <w:r w:rsidRPr="00A31967">
        <w:rPr>
          <w:rFonts w:ascii="David" w:hAnsi="David" w:hint="cs"/>
          <w:color w:val="000000"/>
          <w:rtl/>
        </w:rPr>
        <w:t xml:space="preserve">כתב האישום </w:t>
      </w:r>
      <w:r>
        <w:rPr>
          <w:rFonts w:ascii="David" w:hAnsi="David" w:hint="cs"/>
          <w:color w:val="000000"/>
          <w:rtl/>
        </w:rPr>
        <w:t xml:space="preserve">החזקה של </w:t>
      </w:r>
      <w:r w:rsidRPr="00A31967">
        <w:rPr>
          <w:rFonts w:ascii="David" w:hAnsi="David" w:hint="cs"/>
          <w:color w:val="000000"/>
          <w:rtl/>
        </w:rPr>
        <w:t>"</w:t>
      </w:r>
      <w:r w:rsidRPr="00A31967">
        <w:rPr>
          <w:rFonts w:ascii="David" w:hAnsi="David"/>
          <w:b/>
          <w:bCs/>
          <w:u w:val="single"/>
          <w:rtl/>
        </w:rPr>
        <w:t>סם</w:t>
      </w:r>
      <w:r w:rsidRPr="00A31967">
        <w:rPr>
          <w:rFonts w:ascii="David" w:hAnsi="David"/>
          <w:u w:val="single"/>
          <w:rtl/>
        </w:rPr>
        <w:t xml:space="preserve"> מסוכן מסוג </w:t>
      </w:r>
      <w:r w:rsidRPr="00A31967">
        <w:rPr>
          <w:rFonts w:ascii="David" w:hAnsi="David"/>
          <w:u w:val="single"/>
        </w:rPr>
        <w:t>MDMA</w:t>
      </w:r>
      <w:r>
        <w:rPr>
          <w:rFonts w:ascii="David" w:hAnsi="David" w:hint="cs"/>
          <w:rtl/>
        </w:rPr>
        <w:t xml:space="preserve"> במצב צבירה נוזלי בנפח 1.8 ליטר", והנאשם היה מודה בעובדה זו </w:t>
      </w:r>
      <w:r>
        <w:rPr>
          <w:rFonts w:ascii="David" w:hAnsi="David"/>
          <w:rtl/>
        </w:rPr>
        <w:t>–</w:t>
      </w:r>
      <w:r>
        <w:rPr>
          <w:rFonts w:ascii="David" w:hAnsi="David" w:hint="cs"/>
          <w:rtl/>
        </w:rPr>
        <w:t xml:space="preserve"> ניתן היה לקבוע שהנאשם החזיק בסם מסוכן במלוא כמות הנוזל, ולמצער היה הנטל עובר לנאשם להראות באיזו כמות סם מסוכן החזיק בפועל</w:t>
      </w:r>
      <w:r w:rsidRPr="00A31967">
        <w:rPr>
          <w:rFonts w:ascii="David" w:hAnsi="David"/>
          <w:rtl/>
        </w:rPr>
        <w:t>.</w:t>
      </w:r>
      <w:r>
        <w:rPr>
          <w:rFonts w:ascii="David" w:hAnsi="David" w:hint="cs"/>
          <w:rtl/>
        </w:rPr>
        <w:t xml:space="preserve"> </w:t>
      </w:r>
    </w:p>
    <w:p w14:paraId="38C84DD7" w14:textId="77777777" w:rsidR="005144DB" w:rsidRDefault="005144DB" w:rsidP="005144DB">
      <w:pPr>
        <w:pStyle w:val="a9"/>
        <w:spacing w:line="360" w:lineRule="auto"/>
        <w:ind w:left="360"/>
        <w:jc w:val="both"/>
        <w:rPr>
          <w:rFonts w:ascii="David" w:hAnsi="David"/>
          <w:rtl/>
        </w:rPr>
      </w:pPr>
    </w:p>
    <w:p w14:paraId="775EFC2E" w14:textId="77777777" w:rsidR="005144DB" w:rsidRDefault="005144DB" w:rsidP="005144DB">
      <w:pPr>
        <w:pStyle w:val="a9"/>
        <w:spacing w:line="360" w:lineRule="auto"/>
        <w:ind w:left="360"/>
        <w:jc w:val="both"/>
        <w:rPr>
          <w:rFonts w:ascii="David" w:hAnsi="David"/>
        </w:rPr>
      </w:pPr>
      <w:r>
        <w:rPr>
          <w:rFonts w:ascii="David" w:hAnsi="David" w:hint="cs"/>
          <w:rtl/>
        </w:rPr>
        <w:t xml:space="preserve">מנגד, כאשר הוגדר החומר בו החזיק הנאשם באופן שהוגדר </w:t>
      </w:r>
      <w:r>
        <w:rPr>
          <w:rFonts w:ascii="David" w:hAnsi="David"/>
          <w:rtl/>
        </w:rPr>
        <w:t>–</w:t>
      </w:r>
      <w:r>
        <w:rPr>
          <w:rFonts w:ascii="David" w:hAnsi="David" w:hint="cs"/>
          <w:rtl/>
        </w:rPr>
        <w:t xml:space="preserve"> נוצר ספק מובנה ביחס לשיעור הסם המסוכן בתמיסה ונשמטה האפשרות להיאחז בהגדרה הגורפת של "סם מסוכן". בהיעדר כל אינדיקציה לגבי כמות ה-</w:t>
      </w:r>
      <w:r>
        <w:rPr>
          <w:rFonts w:ascii="David" w:hAnsi="David" w:hint="cs"/>
        </w:rPr>
        <w:t>MDMA</w:t>
      </w:r>
      <w:r>
        <w:rPr>
          <w:rFonts w:ascii="David" w:hAnsi="David" w:hint="cs"/>
          <w:rtl/>
        </w:rPr>
        <w:t xml:space="preserve"> בתמיסה, אין לי אלא להתחשב באפשרות שמדובר בכמות זניחה, שאינה יכולה להשפיע מהותית על מידת העונש. ברי כי מידת האשם של מי שהחזיק תמיסה מימית עם כמות סם זניחה אינה דומה למידת האשם של מי שהחזיק </w:t>
      </w:r>
      <w:r>
        <w:rPr>
          <w:rFonts w:ascii="David" w:hAnsi="David" w:hint="cs"/>
        </w:rPr>
        <w:t>MDMA</w:t>
      </w:r>
      <w:r>
        <w:rPr>
          <w:rFonts w:ascii="David" w:hAnsi="David" w:hint="cs"/>
          <w:rtl/>
        </w:rPr>
        <w:t xml:space="preserve"> טהור בכמות השקולה לאלפי מנות סם (לעניין "יחס ההמרה" בין </w:t>
      </w:r>
      <w:r>
        <w:rPr>
          <w:rFonts w:ascii="David" w:hAnsi="David"/>
        </w:rPr>
        <w:t>MDMA</w:t>
      </w:r>
      <w:r>
        <w:rPr>
          <w:rFonts w:ascii="David" w:hAnsi="David" w:hint="cs"/>
          <w:rtl/>
        </w:rPr>
        <w:t xml:space="preserve"> נוזלי למוצק ר' ת"פ (מחוזי מרכז) 28805-09-17 </w:t>
      </w:r>
      <w:r w:rsidRPr="00ED0928">
        <w:rPr>
          <w:rFonts w:ascii="David" w:hAnsi="David" w:hint="cs"/>
          <w:b/>
          <w:bCs/>
          <w:rtl/>
        </w:rPr>
        <w:t>מדינת ישראל נ' גושקביץ</w:t>
      </w:r>
      <w:r>
        <w:rPr>
          <w:rFonts w:ascii="David" w:hAnsi="David" w:hint="cs"/>
          <w:rtl/>
        </w:rPr>
        <w:t xml:space="preserve">, 26.4.18, פסקה 11 לגזר הדין). </w:t>
      </w:r>
    </w:p>
    <w:p w14:paraId="11FD7111" w14:textId="77777777" w:rsidR="005144DB" w:rsidRPr="009161F9" w:rsidRDefault="005144DB" w:rsidP="005144DB">
      <w:pPr>
        <w:pStyle w:val="a9"/>
        <w:rPr>
          <w:rFonts w:ascii="David" w:hAnsi="David"/>
          <w:rtl/>
        </w:rPr>
      </w:pPr>
    </w:p>
    <w:p w14:paraId="42E7527F" w14:textId="77777777" w:rsidR="005144DB" w:rsidRDefault="005144DB" w:rsidP="005144DB">
      <w:pPr>
        <w:pStyle w:val="a9"/>
        <w:numPr>
          <w:ilvl w:val="0"/>
          <w:numId w:val="1"/>
        </w:numPr>
        <w:spacing w:line="360" w:lineRule="auto"/>
        <w:jc w:val="both"/>
        <w:rPr>
          <w:rFonts w:ascii="David" w:hAnsi="David"/>
        </w:rPr>
      </w:pPr>
      <w:r w:rsidRPr="0092655E">
        <w:rPr>
          <w:rFonts w:ascii="David" w:hAnsi="David" w:hint="cs"/>
          <w:rtl/>
        </w:rPr>
        <w:t xml:space="preserve">אכן, נקבע בפסיקה כי ניתן לעיתים לייחס החזקה של סם מסוכן שהוא חלק מתערובת ללא הוכחה פורנזית של ריכוז הסם. כך למשל, כאשר אדם הסליק חבילות של חומר אבקתי לבן והבריחן לישראל, ולאחר מכן מכר מנות מתוך אותו חומר </w:t>
      </w:r>
      <w:r w:rsidRPr="0092655E">
        <w:rPr>
          <w:rFonts w:ascii="David" w:hAnsi="David"/>
          <w:rtl/>
        </w:rPr>
        <w:t>–</w:t>
      </w:r>
      <w:r w:rsidRPr="0092655E">
        <w:rPr>
          <w:rFonts w:ascii="David" w:hAnsi="David" w:hint="cs"/>
          <w:rtl/>
        </w:rPr>
        <w:t xml:space="preserve"> ניתן להניח על סמך הראיות שהחומר כולו בבחינת סם (ר' והשווה למשל, </w:t>
      </w:r>
      <w:hyperlink r:id="rId17" w:history="1">
        <w:r w:rsidR="00411F1A" w:rsidRPr="00411F1A">
          <w:rPr>
            <w:rFonts w:ascii="David" w:hAnsi="David"/>
            <w:color w:val="0000FF"/>
            <w:u w:val="single"/>
            <w:rtl/>
          </w:rPr>
          <w:t>ע"פ 387/83</w:t>
        </w:r>
      </w:hyperlink>
      <w:r w:rsidRPr="0092655E">
        <w:rPr>
          <w:rFonts w:ascii="David" w:hAnsi="David" w:hint="cs"/>
          <w:rtl/>
        </w:rPr>
        <w:t xml:space="preserve"> </w:t>
      </w:r>
      <w:r w:rsidRPr="0092655E">
        <w:rPr>
          <w:rFonts w:ascii="David" w:hAnsi="David"/>
          <w:cs/>
        </w:rPr>
        <w:t>‎</w:t>
      </w:r>
      <w:r w:rsidRPr="0092655E">
        <w:rPr>
          <w:rFonts w:ascii="David" w:hAnsi="David"/>
          <w:b/>
          <w:bCs/>
          <w:rtl/>
        </w:rPr>
        <w:t>מדינת ישראל</w:t>
      </w:r>
      <w:r w:rsidRPr="0092655E">
        <w:rPr>
          <w:rFonts w:ascii="David" w:hAnsi="David"/>
          <w:b/>
          <w:bCs/>
          <w:cs/>
        </w:rPr>
        <w:t>‎</w:t>
      </w:r>
      <w:r w:rsidRPr="0092655E">
        <w:rPr>
          <w:rFonts w:ascii="David" w:hAnsi="David"/>
          <w:b/>
          <w:bCs/>
        </w:rPr>
        <w:t xml:space="preserve"> </w:t>
      </w:r>
      <w:r w:rsidRPr="0092655E">
        <w:rPr>
          <w:rFonts w:ascii="David" w:hAnsi="David"/>
          <w:b/>
          <w:bCs/>
          <w:cs/>
        </w:rPr>
        <w:t>‎</w:t>
      </w:r>
      <w:r w:rsidRPr="0092655E">
        <w:rPr>
          <w:rFonts w:ascii="David" w:hAnsi="David"/>
          <w:b/>
          <w:bCs/>
          <w:rtl/>
        </w:rPr>
        <w:t>נ' דרור יהודאי</w:t>
      </w:r>
      <w:r w:rsidRPr="0092655E">
        <w:rPr>
          <w:rFonts w:ascii="David" w:hAnsi="David"/>
          <w:rtl/>
        </w:rPr>
        <w:t>, פ''ד לט(4) 197</w:t>
      </w:r>
      <w:r w:rsidRPr="0092655E">
        <w:rPr>
          <w:rFonts w:ascii="David" w:hAnsi="David" w:hint="cs"/>
          <w:rtl/>
        </w:rPr>
        <w:t xml:space="preserve">, </w:t>
      </w:r>
      <w:hyperlink r:id="rId18" w:history="1">
        <w:r w:rsidR="00411F1A" w:rsidRPr="00411F1A">
          <w:rPr>
            <w:rFonts w:ascii="David" w:hAnsi="David"/>
            <w:color w:val="0000FF"/>
            <w:u w:val="single"/>
            <w:rtl/>
          </w:rPr>
          <w:t>ע"פ 4763/11</w:t>
        </w:r>
      </w:hyperlink>
      <w:r w:rsidR="00411F1A">
        <w:rPr>
          <w:rFonts w:ascii="David" w:hAnsi="David"/>
          <w:rtl/>
        </w:rPr>
        <w:t xml:space="preserve"> </w:t>
      </w:r>
      <w:r w:rsidRPr="0092655E">
        <w:rPr>
          <w:rFonts w:ascii="David" w:hAnsi="David"/>
          <w:b/>
          <w:bCs/>
          <w:rtl/>
        </w:rPr>
        <w:t>מנוצהר יעקובי נ' מדינת ישראל</w:t>
      </w:r>
      <w:r w:rsidRPr="0092655E">
        <w:rPr>
          <w:rFonts w:ascii="David" w:hAnsi="David" w:hint="cs"/>
          <w:rtl/>
        </w:rPr>
        <w:t xml:space="preserve">), זאת בשל ההנחה המתבקשת שאדם אינו טורח ומסתכן באופרציה הכרוכה בהברחת כמויות </w:t>
      </w:r>
      <w:r>
        <w:rPr>
          <w:rFonts w:ascii="David" w:hAnsi="David" w:hint="cs"/>
          <w:rtl/>
        </w:rPr>
        <w:t xml:space="preserve">גדולות של חומר לישראל, </w:t>
      </w:r>
      <w:r w:rsidRPr="0092655E">
        <w:rPr>
          <w:rFonts w:ascii="David" w:hAnsi="David" w:hint="cs"/>
          <w:rtl/>
        </w:rPr>
        <w:t xml:space="preserve">כאשר אין המדובר בחומר שניתן כולו להפצה כ"סם", ולכן </w:t>
      </w:r>
      <w:r w:rsidRPr="0092655E">
        <w:rPr>
          <w:rFonts w:ascii="David" w:hAnsi="David"/>
          <w:rtl/>
        </w:rPr>
        <w:t>חזקה היא שסם מיובא הוא בריכוז שעשה אותו ראוי למסחר</w:t>
      </w:r>
      <w:r w:rsidRPr="0092655E">
        <w:rPr>
          <w:rFonts w:ascii="David" w:hAnsi="David" w:hint="cs"/>
          <w:rtl/>
        </w:rPr>
        <w:t xml:space="preserve">. בענייננו הסמים הוחזקו בביתו של הנאשם, ובהיעדר בירור עובדתי </w:t>
      </w:r>
      <w:r>
        <w:rPr>
          <w:rFonts w:ascii="David" w:hAnsi="David" w:hint="cs"/>
          <w:rtl/>
        </w:rPr>
        <w:t xml:space="preserve">ממצה </w:t>
      </w:r>
      <w:r w:rsidRPr="0092655E">
        <w:rPr>
          <w:rFonts w:ascii="David" w:hAnsi="David" w:hint="cs"/>
          <w:rtl/>
        </w:rPr>
        <w:t xml:space="preserve">של נסיבות </w:t>
      </w:r>
      <w:r>
        <w:rPr>
          <w:rFonts w:ascii="David" w:hAnsi="David" w:hint="cs"/>
          <w:rtl/>
        </w:rPr>
        <w:t xml:space="preserve">ההחזקה, </w:t>
      </w:r>
      <w:r w:rsidRPr="0092655E">
        <w:rPr>
          <w:rFonts w:ascii="David" w:hAnsi="David" w:hint="cs"/>
          <w:rtl/>
        </w:rPr>
        <w:t xml:space="preserve">סבורני כי לא ניתן לא לעשות שימוש בחזקות עובדתיות מעין אלה.    </w:t>
      </w:r>
    </w:p>
    <w:p w14:paraId="3F54AA41" w14:textId="77777777" w:rsidR="005144DB" w:rsidRPr="0092655E" w:rsidRDefault="005144DB" w:rsidP="005144DB">
      <w:pPr>
        <w:pStyle w:val="a9"/>
        <w:rPr>
          <w:rFonts w:ascii="David" w:hAnsi="David"/>
          <w:rtl/>
        </w:rPr>
      </w:pPr>
    </w:p>
    <w:p w14:paraId="2E144A78" w14:textId="77777777" w:rsidR="005144DB" w:rsidRDefault="005144DB" w:rsidP="005144DB">
      <w:pPr>
        <w:pStyle w:val="a9"/>
        <w:numPr>
          <w:ilvl w:val="0"/>
          <w:numId w:val="1"/>
        </w:numPr>
        <w:spacing w:line="360" w:lineRule="auto"/>
        <w:jc w:val="both"/>
        <w:rPr>
          <w:rFonts w:ascii="David" w:hAnsi="David"/>
        </w:rPr>
      </w:pPr>
      <w:r w:rsidRPr="00893A9C">
        <w:rPr>
          <w:rFonts w:ascii="David" w:hAnsi="David" w:hint="cs"/>
          <w:rtl/>
        </w:rPr>
        <w:t xml:space="preserve">כאסמכתא נוספת אפנה לנספח א' הנחיית פרקליט המדינה 1.6 (תאריך עדכון אחרון 8.9.19), שעניינו חלוקת תיקי סמים על ידי המאשימה בין בית משפט השלום למחוזי לפי </w:t>
      </w:r>
      <w:r w:rsidR="0058034E" w:rsidRPr="0058034E">
        <w:rPr>
          <w:rFonts w:ascii="David" w:hAnsi="David" w:hint="eastAsia"/>
          <w:rtl/>
        </w:rPr>
        <w:t>סעיף</w:t>
      </w:r>
      <w:r w:rsidR="0058034E" w:rsidRPr="0058034E">
        <w:rPr>
          <w:rFonts w:ascii="David" w:hAnsi="David"/>
          <w:rtl/>
        </w:rPr>
        <w:t xml:space="preserve"> 51</w:t>
      </w:r>
      <w:r w:rsidR="0058034E" w:rsidRPr="0058034E">
        <w:rPr>
          <w:rFonts w:ascii="David" w:hAnsi="David"/>
          <w:rtl/>
        </w:rPr>
        <w:t>(</w:t>
      </w:r>
      <w:r w:rsidR="0058034E" w:rsidRPr="0058034E">
        <w:rPr>
          <w:rFonts w:ascii="David" w:hAnsi="David"/>
          <w:rtl/>
        </w:rPr>
        <w:t>א)(1)(ב).</w:t>
      </w:r>
      <w:r w:rsidRPr="00893A9C">
        <w:rPr>
          <w:rFonts w:ascii="David" w:hAnsi="David" w:hint="cs"/>
          <w:rtl/>
        </w:rPr>
        <w:t xml:space="preserve"> לפני הנחיה זו כתבי אישום על החזקת </w:t>
      </w:r>
      <w:r w:rsidRPr="00893A9C">
        <w:rPr>
          <w:rFonts w:ascii="David" w:hAnsi="David" w:hint="cs"/>
        </w:rPr>
        <w:t>MDMA</w:t>
      </w:r>
      <w:r w:rsidRPr="00893A9C">
        <w:rPr>
          <w:rFonts w:ascii="David" w:hAnsi="David" w:hint="cs"/>
          <w:rtl/>
        </w:rPr>
        <w:t xml:space="preserve"> בכמות העולה על 500 גרם/מ"ל יוגשו לבית המשפט </w:t>
      </w:r>
      <w:r w:rsidRPr="00893A9C">
        <w:rPr>
          <w:rFonts w:ascii="David" w:hAnsi="David" w:hint="cs"/>
          <w:u w:val="single"/>
          <w:rtl/>
        </w:rPr>
        <w:t>המחוזי</w:t>
      </w:r>
      <w:r w:rsidRPr="00893A9C">
        <w:rPr>
          <w:rFonts w:ascii="David" w:hAnsi="David" w:hint="cs"/>
          <w:rtl/>
        </w:rPr>
        <w:t>. כמובן ש</w:t>
      </w:r>
      <w:r>
        <w:rPr>
          <w:rFonts w:ascii="David" w:hAnsi="David" w:hint="cs"/>
          <w:rtl/>
        </w:rPr>
        <w:t xml:space="preserve">עניין דיוני זה אינו מהווה </w:t>
      </w:r>
      <w:r w:rsidRPr="00893A9C">
        <w:rPr>
          <w:rFonts w:ascii="David" w:hAnsi="David" w:hint="cs"/>
          <w:rtl/>
        </w:rPr>
        <w:t>אינדיקציה לכמות הסם שהחזיק הנאשם, אך ניתן להניח ב</w:t>
      </w:r>
      <w:r>
        <w:rPr>
          <w:rFonts w:ascii="David" w:hAnsi="David" w:hint="cs"/>
          <w:rtl/>
        </w:rPr>
        <w:t>ז</w:t>
      </w:r>
      <w:r w:rsidRPr="00893A9C">
        <w:rPr>
          <w:rFonts w:ascii="David" w:hAnsi="David" w:hint="cs"/>
          <w:rtl/>
        </w:rPr>
        <w:t xml:space="preserve">הירות הנדרשת, </w:t>
      </w:r>
      <w:r>
        <w:rPr>
          <w:rFonts w:ascii="David" w:hAnsi="David" w:hint="cs"/>
          <w:rtl/>
        </w:rPr>
        <w:t xml:space="preserve">ותחת החזקה שרשות מנהלית פועלת בשוויון ועל פי הנחיותיה שלה, </w:t>
      </w:r>
      <w:r w:rsidRPr="00893A9C">
        <w:rPr>
          <w:rFonts w:ascii="David" w:hAnsi="David" w:hint="cs"/>
          <w:rtl/>
        </w:rPr>
        <w:t>שגם המאשימה לא סברה כי מדובר בענייננו במי ש</w:t>
      </w:r>
      <w:r>
        <w:rPr>
          <w:rFonts w:ascii="David" w:hAnsi="David" w:hint="cs"/>
          <w:rtl/>
        </w:rPr>
        <w:t xml:space="preserve">ניתן להוכיח כי </w:t>
      </w:r>
      <w:r w:rsidRPr="00893A9C">
        <w:rPr>
          <w:rFonts w:ascii="David" w:hAnsi="David" w:hint="cs"/>
          <w:rtl/>
        </w:rPr>
        <w:t xml:space="preserve">החזיק נוזל בכמות השקולה לאלפי טבליות </w:t>
      </w:r>
      <w:r w:rsidRPr="00893A9C">
        <w:rPr>
          <w:rFonts w:ascii="David" w:hAnsi="David" w:hint="cs"/>
        </w:rPr>
        <w:t>MDMA</w:t>
      </w:r>
      <w:r>
        <w:rPr>
          <w:rFonts w:ascii="David" w:hAnsi="David" w:hint="cs"/>
          <w:rtl/>
        </w:rPr>
        <w:t>, ולפיכך הוחלט שעניינו יתברר בבית משפט השלום.</w:t>
      </w:r>
    </w:p>
    <w:p w14:paraId="5B79A2AD" w14:textId="77777777" w:rsidR="005144DB" w:rsidRPr="00893A9C" w:rsidRDefault="005144DB" w:rsidP="005144DB">
      <w:pPr>
        <w:pStyle w:val="a9"/>
        <w:rPr>
          <w:rFonts w:ascii="David" w:hAnsi="David"/>
          <w:rtl/>
        </w:rPr>
      </w:pPr>
    </w:p>
    <w:p w14:paraId="6462B2D1" w14:textId="77777777" w:rsidR="005144DB" w:rsidRDefault="005144DB" w:rsidP="005144DB">
      <w:pPr>
        <w:pStyle w:val="a9"/>
        <w:numPr>
          <w:ilvl w:val="0"/>
          <w:numId w:val="1"/>
        </w:numPr>
        <w:spacing w:line="360" w:lineRule="auto"/>
        <w:jc w:val="both"/>
        <w:rPr>
          <w:rFonts w:ascii="David" w:hAnsi="David"/>
        </w:rPr>
      </w:pPr>
      <w:r>
        <w:rPr>
          <w:rFonts w:ascii="David" w:hAnsi="David" w:hint="cs"/>
          <w:rtl/>
        </w:rPr>
        <w:t xml:space="preserve">בסיכום בינים, לא אוכל לקבוע שבקבוק הנוזל שנתפס בית הנאשם הכיל 1.8 ליטר סם "טהור", ולצורך גזירת הדין אניח שמדובר בכמות בלתי ידועה </w:t>
      </w:r>
      <w:r w:rsidRPr="00195D73">
        <w:rPr>
          <w:rFonts w:ascii="David" w:hAnsi="David" w:hint="cs"/>
          <w:u w:val="single"/>
          <w:rtl/>
        </w:rPr>
        <w:t>וקטנה</w:t>
      </w:r>
      <w:r>
        <w:rPr>
          <w:rFonts w:ascii="David" w:hAnsi="David" w:hint="cs"/>
          <w:rtl/>
        </w:rPr>
        <w:t xml:space="preserve"> של סם, שאינה משפיעה מהותית על מתחם הענישה שייקבע.</w:t>
      </w:r>
    </w:p>
    <w:p w14:paraId="3972F250" w14:textId="77777777" w:rsidR="005144DB" w:rsidRPr="00195D73" w:rsidRDefault="005144DB" w:rsidP="005144DB">
      <w:pPr>
        <w:pStyle w:val="a9"/>
        <w:rPr>
          <w:rFonts w:ascii="David" w:hAnsi="David"/>
          <w:rtl/>
        </w:rPr>
      </w:pPr>
    </w:p>
    <w:p w14:paraId="09C6C09B" w14:textId="77777777" w:rsidR="005144DB" w:rsidRDefault="005144DB" w:rsidP="005144DB">
      <w:pPr>
        <w:pStyle w:val="a9"/>
        <w:spacing w:line="360" w:lineRule="auto"/>
        <w:ind w:left="360"/>
        <w:jc w:val="both"/>
        <w:rPr>
          <w:rFonts w:ascii="David" w:hAnsi="David"/>
        </w:rPr>
      </w:pPr>
    </w:p>
    <w:p w14:paraId="28D7B01C" w14:textId="77777777" w:rsidR="005144DB" w:rsidRPr="00893A9C" w:rsidRDefault="005144DB" w:rsidP="005144DB">
      <w:pPr>
        <w:pStyle w:val="a9"/>
        <w:rPr>
          <w:rFonts w:ascii="David" w:hAnsi="David"/>
          <w:rtl/>
        </w:rPr>
      </w:pPr>
    </w:p>
    <w:p w14:paraId="758BE5AE" w14:textId="77777777" w:rsidR="005144DB" w:rsidRPr="00A752DC" w:rsidRDefault="005144DB" w:rsidP="005144DB">
      <w:pPr>
        <w:spacing w:line="360" w:lineRule="auto"/>
        <w:jc w:val="both"/>
        <w:rPr>
          <w:rFonts w:ascii="David" w:hAnsi="David"/>
          <w:u w:val="single"/>
        </w:rPr>
      </w:pPr>
      <w:r w:rsidRPr="00A752DC">
        <w:rPr>
          <w:rFonts w:ascii="David" w:hAnsi="David" w:hint="cs"/>
          <w:u w:val="single"/>
          <w:rtl/>
        </w:rPr>
        <w:t>מתחם הענישה</w:t>
      </w:r>
    </w:p>
    <w:p w14:paraId="12F7374E" w14:textId="77777777" w:rsidR="005144DB" w:rsidRPr="00A752DC" w:rsidRDefault="005144DB" w:rsidP="005144DB">
      <w:pPr>
        <w:pStyle w:val="a9"/>
        <w:rPr>
          <w:rFonts w:ascii="David" w:hAnsi="David"/>
          <w:rtl/>
        </w:rPr>
      </w:pPr>
    </w:p>
    <w:p w14:paraId="31115ED0" w14:textId="77777777" w:rsidR="005144DB" w:rsidRPr="00893A9C" w:rsidRDefault="005144DB" w:rsidP="005144DB">
      <w:pPr>
        <w:pStyle w:val="a9"/>
        <w:numPr>
          <w:ilvl w:val="0"/>
          <w:numId w:val="1"/>
        </w:numPr>
        <w:spacing w:line="360" w:lineRule="auto"/>
        <w:jc w:val="both"/>
        <w:rPr>
          <w:rFonts w:ascii="David" w:hAnsi="David"/>
        </w:rPr>
      </w:pPr>
      <w:r>
        <w:rPr>
          <w:rFonts w:ascii="David" w:hAnsi="David" w:hint="cs"/>
          <w:rtl/>
        </w:rPr>
        <w:t xml:space="preserve">ניתן אפוא לעבור לקביעת מתחם הענישה, שייקבע כתמיד ועל פי הוראות החוק </w:t>
      </w:r>
      <w:r w:rsidRPr="008720B1">
        <w:rPr>
          <w:rFonts w:ascii="David" w:hAnsi="David"/>
          <w:rtl/>
        </w:rPr>
        <w:t xml:space="preserve">בהתאם לעיקרון </w:t>
      </w:r>
      <w:r w:rsidRPr="008720B1">
        <w:rPr>
          <w:rFonts w:ascii="David" w:hAnsi="David" w:hint="cs"/>
          <w:rtl/>
        </w:rPr>
        <w:t>ההלימה</w:t>
      </w:r>
      <w:r w:rsidRPr="008720B1">
        <w:rPr>
          <w:rFonts w:ascii="David" w:hAnsi="David"/>
          <w:rtl/>
        </w:rPr>
        <w:t xml:space="preserve">, </w:t>
      </w:r>
      <w:r w:rsidRPr="008720B1">
        <w:rPr>
          <w:rFonts w:ascii="David" w:hAnsi="David" w:hint="cs"/>
          <w:rtl/>
        </w:rPr>
        <w:t xml:space="preserve">תוך התחשבות </w:t>
      </w:r>
      <w:r w:rsidRPr="008720B1">
        <w:rPr>
          <w:rFonts w:ascii="David" w:hAnsi="David"/>
          <w:rtl/>
        </w:rPr>
        <w:t>בער</w:t>
      </w:r>
      <w:r w:rsidRPr="008720B1">
        <w:rPr>
          <w:rFonts w:ascii="David" w:hAnsi="David" w:hint="cs"/>
          <w:rtl/>
        </w:rPr>
        <w:t>כים</w:t>
      </w:r>
      <w:r w:rsidRPr="008720B1">
        <w:rPr>
          <w:rFonts w:ascii="David" w:hAnsi="David"/>
          <w:rtl/>
        </w:rPr>
        <w:t xml:space="preserve"> החברתי</w:t>
      </w:r>
      <w:r w:rsidRPr="008720B1">
        <w:rPr>
          <w:rFonts w:ascii="David" w:hAnsi="David" w:hint="cs"/>
          <w:rtl/>
        </w:rPr>
        <w:t>ים</w:t>
      </w:r>
      <w:r w:rsidRPr="008720B1">
        <w:rPr>
          <w:rFonts w:ascii="David" w:hAnsi="David"/>
          <w:rtl/>
        </w:rPr>
        <w:t xml:space="preserve"> שנפגע</w:t>
      </w:r>
      <w:r w:rsidRPr="008720B1">
        <w:rPr>
          <w:rFonts w:ascii="David" w:hAnsi="David" w:hint="cs"/>
          <w:rtl/>
        </w:rPr>
        <w:t>ו</w:t>
      </w:r>
      <w:r w:rsidRPr="008720B1">
        <w:rPr>
          <w:rFonts w:ascii="David" w:hAnsi="David"/>
          <w:rtl/>
        </w:rPr>
        <w:t xml:space="preserve"> מביצוע העבירה, במידת הפגיעה ב</w:t>
      </w:r>
      <w:r w:rsidRPr="008720B1">
        <w:rPr>
          <w:rFonts w:ascii="David" w:hAnsi="David" w:hint="cs"/>
          <w:rtl/>
        </w:rPr>
        <w:t>הם</w:t>
      </w:r>
      <w:r w:rsidRPr="008720B1">
        <w:rPr>
          <w:rFonts w:ascii="David" w:hAnsi="David"/>
          <w:rtl/>
        </w:rPr>
        <w:t>, במדיניות הענישה הנהוגה ובנסיבות הקשורות בביצוע העבירה</w:t>
      </w:r>
      <w:r w:rsidRPr="008720B1">
        <w:rPr>
          <w:rFonts w:ascii="David" w:hAnsi="David"/>
        </w:rPr>
        <w:t>.</w:t>
      </w:r>
    </w:p>
    <w:p w14:paraId="026F233D" w14:textId="77777777" w:rsidR="005144DB" w:rsidRPr="00893A9C" w:rsidRDefault="005144DB" w:rsidP="005144DB">
      <w:pPr>
        <w:pStyle w:val="a9"/>
        <w:spacing w:line="360" w:lineRule="auto"/>
        <w:ind w:left="360"/>
        <w:jc w:val="both"/>
        <w:rPr>
          <w:rFonts w:ascii="David" w:hAnsi="David"/>
          <w:rtl/>
        </w:rPr>
      </w:pPr>
    </w:p>
    <w:p w14:paraId="7CA78E2F" w14:textId="77777777" w:rsidR="005144DB" w:rsidRPr="008720B1" w:rsidRDefault="005144DB" w:rsidP="005144DB">
      <w:pPr>
        <w:pStyle w:val="a9"/>
        <w:numPr>
          <w:ilvl w:val="0"/>
          <w:numId w:val="1"/>
        </w:numPr>
        <w:spacing w:line="360" w:lineRule="auto"/>
        <w:jc w:val="both"/>
        <w:rPr>
          <w:rFonts w:ascii="David" w:hAnsi="David"/>
        </w:rPr>
      </w:pPr>
      <w:r>
        <w:rPr>
          <w:rFonts w:ascii="David" w:hAnsi="David" w:hint="cs"/>
          <w:rtl/>
        </w:rPr>
        <w:t xml:space="preserve">בתי המשפט חזרו ושנו על חומרתן של עבירות הסמים, בפרט כאשר מדובר בעבירות סחר בסמים, והחזקה שלא לצריכה עצמית, השקולה מבחינת עונש המירבי ודומה מבחינת פוטנציאל הנזק ומידת האשם לעבירת הסחר. </w:t>
      </w:r>
      <w:r w:rsidRPr="008720B1">
        <w:rPr>
          <w:rFonts w:ascii="David" w:hAnsi="David"/>
          <w:rtl/>
        </w:rPr>
        <w:t>הערך החברתי</w:t>
      </w:r>
      <w:r w:rsidR="00411F1A">
        <w:rPr>
          <w:rFonts w:ascii="David" w:hAnsi="David"/>
          <w:rtl/>
        </w:rPr>
        <w:t xml:space="preserve"> </w:t>
      </w:r>
      <w:r w:rsidRPr="008720B1">
        <w:rPr>
          <w:rFonts w:ascii="David" w:hAnsi="David" w:hint="cs"/>
          <w:rtl/>
        </w:rPr>
        <w:t xml:space="preserve">בו פגע הנאשם הוא </w:t>
      </w:r>
      <w:r w:rsidRPr="008720B1">
        <w:rPr>
          <w:rFonts w:ascii="David" w:hAnsi="David"/>
          <w:rtl/>
        </w:rPr>
        <w:t xml:space="preserve">הגנה על הציבור מפני הנזקים </w:t>
      </w:r>
      <w:r w:rsidRPr="008720B1">
        <w:rPr>
          <w:rFonts w:ascii="David" w:hAnsi="David" w:hint="cs"/>
          <w:rtl/>
        </w:rPr>
        <w:t xml:space="preserve">הישירים והעקיפים </w:t>
      </w:r>
      <w:r w:rsidRPr="008720B1">
        <w:rPr>
          <w:rFonts w:ascii="David" w:hAnsi="David"/>
          <w:rtl/>
        </w:rPr>
        <w:t>הנלווים לשימוש בסמים.</w:t>
      </w:r>
    </w:p>
    <w:p w14:paraId="430695AA" w14:textId="77777777" w:rsidR="005144DB" w:rsidRPr="008720B1" w:rsidRDefault="005144DB" w:rsidP="005144DB">
      <w:pPr>
        <w:pStyle w:val="a9"/>
        <w:spacing w:line="360" w:lineRule="auto"/>
        <w:ind w:left="360"/>
        <w:jc w:val="both"/>
        <w:rPr>
          <w:rFonts w:ascii="David" w:hAnsi="David"/>
          <w:rtl/>
        </w:rPr>
      </w:pPr>
    </w:p>
    <w:p w14:paraId="6EA87D96" w14:textId="77777777" w:rsidR="005144DB" w:rsidRDefault="005144DB" w:rsidP="005144DB">
      <w:pPr>
        <w:pStyle w:val="a9"/>
        <w:numPr>
          <w:ilvl w:val="0"/>
          <w:numId w:val="1"/>
        </w:numPr>
        <w:spacing w:line="360" w:lineRule="auto"/>
        <w:jc w:val="both"/>
        <w:rPr>
          <w:rFonts w:ascii="David" w:hAnsi="David"/>
        </w:rPr>
      </w:pPr>
      <w:r w:rsidRPr="008720B1">
        <w:rPr>
          <w:rFonts w:ascii="David" w:hAnsi="David" w:hint="cs"/>
          <w:rtl/>
        </w:rPr>
        <w:t xml:space="preserve">באשר למידת הפגיעה בערכים המוגנים והנסיבות הקשורות לביצוע העבירה אציין כי נתפסו בבית הנאשם סוגי סם שונים, בכמויות לא מבוטלות, המהותית שבהן היא </w:t>
      </w:r>
      <w:r w:rsidRPr="008720B1">
        <w:rPr>
          <w:rFonts w:ascii="David" w:hAnsi="David" w:hint="cs"/>
        </w:rPr>
        <w:t>MDMA</w:t>
      </w:r>
      <w:r w:rsidRPr="008720B1">
        <w:rPr>
          <w:rFonts w:ascii="David" w:hAnsi="David" w:hint="cs"/>
          <w:rtl/>
        </w:rPr>
        <w:t xml:space="preserve"> במשקל של למעלה ממאה גרם</w:t>
      </w:r>
      <w:r w:rsidRPr="008720B1">
        <w:rPr>
          <w:rFonts w:ascii="David" w:hAnsi="David"/>
          <w:rtl/>
        </w:rPr>
        <w:t>.</w:t>
      </w:r>
      <w:r w:rsidRPr="008720B1">
        <w:rPr>
          <w:rFonts w:ascii="David" w:hAnsi="David" w:hint="cs"/>
          <w:rtl/>
        </w:rPr>
        <w:t xml:space="preserve"> זוהי כמות משמעותית של סם שאמנם אינו נתפס כאחד הסמים הקשים כגון הרואין וקוקאין, אך עדיין אין מדובר בסם "קל", והכמות המשמעותית שנתפסה מגלמת אפשרות להפצת הסם לצרכנים רבים</w:t>
      </w:r>
      <w:r>
        <w:rPr>
          <w:rFonts w:ascii="David" w:hAnsi="David" w:hint="cs"/>
          <w:rtl/>
        </w:rPr>
        <w:t xml:space="preserve"> ונזק פוטנציאלי כנגזר מכך</w:t>
      </w:r>
      <w:r w:rsidRPr="008720B1">
        <w:rPr>
          <w:rFonts w:ascii="David" w:hAnsi="David" w:hint="cs"/>
          <w:rtl/>
        </w:rPr>
        <w:t xml:space="preserve">. </w:t>
      </w:r>
    </w:p>
    <w:p w14:paraId="50E6D3BC" w14:textId="77777777" w:rsidR="005144DB" w:rsidRPr="00195D73" w:rsidRDefault="005144DB" w:rsidP="005144DB">
      <w:pPr>
        <w:pStyle w:val="a9"/>
        <w:rPr>
          <w:rFonts w:ascii="David" w:hAnsi="David"/>
          <w:rtl/>
        </w:rPr>
      </w:pPr>
    </w:p>
    <w:p w14:paraId="4255B108" w14:textId="77777777" w:rsidR="005144DB" w:rsidRPr="008720B1" w:rsidRDefault="005144DB" w:rsidP="005144DB">
      <w:pPr>
        <w:pStyle w:val="a9"/>
        <w:numPr>
          <w:ilvl w:val="0"/>
          <w:numId w:val="1"/>
        </w:numPr>
        <w:spacing w:line="360" w:lineRule="auto"/>
        <w:jc w:val="both"/>
        <w:rPr>
          <w:rFonts w:ascii="David" w:hAnsi="David"/>
        </w:rPr>
      </w:pPr>
      <w:r w:rsidRPr="008720B1">
        <w:rPr>
          <w:rFonts w:ascii="David" w:hAnsi="David" w:hint="cs"/>
          <w:rtl/>
        </w:rPr>
        <w:t>כאשר מוסיפים לכך את מגוון הסמים הנוספים (הגם שאין כמותם גדולה), את המשקל הדיגיטלי ואת הכסף המזומן שנתפסו, אין לי אלא ל</w:t>
      </w:r>
      <w:r>
        <w:rPr>
          <w:rFonts w:ascii="David" w:hAnsi="David" w:hint="cs"/>
          <w:rtl/>
        </w:rPr>
        <w:t>התרשם</w:t>
      </w:r>
      <w:r w:rsidRPr="008720B1">
        <w:rPr>
          <w:rFonts w:ascii="David" w:hAnsi="David" w:hint="cs"/>
          <w:rtl/>
        </w:rPr>
        <w:t xml:space="preserve"> כי במועד הרלוונטי לכתב האישום היה הנאשם מעורב במידה ממשית בעולם הסמים. בהתאם לכמויות הסם, סוגיו ושאר נסיבות העניין סבורני כי מידת הפגיעה בערכים המוגנים משמעותית. </w:t>
      </w:r>
    </w:p>
    <w:p w14:paraId="6C7562A9" w14:textId="77777777" w:rsidR="005144DB" w:rsidRPr="008720B1" w:rsidRDefault="005144DB" w:rsidP="005144DB">
      <w:pPr>
        <w:pStyle w:val="a9"/>
        <w:spacing w:line="360" w:lineRule="auto"/>
        <w:ind w:left="360"/>
        <w:jc w:val="both"/>
        <w:rPr>
          <w:rFonts w:ascii="David" w:hAnsi="David"/>
          <w:rtl/>
        </w:rPr>
      </w:pPr>
    </w:p>
    <w:p w14:paraId="6E56D6AB" w14:textId="77777777" w:rsidR="005144DB" w:rsidRDefault="005144DB" w:rsidP="005144DB">
      <w:pPr>
        <w:pStyle w:val="a9"/>
        <w:numPr>
          <w:ilvl w:val="0"/>
          <w:numId w:val="1"/>
        </w:numPr>
        <w:spacing w:line="360" w:lineRule="auto"/>
        <w:jc w:val="both"/>
        <w:rPr>
          <w:rFonts w:ascii="David" w:hAnsi="David"/>
        </w:rPr>
      </w:pPr>
      <w:r w:rsidRPr="008720B1">
        <w:rPr>
          <w:rFonts w:ascii="David" w:hAnsi="David" w:hint="cs"/>
          <w:rtl/>
        </w:rPr>
        <w:t>מתחמי הענישה בעבירות החזקת סמים שלא לצריכה עצמית כוללים מאסרים בפועל במנעד רחב, שמשכו נגזר בעיקרו מכמות הסם וסוגו ונסיבות ההחזקה. לצורכי עיצוב המתחם אפנה ל</w:t>
      </w:r>
      <w:hyperlink r:id="rId19" w:history="1">
        <w:r w:rsidR="00411F1A" w:rsidRPr="00411F1A">
          <w:rPr>
            <w:rFonts w:ascii="David" w:hAnsi="David"/>
            <w:color w:val="0000FF"/>
            <w:u w:val="single"/>
            <w:rtl/>
          </w:rPr>
          <w:t>ת"פ (מחוזי חיפה) 701-12-16</w:t>
        </w:r>
      </w:hyperlink>
      <w:r w:rsidRPr="008720B1">
        <w:rPr>
          <w:rFonts w:ascii="David" w:hAnsi="David" w:hint="cs"/>
          <w:rtl/>
        </w:rPr>
        <w:t xml:space="preserve"> </w:t>
      </w:r>
      <w:r w:rsidRPr="00D5272D">
        <w:rPr>
          <w:rFonts w:ascii="David" w:hAnsi="David" w:hint="cs"/>
          <w:b/>
          <w:bCs/>
          <w:rtl/>
        </w:rPr>
        <w:t>מדינת ישראל נ' עומר</w:t>
      </w:r>
      <w:r>
        <w:rPr>
          <w:rFonts w:ascii="David" w:hAnsi="David" w:hint="cs"/>
          <w:rtl/>
        </w:rPr>
        <w:t xml:space="preserve"> (1.10.17)</w:t>
      </w:r>
      <w:r w:rsidRPr="008720B1">
        <w:rPr>
          <w:rFonts w:ascii="David" w:hAnsi="David" w:hint="cs"/>
          <w:rtl/>
        </w:rPr>
        <w:t xml:space="preserve">, בו החזיק הנאשם כ-700 טבליות </w:t>
      </w:r>
      <w:r w:rsidRPr="008720B1">
        <w:rPr>
          <w:rFonts w:ascii="David" w:hAnsi="David" w:hint="cs"/>
        </w:rPr>
        <w:t>MDMA</w:t>
      </w:r>
      <w:r w:rsidRPr="008720B1">
        <w:rPr>
          <w:rFonts w:ascii="David" w:hAnsi="David" w:hint="cs"/>
          <w:rtl/>
        </w:rPr>
        <w:t xml:space="preserve"> </w:t>
      </w:r>
      <w:r w:rsidRPr="008720B1">
        <w:rPr>
          <w:rFonts w:ascii="David" w:hAnsi="David"/>
          <w:rtl/>
        </w:rPr>
        <w:t>–</w:t>
      </w:r>
      <w:r w:rsidRPr="008720B1">
        <w:rPr>
          <w:rFonts w:ascii="David" w:hAnsi="David" w:hint="cs"/>
          <w:rtl/>
        </w:rPr>
        <w:t xml:space="preserve"> כמות </w:t>
      </w:r>
      <w:r w:rsidRPr="000800CD">
        <w:rPr>
          <w:rFonts w:ascii="David" w:hAnsi="David" w:hint="cs"/>
          <w:u w:val="single"/>
          <w:rtl/>
        </w:rPr>
        <w:t xml:space="preserve">העולה </w:t>
      </w:r>
      <w:r>
        <w:rPr>
          <w:rFonts w:ascii="David" w:hAnsi="David" w:hint="cs"/>
          <w:u w:val="single"/>
          <w:rtl/>
        </w:rPr>
        <w:t xml:space="preserve">משמעותית </w:t>
      </w:r>
      <w:r w:rsidRPr="008720B1">
        <w:rPr>
          <w:rFonts w:ascii="David" w:hAnsi="David" w:hint="cs"/>
          <w:rtl/>
        </w:rPr>
        <w:t xml:space="preserve">על הכמות שהחזיק הנאשם שבפניי </w:t>
      </w:r>
      <w:r w:rsidRPr="008720B1">
        <w:rPr>
          <w:rFonts w:ascii="David" w:hAnsi="David"/>
          <w:rtl/>
        </w:rPr>
        <w:t>–</w:t>
      </w:r>
      <w:r w:rsidRPr="008720B1">
        <w:rPr>
          <w:rFonts w:ascii="David" w:hAnsi="David" w:hint="cs"/>
          <w:rtl/>
        </w:rPr>
        <w:t xml:space="preserve"> ונקבע לגביה </w:t>
      </w:r>
      <w:r w:rsidRPr="00D5272D">
        <w:rPr>
          <w:rFonts w:ascii="David" w:hAnsi="David" w:hint="cs"/>
          <w:u w:val="single"/>
          <w:rtl/>
        </w:rPr>
        <w:t>מתחם ענישה של 15-36 חודשי מאסר בפועל</w:t>
      </w:r>
      <w:r w:rsidRPr="008720B1">
        <w:rPr>
          <w:rFonts w:ascii="David" w:hAnsi="David" w:hint="cs"/>
          <w:rtl/>
        </w:rPr>
        <w:t>.</w:t>
      </w:r>
    </w:p>
    <w:p w14:paraId="14763FE8" w14:textId="77777777" w:rsidR="005144DB" w:rsidRPr="008720B1" w:rsidRDefault="005144DB" w:rsidP="005144DB">
      <w:pPr>
        <w:pStyle w:val="a9"/>
        <w:spacing w:line="360" w:lineRule="auto"/>
        <w:ind w:left="360"/>
        <w:jc w:val="both"/>
        <w:rPr>
          <w:rFonts w:ascii="David" w:hAnsi="David"/>
          <w:rtl/>
        </w:rPr>
      </w:pPr>
    </w:p>
    <w:p w14:paraId="177E5C69" w14:textId="77777777" w:rsidR="005144DB" w:rsidRPr="000800CD" w:rsidRDefault="005144DB" w:rsidP="005144DB">
      <w:pPr>
        <w:pStyle w:val="a9"/>
        <w:numPr>
          <w:ilvl w:val="0"/>
          <w:numId w:val="1"/>
        </w:numPr>
        <w:spacing w:line="360" w:lineRule="auto"/>
        <w:jc w:val="both"/>
        <w:rPr>
          <w:rFonts w:ascii="David" w:hAnsi="David"/>
        </w:rPr>
      </w:pPr>
      <w:r w:rsidRPr="000800CD">
        <w:rPr>
          <w:rFonts w:ascii="David" w:hAnsi="David" w:hint="cs"/>
          <w:rtl/>
        </w:rPr>
        <w:t>בע"פ (מחוזי ירושלים) 28138-07-17</w:t>
      </w:r>
      <w:r w:rsidRPr="00D5272D">
        <w:rPr>
          <w:rFonts w:ascii="David" w:hAnsi="David" w:hint="cs"/>
          <w:rtl/>
        </w:rPr>
        <w:t xml:space="preserve"> </w:t>
      </w:r>
      <w:r w:rsidRPr="00D5272D">
        <w:rPr>
          <w:rFonts w:ascii="David" w:hAnsi="David"/>
          <w:b/>
          <w:bCs/>
          <w:rtl/>
        </w:rPr>
        <w:t>מדינת ישראל נ' ג'ית</w:t>
      </w:r>
      <w:r w:rsidRPr="00D5272D">
        <w:rPr>
          <w:rFonts w:ascii="David" w:hAnsi="David" w:hint="cs"/>
          <w:rtl/>
        </w:rPr>
        <w:t xml:space="preserve"> (17.8.17), נקבע </w:t>
      </w:r>
      <w:r w:rsidRPr="00D5272D">
        <w:rPr>
          <w:rFonts w:ascii="David" w:hAnsi="David"/>
          <w:rtl/>
        </w:rPr>
        <w:t>–</w:t>
      </w:r>
      <w:r w:rsidRPr="00D5272D">
        <w:rPr>
          <w:rFonts w:ascii="David" w:hAnsi="David" w:hint="cs"/>
          <w:rtl/>
        </w:rPr>
        <w:t xml:space="preserve"> </w:t>
      </w:r>
      <w:r w:rsidRPr="00D5272D">
        <w:rPr>
          <w:rFonts w:ascii="David" w:hAnsi="David" w:hint="cs"/>
          <w:u w:val="single"/>
          <w:rtl/>
        </w:rPr>
        <w:t>אגב קבלת ערעור המדינה על קולת העונש</w:t>
      </w:r>
      <w:r w:rsidRPr="00D5272D">
        <w:rPr>
          <w:rFonts w:ascii="David" w:hAnsi="David" w:hint="cs"/>
          <w:rtl/>
        </w:rPr>
        <w:t xml:space="preserve"> </w:t>
      </w:r>
      <w:r w:rsidRPr="00D5272D">
        <w:rPr>
          <w:rFonts w:ascii="David" w:hAnsi="David"/>
          <w:rtl/>
        </w:rPr>
        <w:t>–</w:t>
      </w:r>
      <w:r w:rsidRPr="00D5272D">
        <w:rPr>
          <w:rFonts w:ascii="David" w:hAnsi="David" w:hint="cs"/>
          <w:rtl/>
        </w:rPr>
        <w:t xml:space="preserve"> </w:t>
      </w:r>
      <w:r w:rsidRPr="00D5272D">
        <w:rPr>
          <w:rFonts w:ascii="David" w:hAnsi="David" w:hint="cs"/>
          <w:u w:val="single"/>
          <w:rtl/>
        </w:rPr>
        <w:t>מתחם ענישה של 10 עד 32 חודשי מאסר</w:t>
      </w:r>
      <w:r w:rsidRPr="00D5272D">
        <w:rPr>
          <w:rFonts w:ascii="David" w:hAnsi="David" w:hint="cs"/>
          <w:rtl/>
        </w:rPr>
        <w:t xml:space="preserve"> לנאשם שהחזיק שלא לצריכתו העצמית 400 טבליות </w:t>
      </w:r>
      <w:r w:rsidRPr="00D5272D">
        <w:rPr>
          <w:rFonts w:ascii="David" w:hAnsi="David" w:hint="cs"/>
        </w:rPr>
        <w:t>MDMA</w:t>
      </w:r>
      <w:r w:rsidRPr="00D5272D">
        <w:rPr>
          <w:rFonts w:ascii="David" w:hAnsi="David" w:hint="cs"/>
          <w:rtl/>
        </w:rPr>
        <w:t xml:space="preserve"> ו</w:t>
      </w:r>
      <w:r>
        <w:rPr>
          <w:rFonts w:ascii="David" w:hAnsi="David" w:hint="cs"/>
          <w:rtl/>
        </w:rPr>
        <w:t>בנוסף למעלה מקילוגרם חשיש. גם אלה כמויות העולות על כמויות הסמים בענייננו.</w:t>
      </w:r>
    </w:p>
    <w:p w14:paraId="65ABD34D" w14:textId="77777777" w:rsidR="005144DB" w:rsidRPr="00656C83" w:rsidRDefault="005144DB" w:rsidP="005144DB">
      <w:pPr>
        <w:pStyle w:val="a9"/>
        <w:spacing w:line="360" w:lineRule="auto"/>
        <w:ind w:left="360"/>
        <w:jc w:val="both"/>
        <w:rPr>
          <w:rFonts w:ascii="David" w:hAnsi="David"/>
          <w:rtl/>
        </w:rPr>
      </w:pPr>
    </w:p>
    <w:p w14:paraId="0BD622CB" w14:textId="77777777" w:rsidR="005144DB" w:rsidRDefault="005144DB" w:rsidP="005144DB">
      <w:pPr>
        <w:pStyle w:val="a9"/>
        <w:numPr>
          <w:ilvl w:val="0"/>
          <w:numId w:val="1"/>
        </w:numPr>
        <w:spacing w:line="360" w:lineRule="auto"/>
        <w:jc w:val="both"/>
        <w:rPr>
          <w:rFonts w:ascii="David" w:hAnsi="David"/>
        </w:rPr>
      </w:pPr>
      <w:r w:rsidRPr="00D5272D">
        <w:rPr>
          <w:rFonts w:ascii="David" w:hAnsi="David" w:hint="cs"/>
          <w:b/>
          <w:bCs/>
          <w:rtl/>
        </w:rPr>
        <w:t>בהתבסס על פסקי דין אלה, האסמכתאות המוזכרות בהם ומדיניות הענישה המקובלת בנסיבות דומות, סבורני כי מתחם העונש ההולם בענייננו נע בין 10 ל-30 חודשי מאסר בפועל</w:t>
      </w:r>
      <w:r>
        <w:rPr>
          <w:rFonts w:ascii="David" w:hAnsi="David" w:hint="cs"/>
          <w:rtl/>
        </w:rPr>
        <w:t>.</w:t>
      </w:r>
    </w:p>
    <w:p w14:paraId="310175DA" w14:textId="77777777" w:rsidR="005144DB" w:rsidRPr="00656C83" w:rsidRDefault="005144DB" w:rsidP="005144DB">
      <w:pPr>
        <w:pStyle w:val="a9"/>
        <w:rPr>
          <w:rFonts w:ascii="David" w:hAnsi="David"/>
          <w:u w:val="single"/>
          <w:rtl/>
        </w:rPr>
      </w:pPr>
    </w:p>
    <w:p w14:paraId="2012F733" w14:textId="77777777" w:rsidR="005144DB" w:rsidRDefault="005144DB" w:rsidP="005144DB">
      <w:pPr>
        <w:spacing w:line="360" w:lineRule="auto"/>
        <w:jc w:val="both"/>
        <w:rPr>
          <w:rFonts w:ascii="David" w:hAnsi="David"/>
          <w:u w:val="single"/>
          <w:rtl/>
        </w:rPr>
      </w:pPr>
    </w:p>
    <w:p w14:paraId="12A2328D" w14:textId="77777777" w:rsidR="005144DB" w:rsidRPr="00656C83" w:rsidRDefault="005144DB" w:rsidP="005144DB">
      <w:pPr>
        <w:spacing w:line="360" w:lineRule="auto"/>
        <w:jc w:val="both"/>
        <w:rPr>
          <w:rFonts w:ascii="David" w:hAnsi="David"/>
        </w:rPr>
      </w:pPr>
      <w:r w:rsidRPr="00656C83">
        <w:rPr>
          <w:rFonts w:ascii="David" w:hAnsi="David" w:hint="cs"/>
          <w:u w:val="single"/>
          <w:rtl/>
        </w:rPr>
        <w:t>גזירת העונש וסטייה ממתחם הענישה</w:t>
      </w:r>
    </w:p>
    <w:p w14:paraId="737A0896" w14:textId="77777777" w:rsidR="005144DB" w:rsidRPr="00656C83" w:rsidRDefault="005144DB" w:rsidP="005144DB">
      <w:pPr>
        <w:pStyle w:val="a9"/>
        <w:spacing w:line="360" w:lineRule="auto"/>
        <w:ind w:left="360"/>
        <w:jc w:val="both"/>
      </w:pPr>
    </w:p>
    <w:p w14:paraId="2BA859A1" w14:textId="77777777" w:rsidR="005144DB" w:rsidRPr="00656C83" w:rsidRDefault="005144DB" w:rsidP="005144DB">
      <w:pPr>
        <w:pStyle w:val="a9"/>
        <w:numPr>
          <w:ilvl w:val="0"/>
          <w:numId w:val="1"/>
        </w:numPr>
        <w:spacing w:line="360" w:lineRule="auto"/>
        <w:jc w:val="both"/>
      </w:pPr>
      <w:r>
        <w:rPr>
          <w:rFonts w:ascii="David" w:hAnsi="David" w:hint="cs"/>
          <w:rtl/>
        </w:rPr>
        <w:t xml:space="preserve">אשר לגזירת העונש המתאים לנאשם, שקלתי לחומרא את שיקולי ההרתעה הרלוונטיים תמיד בעבירות סמים. מנגד שקלתי את עברו הנקי של הנאשם, הודאתו, הבעת החרטה מצידו ושיקולי שיקומו. </w:t>
      </w:r>
    </w:p>
    <w:p w14:paraId="74834822" w14:textId="77777777" w:rsidR="005144DB" w:rsidRPr="00656C83" w:rsidRDefault="005144DB" w:rsidP="005144DB">
      <w:pPr>
        <w:pStyle w:val="a9"/>
        <w:spacing w:line="360" w:lineRule="auto"/>
        <w:ind w:left="360"/>
        <w:jc w:val="both"/>
      </w:pPr>
    </w:p>
    <w:p w14:paraId="6B73279A" w14:textId="77777777" w:rsidR="005144DB" w:rsidRDefault="005144DB" w:rsidP="005144DB">
      <w:pPr>
        <w:pStyle w:val="a9"/>
        <w:numPr>
          <w:ilvl w:val="0"/>
          <w:numId w:val="1"/>
        </w:numPr>
        <w:spacing w:line="360" w:lineRule="auto"/>
        <w:jc w:val="both"/>
      </w:pPr>
      <w:r>
        <w:rPr>
          <w:rFonts w:ascii="David" w:hAnsi="David" w:hint="cs"/>
          <w:rtl/>
        </w:rPr>
        <w:t xml:space="preserve">משקל ממשי לקולא יש לתת לחלוף הזמן הרב </w:t>
      </w:r>
      <w:r>
        <w:rPr>
          <w:rFonts w:ascii="David" w:hAnsi="David"/>
          <w:rtl/>
        </w:rPr>
        <w:t>–</w:t>
      </w:r>
      <w:r>
        <w:rPr>
          <w:rFonts w:ascii="David" w:hAnsi="David" w:hint="cs"/>
          <w:rtl/>
        </w:rPr>
        <w:t xml:space="preserve"> כמעט חמש שנים </w:t>
      </w:r>
      <w:r>
        <w:rPr>
          <w:rFonts w:ascii="David" w:hAnsi="David"/>
          <w:rtl/>
        </w:rPr>
        <w:t>–</w:t>
      </w:r>
      <w:r>
        <w:rPr>
          <w:rFonts w:ascii="David" w:hAnsi="David" w:hint="cs"/>
          <w:rtl/>
        </w:rPr>
        <w:t xml:space="preserve"> מאז שנכנסו השוטרים לדירת הנאשם בראשון לציון ועד ליום גזירת הדין. לחלוף זמן כה רב יש משמעות עקרונית בשל ריחוק הזמן בין החטא לבין העונש, אך בעיקר מעשית: הנאשם שנותן היום את הדין אינו מי שהחזיק בסמים לפני חמש שנים, והתמשכות ההליך המשפטי העניקה לו הזדמנות להוכיח שמדובר באפיזודה חריגה במסלול חייו. בשנים ארוכות אלה לא זו בלבד שהנאשם לא שב והסתבך בעבירות סמים (או עבירות אחרות כלשהן), הוא שינה באופן אקטיבי את מסלול חייו, מקום מגוריו, מעגל הקשרים החברתיים שלו ותפקודו התעסוקתי הנורמטיבי.</w:t>
      </w:r>
    </w:p>
    <w:p w14:paraId="3BC32479" w14:textId="77777777" w:rsidR="005144DB" w:rsidRPr="003D1B03" w:rsidRDefault="005144DB" w:rsidP="005144DB">
      <w:pPr>
        <w:pStyle w:val="a9"/>
        <w:spacing w:line="360" w:lineRule="auto"/>
        <w:ind w:left="360"/>
        <w:jc w:val="both"/>
      </w:pPr>
    </w:p>
    <w:p w14:paraId="485B1497" w14:textId="77777777" w:rsidR="005144DB" w:rsidRDefault="005144DB" w:rsidP="005144DB">
      <w:pPr>
        <w:pStyle w:val="a9"/>
        <w:numPr>
          <w:ilvl w:val="0"/>
          <w:numId w:val="1"/>
        </w:numPr>
        <w:spacing w:line="360" w:lineRule="auto"/>
        <w:jc w:val="both"/>
      </w:pPr>
      <w:r>
        <w:rPr>
          <w:rFonts w:ascii="David" w:hAnsi="David" w:hint="cs"/>
          <w:rtl/>
        </w:rPr>
        <w:t xml:space="preserve">תסקיר שירות המבחן תומך אף הוא בסטיה לקולא ממתחם הענישה. אכן, מדובר בהמלצה בלבד, אך להמלצותיו של השירות, הגורם הרשמי האמון על בחינת הסיכון הנשקף מנאשמים וסיכויי שיקומם </w:t>
      </w:r>
      <w:r>
        <w:rPr>
          <w:rFonts w:ascii="David" w:hAnsi="David"/>
          <w:rtl/>
        </w:rPr>
        <w:t>–</w:t>
      </w:r>
      <w:r>
        <w:rPr>
          <w:rFonts w:ascii="David" w:hAnsi="David" w:hint="cs"/>
          <w:rtl/>
        </w:rPr>
        <w:t xml:space="preserve"> נודע משקל רב בגזירת הדין. אמנם, בשל קיומם של שיקולים נוגדים לא אוכל לקבל את המלצת השירות כלשונה (מאסר מותנה בלבד), אך מעיון בתסקיר שוכנעתי כי קיים סיכוי ממשי שהנאשם שינה את אורחות חייו והשתקם.</w:t>
      </w:r>
      <w:r>
        <w:rPr>
          <w:rFonts w:hint="cs"/>
          <w:rtl/>
        </w:rPr>
        <w:t xml:space="preserve"> שירות המבחן הצביע על מעגלי התמיכה המשפחתיים של הנאשם, על יכולתו לווסת את התנהגותו ולהימנע ממצבי סיכון אליהם נכנס בעבר, על היעדר דפוסי חשיבה והתנהגות עבריינים, על שיתוף הפעולה עם השירות </w:t>
      </w:r>
      <w:r>
        <w:rPr>
          <w:rtl/>
        </w:rPr>
        <w:t>–</w:t>
      </w:r>
      <w:r>
        <w:rPr>
          <w:rFonts w:hint="cs"/>
          <w:rtl/>
        </w:rPr>
        <w:t xml:space="preserve"> כל אלה הביאוני למסקנה כי כליאתו של הנאשם בעת הזו עלולה להחמיץ את מטרות הענישה ולפגוע בשיקומו.</w:t>
      </w:r>
    </w:p>
    <w:p w14:paraId="6931CE81" w14:textId="77777777" w:rsidR="005144DB" w:rsidRPr="00656C83" w:rsidRDefault="005144DB" w:rsidP="005144DB">
      <w:pPr>
        <w:pStyle w:val="a9"/>
        <w:rPr>
          <w:rFonts w:ascii="David" w:hAnsi="David"/>
          <w:rtl/>
        </w:rPr>
      </w:pPr>
    </w:p>
    <w:p w14:paraId="36CC090D" w14:textId="77777777" w:rsidR="005144DB" w:rsidRPr="00656C83" w:rsidRDefault="005144DB" w:rsidP="005144DB">
      <w:pPr>
        <w:pStyle w:val="a9"/>
        <w:numPr>
          <w:ilvl w:val="0"/>
          <w:numId w:val="1"/>
        </w:numPr>
        <w:spacing w:line="360" w:lineRule="auto"/>
        <w:jc w:val="both"/>
      </w:pPr>
      <w:r w:rsidRPr="00656C83">
        <w:rPr>
          <w:rFonts w:ascii="David" w:hAnsi="David" w:hint="cs"/>
          <w:rtl/>
        </w:rPr>
        <w:t xml:space="preserve">לעובדה ששירות המבחן לא המליץ על תכנית טיפולית קונקרטית אין לטעמי משקל מכריע. היעדר המלצה כזו אינה נובעת מחוסר שיתוף פעולה או היעדר מוטיבציה חלילה, אלא מהטעם הפשוט שהנאשם אינו מכור לסמים ולכן אין צורך לשלבו בהליך גמילה. אזכיר כי </w:t>
      </w:r>
      <w:hyperlink r:id="rId20" w:history="1">
        <w:r w:rsidR="0058034E" w:rsidRPr="0058034E">
          <w:rPr>
            <w:rStyle w:val="Hyperlink"/>
            <w:rFonts w:ascii="David" w:hAnsi="David" w:hint="eastAsia"/>
            <w:rtl/>
          </w:rPr>
          <w:t>סעיף</w:t>
        </w:r>
        <w:r w:rsidR="0058034E" w:rsidRPr="0058034E">
          <w:rPr>
            <w:rStyle w:val="Hyperlink"/>
            <w:rFonts w:ascii="David" w:hAnsi="David"/>
            <w:rtl/>
          </w:rPr>
          <w:t xml:space="preserve"> 40ד</w:t>
        </w:r>
      </w:hyperlink>
      <w:r w:rsidRPr="00656C83">
        <w:rPr>
          <w:rFonts w:ascii="David" w:hAnsi="David" w:hint="cs"/>
          <w:rtl/>
        </w:rPr>
        <w:t xml:space="preserve"> ל</w:t>
      </w:r>
      <w:hyperlink r:id="rId21" w:history="1">
        <w:r w:rsidR="00411F1A" w:rsidRPr="00411F1A">
          <w:rPr>
            <w:rFonts w:ascii="David" w:hAnsi="David"/>
            <w:color w:val="0000FF"/>
            <w:u w:val="single"/>
            <w:rtl/>
          </w:rPr>
          <w:t>חוק העונשין</w:t>
        </w:r>
      </w:hyperlink>
      <w:r w:rsidRPr="00656C83">
        <w:rPr>
          <w:rFonts w:ascii="David" w:hAnsi="David" w:hint="cs"/>
          <w:rtl/>
        </w:rPr>
        <w:t xml:space="preserve"> אינו דורש שילוב הנאשם בטיפול, אלא קביעה ש</w:t>
      </w:r>
      <w:r w:rsidRPr="00656C83">
        <w:rPr>
          <w:rFonts w:ascii="David" w:hAnsi="David"/>
          <w:rtl/>
        </w:rPr>
        <w:t xml:space="preserve">הנאשם השתקם </w:t>
      </w:r>
      <w:r w:rsidRPr="00656C83">
        <w:rPr>
          <w:rFonts w:ascii="David" w:hAnsi="David" w:hint="cs"/>
          <w:rtl/>
        </w:rPr>
        <w:t>(</w:t>
      </w:r>
      <w:r w:rsidRPr="00656C83">
        <w:rPr>
          <w:rFonts w:ascii="David" w:hAnsi="David"/>
          <w:rtl/>
        </w:rPr>
        <w:t xml:space="preserve">או </w:t>
      </w:r>
      <w:r w:rsidRPr="00656C83">
        <w:rPr>
          <w:rFonts w:ascii="David" w:hAnsi="David" w:hint="cs"/>
          <w:rtl/>
        </w:rPr>
        <w:t>ש</w:t>
      </w:r>
      <w:r w:rsidRPr="00656C83">
        <w:rPr>
          <w:rFonts w:ascii="David" w:hAnsi="David"/>
          <w:rtl/>
        </w:rPr>
        <w:t>יש סיכוי של ממש שישתקם</w:t>
      </w:r>
      <w:r w:rsidRPr="00656C83">
        <w:rPr>
          <w:rFonts w:ascii="David" w:hAnsi="David" w:hint="cs"/>
          <w:rtl/>
        </w:rPr>
        <w:t xml:space="preserve">). בעניינו ניתן לקבוע זאת ללא היסוס ולכן יש לסטות לקולא ממתחם הענישה. </w:t>
      </w:r>
    </w:p>
    <w:p w14:paraId="4C83F790" w14:textId="77777777" w:rsidR="005144DB" w:rsidRDefault="005144DB" w:rsidP="005144DB">
      <w:pPr>
        <w:pStyle w:val="a9"/>
        <w:rPr>
          <w:rtl/>
        </w:rPr>
      </w:pPr>
    </w:p>
    <w:p w14:paraId="7DBD1FDB" w14:textId="77777777" w:rsidR="005144DB" w:rsidRDefault="005144DB" w:rsidP="005144DB">
      <w:pPr>
        <w:pStyle w:val="a9"/>
        <w:numPr>
          <w:ilvl w:val="0"/>
          <w:numId w:val="1"/>
        </w:numPr>
        <w:spacing w:line="360" w:lineRule="auto"/>
        <w:jc w:val="both"/>
      </w:pPr>
      <w:r>
        <w:rPr>
          <w:rFonts w:hint="cs"/>
          <w:rtl/>
        </w:rPr>
        <w:t>על מנת לאזן בין שיקולי הענישה השונים יינתן משקל לשיקולי הרתעה ברכיבים הכלכליים של גזר הדין, שיכלול קנס משמעותי, כמקובל בעבירות החזקת סמים שלא לצריכה עצמית. בשל חלוף הזמן מביצוע העבירות, ובהיעדר אינדיקציה לקשר בין ביצוע העבירות לשימוש ברכב, לא מצאתי לכלול בין רכיבי הענישה שלילה בפועל של רישיון הנהיגה.</w:t>
      </w:r>
    </w:p>
    <w:p w14:paraId="5B7C1EE0" w14:textId="77777777" w:rsidR="005144DB" w:rsidRPr="002A7C96" w:rsidRDefault="005144DB" w:rsidP="005144DB">
      <w:pPr>
        <w:pStyle w:val="a9"/>
        <w:rPr>
          <w:rtl/>
        </w:rPr>
      </w:pPr>
    </w:p>
    <w:p w14:paraId="43B95D34" w14:textId="77777777" w:rsidR="005144DB" w:rsidRDefault="005144DB" w:rsidP="005144DB">
      <w:pPr>
        <w:spacing w:line="360" w:lineRule="auto"/>
        <w:jc w:val="both"/>
      </w:pPr>
      <w:r w:rsidRPr="00A752DC">
        <w:rPr>
          <w:rFonts w:hint="cs"/>
          <w:u w:val="single"/>
          <w:rtl/>
        </w:rPr>
        <w:t>סיכום</w:t>
      </w:r>
    </w:p>
    <w:p w14:paraId="393967F6" w14:textId="77777777" w:rsidR="005144DB" w:rsidRDefault="005144DB" w:rsidP="005144DB">
      <w:pPr>
        <w:pStyle w:val="a9"/>
        <w:rPr>
          <w:rtl/>
        </w:rPr>
      </w:pPr>
    </w:p>
    <w:p w14:paraId="6A561A90" w14:textId="77777777" w:rsidR="005144DB" w:rsidRDefault="005144DB" w:rsidP="005144DB">
      <w:pPr>
        <w:pStyle w:val="a9"/>
        <w:numPr>
          <w:ilvl w:val="0"/>
          <w:numId w:val="1"/>
        </w:numPr>
        <w:spacing w:line="360" w:lineRule="auto"/>
        <w:jc w:val="both"/>
      </w:pPr>
      <w:r>
        <w:rPr>
          <w:rFonts w:hint="cs"/>
          <w:rtl/>
        </w:rPr>
        <w:t>לאור האמור אני דן את הנאשם לעונשים הבאים:</w:t>
      </w:r>
    </w:p>
    <w:p w14:paraId="0445EA1F" w14:textId="77777777" w:rsidR="005144DB" w:rsidRDefault="005144DB" w:rsidP="005144DB">
      <w:pPr>
        <w:pStyle w:val="a9"/>
        <w:rPr>
          <w:rtl/>
        </w:rPr>
      </w:pPr>
    </w:p>
    <w:p w14:paraId="093358A5" w14:textId="77777777" w:rsidR="005144DB" w:rsidRDefault="005144DB" w:rsidP="005144DB">
      <w:pPr>
        <w:pStyle w:val="a9"/>
        <w:numPr>
          <w:ilvl w:val="1"/>
          <w:numId w:val="1"/>
        </w:numPr>
        <w:spacing w:line="360" w:lineRule="auto"/>
        <w:jc w:val="both"/>
      </w:pPr>
      <w:r w:rsidRPr="002A7C96">
        <w:rPr>
          <w:rFonts w:hint="cs"/>
          <w:b/>
          <w:bCs/>
          <w:rtl/>
        </w:rPr>
        <w:t>תשעה (9) חודשי מאסר בפועל</w:t>
      </w:r>
      <w:r>
        <w:rPr>
          <w:rFonts w:hint="cs"/>
          <w:rtl/>
        </w:rPr>
        <w:t>. הנאשם ירצה את עונש המאסר בעבודות שירות. מקום ריצוי העונש בהתאם חוות דעת הממונה על עבודות השירות מיום 1.5.23, ותחילתו ביום 25.7.23. הנאשם מוזהר בחובתו להישמע להנחיות הממונה על עבודות השירות ומוזהר באפשרות שעבודות השירות יופסקו ויומרו במאסר של ממש אם חלילה לא יעשה כן.</w:t>
      </w:r>
    </w:p>
    <w:p w14:paraId="11DC59F5" w14:textId="77777777" w:rsidR="005144DB" w:rsidRDefault="005144DB" w:rsidP="005144DB">
      <w:pPr>
        <w:pStyle w:val="a9"/>
        <w:numPr>
          <w:ilvl w:val="1"/>
          <w:numId w:val="1"/>
        </w:numPr>
        <w:spacing w:line="360" w:lineRule="auto"/>
        <w:jc w:val="both"/>
      </w:pPr>
      <w:r w:rsidRPr="002A7C96">
        <w:rPr>
          <w:rFonts w:hint="cs"/>
          <w:b/>
          <w:bCs/>
          <w:rtl/>
        </w:rPr>
        <w:t>תשעה (9) חודשי מאסר על תנאי</w:t>
      </w:r>
      <w:r>
        <w:rPr>
          <w:rFonts w:hint="cs"/>
          <w:rtl/>
        </w:rPr>
        <w:t xml:space="preserve">, לבל יעבור תוך 3 שנים מהיום עבירה על </w:t>
      </w:r>
      <w:hyperlink r:id="rId22" w:history="1">
        <w:r w:rsidR="00411F1A" w:rsidRPr="00411F1A">
          <w:rPr>
            <w:color w:val="0000FF"/>
            <w:u w:val="single"/>
            <w:rtl/>
          </w:rPr>
          <w:t>פקודת הסמים המסוכנים</w:t>
        </w:r>
      </w:hyperlink>
      <w:r>
        <w:rPr>
          <w:rFonts w:hint="cs"/>
          <w:rtl/>
        </w:rPr>
        <w:t>, למעט החזקת סם מסוכן לצריכה עצמית.</w:t>
      </w:r>
    </w:p>
    <w:p w14:paraId="4D73BF54" w14:textId="77777777" w:rsidR="005144DB" w:rsidRDefault="005144DB" w:rsidP="005144DB">
      <w:pPr>
        <w:pStyle w:val="a9"/>
        <w:numPr>
          <w:ilvl w:val="1"/>
          <w:numId w:val="1"/>
        </w:numPr>
        <w:spacing w:line="360" w:lineRule="auto"/>
        <w:jc w:val="both"/>
      </w:pPr>
      <w:r w:rsidRPr="00EF5340">
        <w:rPr>
          <w:rFonts w:hint="cs"/>
          <w:b/>
          <w:bCs/>
          <w:rtl/>
        </w:rPr>
        <w:t xml:space="preserve">6 חודשי שלילת רישיון נהיגה </w:t>
      </w:r>
      <w:r w:rsidRPr="00EF5340">
        <w:rPr>
          <w:rFonts w:hint="cs"/>
          <w:b/>
          <w:bCs/>
          <w:u w:val="single"/>
          <w:rtl/>
        </w:rPr>
        <w:t>על תנאי</w:t>
      </w:r>
      <w:r>
        <w:rPr>
          <w:rFonts w:hint="cs"/>
          <w:rtl/>
        </w:rPr>
        <w:t xml:space="preserve">, לבל יעבור תוך שנתיים מהיום עבירה על </w:t>
      </w:r>
      <w:hyperlink r:id="rId23" w:history="1">
        <w:r w:rsidR="00411F1A" w:rsidRPr="00411F1A">
          <w:rPr>
            <w:color w:val="0000FF"/>
            <w:u w:val="single"/>
            <w:rtl/>
          </w:rPr>
          <w:t>פקודת הסמים המסוכנים</w:t>
        </w:r>
      </w:hyperlink>
      <w:r>
        <w:rPr>
          <w:rFonts w:hint="cs"/>
          <w:rtl/>
        </w:rPr>
        <w:t>.</w:t>
      </w:r>
    </w:p>
    <w:p w14:paraId="6C7FE39D" w14:textId="77777777" w:rsidR="005144DB" w:rsidRDefault="005144DB" w:rsidP="005144DB">
      <w:pPr>
        <w:pStyle w:val="a9"/>
        <w:numPr>
          <w:ilvl w:val="1"/>
          <w:numId w:val="1"/>
        </w:numPr>
        <w:spacing w:line="360" w:lineRule="auto"/>
        <w:jc w:val="both"/>
      </w:pPr>
      <w:r w:rsidRPr="002A7C96">
        <w:rPr>
          <w:rFonts w:hint="cs"/>
          <w:b/>
          <w:bCs/>
          <w:rtl/>
        </w:rPr>
        <w:t>קנס בסך 10,000 ₪</w:t>
      </w:r>
      <w:r>
        <w:rPr>
          <w:rFonts w:hint="cs"/>
          <w:rtl/>
        </w:rPr>
        <w:t xml:space="preserve"> או 60 ימי מאסר תמורתו. הקנס ישולם תוך 90 יום.</w:t>
      </w:r>
    </w:p>
    <w:p w14:paraId="014BDFAC" w14:textId="77777777" w:rsidR="005144DB" w:rsidRDefault="005144DB" w:rsidP="005144DB">
      <w:pPr>
        <w:spacing w:line="360" w:lineRule="auto"/>
        <w:jc w:val="both"/>
        <w:rPr>
          <w:rtl/>
        </w:rPr>
      </w:pPr>
    </w:p>
    <w:p w14:paraId="56D070AC" w14:textId="77777777" w:rsidR="005144DB" w:rsidRDefault="005144DB" w:rsidP="005144DB">
      <w:pPr>
        <w:spacing w:line="360" w:lineRule="auto"/>
        <w:jc w:val="both"/>
        <w:rPr>
          <w:rtl/>
        </w:rPr>
      </w:pPr>
    </w:p>
    <w:p w14:paraId="157F5041" w14:textId="77777777" w:rsidR="005144DB" w:rsidRDefault="005144DB" w:rsidP="005144DB">
      <w:pPr>
        <w:spacing w:line="360" w:lineRule="auto"/>
        <w:jc w:val="both"/>
        <w:rPr>
          <w:rtl/>
        </w:rPr>
      </w:pPr>
    </w:p>
    <w:p w14:paraId="50367D6B" w14:textId="77777777" w:rsidR="005144DB" w:rsidRDefault="005144DB" w:rsidP="005144DB">
      <w:pPr>
        <w:spacing w:line="360" w:lineRule="auto"/>
        <w:jc w:val="both"/>
        <w:rPr>
          <w:rtl/>
        </w:rPr>
      </w:pPr>
      <w:r>
        <w:rPr>
          <w:rFonts w:hint="cs"/>
          <w:rtl/>
        </w:rPr>
        <w:t>\</w:t>
      </w:r>
    </w:p>
    <w:p w14:paraId="5576475D" w14:textId="77777777" w:rsidR="005144DB" w:rsidRPr="00A752DC" w:rsidRDefault="005144DB" w:rsidP="005144DB">
      <w:pPr>
        <w:spacing w:line="360" w:lineRule="auto"/>
        <w:jc w:val="both"/>
        <w:rPr>
          <w:u w:val="single"/>
          <w:rtl/>
        </w:rPr>
      </w:pPr>
      <w:r w:rsidRPr="00A752DC">
        <w:rPr>
          <w:rFonts w:hint="cs"/>
          <w:u w:val="single"/>
          <w:rtl/>
        </w:rPr>
        <w:t>הכרזה כסוחר סמים וחילוט</w:t>
      </w:r>
    </w:p>
    <w:p w14:paraId="359C9E4A" w14:textId="77777777" w:rsidR="005144DB" w:rsidRDefault="005144DB" w:rsidP="005144DB">
      <w:pPr>
        <w:spacing w:line="360" w:lineRule="auto"/>
        <w:jc w:val="both"/>
      </w:pPr>
    </w:p>
    <w:p w14:paraId="54715F1D" w14:textId="77777777" w:rsidR="005144DB" w:rsidRDefault="005144DB" w:rsidP="005144DB">
      <w:pPr>
        <w:pStyle w:val="a9"/>
        <w:numPr>
          <w:ilvl w:val="0"/>
          <w:numId w:val="1"/>
        </w:numPr>
        <w:spacing w:line="360" w:lineRule="auto"/>
        <w:jc w:val="both"/>
      </w:pPr>
      <w:r>
        <w:rPr>
          <w:rFonts w:hint="cs"/>
          <w:rtl/>
        </w:rPr>
        <w:t xml:space="preserve">המאשימה עתרה להכריז על הנאשם סוחר סמים ולחלט את הכסף המזומן שנתפס בביתו. </w:t>
      </w:r>
      <w:hyperlink r:id="rId24" w:history="1">
        <w:r w:rsidR="0058034E" w:rsidRPr="0058034E">
          <w:rPr>
            <w:rStyle w:val="Hyperlink"/>
            <w:rFonts w:hint="eastAsia"/>
            <w:rtl/>
          </w:rPr>
          <w:t>סעיף</w:t>
        </w:r>
        <w:r w:rsidR="0058034E" w:rsidRPr="0058034E">
          <w:rPr>
            <w:rStyle w:val="Hyperlink"/>
            <w:rtl/>
          </w:rPr>
          <w:t xml:space="preserve"> 36</w:t>
        </w:r>
      </w:hyperlink>
      <w:r>
        <w:rPr>
          <w:rFonts w:hint="cs"/>
          <w:rtl/>
        </w:rPr>
        <w:t xml:space="preserve"> לפקודה דורש כתנאי סף שהנאשם הורשע "בעבירה של עסקת סמים", אך הפסיקה הכירה באפשרות להכרזה וחילוט כנ"ל גם בעבירות של החזקת סם שלא לצריכה עצמית (ר' למשל </w:t>
      </w:r>
      <w:hyperlink r:id="rId25" w:history="1">
        <w:r w:rsidR="00411F1A" w:rsidRPr="00411F1A">
          <w:rPr>
            <w:color w:val="0000FF"/>
            <w:u w:val="single"/>
            <w:rtl/>
          </w:rPr>
          <w:t>ע"פ 170/07</w:t>
        </w:r>
      </w:hyperlink>
      <w:r>
        <w:rPr>
          <w:rFonts w:hint="cs"/>
          <w:rtl/>
        </w:rPr>
        <w:t xml:space="preserve"> </w:t>
      </w:r>
      <w:r w:rsidRPr="0051143B">
        <w:rPr>
          <w:rFonts w:hint="cs"/>
          <w:b/>
          <w:bCs/>
          <w:rtl/>
        </w:rPr>
        <w:t>מטיס נ' מדינת ישראל</w:t>
      </w:r>
      <w:r>
        <w:rPr>
          <w:rFonts w:hint="cs"/>
          <w:rtl/>
        </w:rPr>
        <w:t xml:space="preserve"> (19.11.07). בהתבסס על נסיבות תפיסת הסמים, הכמויות, המשקל האלקטרוני והכסף המזומן, ובהיעדר בירור עובדתי לגבי נסיבות ההחזקה, אין לי אלא לקבוע כי הדין עם המאשימה ולפיכך יוכרז הנאשם כסוחר סמים, ויחולט הכסף המזומן שנתפס בחזקתו. </w:t>
      </w:r>
    </w:p>
    <w:p w14:paraId="1C5ABA66" w14:textId="77777777" w:rsidR="005144DB" w:rsidRDefault="005144DB" w:rsidP="005144DB">
      <w:pPr>
        <w:pStyle w:val="a9"/>
        <w:rPr>
          <w:rtl/>
        </w:rPr>
      </w:pPr>
    </w:p>
    <w:p w14:paraId="5FAD8CE1" w14:textId="77777777" w:rsidR="005144DB" w:rsidRPr="003D1B03" w:rsidRDefault="005144DB" w:rsidP="005144DB">
      <w:pPr>
        <w:pStyle w:val="a9"/>
        <w:rPr>
          <w:rtl/>
        </w:rPr>
      </w:pPr>
    </w:p>
    <w:p w14:paraId="20028BED" w14:textId="77777777" w:rsidR="005144DB" w:rsidRDefault="005144DB" w:rsidP="005144DB">
      <w:pPr>
        <w:rPr>
          <w:rFonts w:ascii="Arial" w:hAnsi="Arial"/>
          <w:b/>
          <w:bCs/>
          <w:sz w:val="26"/>
          <w:szCs w:val="26"/>
          <w:rtl/>
        </w:rPr>
      </w:pPr>
      <w:r w:rsidRPr="00EF5340">
        <w:rPr>
          <w:rFonts w:ascii="Arial" w:hAnsi="Arial" w:hint="cs"/>
          <w:b/>
          <w:bCs/>
          <w:sz w:val="26"/>
          <w:szCs w:val="26"/>
          <w:u w:val="single"/>
          <w:rtl/>
        </w:rPr>
        <w:t>צו כללי למוצגים</w:t>
      </w:r>
      <w:r>
        <w:rPr>
          <w:rFonts w:ascii="Arial" w:hAnsi="Arial" w:hint="cs"/>
          <w:b/>
          <w:bCs/>
          <w:sz w:val="26"/>
          <w:szCs w:val="26"/>
          <w:rtl/>
        </w:rPr>
        <w:t>.</w:t>
      </w:r>
    </w:p>
    <w:p w14:paraId="1CBEC410" w14:textId="77777777" w:rsidR="005144DB" w:rsidRDefault="005144DB" w:rsidP="005144DB">
      <w:pPr>
        <w:rPr>
          <w:rFonts w:ascii="Arial" w:hAnsi="Arial"/>
          <w:b/>
          <w:bCs/>
          <w:sz w:val="26"/>
          <w:szCs w:val="26"/>
          <w:rtl/>
        </w:rPr>
      </w:pPr>
    </w:p>
    <w:p w14:paraId="5D745FCB" w14:textId="77777777" w:rsidR="005144DB" w:rsidRDefault="005144DB" w:rsidP="005144DB">
      <w:pPr>
        <w:rPr>
          <w:rFonts w:ascii="Arial" w:hAnsi="Arial"/>
          <w:b/>
          <w:bCs/>
          <w:sz w:val="26"/>
          <w:szCs w:val="26"/>
          <w:rtl/>
        </w:rPr>
      </w:pPr>
    </w:p>
    <w:p w14:paraId="548BE19C" w14:textId="77777777" w:rsidR="005144DB" w:rsidRDefault="00411F1A" w:rsidP="005144DB">
      <w:pPr>
        <w:rPr>
          <w:rFonts w:ascii="Arial" w:hAnsi="Arial"/>
          <w:b/>
          <w:bCs/>
          <w:sz w:val="26"/>
          <w:szCs w:val="26"/>
          <w:rtl/>
        </w:rPr>
      </w:pPr>
      <w:r w:rsidRPr="00411F1A">
        <w:rPr>
          <w:rFonts w:ascii="Arial" w:hAnsi="Arial"/>
          <w:b/>
          <w:bCs/>
          <w:color w:val="FFFFFF"/>
          <w:sz w:val="2"/>
          <w:szCs w:val="2"/>
          <w:rtl/>
        </w:rPr>
        <w:t>5129371</w:t>
      </w:r>
      <w:r w:rsidR="005144DB">
        <w:rPr>
          <w:rFonts w:ascii="Arial" w:hAnsi="Arial" w:hint="cs"/>
          <w:b/>
          <w:bCs/>
          <w:sz w:val="26"/>
          <w:szCs w:val="26"/>
          <w:rtl/>
        </w:rPr>
        <w:t>זכות ערעור לבית המשפט המחוזי מרכז - תוך 45 ימים מהיום.</w:t>
      </w:r>
    </w:p>
    <w:p w14:paraId="155B08F9" w14:textId="77777777" w:rsidR="005144DB" w:rsidRPr="00411F1A" w:rsidRDefault="00411F1A" w:rsidP="005144DB">
      <w:pPr>
        <w:rPr>
          <w:rFonts w:ascii="Arial" w:hAnsi="Arial"/>
          <w:b/>
          <w:bCs/>
          <w:color w:val="FFFFFF"/>
          <w:sz w:val="2"/>
          <w:szCs w:val="2"/>
          <w:rtl/>
        </w:rPr>
      </w:pPr>
      <w:r w:rsidRPr="00411F1A">
        <w:rPr>
          <w:rFonts w:ascii="Arial" w:hAnsi="Arial"/>
          <w:b/>
          <w:bCs/>
          <w:color w:val="FFFFFF"/>
          <w:sz w:val="2"/>
          <w:szCs w:val="2"/>
          <w:rtl/>
        </w:rPr>
        <w:t>54678313</w:t>
      </w:r>
    </w:p>
    <w:p w14:paraId="6073F021" w14:textId="77777777" w:rsidR="005144DB" w:rsidRPr="000F2247" w:rsidRDefault="005144DB" w:rsidP="005144DB">
      <w:pPr>
        <w:rPr>
          <w:rFonts w:ascii="Arial" w:hAnsi="Arial"/>
          <w:b/>
          <w:bCs/>
          <w:sz w:val="26"/>
          <w:szCs w:val="26"/>
          <w:rtl/>
        </w:rPr>
      </w:pPr>
    </w:p>
    <w:p w14:paraId="5ACFFA41" w14:textId="77777777" w:rsidR="005144DB" w:rsidRPr="000F2247" w:rsidRDefault="00411F1A" w:rsidP="005144D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א' סיוון תשפ"ג, 21 במאי 2023, במעמד הצדדים. </w:t>
      </w:r>
      <w:bookmarkEnd w:id="7"/>
      <w:r w:rsidR="005144DB">
        <w:rPr>
          <w:rFonts w:ascii="Arial" w:hAnsi="Arial"/>
          <w:b/>
          <w:bCs/>
          <w:sz w:val="26"/>
          <w:szCs w:val="26"/>
          <w:rtl/>
        </w:rPr>
        <w:tab/>
      </w:r>
      <w:r w:rsidR="005144DB">
        <w:rPr>
          <w:rFonts w:ascii="Arial" w:hAnsi="Arial"/>
          <w:b/>
          <w:bCs/>
          <w:sz w:val="26"/>
          <w:szCs w:val="26"/>
          <w:rtl/>
        </w:rPr>
        <w:tab/>
      </w:r>
      <w:r w:rsidR="005144DB">
        <w:rPr>
          <w:rFonts w:ascii="Arial" w:hAnsi="Arial"/>
          <w:b/>
          <w:bCs/>
          <w:sz w:val="26"/>
          <w:szCs w:val="26"/>
          <w:rtl/>
        </w:rPr>
        <w:tab/>
      </w:r>
      <w:r w:rsidR="005144DB">
        <w:rPr>
          <w:rFonts w:ascii="Arial" w:hAnsi="Arial"/>
          <w:b/>
          <w:bCs/>
          <w:sz w:val="26"/>
          <w:szCs w:val="26"/>
          <w:rtl/>
        </w:rPr>
        <w:tab/>
      </w:r>
      <w:r w:rsidR="005144DB">
        <w:rPr>
          <w:rFonts w:ascii="Arial" w:hAnsi="Arial"/>
          <w:b/>
          <w:bCs/>
          <w:sz w:val="26"/>
          <w:szCs w:val="26"/>
          <w:rtl/>
        </w:rPr>
        <w:tab/>
      </w:r>
      <w:r w:rsidR="005144DB">
        <w:rPr>
          <w:rFonts w:ascii="Arial" w:hAnsi="Arial"/>
          <w:b/>
          <w:bCs/>
          <w:sz w:val="26"/>
          <w:szCs w:val="26"/>
          <w:rtl/>
        </w:rPr>
        <w:tab/>
      </w:r>
      <w:r w:rsidR="005144DB">
        <w:rPr>
          <w:rFonts w:ascii="Arial" w:hAnsi="Arial"/>
          <w:b/>
          <w:bCs/>
          <w:sz w:val="26"/>
          <w:szCs w:val="26"/>
          <w:rtl/>
        </w:rPr>
        <w:tab/>
      </w:r>
      <w:r w:rsidR="005144DB">
        <w:rPr>
          <w:rFonts w:ascii="Arial" w:hAnsi="Arial" w:hint="cs"/>
          <w:b/>
          <w:bCs/>
          <w:sz w:val="26"/>
          <w:szCs w:val="26"/>
          <w:rtl/>
        </w:rPr>
        <w:t xml:space="preserve">         </w:t>
      </w:r>
    </w:p>
    <w:p w14:paraId="77C06866" w14:textId="77777777" w:rsidR="005144DB" w:rsidRPr="000F2247" w:rsidRDefault="005144DB" w:rsidP="00411F1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B721AA0" w14:textId="77777777" w:rsidR="005144DB" w:rsidRPr="000F2247" w:rsidRDefault="005144DB" w:rsidP="005144DB">
      <w:pPr>
        <w:jc w:val="center"/>
        <w:rPr>
          <w:rFonts w:ascii="Arial" w:hAnsi="Arial"/>
          <w:b/>
          <w:bCs/>
          <w:sz w:val="26"/>
          <w:szCs w:val="26"/>
          <w:rtl/>
        </w:rPr>
      </w:pPr>
    </w:p>
    <w:p w14:paraId="5374327B" w14:textId="77777777" w:rsidR="00FC60EE" w:rsidRPr="00411F1A" w:rsidRDefault="00FC60EE" w:rsidP="00411F1A">
      <w:pPr>
        <w:keepNext/>
        <w:rPr>
          <w:rFonts w:ascii="David" w:hAnsi="David"/>
          <w:color w:val="000000"/>
          <w:sz w:val="22"/>
          <w:szCs w:val="22"/>
          <w:rtl/>
        </w:rPr>
      </w:pPr>
    </w:p>
    <w:p w14:paraId="2BC18807" w14:textId="77777777" w:rsidR="00411F1A" w:rsidRPr="00411F1A" w:rsidRDefault="00411F1A" w:rsidP="00411F1A">
      <w:pPr>
        <w:keepNext/>
        <w:rPr>
          <w:rFonts w:ascii="David" w:hAnsi="David"/>
          <w:color w:val="000000"/>
          <w:sz w:val="22"/>
          <w:szCs w:val="22"/>
          <w:rtl/>
        </w:rPr>
      </w:pPr>
      <w:r w:rsidRPr="00411F1A">
        <w:rPr>
          <w:rFonts w:ascii="David" w:hAnsi="David"/>
          <w:color w:val="000000"/>
          <w:sz w:val="22"/>
          <w:szCs w:val="22"/>
          <w:rtl/>
        </w:rPr>
        <w:t>טל ענר 54678313</w:t>
      </w:r>
    </w:p>
    <w:p w14:paraId="3A8C4B3C" w14:textId="77777777" w:rsidR="00411F1A" w:rsidRDefault="00411F1A" w:rsidP="00411F1A">
      <w:r w:rsidRPr="00411F1A">
        <w:rPr>
          <w:color w:val="000000"/>
          <w:rtl/>
        </w:rPr>
        <w:t>נוסח מסמך זה כפוף לשינויי ניסוח ועריכה</w:t>
      </w:r>
    </w:p>
    <w:p w14:paraId="332F1CB5" w14:textId="77777777" w:rsidR="00411F1A" w:rsidRDefault="00411F1A" w:rsidP="00411F1A">
      <w:pPr>
        <w:rPr>
          <w:rtl/>
        </w:rPr>
      </w:pPr>
    </w:p>
    <w:p w14:paraId="316D126A" w14:textId="77777777" w:rsidR="00411F1A" w:rsidRDefault="00411F1A" w:rsidP="00411F1A">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0682B00" w14:textId="77777777" w:rsidR="00411F1A" w:rsidRPr="00411F1A" w:rsidRDefault="00411F1A" w:rsidP="00411F1A">
      <w:pPr>
        <w:jc w:val="center"/>
        <w:rPr>
          <w:color w:val="0000FF"/>
          <w:u w:val="single"/>
        </w:rPr>
      </w:pPr>
    </w:p>
    <w:sectPr w:rsidR="00411F1A" w:rsidRPr="00411F1A" w:rsidSect="00411F1A">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1558E" w14:textId="77777777" w:rsidR="002A046D" w:rsidRDefault="002A046D" w:rsidP="008202A0">
      <w:r>
        <w:separator/>
      </w:r>
    </w:p>
  </w:endnote>
  <w:endnote w:type="continuationSeparator" w:id="0">
    <w:p w14:paraId="1B1E9170" w14:textId="77777777" w:rsidR="002A046D" w:rsidRDefault="002A046D" w:rsidP="0082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E42A" w14:textId="77777777" w:rsidR="00411F1A" w:rsidRDefault="00411F1A" w:rsidP="00411F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8DE59D" w14:textId="77777777" w:rsidR="00095088" w:rsidRPr="00411F1A" w:rsidRDefault="00411F1A" w:rsidP="00411F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0AEE" w14:textId="77777777" w:rsidR="00411F1A" w:rsidRDefault="00411F1A" w:rsidP="00411F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73AE">
      <w:rPr>
        <w:rFonts w:ascii="FrankRuehl" w:hAnsi="FrankRuehl" w:cs="FrankRuehl"/>
        <w:noProof/>
        <w:rtl/>
      </w:rPr>
      <w:t>1</w:t>
    </w:r>
    <w:r>
      <w:rPr>
        <w:rFonts w:ascii="FrankRuehl" w:hAnsi="FrankRuehl" w:cs="FrankRuehl"/>
        <w:rtl/>
      </w:rPr>
      <w:fldChar w:fldCharType="end"/>
    </w:r>
  </w:p>
  <w:p w14:paraId="18A82C72" w14:textId="77777777" w:rsidR="00095088" w:rsidRPr="00411F1A" w:rsidRDefault="00411F1A" w:rsidP="00411F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4AD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583A9" w14:textId="77777777" w:rsidR="002A046D" w:rsidRDefault="002A046D" w:rsidP="008202A0">
      <w:r>
        <w:separator/>
      </w:r>
    </w:p>
  </w:footnote>
  <w:footnote w:type="continuationSeparator" w:id="0">
    <w:p w14:paraId="06107AAE" w14:textId="77777777" w:rsidR="002A046D" w:rsidRDefault="002A046D" w:rsidP="00820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24662" w14:textId="77777777" w:rsidR="00411F1A" w:rsidRPr="00411F1A" w:rsidRDefault="00411F1A" w:rsidP="00411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21052-05-20</w:t>
    </w:r>
    <w:r>
      <w:rPr>
        <w:rFonts w:ascii="David" w:hAnsi="David"/>
        <w:color w:val="000000"/>
        <w:sz w:val="22"/>
        <w:szCs w:val="22"/>
        <w:rtl/>
      </w:rPr>
      <w:tab/>
      <w:t xml:space="preserve"> מדינת ישראל נ' רועי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747C" w14:textId="77777777" w:rsidR="00411F1A" w:rsidRPr="00411F1A" w:rsidRDefault="00411F1A" w:rsidP="00411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21052-05-20</w:t>
    </w:r>
    <w:r>
      <w:rPr>
        <w:rFonts w:ascii="David" w:hAnsi="David"/>
        <w:color w:val="000000"/>
        <w:sz w:val="22"/>
        <w:szCs w:val="22"/>
        <w:rtl/>
      </w:rPr>
      <w:tab/>
      <w:t xml:space="preserve"> מדינת ישראל נ' רועי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662771"/>
    <w:multiLevelType w:val="hybridMultilevel"/>
    <w:tmpl w:val="36B899A8"/>
    <w:lvl w:ilvl="0" w:tplc="4B08F980">
      <w:start w:val="1"/>
      <w:numFmt w:val="decimal"/>
      <w:lvlText w:val="%1."/>
      <w:lvlJc w:val="left"/>
      <w:pPr>
        <w:ind w:left="360" w:hanging="360"/>
      </w:pPr>
      <w:rPr>
        <w:rFonts w:ascii="Arial" w:hAnsi="Arial" w:hint="default"/>
        <w:b/>
        <w:sz w:val="26"/>
        <w:lang w:val="en-US"/>
      </w:rPr>
    </w:lvl>
    <w:lvl w:ilvl="1" w:tplc="333871CE">
      <w:start w:val="1"/>
      <w:numFmt w:val="hebrew1"/>
      <w:lvlText w:val="%2."/>
      <w:lvlJc w:val="left"/>
      <w:pPr>
        <w:ind w:left="1080" w:hanging="360"/>
      </w:pPr>
      <w:rPr>
        <w:rFonts w:ascii="Arial" w:eastAsia="Times New Roman" w:hAnsi="Arial" w:cs="David"/>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857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44DB"/>
    <w:rsid w:val="00095088"/>
    <w:rsid w:val="000F73AE"/>
    <w:rsid w:val="0013774C"/>
    <w:rsid w:val="001B5A3B"/>
    <w:rsid w:val="002A046D"/>
    <w:rsid w:val="002A2DA1"/>
    <w:rsid w:val="0035193F"/>
    <w:rsid w:val="0039214A"/>
    <w:rsid w:val="00411F1A"/>
    <w:rsid w:val="005144DB"/>
    <w:rsid w:val="0058034E"/>
    <w:rsid w:val="006D0D0D"/>
    <w:rsid w:val="007126D2"/>
    <w:rsid w:val="008202A0"/>
    <w:rsid w:val="00B15898"/>
    <w:rsid w:val="00E20EBD"/>
    <w:rsid w:val="00E86B2D"/>
    <w:rsid w:val="00FC6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3F64B1"/>
  <w15:chartTrackingRefBased/>
  <w15:docId w15:val="{3FBCCAB1-3219-44E8-BC8E-59C1ECC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44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44DB"/>
    <w:pPr>
      <w:tabs>
        <w:tab w:val="center" w:pos="4153"/>
        <w:tab w:val="right" w:pos="8306"/>
      </w:tabs>
    </w:pPr>
  </w:style>
  <w:style w:type="character" w:customStyle="1" w:styleId="a4">
    <w:name w:val="כותרת עליונה תו"/>
    <w:link w:val="a3"/>
    <w:rsid w:val="005144DB"/>
    <w:rPr>
      <w:rFonts w:ascii="Times New Roman" w:eastAsia="Times New Roman" w:hAnsi="Times New Roman" w:cs="David"/>
      <w:sz w:val="24"/>
      <w:szCs w:val="24"/>
    </w:rPr>
  </w:style>
  <w:style w:type="paragraph" w:styleId="a5">
    <w:name w:val="footer"/>
    <w:basedOn w:val="a"/>
    <w:link w:val="a6"/>
    <w:rsid w:val="005144DB"/>
    <w:pPr>
      <w:tabs>
        <w:tab w:val="center" w:pos="4153"/>
        <w:tab w:val="right" w:pos="8306"/>
      </w:tabs>
    </w:pPr>
  </w:style>
  <w:style w:type="character" w:customStyle="1" w:styleId="a6">
    <w:name w:val="כותרת תחתונה תו"/>
    <w:link w:val="a5"/>
    <w:rsid w:val="005144DB"/>
    <w:rPr>
      <w:rFonts w:ascii="Times New Roman" w:eastAsia="Times New Roman" w:hAnsi="Times New Roman" w:cs="David"/>
      <w:sz w:val="24"/>
      <w:szCs w:val="24"/>
    </w:rPr>
  </w:style>
  <w:style w:type="table" w:styleId="a7">
    <w:name w:val="Table Grid"/>
    <w:basedOn w:val="a1"/>
    <w:rsid w:val="005144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44DB"/>
  </w:style>
  <w:style w:type="paragraph" w:styleId="a9">
    <w:name w:val="List Paragraph"/>
    <w:basedOn w:val="a"/>
    <w:qFormat/>
    <w:rsid w:val="005144DB"/>
    <w:pPr>
      <w:ind w:left="720"/>
      <w:contextualSpacing/>
    </w:pPr>
  </w:style>
  <w:style w:type="character" w:styleId="Hyperlink">
    <w:name w:val="Hyperlink"/>
    <w:rsid w:val="00411F1A"/>
    <w:rPr>
      <w:color w:val="0000FF"/>
      <w:u w:val="single"/>
    </w:rPr>
  </w:style>
  <w:style w:type="character" w:styleId="FollowedHyperlink">
    <w:name w:val="FollowedHyperlink"/>
    <w:rsid w:val="005803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 TargetMode="External"/><Relationship Id="rId13" Type="http://schemas.openxmlformats.org/officeDocument/2006/relationships/hyperlink" Target="http://www.nevo.co.il/law/70301/40d" TargetMode="External"/><Relationship Id="rId18" Type="http://schemas.openxmlformats.org/officeDocument/2006/relationships/hyperlink" Target="http://www.nevo.co.il/case/597533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7921296" TargetMode="External"/><Relationship Id="rId25" Type="http://schemas.openxmlformats.org/officeDocument/2006/relationships/hyperlink" Target="http://www.nevo.co.il/case/5681787" TargetMode="External"/><Relationship Id="rId2" Type="http://schemas.openxmlformats.org/officeDocument/2006/relationships/styles" Target="styles.xml"/><Relationship Id="rId16" Type="http://schemas.openxmlformats.org/officeDocument/2006/relationships/hyperlink" Target="http://www.nevo.co.il/law/4216/1" TargetMode="External"/><Relationship Id="rId20" Type="http://schemas.openxmlformats.org/officeDocument/2006/relationships/hyperlink" Target="http://www.nevo.co.il/law/70301/40d"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 TargetMode="External"/><Relationship Id="rId24" Type="http://schemas.openxmlformats.org/officeDocument/2006/relationships/hyperlink" Target="http://www.nevo.co.il/law/4216/3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17029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law/4216"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2023</Words>
  <Characters>10116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12115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3997819</vt:i4>
      </vt:variant>
      <vt:variant>
        <vt:i4>54</vt:i4>
      </vt:variant>
      <vt:variant>
        <vt:i4>0</vt:i4>
      </vt:variant>
      <vt:variant>
        <vt:i4>5</vt:i4>
      </vt:variant>
      <vt:variant>
        <vt:lpwstr>http://www.nevo.co.il/case/5681787</vt:lpwstr>
      </vt:variant>
      <vt:variant>
        <vt:lpwstr/>
      </vt:variant>
      <vt:variant>
        <vt:i4>5046346</vt:i4>
      </vt:variant>
      <vt:variant>
        <vt:i4>51</vt:i4>
      </vt:variant>
      <vt:variant>
        <vt:i4>0</vt:i4>
      </vt:variant>
      <vt:variant>
        <vt:i4>5</vt:i4>
      </vt:variant>
      <vt:variant>
        <vt:lpwstr>http://www.nevo.co.il/law/4216/36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3342460</vt:i4>
      </vt:variant>
      <vt:variant>
        <vt:i4>36</vt:i4>
      </vt:variant>
      <vt:variant>
        <vt:i4>0</vt:i4>
      </vt:variant>
      <vt:variant>
        <vt:i4>5</vt:i4>
      </vt:variant>
      <vt:variant>
        <vt:lpwstr>http://www.nevo.co.il/case/21702945</vt:lpwstr>
      </vt:variant>
      <vt:variant>
        <vt:lpwstr/>
      </vt:variant>
      <vt:variant>
        <vt:i4>3473531</vt:i4>
      </vt:variant>
      <vt:variant>
        <vt:i4>33</vt:i4>
      </vt:variant>
      <vt:variant>
        <vt:i4>0</vt:i4>
      </vt:variant>
      <vt:variant>
        <vt:i4>5</vt:i4>
      </vt:variant>
      <vt:variant>
        <vt:lpwstr>http://www.nevo.co.il/case/5975334</vt:lpwstr>
      </vt:variant>
      <vt:variant>
        <vt:lpwstr/>
      </vt:variant>
      <vt:variant>
        <vt:i4>3145843</vt:i4>
      </vt:variant>
      <vt:variant>
        <vt:i4>30</vt:i4>
      </vt:variant>
      <vt:variant>
        <vt:i4>0</vt:i4>
      </vt:variant>
      <vt:variant>
        <vt:i4>5</vt:i4>
      </vt:variant>
      <vt:variant>
        <vt:lpwstr>http://www.nevo.co.il/case/17921296</vt:lpwstr>
      </vt:variant>
      <vt:variant>
        <vt:lpwstr/>
      </vt:variant>
      <vt:variant>
        <vt:i4>5177418</vt:i4>
      </vt:variant>
      <vt:variant>
        <vt:i4>27</vt:i4>
      </vt:variant>
      <vt:variant>
        <vt:i4>0</vt:i4>
      </vt:variant>
      <vt:variant>
        <vt:i4>5</vt:i4>
      </vt:variant>
      <vt:variant>
        <vt:lpwstr>http://www.nevo.co.il/law/4216/1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5046346</vt:i4>
      </vt:variant>
      <vt:variant>
        <vt:i4>12</vt:i4>
      </vt:variant>
      <vt:variant>
        <vt:i4>0</vt:i4>
      </vt:variant>
      <vt:variant>
        <vt:i4>5</vt:i4>
      </vt:variant>
      <vt:variant>
        <vt:lpwstr>http://www.nevo.co.il/law/4216/36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21052</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רועי חמו</vt:lpwstr>
  </property>
  <property fmtid="{D5CDD505-2E9C-101B-9397-08002B2CF9AE}" pid="10" name="JUDGE">
    <vt:lpwstr>טל ענר</vt:lpwstr>
  </property>
  <property fmtid="{D5CDD505-2E9C-101B-9397-08002B2CF9AE}" pid="11" name="CITY">
    <vt:lpwstr>ראשל"צ</vt:lpwstr>
  </property>
  <property fmtid="{D5CDD505-2E9C-101B-9397-08002B2CF9AE}" pid="12" name="DATE">
    <vt:lpwstr>20230521</vt:lpwstr>
  </property>
  <property fmtid="{D5CDD505-2E9C-101B-9397-08002B2CF9AE}" pid="13" name="TYPE_N_DATE">
    <vt:lpwstr>38020230521</vt:lpwstr>
  </property>
  <property fmtid="{D5CDD505-2E9C-101B-9397-08002B2CF9AE}" pid="14" name="WORDNUMPAGES">
    <vt:lpwstr>7</vt:lpwstr>
  </property>
  <property fmtid="{D5CDD505-2E9C-101B-9397-08002B2CF9AE}" pid="15" name="TYPE_ABS_DATE">
    <vt:lpwstr>380020230521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17921296;5975334;21702945;5681787</vt:lpwstr>
  </property>
  <property fmtid="{D5CDD505-2E9C-101B-9397-08002B2CF9AE}" pid="36" name="LAWLISTTMP1">
    <vt:lpwstr>4216/007.a;007.c;001;036</vt:lpwstr>
  </property>
  <property fmtid="{D5CDD505-2E9C-101B-9397-08002B2CF9AE}" pid="37" name="LAWLISTTMP2">
    <vt:lpwstr>70301/040d</vt:lpwstr>
  </property>
</Properties>
</file>