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1332"/>
        <w:gridCol w:w="3613"/>
        <w:gridCol w:w="541"/>
        <w:gridCol w:w="3037"/>
        <w:gridCol w:w="297"/>
      </w:tblGrid>
      <w:tr w:rsidR="007241B1" w:rsidRPr="00B25F0E" w14:paraId="1F02BAD5" w14:textId="77777777" w:rsidTr="006C0EBA">
        <w:trPr>
          <w:gridAfter w:val="1"/>
          <w:wAfter w:w="297" w:type="dxa"/>
          <w:trHeight w:hRule="exact" w:val="418"/>
          <w:jc w:val="center"/>
        </w:trPr>
        <w:tc>
          <w:tcPr>
            <w:tcW w:w="8523" w:type="dxa"/>
            <w:gridSpan w:val="4"/>
          </w:tcPr>
          <w:p w14:paraId="7B7DAA7F" w14:textId="77777777" w:rsidR="007241B1" w:rsidRPr="00B25F0E" w:rsidRDefault="007241B1" w:rsidP="00D00FFB">
            <w:pPr>
              <w:pStyle w:val="a3"/>
              <w:jc w:val="center"/>
              <w:rPr>
                <w:rFonts w:ascii="Tahoma" w:hAnsi="Tahoma"/>
                <w:color w:val="000080"/>
                <w:sz w:val="32"/>
                <w:szCs w:val="32"/>
                <w:rtl/>
              </w:rPr>
            </w:pPr>
            <w:bookmarkStart w:id="0" w:name="LastJudge"/>
            <w:r w:rsidRPr="00B25F0E">
              <w:rPr>
                <w:rFonts w:ascii="Tahoma" w:hAnsi="Tahoma"/>
                <w:b/>
                <w:bCs/>
                <w:color w:val="000080"/>
                <w:sz w:val="32"/>
                <w:szCs w:val="32"/>
                <w:rtl/>
              </w:rPr>
              <w:t>בית משפט השלום בתל אביב - יפו</w:t>
            </w:r>
          </w:p>
        </w:tc>
      </w:tr>
      <w:tr w:rsidR="007241B1" w:rsidRPr="00B25F0E" w14:paraId="4E4F4D53" w14:textId="77777777" w:rsidTr="006C0EBA">
        <w:trPr>
          <w:gridAfter w:val="1"/>
          <w:wAfter w:w="297" w:type="dxa"/>
          <w:trHeight w:val="337"/>
          <w:jc w:val="center"/>
        </w:trPr>
        <w:tc>
          <w:tcPr>
            <w:tcW w:w="4945" w:type="dxa"/>
            <w:gridSpan w:val="2"/>
          </w:tcPr>
          <w:p w14:paraId="46C6380C" w14:textId="77777777" w:rsidR="007241B1" w:rsidRPr="00B25F0E" w:rsidRDefault="007241B1" w:rsidP="00D00FFB">
            <w:pPr>
              <w:rPr>
                <w:sz w:val="26"/>
                <w:szCs w:val="26"/>
                <w:rtl/>
              </w:rPr>
            </w:pPr>
            <w:r w:rsidRPr="00B25F0E">
              <w:rPr>
                <w:sz w:val="26"/>
                <w:szCs w:val="26"/>
                <w:rtl/>
              </w:rPr>
              <w:t>ת"פ</w:t>
            </w:r>
            <w:r w:rsidRPr="00B25F0E">
              <w:rPr>
                <w:rFonts w:hint="cs"/>
                <w:sz w:val="26"/>
                <w:szCs w:val="26"/>
                <w:rtl/>
              </w:rPr>
              <w:t xml:space="preserve"> </w:t>
            </w:r>
            <w:r w:rsidRPr="00B25F0E">
              <w:rPr>
                <w:sz w:val="26"/>
                <w:szCs w:val="26"/>
                <w:rtl/>
              </w:rPr>
              <w:t>28746-05-20</w:t>
            </w:r>
            <w:r w:rsidRPr="00B25F0E">
              <w:rPr>
                <w:rFonts w:hint="cs"/>
                <w:sz w:val="26"/>
                <w:szCs w:val="26"/>
                <w:rtl/>
              </w:rPr>
              <w:t xml:space="preserve"> </w:t>
            </w:r>
            <w:r w:rsidRPr="00B25F0E">
              <w:rPr>
                <w:b/>
                <w:bCs/>
                <w:sz w:val="26"/>
                <w:szCs w:val="26"/>
                <w:rtl/>
              </w:rPr>
              <w:t>מדינת ישראל נ' פרץ</w:t>
            </w:r>
          </w:p>
        </w:tc>
        <w:tc>
          <w:tcPr>
            <w:tcW w:w="3578" w:type="dxa"/>
            <w:gridSpan w:val="2"/>
          </w:tcPr>
          <w:p w14:paraId="3D6106D1" w14:textId="77777777" w:rsidR="007241B1" w:rsidRPr="00B25F0E" w:rsidRDefault="007241B1" w:rsidP="00D00FFB">
            <w:pPr>
              <w:pStyle w:val="a3"/>
              <w:jc w:val="right"/>
              <w:rPr>
                <w:rFonts w:cs="FrankRuehl"/>
                <w:sz w:val="28"/>
                <w:szCs w:val="28"/>
                <w:rtl/>
              </w:rPr>
            </w:pPr>
          </w:p>
        </w:tc>
      </w:tr>
      <w:tr w:rsidR="007241B1" w:rsidRPr="00B25F0E" w14:paraId="64EB1AC4" w14:textId="77777777" w:rsidTr="006C0E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8820" w:type="dxa"/>
            <w:gridSpan w:val="5"/>
            <w:tcBorders>
              <w:top w:val="nil"/>
              <w:left w:val="nil"/>
              <w:bottom w:val="nil"/>
              <w:right w:val="nil"/>
            </w:tcBorders>
            <w:shd w:val="clear" w:color="auto" w:fill="auto"/>
          </w:tcPr>
          <w:p w14:paraId="53565B58" w14:textId="77777777" w:rsidR="007241B1" w:rsidRPr="00B25F0E" w:rsidRDefault="007241B1" w:rsidP="007241B1">
            <w:pPr>
              <w:spacing w:line="360" w:lineRule="auto"/>
              <w:jc w:val="both"/>
              <w:rPr>
                <w:b/>
                <w:bCs/>
                <w:sz w:val="26"/>
                <w:szCs w:val="26"/>
                <w:rtl/>
              </w:rPr>
            </w:pPr>
            <w:r w:rsidRPr="00B25F0E">
              <w:rPr>
                <w:rFonts w:hint="cs"/>
                <w:rtl/>
              </w:rPr>
              <w:t xml:space="preserve"> </w:t>
            </w:r>
            <w:r w:rsidRPr="00B25F0E">
              <w:rPr>
                <w:rFonts w:ascii="Arial" w:hAnsi="Arial" w:hint="cs"/>
                <w:b/>
                <w:bCs/>
                <w:sz w:val="26"/>
                <w:szCs w:val="26"/>
                <w:rtl/>
              </w:rPr>
              <w:t>ל</w:t>
            </w:r>
            <w:r w:rsidRPr="00B25F0E">
              <w:rPr>
                <w:rFonts w:ascii="Arial" w:hAnsi="Arial"/>
                <w:b/>
                <w:bCs/>
                <w:sz w:val="26"/>
                <w:szCs w:val="26"/>
                <w:rtl/>
              </w:rPr>
              <w:t xml:space="preserve">פני </w:t>
            </w:r>
            <w:r w:rsidRPr="00B25F0E">
              <w:rPr>
                <w:rFonts w:ascii="Arial" w:hAnsi="Arial" w:hint="cs"/>
                <w:b/>
                <w:bCs/>
                <w:sz w:val="26"/>
                <w:szCs w:val="26"/>
                <w:rtl/>
              </w:rPr>
              <w:t>כבוד ה</w:t>
            </w:r>
            <w:r w:rsidRPr="00B25F0E">
              <w:rPr>
                <w:rFonts w:ascii="Arial" w:hAnsi="Arial"/>
                <w:b/>
                <w:bCs/>
                <w:sz w:val="26"/>
                <w:szCs w:val="26"/>
                <w:rtl/>
              </w:rPr>
              <w:t xml:space="preserve">שופט </w:t>
            </w:r>
            <w:r w:rsidRPr="00B25F0E">
              <w:rPr>
                <w:rFonts w:ascii="Arial" w:hAnsi="Arial" w:hint="cs"/>
                <w:b/>
                <w:bCs/>
                <w:sz w:val="26"/>
                <w:szCs w:val="26"/>
                <w:rtl/>
              </w:rPr>
              <w:t>ה</w:t>
            </w:r>
            <w:r w:rsidRPr="00B25F0E">
              <w:rPr>
                <w:rFonts w:ascii="Arial" w:hAnsi="Arial"/>
                <w:b/>
                <w:bCs/>
                <w:sz w:val="26"/>
                <w:szCs w:val="26"/>
                <w:rtl/>
              </w:rPr>
              <w:t>בכיר</w:t>
            </w:r>
            <w:r w:rsidRPr="00B25F0E">
              <w:rPr>
                <w:rFonts w:ascii="Arial" w:hAnsi="Arial" w:hint="cs"/>
                <w:b/>
                <w:bCs/>
                <w:sz w:val="26"/>
                <w:szCs w:val="26"/>
                <w:rtl/>
              </w:rPr>
              <w:t xml:space="preserve"> </w:t>
            </w:r>
            <w:r w:rsidRPr="00B25F0E">
              <w:rPr>
                <w:rFonts w:ascii="Arial" w:hAnsi="Arial"/>
                <w:b/>
                <w:bCs/>
                <w:sz w:val="26"/>
                <w:szCs w:val="26"/>
                <w:rtl/>
              </w:rPr>
              <w:t>שאול אבינור</w:t>
            </w:r>
          </w:p>
          <w:p w14:paraId="32FB11EA" w14:textId="77777777" w:rsidR="007241B1" w:rsidRPr="00B25F0E" w:rsidRDefault="007241B1" w:rsidP="007241B1">
            <w:pPr>
              <w:spacing w:line="360" w:lineRule="auto"/>
              <w:jc w:val="both"/>
              <w:rPr>
                <w:rFonts w:ascii="Arial" w:hAnsi="Arial"/>
                <w:b/>
                <w:bCs/>
                <w:sz w:val="26"/>
                <w:szCs w:val="26"/>
              </w:rPr>
            </w:pPr>
          </w:p>
        </w:tc>
      </w:tr>
      <w:tr w:rsidR="007241B1" w:rsidRPr="00B25F0E" w14:paraId="4699761F" w14:textId="77777777" w:rsidTr="006C0E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332" w:type="dxa"/>
            <w:tcBorders>
              <w:top w:val="nil"/>
              <w:left w:val="nil"/>
              <w:bottom w:val="nil"/>
              <w:right w:val="nil"/>
            </w:tcBorders>
            <w:shd w:val="clear" w:color="auto" w:fill="auto"/>
          </w:tcPr>
          <w:p w14:paraId="2A6ECC76" w14:textId="77777777" w:rsidR="007241B1" w:rsidRPr="00B25F0E" w:rsidRDefault="007241B1" w:rsidP="007241B1">
            <w:pPr>
              <w:spacing w:line="360" w:lineRule="auto"/>
              <w:jc w:val="both"/>
              <w:rPr>
                <w:rFonts w:ascii="Arial" w:hAnsi="Arial"/>
                <w:b/>
                <w:bCs/>
                <w:sz w:val="26"/>
                <w:szCs w:val="26"/>
              </w:rPr>
            </w:pPr>
            <w:bookmarkStart w:id="1" w:name="FirstAppellant"/>
            <w:bookmarkStart w:id="2" w:name="FirstLawyer"/>
            <w:r w:rsidRPr="00B25F0E">
              <w:rPr>
                <w:rFonts w:ascii="Arial" w:hAnsi="Arial" w:hint="cs"/>
                <w:b/>
                <w:bCs/>
                <w:sz w:val="26"/>
                <w:szCs w:val="26"/>
                <w:rtl/>
              </w:rPr>
              <w:t>ה</w:t>
            </w:r>
            <w:r w:rsidRPr="00B25F0E">
              <w:rPr>
                <w:rFonts w:ascii="Arial" w:hAnsi="Arial"/>
                <w:b/>
                <w:bCs/>
                <w:sz w:val="26"/>
                <w:szCs w:val="26"/>
                <w:rtl/>
              </w:rPr>
              <w:t>מאשימה</w:t>
            </w:r>
            <w:r w:rsidRPr="00B25F0E">
              <w:rPr>
                <w:rFonts w:ascii="Arial" w:hAnsi="Arial" w:hint="cs"/>
                <w:b/>
                <w:bCs/>
                <w:sz w:val="26"/>
                <w:szCs w:val="26"/>
                <w:rtl/>
              </w:rPr>
              <w:t>:</w:t>
            </w:r>
          </w:p>
        </w:tc>
        <w:tc>
          <w:tcPr>
            <w:tcW w:w="4154" w:type="dxa"/>
            <w:gridSpan w:val="2"/>
            <w:tcBorders>
              <w:top w:val="nil"/>
              <w:left w:val="nil"/>
              <w:bottom w:val="nil"/>
              <w:right w:val="nil"/>
            </w:tcBorders>
            <w:shd w:val="clear" w:color="auto" w:fill="auto"/>
          </w:tcPr>
          <w:p w14:paraId="77A69CFC" w14:textId="77777777" w:rsidR="007241B1" w:rsidRPr="00B25F0E" w:rsidRDefault="007241B1" w:rsidP="007241B1">
            <w:pPr>
              <w:spacing w:line="360" w:lineRule="auto"/>
              <w:rPr>
                <w:b/>
                <w:bCs/>
                <w:sz w:val="26"/>
                <w:szCs w:val="26"/>
                <w:rtl/>
              </w:rPr>
            </w:pPr>
            <w:r w:rsidRPr="00B25F0E">
              <w:rPr>
                <w:rFonts w:ascii="Arial" w:hAnsi="Arial"/>
                <w:b/>
                <w:bCs/>
                <w:sz w:val="26"/>
                <w:szCs w:val="26"/>
                <w:rtl/>
              </w:rPr>
              <w:t>מדינת ישראל</w:t>
            </w:r>
          </w:p>
          <w:p w14:paraId="4DE172BF" w14:textId="77777777" w:rsidR="007241B1" w:rsidRPr="00B25F0E" w:rsidRDefault="007241B1" w:rsidP="007241B1">
            <w:pPr>
              <w:spacing w:line="360" w:lineRule="auto"/>
              <w:rPr>
                <w:sz w:val="26"/>
                <w:szCs w:val="26"/>
              </w:rPr>
            </w:pPr>
            <w:r w:rsidRPr="00B25F0E">
              <w:rPr>
                <w:rFonts w:hint="cs"/>
                <w:rtl/>
              </w:rPr>
              <w:t>ע"י ב"כ עו"ד ספיר יגר-שחף</w:t>
            </w:r>
          </w:p>
        </w:tc>
        <w:tc>
          <w:tcPr>
            <w:tcW w:w="3334" w:type="dxa"/>
            <w:gridSpan w:val="2"/>
            <w:tcBorders>
              <w:top w:val="nil"/>
              <w:left w:val="nil"/>
              <w:bottom w:val="nil"/>
              <w:right w:val="nil"/>
            </w:tcBorders>
            <w:shd w:val="clear" w:color="auto" w:fill="auto"/>
          </w:tcPr>
          <w:p w14:paraId="5CFBE553" w14:textId="77777777" w:rsidR="007241B1" w:rsidRPr="00B25F0E" w:rsidRDefault="007241B1" w:rsidP="007241B1">
            <w:pPr>
              <w:spacing w:line="360" w:lineRule="auto"/>
              <w:jc w:val="both"/>
              <w:rPr>
                <w:rFonts w:ascii="Arial" w:hAnsi="Arial"/>
                <w:b/>
                <w:bCs/>
                <w:sz w:val="26"/>
                <w:szCs w:val="26"/>
              </w:rPr>
            </w:pPr>
          </w:p>
        </w:tc>
      </w:tr>
      <w:bookmarkEnd w:id="1"/>
      <w:bookmarkEnd w:id="2"/>
      <w:tr w:rsidR="007241B1" w:rsidRPr="00B25F0E" w14:paraId="1F80BE3E" w14:textId="77777777" w:rsidTr="006C0E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73"/>
          <w:jc w:val="center"/>
        </w:trPr>
        <w:tc>
          <w:tcPr>
            <w:tcW w:w="1332" w:type="dxa"/>
            <w:tcBorders>
              <w:top w:val="nil"/>
              <w:left w:val="nil"/>
              <w:bottom w:val="nil"/>
              <w:right w:val="nil"/>
            </w:tcBorders>
            <w:shd w:val="clear" w:color="auto" w:fill="auto"/>
          </w:tcPr>
          <w:p w14:paraId="08555C5B" w14:textId="77777777" w:rsidR="007241B1" w:rsidRPr="00B25F0E" w:rsidRDefault="007241B1" w:rsidP="007241B1">
            <w:pPr>
              <w:spacing w:line="360" w:lineRule="auto"/>
              <w:jc w:val="both"/>
              <w:rPr>
                <w:rFonts w:ascii="Arial" w:hAnsi="Arial"/>
                <w:b/>
                <w:bCs/>
                <w:sz w:val="26"/>
                <w:szCs w:val="26"/>
                <w:rtl/>
              </w:rPr>
            </w:pPr>
          </w:p>
        </w:tc>
        <w:tc>
          <w:tcPr>
            <w:tcW w:w="7488" w:type="dxa"/>
            <w:gridSpan w:val="4"/>
            <w:tcBorders>
              <w:top w:val="nil"/>
              <w:left w:val="nil"/>
              <w:bottom w:val="nil"/>
              <w:right w:val="nil"/>
            </w:tcBorders>
            <w:shd w:val="clear" w:color="auto" w:fill="auto"/>
          </w:tcPr>
          <w:p w14:paraId="4DC4C169" w14:textId="77777777" w:rsidR="007241B1" w:rsidRPr="00B25F0E" w:rsidRDefault="007241B1" w:rsidP="007241B1">
            <w:pPr>
              <w:spacing w:line="360" w:lineRule="auto"/>
              <w:jc w:val="center"/>
              <w:rPr>
                <w:rFonts w:ascii="Arial" w:hAnsi="Arial"/>
                <w:b/>
                <w:bCs/>
                <w:sz w:val="26"/>
                <w:szCs w:val="26"/>
                <w:rtl/>
              </w:rPr>
            </w:pPr>
          </w:p>
          <w:p w14:paraId="103CB562" w14:textId="77777777" w:rsidR="007241B1" w:rsidRPr="00B25F0E" w:rsidRDefault="007241B1" w:rsidP="007241B1">
            <w:pPr>
              <w:spacing w:line="360" w:lineRule="auto"/>
              <w:jc w:val="center"/>
              <w:rPr>
                <w:rFonts w:ascii="Arial" w:hAnsi="Arial"/>
                <w:b/>
                <w:bCs/>
                <w:sz w:val="26"/>
                <w:szCs w:val="26"/>
                <w:rtl/>
              </w:rPr>
            </w:pPr>
          </w:p>
          <w:p w14:paraId="04073B16" w14:textId="77777777" w:rsidR="007241B1" w:rsidRPr="00B25F0E" w:rsidRDefault="007241B1" w:rsidP="007241B1">
            <w:pPr>
              <w:spacing w:line="360" w:lineRule="auto"/>
              <w:jc w:val="center"/>
              <w:rPr>
                <w:rFonts w:ascii="Arial" w:hAnsi="Arial"/>
                <w:b/>
                <w:bCs/>
                <w:sz w:val="26"/>
                <w:szCs w:val="26"/>
                <w:rtl/>
              </w:rPr>
            </w:pPr>
            <w:r w:rsidRPr="00B25F0E">
              <w:rPr>
                <w:rFonts w:ascii="Arial" w:hAnsi="Arial"/>
                <w:b/>
                <w:bCs/>
                <w:sz w:val="26"/>
                <w:szCs w:val="26"/>
                <w:rtl/>
              </w:rPr>
              <w:t>נגד</w:t>
            </w:r>
          </w:p>
          <w:p w14:paraId="24725D3D" w14:textId="77777777" w:rsidR="007241B1" w:rsidRPr="00B25F0E" w:rsidRDefault="007241B1" w:rsidP="007241B1">
            <w:pPr>
              <w:spacing w:line="360" w:lineRule="auto"/>
              <w:jc w:val="both"/>
              <w:rPr>
                <w:rFonts w:ascii="Arial" w:hAnsi="Arial"/>
                <w:b/>
                <w:bCs/>
                <w:sz w:val="26"/>
                <w:szCs w:val="26"/>
                <w:rtl/>
              </w:rPr>
            </w:pPr>
          </w:p>
          <w:p w14:paraId="526FA102" w14:textId="77777777" w:rsidR="007241B1" w:rsidRPr="00B25F0E" w:rsidRDefault="007241B1" w:rsidP="007241B1">
            <w:pPr>
              <w:spacing w:line="360" w:lineRule="auto"/>
              <w:jc w:val="both"/>
              <w:rPr>
                <w:rFonts w:ascii="Arial" w:hAnsi="Arial"/>
                <w:b/>
                <w:bCs/>
                <w:sz w:val="26"/>
                <w:szCs w:val="26"/>
              </w:rPr>
            </w:pPr>
          </w:p>
        </w:tc>
      </w:tr>
      <w:tr w:rsidR="007241B1" w:rsidRPr="00B25F0E" w14:paraId="2B54E8F0" w14:textId="77777777" w:rsidTr="006C0E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332" w:type="dxa"/>
            <w:tcBorders>
              <w:top w:val="nil"/>
              <w:left w:val="nil"/>
              <w:bottom w:val="nil"/>
              <w:right w:val="nil"/>
            </w:tcBorders>
            <w:shd w:val="clear" w:color="auto" w:fill="auto"/>
          </w:tcPr>
          <w:p w14:paraId="290F154F" w14:textId="77777777" w:rsidR="007241B1" w:rsidRPr="00B25F0E" w:rsidRDefault="007241B1" w:rsidP="007241B1">
            <w:pPr>
              <w:spacing w:line="360" w:lineRule="auto"/>
              <w:rPr>
                <w:rFonts w:ascii="Arial" w:hAnsi="Arial"/>
                <w:b/>
                <w:bCs/>
                <w:sz w:val="26"/>
                <w:szCs w:val="26"/>
                <w:rtl/>
              </w:rPr>
            </w:pPr>
            <w:r w:rsidRPr="00B25F0E">
              <w:rPr>
                <w:rFonts w:ascii="Arial" w:hAnsi="Arial" w:hint="cs"/>
                <w:b/>
                <w:bCs/>
                <w:sz w:val="26"/>
                <w:szCs w:val="26"/>
                <w:rtl/>
              </w:rPr>
              <w:t>ה</w:t>
            </w:r>
            <w:r w:rsidRPr="00B25F0E">
              <w:rPr>
                <w:rFonts w:ascii="Arial" w:hAnsi="Arial"/>
                <w:b/>
                <w:bCs/>
                <w:sz w:val="26"/>
                <w:szCs w:val="26"/>
                <w:rtl/>
              </w:rPr>
              <w:t>נאשם</w:t>
            </w:r>
            <w:r w:rsidRPr="00B25F0E">
              <w:rPr>
                <w:rFonts w:ascii="Arial" w:hAnsi="Arial" w:hint="cs"/>
                <w:b/>
                <w:bCs/>
                <w:sz w:val="26"/>
                <w:szCs w:val="26"/>
                <w:rtl/>
              </w:rPr>
              <w:t>:</w:t>
            </w:r>
          </w:p>
        </w:tc>
        <w:tc>
          <w:tcPr>
            <w:tcW w:w="4154" w:type="dxa"/>
            <w:gridSpan w:val="2"/>
            <w:tcBorders>
              <w:top w:val="nil"/>
              <w:left w:val="nil"/>
              <w:bottom w:val="nil"/>
              <w:right w:val="nil"/>
            </w:tcBorders>
            <w:shd w:val="clear" w:color="auto" w:fill="auto"/>
          </w:tcPr>
          <w:p w14:paraId="42B147CC" w14:textId="77777777" w:rsidR="007241B1" w:rsidRPr="00B25F0E" w:rsidRDefault="007241B1" w:rsidP="007241B1">
            <w:pPr>
              <w:spacing w:line="360" w:lineRule="auto"/>
              <w:rPr>
                <w:b/>
                <w:bCs/>
                <w:sz w:val="26"/>
                <w:szCs w:val="26"/>
                <w:rtl/>
              </w:rPr>
            </w:pPr>
            <w:r w:rsidRPr="00B25F0E">
              <w:rPr>
                <w:rFonts w:ascii="Arial" w:hAnsi="Arial"/>
                <w:b/>
                <w:bCs/>
                <w:sz w:val="26"/>
                <w:szCs w:val="26"/>
                <w:rtl/>
              </w:rPr>
              <w:t>ששון פרץ</w:t>
            </w:r>
          </w:p>
          <w:p w14:paraId="261C3D9E" w14:textId="77777777" w:rsidR="007241B1" w:rsidRPr="00B25F0E" w:rsidRDefault="007241B1" w:rsidP="007241B1">
            <w:pPr>
              <w:spacing w:line="360" w:lineRule="auto"/>
              <w:rPr>
                <w:b/>
                <w:bCs/>
                <w:sz w:val="26"/>
                <w:szCs w:val="26"/>
                <w:rtl/>
              </w:rPr>
            </w:pPr>
          </w:p>
        </w:tc>
        <w:tc>
          <w:tcPr>
            <w:tcW w:w="3334" w:type="dxa"/>
            <w:gridSpan w:val="2"/>
            <w:tcBorders>
              <w:top w:val="nil"/>
              <w:left w:val="nil"/>
              <w:bottom w:val="nil"/>
              <w:right w:val="nil"/>
            </w:tcBorders>
            <w:shd w:val="clear" w:color="auto" w:fill="auto"/>
          </w:tcPr>
          <w:p w14:paraId="2474AE71" w14:textId="77777777" w:rsidR="007241B1" w:rsidRPr="00B25F0E" w:rsidRDefault="007241B1" w:rsidP="007241B1">
            <w:pPr>
              <w:spacing w:line="360" w:lineRule="auto"/>
              <w:jc w:val="right"/>
              <w:rPr>
                <w:rFonts w:ascii="Arial" w:hAnsi="Arial"/>
                <w:b/>
                <w:bCs/>
                <w:sz w:val="26"/>
                <w:szCs w:val="26"/>
              </w:rPr>
            </w:pPr>
          </w:p>
        </w:tc>
      </w:tr>
    </w:tbl>
    <w:p w14:paraId="73790864" w14:textId="77777777" w:rsidR="007241B1" w:rsidRPr="00B25F0E" w:rsidRDefault="007241B1" w:rsidP="007241B1">
      <w:pPr>
        <w:spacing w:line="360" w:lineRule="auto"/>
        <w:rPr>
          <w:b/>
          <w:bCs/>
          <w:rtl/>
        </w:rPr>
      </w:pPr>
    </w:p>
    <w:p w14:paraId="0543CFEE" w14:textId="77777777" w:rsidR="0017442F" w:rsidRPr="0017442F" w:rsidRDefault="0017442F" w:rsidP="0017442F">
      <w:pPr>
        <w:spacing w:before="120" w:after="120" w:line="240" w:lineRule="exact"/>
        <w:ind w:left="283" w:hanging="283"/>
        <w:jc w:val="both"/>
        <w:rPr>
          <w:rFonts w:ascii="FrankRuehl" w:hAnsi="FrankRuehl" w:cs="FrankRuehl"/>
          <w:rtl/>
        </w:rPr>
      </w:pPr>
    </w:p>
    <w:p w14:paraId="158C8AA5" w14:textId="77777777" w:rsidR="00574B20" w:rsidRDefault="00574B20" w:rsidP="00574B20">
      <w:pPr>
        <w:spacing w:line="360" w:lineRule="auto"/>
        <w:rPr>
          <w:rtl/>
        </w:rPr>
      </w:pPr>
      <w:bookmarkStart w:id="3" w:name="LawTable"/>
      <w:bookmarkEnd w:id="3"/>
    </w:p>
    <w:p w14:paraId="4BAFA3B9" w14:textId="77777777" w:rsidR="00574B20" w:rsidRPr="00574B20" w:rsidRDefault="00574B20" w:rsidP="00574B20">
      <w:pPr>
        <w:spacing w:before="120" w:after="120" w:line="240" w:lineRule="exact"/>
        <w:ind w:left="283" w:hanging="283"/>
        <w:jc w:val="both"/>
        <w:rPr>
          <w:rFonts w:ascii="FrankRuehl" w:hAnsi="FrankRuehl" w:cs="FrankRuehl"/>
          <w:rtl/>
        </w:rPr>
      </w:pPr>
    </w:p>
    <w:p w14:paraId="2C28CA7F" w14:textId="77777777" w:rsidR="00574B20" w:rsidRPr="00574B20" w:rsidRDefault="00574B20" w:rsidP="00574B20">
      <w:pPr>
        <w:spacing w:before="120" w:after="120" w:line="240" w:lineRule="exact"/>
        <w:ind w:left="283" w:hanging="283"/>
        <w:jc w:val="both"/>
        <w:rPr>
          <w:rFonts w:ascii="FrankRuehl" w:hAnsi="FrankRuehl" w:cs="FrankRuehl"/>
          <w:rtl/>
        </w:rPr>
      </w:pPr>
    </w:p>
    <w:p w14:paraId="33ED3F42" w14:textId="77777777" w:rsidR="00574B20" w:rsidRPr="00574B20" w:rsidRDefault="00574B20" w:rsidP="00574B20">
      <w:pPr>
        <w:spacing w:before="120" w:after="120" w:line="240" w:lineRule="exact"/>
        <w:ind w:left="283" w:hanging="283"/>
        <w:jc w:val="both"/>
        <w:rPr>
          <w:rFonts w:ascii="FrankRuehl" w:hAnsi="FrankRuehl" w:cs="FrankRuehl"/>
          <w:rtl/>
        </w:rPr>
      </w:pPr>
      <w:r w:rsidRPr="00574B20">
        <w:rPr>
          <w:rFonts w:ascii="FrankRuehl" w:hAnsi="FrankRuehl" w:cs="FrankRuehl"/>
          <w:rtl/>
        </w:rPr>
        <w:t xml:space="preserve">חקיקה שאוזכרה: </w:t>
      </w:r>
    </w:p>
    <w:p w14:paraId="2FA087A4" w14:textId="77777777" w:rsidR="00574B20" w:rsidRPr="00574B20" w:rsidRDefault="00574B20" w:rsidP="00574B20">
      <w:pPr>
        <w:spacing w:before="120" w:after="120" w:line="240" w:lineRule="exact"/>
        <w:ind w:left="283" w:hanging="283"/>
        <w:jc w:val="both"/>
        <w:rPr>
          <w:rFonts w:ascii="FrankRuehl" w:hAnsi="FrankRuehl" w:cs="FrankRuehl"/>
          <w:rtl/>
        </w:rPr>
      </w:pPr>
      <w:hyperlink r:id="rId7" w:history="1">
        <w:r w:rsidRPr="00574B20">
          <w:rPr>
            <w:rFonts w:ascii="FrankRuehl" w:hAnsi="FrankRuehl" w:cs="FrankRuehl"/>
            <w:color w:val="0000FF"/>
            <w:rtl/>
          </w:rPr>
          <w:t>פקודת הסמים המסוכנים [נוסח חדש], תשל"ג-1973</w:t>
        </w:r>
      </w:hyperlink>
      <w:r w:rsidRPr="00574B20">
        <w:rPr>
          <w:rFonts w:ascii="FrankRuehl" w:hAnsi="FrankRuehl" w:cs="FrankRuehl"/>
          <w:rtl/>
        </w:rPr>
        <w:t xml:space="preserve">: סע'  </w:t>
      </w:r>
      <w:hyperlink r:id="rId8" w:history="1">
        <w:r w:rsidRPr="00574B20">
          <w:rPr>
            <w:rFonts w:ascii="FrankRuehl" w:hAnsi="FrankRuehl" w:cs="FrankRuehl"/>
            <w:color w:val="0000FF"/>
            <w:rtl/>
          </w:rPr>
          <w:t>13</w:t>
        </w:r>
      </w:hyperlink>
      <w:r w:rsidRPr="00574B20">
        <w:rPr>
          <w:rFonts w:ascii="FrankRuehl" w:hAnsi="FrankRuehl" w:cs="FrankRuehl"/>
          <w:rtl/>
        </w:rPr>
        <w:t xml:space="preserve">, </w:t>
      </w:r>
      <w:hyperlink r:id="rId9" w:history="1">
        <w:r w:rsidRPr="00574B20">
          <w:rPr>
            <w:rFonts w:ascii="FrankRuehl" w:hAnsi="FrankRuehl" w:cs="FrankRuehl"/>
            <w:color w:val="0000FF"/>
            <w:rtl/>
          </w:rPr>
          <w:t>19א</w:t>
        </w:r>
      </w:hyperlink>
    </w:p>
    <w:p w14:paraId="3C806F0D" w14:textId="77777777" w:rsidR="00574B20" w:rsidRPr="00574B20" w:rsidRDefault="00574B20" w:rsidP="00574B20">
      <w:pPr>
        <w:spacing w:before="120" w:after="120" w:line="240" w:lineRule="exact"/>
        <w:ind w:left="283" w:hanging="283"/>
        <w:jc w:val="both"/>
        <w:rPr>
          <w:rFonts w:ascii="FrankRuehl" w:hAnsi="FrankRuehl" w:cs="FrankRuehl"/>
          <w:rtl/>
        </w:rPr>
      </w:pPr>
      <w:hyperlink r:id="rId10" w:history="1">
        <w:r w:rsidRPr="00574B20">
          <w:rPr>
            <w:rFonts w:ascii="FrankRuehl" w:hAnsi="FrankRuehl" w:cs="FrankRuehl"/>
            <w:color w:val="0000FF"/>
            <w:rtl/>
          </w:rPr>
          <w:t>חוק העונשין, תשל"ז-1977</w:t>
        </w:r>
      </w:hyperlink>
      <w:r w:rsidRPr="00574B20">
        <w:rPr>
          <w:rFonts w:ascii="FrankRuehl" w:hAnsi="FrankRuehl" w:cs="FrankRuehl"/>
          <w:rtl/>
        </w:rPr>
        <w:t xml:space="preserve">: סע'  </w:t>
      </w:r>
      <w:hyperlink r:id="rId11" w:history="1">
        <w:r w:rsidRPr="00574B20">
          <w:rPr>
            <w:rFonts w:ascii="FrankRuehl" w:hAnsi="FrankRuehl" w:cs="FrankRuehl"/>
            <w:color w:val="0000FF"/>
            <w:rtl/>
          </w:rPr>
          <w:t>29(א)</w:t>
        </w:r>
      </w:hyperlink>
      <w:r w:rsidRPr="00574B20">
        <w:rPr>
          <w:rFonts w:ascii="FrankRuehl" w:hAnsi="FrankRuehl" w:cs="FrankRuehl"/>
          <w:rtl/>
        </w:rPr>
        <w:t xml:space="preserve">, </w:t>
      </w:r>
      <w:hyperlink r:id="rId12" w:history="1">
        <w:r w:rsidRPr="00574B20">
          <w:rPr>
            <w:rFonts w:ascii="FrankRuehl" w:hAnsi="FrankRuehl" w:cs="FrankRuehl"/>
            <w:color w:val="0000FF"/>
            <w:rtl/>
          </w:rPr>
          <w:t>192</w:t>
        </w:r>
      </w:hyperlink>
    </w:p>
    <w:p w14:paraId="263122B6" w14:textId="77777777" w:rsidR="00574B20" w:rsidRPr="00574B20" w:rsidRDefault="00574B20" w:rsidP="00574B20">
      <w:pPr>
        <w:spacing w:before="120" w:after="120" w:line="240" w:lineRule="exact"/>
        <w:ind w:left="283" w:hanging="283"/>
        <w:jc w:val="both"/>
        <w:rPr>
          <w:rFonts w:ascii="FrankRuehl" w:hAnsi="FrankRuehl" w:cs="FrankRuehl"/>
          <w:rtl/>
        </w:rPr>
      </w:pPr>
      <w:hyperlink r:id="rId13" w:history="1">
        <w:r w:rsidRPr="00574B20">
          <w:rPr>
            <w:rFonts w:ascii="FrankRuehl" w:hAnsi="FrankRuehl" w:cs="FrankRuehl"/>
            <w:color w:val="0000FF"/>
            <w:rtl/>
          </w:rPr>
          <w:t>פקודת סדר הדין הפלילי (מעצר וחיפוש) [נוסח חדש], תשכ"ט-1969</w:t>
        </w:r>
      </w:hyperlink>
    </w:p>
    <w:p w14:paraId="460D638D" w14:textId="77777777" w:rsidR="00574B20" w:rsidRPr="00574B20" w:rsidRDefault="00574B20" w:rsidP="00574B20">
      <w:pPr>
        <w:spacing w:line="360" w:lineRule="auto"/>
        <w:rPr>
          <w:rtl/>
        </w:rPr>
      </w:pPr>
      <w:bookmarkStart w:id="4" w:name="LawTable_End"/>
      <w:bookmarkEnd w:id="4"/>
    </w:p>
    <w:p w14:paraId="0AB10459" w14:textId="77777777" w:rsidR="007241B1" w:rsidRPr="0017442F" w:rsidRDefault="007241B1" w:rsidP="0017442F">
      <w:pPr>
        <w:spacing w:line="360" w:lineRule="auto"/>
      </w:pPr>
    </w:p>
    <w:p w14:paraId="440081EE" w14:textId="77777777" w:rsidR="006C0EBA" w:rsidRPr="00B25F0E" w:rsidRDefault="006C0EBA" w:rsidP="00B25F0E">
      <w:pPr>
        <w:spacing w:after="120" w:line="360" w:lineRule="auto"/>
        <w:jc w:val="center"/>
        <w:rPr>
          <w:rFonts w:ascii="Arial" w:hAnsi="Arial"/>
          <w:b/>
          <w:bCs/>
          <w:sz w:val="36"/>
          <w:szCs w:val="36"/>
          <w:u w:val="single"/>
          <w:rtl/>
        </w:rPr>
      </w:pPr>
      <w:bookmarkStart w:id="5" w:name="PsakDin" w:colFirst="0" w:colLast="0"/>
      <w:bookmarkEnd w:id="0"/>
      <w:r w:rsidRPr="00B25F0E">
        <w:rPr>
          <w:rFonts w:ascii="Arial" w:hAnsi="Arial"/>
          <w:b/>
          <w:bCs/>
          <w:sz w:val="36"/>
          <w:szCs w:val="36"/>
          <w:u w:val="single"/>
          <w:rtl/>
        </w:rPr>
        <w:t>גזר דין</w:t>
      </w:r>
    </w:p>
    <w:p w14:paraId="628558C2" w14:textId="77777777" w:rsidR="006C0EBA" w:rsidRPr="00B25F0E" w:rsidRDefault="006C0EBA" w:rsidP="00B25F0E">
      <w:pPr>
        <w:spacing w:after="120" w:line="360" w:lineRule="auto"/>
        <w:jc w:val="center"/>
        <w:rPr>
          <w:rFonts w:ascii="Arial" w:hAnsi="Arial"/>
          <w:bCs/>
          <w:sz w:val="36"/>
          <w:szCs w:val="36"/>
          <w:u w:val="single"/>
          <w:rtl/>
        </w:rPr>
      </w:pPr>
    </w:p>
    <w:bookmarkEnd w:id="5"/>
    <w:p w14:paraId="30AAE764" w14:textId="77777777" w:rsidR="007241B1" w:rsidRDefault="007241B1" w:rsidP="007241B1">
      <w:pPr>
        <w:numPr>
          <w:ilvl w:val="0"/>
          <w:numId w:val="1"/>
        </w:numPr>
        <w:spacing w:after="120" w:line="360" w:lineRule="auto"/>
        <w:ind w:left="368"/>
        <w:jc w:val="both"/>
        <w:rPr>
          <w:rFonts w:ascii="Tahoma" w:hAnsi="Tahoma"/>
          <w:b/>
          <w:bCs/>
          <w:u w:val="single"/>
          <w:rtl/>
        </w:rPr>
      </w:pPr>
      <w:r>
        <w:rPr>
          <w:rFonts w:ascii="Tahoma" w:hAnsi="Tahoma"/>
          <w:b/>
          <w:bCs/>
          <w:u w:val="single"/>
          <w:rtl/>
        </w:rPr>
        <w:t>רקע כללי:</w:t>
      </w:r>
    </w:p>
    <w:p w14:paraId="277BA3CC" w14:textId="77777777" w:rsidR="007241B1" w:rsidRDefault="007241B1" w:rsidP="007241B1">
      <w:pPr>
        <w:numPr>
          <w:ilvl w:val="0"/>
          <w:numId w:val="2"/>
        </w:numPr>
        <w:spacing w:after="120" w:line="360" w:lineRule="auto"/>
        <w:ind w:left="360"/>
        <w:jc w:val="both"/>
        <w:rPr>
          <w:rFonts w:ascii="Tahoma" w:hAnsi="Tahoma"/>
        </w:rPr>
      </w:pPr>
      <w:bookmarkStart w:id="6" w:name="ABSTRACT_START"/>
      <w:bookmarkEnd w:id="6"/>
      <w:r>
        <w:rPr>
          <w:rFonts w:ascii="Tahoma" w:hAnsi="Tahoma"/>
          <w:rtl/>
        </w:rPr>
        <w:t>הנאשם הורשע על יסוד הודאתו שניתנה במסגרת הסדר טיעון – בתיק העיקרי שבכותרת וכן ב</w:t>
      </w:r>
      <w:hyperlink r:id="rId14" w:history="1">
        <w:r w:rsidR="00B25F0E" w:rsidRPr="00B25F0E">
          <w:rPr>
            <w:rFonts w:ascii="Tahoma" w:hAnsi="Tahoma"/>
            <w:color w:val="0000FF"/>
            <w:u w:val="single"/>
            <w:rtl/>
          </w:rPr>
          <w:t>ת"פ 31327-12-20</w:t>
        </w:r>
      </w:hyperlink>
      <w:r>
        <w:rPr>
          <w:rFonts w:ascii="Tahoma" w:hAnsi="Tahoma"/>
          <w:rtl/>
        </w:rPr>
        <w:t xml:space="preserve"> (להלן – התיק המצורף) – בביצוע עבירות של </w:t>
      </w:r>
      <w:r>
        <w:rPr>
          <w:rFonts w:ascii="Tahoma" w:hAnsi="Tahoma"/>
          <w:b/>
          <w:bCs/>
          <w:rtl/>
        </w:rPr>
        <w:t>סחר בסמים מסוכנים</w:t>
      </w:r>
      <w:r>
        <w:rPr>
          <w:rFonts w:ascii="Tahoma" w:hAnsi="Tahoma"/>
          <w:rtl/>
        </w:rPr>
        <w:t xml:space="preserve"> (בשני אישומים, אחד מהם בגין סחר בצוותא), לפי הוראות </w:t>
      </w:r>
      <w:hyperlink r:id="rId15" w:history="1">
        <w:r w:rsidR="006C0EBA" w:rsidRPr="006C0EBA">
          <w:rPr>
            <w:rStyle w:val="Hyperlink"/>
            <w:rFonts w:ascii="Tahoma" w:hAnsi="Tahoma"/>
            <w:rtl/>
          </w:rPr>
          <w:t>סעיף 13</w:t>
        </w:r>
      </w:hyperlink>
      <w:r>
        <w:rPr>
          <w:rFonts w:ascii="Tahoma" w:hAnsi="Tahoma"/>
          <w:rtl/>
        </w:rPr>
        <w:t xml:space="preserve"> וסעיף </w:t>
      </w:r>
      <w:hyperlink r:id="rId16" w:history="1">
        <w:r w:rsidR="006C0EBA" w:rsidRPr="006C0EBA">
          <w:rPr>
            <w:rStyle w:val="Hyperlink"/>
            <w:rFonts w:ascii="Tahoma" w:hAnsi="Tahoma"/>
            <w:rtl/>
          </w:rPr>
          <w:t>19א</w:t>
        </w:r>
      </w:hyperlink>
      <w:r>
        <w:rPr>
          <w:rFonts w:ascii="Tahoma" w:hAnsi="Tahoma"/>
          <w:rtl/>
        </w:rPr>
        <w:t xml:space="preserve"> ל</w:t>
      </w:r>
      <w:hyperlink r:id="rId17" w:history="1">
        <w:r w:rsidR="00B25F0E" w:rsidRPr="00B25F0E">
          <w:rPr>
            <w:rFonts w:ascii="Tahoma" w:hAnsi="Tahoma"/>
            <w:color w:val="0000FF"/>
            <w:u w:val="single"/>
            <w:rtl/>
          </w:rPr>
          <w:t>פקודת הסמים המסוכנים</w:t>
        </w:r>
      </w:hyperlink>
      <w:r>
        <w:rPr>
          <w:rFonts w:ascii="Tahoma" w:hAnsi="Tahoma"/>
          <w:rtl/>
        </w:rPr>
        <w:t xml:space="preserve"> [נוסח חדש], תשל"ג-1973 (להלן – פקודת הסמים המסוכנים), ועבירה של </w:t>
      </w:r>
      <w:r>
        <w:rPr>
          <w:rFonts w:ascii="Tahoma" w:hAnsi="Tahoma"/>
          <w:b/>
          <w:bCs/>
          <w:rtl/>
        </w:rPr>
        <w:t>איומים</w:t>
      </w:r>
      <w:r>
        <w:rPr>
          <w:rFonts w:ascii="Tahoma" w:hAnsi="Tahoma"/>
          <w:rtl/>
        </w:rPr>
        <w:t xml:space="preserve">, לפי הוראות </w:t>
      </w:r>
      <w:hyperlink r:id="rId18" w:history="1">
        <w:r w:rsidR="006C0EBA" w:rsidRPr="006C0EBA">
          <w:rPr>
            <w:rStyle w:val="Hyperlink"/>
            <w:rFonts w:ascii="Tahoma" w:hAnsi="Tahoma"/>
            <w:rtl/>
          </w:rPr>
          <w:t>סעיף 192</w:t>
        </w:r>
      </w:hyperlink>
      <w:r>
        <w:rPr>
          <w:rFonts w:ascii="Tahoma" w:hAnsi="Tahoma"/>
          <w:rtl/>
        </w:rPr>
        <w:t xml:space="preserve"> ל</w:t>
      </w:r>
      <w:hyperlink r:id="rId19" w:history="1">
        <w:r w:rsidR="00B25F0E" w:rsidRPr="00B25F0E">
          <w:rPr>
            <w:rFonts w:ascii="Tahoma" w:hAnsi="Tahoma"/>
            <w:color w:val="0000FF"/>
            <w:u w:val="single"/>
            <w:rtl/>
          </w:rPr>
          <w:t>חוק העונשין</w:t>
        </w:r>
      </w:hyperlink>
      <w:r>
        <w:rPr>
          <w:rFonts w:ascii="Tahoma" w:hAnsi="Tahoma"/>
          <w:rtl/>
        </w:rPr>
        <w:t>, תשל"ז-1977 (להלן – חוק העונשין).</w:t>
      </w:r>
    </w:p>
    <w:p w14:paraId="4D4792FD" w14:textId="77777777" w:rsidR="007241B1" w:rsidRDefault="007241B1" w:rsidP="007241B1">
      <w:pPr>
        <w:numPr>
          <w:ilvl w:val="0"/>
          <w:numId w:val="2"/>
        </w:numPr>
        <w:spacing w:after="120" w:line="360" w:lineRule="auto"/>
        <w:ind w:left="360"/>
        <w:jc w:val="both"/>
        <w:rPr>
          <w:rFonts w:ascii="Tahoma" w:hAnsi="Tahoma"/>
          <w:u w:val="single"/>
        </w:rPr>
      </w:pPr>
      <w:bookmarkStart w:id="7" w:name="ABSTRACT_END"/>
      <w:bookmarkEnd w:id="7"/>
      <w:r>
        <w:rPr>
          <w:rFonts w:ascii="Tahoma" w:hAnsi="Tahoma"/>
          <w:rtl/>
        </w:rPr>
        <w:t>בעובדות כתב האישום המתוקן בתיק העיקרי נטען, בתמצית, כלהלן:</w:t>
      </w:r>
    </w:p>
    <w:p w14:paraId="4DDED17F" w14:textId="77777777" w:rsidR="007241B1" w:rsidRDefault="007241B1" w:rsidP="007241B1">
      <w:pPr>
        <w:pStyle w:val="a9"/>
        <w:numPr>
          <w:ilvl w:val="0"/>
          <w:numId w:val="3"/>
        </w:numPr>
        <w:spacing w:after="120" w:line="360" w:lineRule="auto"/>
        <w:ind w:left="720"/>
        <w:jc w:val="both"/>
        <w:rPr>
          <w:rFonts w:ascii="Tahoma" w:hAnsi="Tahoma"/>
          <w:u w:val="single"/>
        </w:rPr>
      </w:pPr>
      <w:r>
        <w:rPr>
          <w:rFonts w:ascii="Tahoma" w:hAnsi="Tahoma"/>
          <w:b/>
          <w:bCs/>
          <w:rtl/>
        </w:rPr>
        <w:lastRenderedPageBreak/>
        <w:t>אישום 1 –</w:t>
      </w:r>
      <w:r>
        <w:rPr>
          <w:rFonts w:ascii="Tahoma" w:hAnsi="Tahoma"/>
          <w:rtl/>
        </w:rPr>
        <w:t xml:space="preserve"> ביום 13.11.2018, בשעה 18:30 או קודם לכן התכתבה פלונית עם אדם אחר, באמצעות אפליקציית טלגראס, וביקשה לרכוש סמים מסוכנים מסוג קנבוס במשקל של 5 גרם בתמורה לסך של 350 ₪. האחר שלח לנאשם מסרון ובו כתובתה של פלונית בהרצליה וכן פרטי ההזמנה. בהמשך לכך, בשעה 18:30 לערך, הגיע הנאשם לכתובתה של פלונית ומכר לה את הסמים המבוקשים.</w:t>
      </w:r>
    </w:p>
    <w:p w14:paraId="7817C9F4" w14:textId="77777777" w:rsidR="007241B1" w:rsidRDefault="007241B1" w:rsidP="007241B1">
      <w:pPr>
        <w:pStyle w:val="a9"/>
        <w:numPr>
          <w:ilvl w:val="0"/>
          <w:numId w:val="3"/>
        </w:numPr>
        <w:spacing w:after="120" w:line="360" w:lineRule="auto"/>
        <w:ind w:left="720"/>
        <w:jc w:val="both"/>
        <w:rPr>
          <w:rFonts w:ascii="Tahoma" w:hAnsi="Tahoma"/>
          <w:u w:val="single"/>
        </w:rPr>
      </w:pPr>
      <w:r>
        <w:rPr>
          <w:rFonts w:ascii="Tahoma" w:hAnsi="Tahoma"/>
          <w:b/>
          <w:bCs/>
          <w:rtl/>
        </w:rPr>
        <w:t>אישום 2 –</w:t>
      </w:r>
      <w:r>
        <w:rPr>
          <w:rFonts w:ascii="Tahoma" w:hAnsi="Tahoma"/>
          <w:rtl/>
        </w:rPr>
        <w:t xml:space="preserve"> ביום 14.11.2018 בשעה 21:00 או בסמוך לכך ברחוב בראשון לציון, סחר הנאשם בסמים מסוכנים מסוג קנבוס, במשקל של 15 גרם, בכך שמכר את הסמים לאלמונית בתמורה לסכום של 800 ₪. </w:t>
      </w:r>
    </w:p>
    <w:p w14:paraId="43AB8728" w14:textId="77777777" w:rsidR="007241B1" w:rsidRDefault="007241B1" w:rsidP="007241B1">
      <w:pPr>
        <w:numPr>
          <w:ilvl w:val="0"/>
          <w:numId w:val="2"/>
        </w:numPr>
        <w:spacing w:after="120" w:line="360" w:lineRule="auto"/>
        <w:ind w:left="360"/>
        <w:jc w:val="both"/>
        <w:rPr>
          <w:rFonts w:ascii="Tahoma" w:hAnsi="Tahoma"/>
        </w:rPr>
      </w:pPr>
      <w:r>
        <w:rPr>
          <w:rFonts w:ascii="Tahoma" w:hAnsi="Tahoma"/>
          <w:rtl/>
        </w:rPr>
        <w:t xml:space="preserve">על רקע עובדות נטענות אלה הואשם הנאשם, בכתב האישום המתוקן בתיק העיקרי, בביצוע שתי </w:t>
      </w:r>
      <w:r>
        <w:rPr>
          <w:rFonts w:ascii="Tahoma" w:hAnsi="Tahoma" w:hint="cs"/>
          <w:rtl/>
        </w:rPr>
        <w:t xml:space="preserve">עבירות </w:t>
      </w:r>
      <w:r>
        <w:rPr>
          <w:rFonts w:ascii="Tahoma" w:hAnsi="Tahoma"/>
          <w:rtl/>
        </w:rPr>
        <w:t>של סחר בסמים מסוכנים כאמור בפסקה 1 דלעיל, כאשר באישום 1 דובר בביצוע בצוותא (</w:t>
      </w:r>
      <w:r>
        <w:rPr>
          <w:rFonts w:ascii="Tahoma" w:hAnsi="Tahoma" w:hint="cs"/>
          <w:rtl/>
        </w:rPr>
        <w:t xml:space="preserve">כלומר </w:t>
      </w:r>
      <w:r>
        <w:rPr>
          <w:rFonts w:ascii="Tahoma" w:hAnsi="Tahoma"/>
          <w:rtl/>
        </w:rPr>
        <w:t xml:space="preserve">בצירוף הוראות </w:t>
      </w:r>
      <w:hyperlink r:id="rId20" w:history="1">
        <w:r w:rsidR="006C0EBA" w:rsidRPr="006C0EBA">
          <w:rPr>
            <w:rStyle w:val="Hyperlink"/>
            <w:rFonts w:ascii="Tahoma" w:hAnsi="Tahoma"/>
            <w:rtl/>
          </w:rPr>
          <w:t>סעיף 29(א)</w:t>
        </w:r>
      </w:hyperlink>
      <w:r>
        <w:rPr>
          <w:rFonts w:ascii="Tahoma" w:hAnsi="Tahoma"/>
          <w:rtl/>
        </w:rPr>
        <w:t xml:space="preserve"> ל</w:t>
      </w:r>
      <w:hyperlink r:id="rId21" w:history="1">
        <w:r w:rsidR="00B25F0E" w:rsidRPr="00B25F0E">
          <w:rPr>
            <w:rFonts w:ascii="Tahoma" w:hAnsi="Tahoma"/>
            <w:color w:val="0000FF"/>
            <w:u w:val="single"/>
            <w:rtl/>
          </w:rPr>
          <w:t>חוק העונשין</w:t>
        </w:r>
      </w:hyperlink>
      <w:r>
        <w:rPr>
          <w:rFonts w:ascii="Tahoma" w:hAnsi="Tahoma"/>
          <w:rtl/>
        </w:rPr>
        <w:t>).</w:t>
      </w:r>
    </w:p>
    <w:p w14:paraId="266CEA91" w14:textId="77777777" w:rsidR="007241B1" w:rsidRDefault="007241B1" w:rsidP="007241B1">
      <w:pPr>
        <w:numPr>
          <w:ilvl w:val="0"/>
          <w:numId w:val="2"/>
        </w:numPr>
        <w:spacing w:after="120" w:line="360" w:lineRule="auto"/>
        <w:ind w:left="360"/>
        <w:jc w:val="both"/>
        <w:rPr>
          <w:rFonts w:ascii="Tahoma" w:hAnsi="Tahoma"/>
        </w:rPr>
      </w:pPr>
      <w:r>
        <w:rPr>
          <w:rFonts w:ascii="Tahoma" w:hAnsi="Tahoma"/>
          <w:rtl/>
        </w:rPr>
        <w:t>בעובדות כתב האישום המתוקן בתיק המצורף נטען, ב</w:t>
      </w:r>
      <w:r>
        <w:rPr>
          <w:rFonts w:ascii="Tahoma" w:hAnsi="Tahoma" w:hint="cs"/>
          <w:rtl/>
        </w:rPr>
        <w:t>ת</w:t>
      </w:r>
      <w:r>
        <w:rPr>
          <w:rFonts w:ascii="Tahoma" w:hAnsi="Tahoma"/>
          <w:rtl/>
        </w:rPr>
        <w:t>מצית, כלהלן:</w:t>
      </w:r>
    </w:p>
    <w:p w14:paraId="3B6F78C5" w14:textId="77777777" w:rsidR="007241B1" w:rsidRDefault="007241B1" w:rsidP="007241B1">
      <w:pPr>
        <w:pStyle w:val="a9"/>
        <w:numPr>
          <w:ilvl w:val="0"/>
          <w:numId w:val="4"/>
        </w:numPr>
        <w:spacing w:after="120" w:line="360" w:lineRule="auto"/>
        <w:ind w:left="720"/>
        <w:jc w:val="both"/>
        <w:rPr>
          <w:rFonts w:ascii="Tahoma" w:hAnsi="Tahoma"/>
          <w:u w:val="single"/>
        </w:rPr>
      </w:pPr>
      <w:r>
        <w:rPr>
          <w:rFonts w:ascii="Tahoma" w:hAnsi="Tahoma"/>
          <w:rtl/>
        </w:rPr>
        <w:t xml:space="preserve">ביום 21.01.2018, בשעה 00:46 או בסמוך לכך, הוזעקו שוטרים לרחוב קהילת ברזיל בתל אביב בעקבות דיווח הקמת רעש של צעקות ומוזיקה מאחת הדירות במקום. שוטרת שהגיעה למקום דפקה על דלת הדירה שממנה </w:t>
      </w:r>
      <w:r>
        <w:rPr>
          <w:rFonts w:ascii="Tahoma" w:hAnsi="Tahoma" w:hint="cs"/>
          <w:rtl/>
        </w:rPr>
        <w:t xml:space="preserve">בקע </w:t>
      </w:r>
      <w:r>
        <w:rPr>
          <w:rFonts w:ascii="Tahoma" w:hAnsi="Tahoma"/>
          <w:rtl/>
        </w:rPr>
        <w:t>הרעש וביקשה מבעל הדירה להזדהות בפניה. משסירב בעל הדירה להזדהות הגיע הנאשם והחל לאיים על השוטרת, באומרו: "</w:t>
      </w:r>
      <w:r>
        <w:rPr>
          <w:rFonts w:ascii="Tahoma" w:hAnsi="Tahoma"/>
          <w:b/>
          <w:bCs/>
          <w:rtl/>
        </w:rPr>
        <w:t>אני אעשה לך כמו שעשינו לזקן פה למטה, נטפל בך היטב... סעי סעי בואי אני אטפל בך למטה</w:t>
      </w:r>
      <w:r>
        <w:rPr>
          <w:rFonts w:ascii="Tahoma" w:hAnsi="Tahoma"/>
          <w:rtl/>
        </w:rPr>
        <w:t>".</w:t>
      </w:r>
    </w:p>
    <w:p w14:paraId="3E78EAF8" w14:textId="77777777" w:rsidR="007241B1" w:rsidRDefault="007241B1" w:rsidP="007241B1">
      <w:pPr>
        <w:pStyle w:val="a9"/>
        <w:numPr>
          <w:ilvl w:val="0"/>
          <w:numId w:val="4"/>
        </w:numPr>
        <w:spacing w:after="120" w:line="360" w:lineRule="auto"/>
        <w:ind w:left="720"/>
        <w:jc w:val="both"/>
        <w:rPr>
          <w:rFonts w:ascii="Tahoma" w:hAnsi="Tahoma"/>
          <w:u w:val="single"/>
        </w:rPr>
      </w:pPr>
      <w:r>
        <w:rPr>
          <w:rFonts w:ascii="Tahoma" w:hAnsi="Tahoma"/>
          <w:rtl/>
        </w:rPr>
        <w:t>השוטרת הזעיקה סיוע למקום ובמקביל אחרים שהיו בדירה החלו לצעוק ולקרוא קריאות וביקשו ממנה לצאת מהמקום. השוטרת ביקשה מהנוכחים בדירה להישאר בתוכה. בהמשך למתואר לעיל</w:t>
      </w:r>
      <w:r>
        <w:rPr>
          <w:rFonts w:ascii="Tahoma" w:hAnsi="Tahoma" w:hint="cs"/>
          <w:rtl/>
        </w:rPr>
        <w:t xml:space="preserve"> הובא</w:t>
      </w:r>
      <w:r>
        <w:rPr>
          <w:rFonts w:ascii="Tahoma" w:hAnsi="Tahoma"/>
          <w:rtl/>
        </w:rPr>
        <w:t xml:space="preserve"> הנאשם בניידת משטרה לתחנה</w:t>
      </w:r>
      <w:r>
        <w:rPr>
          <w:rFonts w:ascii="Tahoma" w:hAnsi="Tahoma" w:hint="cs"/>
          <w:rtl/>
        </w:rPr>
        <w:t>,</w:t>
      </w:r>
      <w:r>
        <w:rPr>
          <w:rFonts w:ascii="Tahoma" w:hAnsi="Tahoma"/>
          <w:rtl/>
        </w:rPr>
        <w:t xml:space="preserve"> </w:t>
      </w:r>
      <w:r>
        <w:rPr>
          <w:rFonts w:ascii="Tahoma" w:hAnsi="Tahoma" w:hint="cs"/>
          <w:rtl/>
        </w:rPr>
        <w:t xml:space="preserve">כאשר במהלך הנסיעה </w:t>
      </w:r>
      <w:r>
        <w:rPr>
          <w:rFonts w:ascii="Tahoma" w:hAnsi="Tahoma"/>
          <w:rtl/>
        </w:rPr>
        <w:t>איים הנאשם על שוטר , באומרו: "</w:t>
      </w:r>
      <w:r>
        <w:rPr>
          <w:rFonts w:ascii="Tahoma" w:hAnsi="Tahoma"/>
          <w:b/>
          <w:bCs/>
          <w:rtl/>
        </w:rPr>
        <w:t>אני עוד אגיע עד אליך אל תדאג, אתה לא מכיר אותי ואתה לא יודע על מי נפלת</w:t>
      </w:r>
      <w:r>
        <w:rPr>
          <w:rFonts w:ascii="Tahoma" w:hAnsi="Tahoma"/>
          <w:rtl/>
        </w:rPr>
        <w:t>".</w:t>
      </w:r>
    </w:p>
    <w:p w14:paraId="3FDAF7EC" w14:textId="77777777" w:rsidR="007241B1" w:rsidRDefault="007241B1" w:rsidP="007241B1">
      <w:pPr>
        <w:numPr>
          <w:ilvl w:val="0"/>
          <w:numId w:val="2"/>
        </w:numPr>
        <w:spacing w:after="120" w:line="360" w:lineRule="auto"/>
        <w:ind w:left="360"/>
        <w:jc w:val="both"/>
        <w:rPr>
          <w:rFonts w:ascii="Tahoma" w:hAnsi="Tahoma"/>
          <w:u w:val="single"/>
        </w:rPr>
      </w:pPr>
      <w:r>
        <w:rPr>
          <w:rFonts w:ascii="Tahoma" w:hAnsi="Tahoma"/>
          <w:rtl/>
        </w:rPr>
        <w:t>על רקע עובדות נטענות אלה הואשם הנאשם, בכתב האישום המתוקן בתיק המצורף, בביצוע עבירה של איומים.</w:t>
      </w:r>
    </w:p>
    <w:p w14:paraId="4E65EBAE" w14:textId="77777777" w:rsidR="007241B1" w:rsidRDefault="007241B1" w:rsidP="007241B1">
      <w:pPr>
        <w:numPr>
          <w:ilvl w:val="0"/>
          <w:numId w:val="2"/>
        </w:numPr>
        <w:spacing w:after="120" w:line="360" w:lineRule="auto"/>
        <w:ind w:left="360"/>
        <w:jc w:val="both"/>
        <w:rPr>
          <w:rFonts w:ascii="Tahoma" w:hAnsi="Tahoma"/>
          <w:u w:val="single"/>
        </w:rPr>
      </w:pPr>
      <w:r>
        <w:rPr>
          <w:rFonts w:ascii="Tahoma" w:hAnsi="Tahoma"/>
          <w:rtl/>
        </w:rPr>
        <w:t>הדיונים בתיק העיקרי החלו לפני מותב קודם והתמשכו, בין השאר על רקע אי התייצבות הנאשם והצורך בהוצאת צווי הבאה</w:t>
      </w:r>
      <w:r>
        <w:rPr>
          <w:rFonts w:ascii="Tahoma" w:hAnsi="Tahoma" w:hint="cs"/>
          <w:rtl/>
        </w:rPr>
        <w:t xml:space="preserve"> נגדו</w:t>
      </w:r>
      <w:r>
        <w:rPr>
          <w:rFonts w:ascii="Tahoma" w:hAnsi="Tahoma"/>
          <w:rtl/>
        </w:rPr>
        <w:t xml:space="preserve">. דחיות </w:t>
      </w:r>
      <w:r>
        <w:rPr>
          <w:rFonts w:ascii="Tahoma" w:hAnsi="Tahoma" w:hint="cs"/>
          <w:rtl/>
        </w:rPr>
        <w:t xml:space="preserve">נוספות </w:t>
      </w:r>
      <w:r>
        <w:rPr>
          <w:rFonts w:ascii="Tahoma" w:hAnsi="Tahoma"/>
          <w:rtl/>
        </w:rPr>
        <w:t xml:space="preserve">נתבקשו </w:t>
      </w:r>
      <w:r>
        <w:rPr>
          <w:rFonts w:ascii="Tahoma" w:hAnsi="Tahoma" w:hint="cs"/>
          <w:rtl/>
        </w:rPr>
        <w:t xml:space="preserve">על ידי הנאשם </w:t>
      </w:r>
      <w:r>
        <w:rPr>
          <w:rFonts w:ascii="Tahoma" w:hAnsi="Tahoma"/>
          <w:rtl/>
        </w:rPr>
        <w:t>לצורך הסדרת ייצוג פרטי, ש</w:t>
      </w:r>
      <w:r>
        <w:rPr>
          <w:rFonts w:ascii="Tahoma" w:hAnsi="Tahoma" w:hint="cs"/>
          <w:rtl/>
        </w:rPr>
        <w:t xml:space="preserve">בסופו של דבר </w:t>
      </w:r>
      <w:r>
        <w:rPr>
          <w:rFonts w:ascii="Tahoma" w:hAnsi="Tahoma"/>
          <w:rtl/>
        </w:rPr>
        <w:t xml:space="preserve">לא הוסדר. יובהר, כי בחלק מההליכים </w:t>
      </w:r>
      <w:r>
        <w:rPr>
          <w:rFonts w:ascii="Tahoma" w:hAnsi="Tahoma" w:hint="cs"/>
          <w:rtl/>
        </w:rPr>
        <w:t xml:space="preserve">בהמשך הדרך </w:t>
      </w:r>
      <w:r>
        <w:rPr>
          <w:rFonts w:ascii="Tahoma" w:hAnsi="Tahoma"/>
          <w:rtl/>
        </w:rPr>
        <w:t>יוצג הנאשם על ידי סניגורים מהסניגוריה הציבורית, אך בסופו של דבר – גם לאחר שנערכה החלפת סניגורים – עמד הנאשם על רצונו לייצג את עצמו ו</w:t>
      </w:r>
      <w:r>
        <w:rPr>
          <w:rFonts w:ascii="Tahoma" w:hAnsi="Tahoma" w:hint="cs"/>
          <w:rtl/>
        </w:rPr>
        <w:t xml:space="preserve">על כן </w:t>
      </w:r>
      <w:r>
        <w:rPr>
          <w:rFonts w:ascii="Tahoma" w:hAnsi="Tahoma"/>
          <w:rtl/>
        </w:rPr>
        <w:t>הסניגוריה הציבורית שוחררה מייצוגו.</w:t>
      </w:r>
    </w:p>
    <w:p w14:paraId="370F4EF9" w14:textId="77777777" w:rsidR="007241B1" w:rsidRDefault="007241B1" w:rsidP="007241B1">
      <w:pPr>
        <w:numPr>
          <w:ilvl w:val="0"/>
          <w:numId w:val="2"/>
        </w:numPr>
        <w:spacing w:after="120" w:line="360" w:lineRule="auto"/>
        <w:ind w:left="360"/>
        <w:jc w:val="both"/>
        <w:rPr>
          <w:rFonts w:ascii="Tahoma" w:hAnsi="Tahoma"/>
        </w:rPr>
      </w:pPr>
      <w:r>
        <w:rPr>
          <w:rFonts w:ascii="Tahoma" w:hAnsi="Tahoma"/>
          <w:rtl/>
        </w:rPr>
        <w:t xml:space="preserve">מכל מקום, ביום 09.05.2022 </w:t>
      </w:r>
      <w:r>
        <w:rPr>
          <w:rFonts w:ascii="Tahoma" w:hAnsi="Tahoma" w:hint="cs"/>
          <w:rtl/>
        </w:rPr>
        <w:t>(</w:t>
      </w:r>
      <w:r>
        <w:rPr>
          <w:rFonts w:ascii="Tahoma" w:hAnsi="Tahoma"/>
          <w:rtl/>
        </w:rPr>
        <w:t>עוד בעת שהנאשם היה מיוצג</w:t>
      </w:r>
      <w:r>
        <w:rPr>
          <w:rFonts w:ascii="Tahoma" w:hAnsi="Tahoma" w:hint="cs"/>
          <w:rtl/>
        </w:rPr>
        <w:t>)</w:t>
      </w:r>
      <w:r>
        <w:rPr>
          <w:rFonts w:ascii="Tahoma" w:hAnsi="Tahoma"/>
          <w:rtl/>
        </w:rPr>
        <w:t>, הגיעו הצדדים להסדר טיעון "סגור" (</w:t>
      </w:r>
      <w:r>
        <w:rPr>
          <w:rFonts w:ascii="Tahoma" w:hAnsi="Tahoma" w:hint="cs"/>
          <w:rtl/>
        </w:rPr>
        <w:t xml:space="preserve">דהיינו </w:t>
      </w:r>
      <w:r>
        <w:rPr>
          <w:rFonts w:ascii="Tahoma" w:hAnsi="Tahoma"/>
          <w:rtl/>
        </w:rPr>
        <w:t xml:space="preserve">עם הסכמות מלאות לעניין הטיעונים לעונש), שבמסגרתו תוקן כתב האישום (בתיק העיקרי) וצורף כתב אישום מתוקן </w:t>
      </w:r>
      <w:r>
        <w:rPr>
          <w:rFonts w:ascii="Tahoma" w:hAnsi="Tahoma" w:hint="cs"/>
          <w:rtl/>
        </w:rPr>
        <w:t xml:space="preserve">נוסף </w:t>
      </w:r>
      <w:r>
        <w:rPr>
          <w:rFonts w:ascii="Tahoma" w:hAnsi="Tahoma"/>
          <w:rtl/>
        </w:rPr>
        <w:t>(בתיק המצורף) (בפרוטוקול, עמ' 14). יוטעם</w:t>
      </w:r>
      <w:r>
        <w:rPr>
          <w:rFonts w:ascii="Tahoma" w:hAnsi="Tahoma" w:hint="cs"/>
          <w:rtl/>
        </w:rPr>
        <w:t>,</w:t>
      </w:r>
      <w:r>
        <w:rPr>
          <w:rFonts w:ascii="Tahoma" w:hAnsi="Tahoma"/>
          <w:rtl/>
        </w:rPr>
        <w:t xml:space="preserve"> כי </w:t>
      </w:r>
      <w:r>
        <w:rPr>
          <w:rFonts w:ascii="Tahoma" w:hAnsi="Tahoma" w:hint="cs"/>
          <w:rtl/>
        </w:rPr>
        <w:t xml:space="preserve">במסגרת ההסדר נערכו </w:t>
      </w:r>
      <w:r>
        <w:rPr>
          <w:rFonts w:ascii="Tahoma" w:hAnsi="Tahoma"/>
          <w:rtl/>
        </w:rPr>
        <w:t xml:space="preserve">בשני כתבי האישום המתוקנים – שעובדותיהם פורטו לעיל – </w:t>
      </w:r>
      <w:r>
        <w:rPr>
          <w:rFonts w:ascii="Tahoma" w:hAnsi="Tahoma"/>
          <w:rtl/>
        </w:rPr>
        <w:lastRenderedPageBreak/>
        <w:t xml:space="preserve">תיקונים מהותיים לקולה הן בעובדות הנטענות והן בהוראות החיקוק. לעניין הטיעונים לעונש הסכימו הצדדים לעתור במשותף לענישה שתכלול תשעה חודשי מאסר בפועל, לנשיאה בדרך של עבודות שירות, </w:t>
      </w:r>
      <w:r>
        <w:rPr>
          <w:rFonts w:ascii="Tahoma" w:hAnsi="Tahoma" w:hint="cs"/>
          <w:rtl/>
        </w:rPr>
        <w:t xml:space="preserve">בצירוף </w:t>
      </w:r>
      <w:r>
        <w:rPr>
          <w:rFonts w:ascii="Tahoma" w:hAnsi="Tahoma"/>
          <w:rtl/>
        </w:rPr>
        <w:t>ענישה נלווית שתכלול מאסר מותנה, קנס כספי ופסיל</w:t>
      </w:r>
      <w:r>
        <w:rPr>
          <w:rFonts w:ascii="Tahoma" w:hAnsi="Tahoma" w:hint="cs"/>
          <w:rtl/>
        </w:rPr>
        <w:t>ת רישיון נהיגה</w:t>
      </w:r>
      <w:r>
        <w:rPr>
          <w:rFonts w:ascii="Tahoma" w:hAnsi="Tahoma"/>
          <w:rtl/>
        </w:rPr>
        <w:t>.</w:t>
      </w:r>
      <w:r>
        <w:rPr>
          <w:rFonts w:ascii="Tahoma" w:hAnsi="Tahoma" w:hint="cs"/>
          <w:rtl/>
        </w:rPr>
        <w:t xml:space="preserve"> בשלב מאוחר יותר, ובשל חלוף הזמן ומצבו הנפשי של הנאשם, הגיע ב"כ הנאשם דהיום להסכמה נוספת עם התביעה, שבמסגרתה הצדדים יטענו לתקופת מאסר (בעבודות שירות) בת 5 חודשים. </w:t>
      </w:r>
    </w:p>
    <w:p w14:paraId="61557B59" w14:textId="77777777" w:rsidR="007241B1" w:rsidRDefault="007241B1" w:rsidP="007241B1">
      <w:pPr>
        <w:numPr>
          <w:ilvl w:val="0"/>
          <w:numId w:val="2"/>
        </w:numPr>
        <w:spacing w:after="120" w:line="360" w:lineRule="auto"/>
        <w:ind w:left="360"/>
        <w:jc w:val="both"/>
        <w:rPr>
          <w:rFonts w:ascii="Tahoma" w:hAnsi="Tahoma"/>
        </w:rPr>
      </w:pPr>
      <w:r>
        <w:rPr>
          <w:rFonts w:ascii="Tahoma" w:hAnsi="Tahoma"/>
          <w:rtl/>
        </w:rPr>
        <w:t xml:space="preserve">הנאשם הודה אפוא בעובדות כתבי האישום המתוקנים (בתיק העיקרי ובתיק המצורף) והורשע, על יסוד הודאה זו, בעבירות שבהן הואשם כאמור. הצדדים עתרו לקבלת חוות דעת של הממונה על עבודות השירות, אך בעניין זה חלו עיכובים רבים. הנאשם התייצב </w:t>
      </w:r>
      <w:r>
        <w:rPr>
          <w:rFonts w:ascii="Tahoma" w:hAnsi="Tahoma" w:hint="cs"/>
          <w:rtl/>
        </w:rPr>
        <w:t xml:space="preserve">אצל הממונה </w:t>
      </w:r>
      <w:r>
        <w:rPr>
          <w:rFonts w:ascii="Tahoma" w:hAnsi="Tahoma"/>
          <w:rtl/>
        </w:rPr>
        <w:t>ללא המסמכים הנדרשים, התנהג בצורה לא מותאמת ו</w:t>
      </w:r>
      <w:r>
        <w:rPr>
          <w:rFonts w:ascii="Tahoma" w:hAnsi="Tahoma" w:hint="cs"/>
          <w:rtl/>
        </w:rPr>
        <w:t xml:space="preserve">על רקע זה </w:t>
      </w:r>
      <w:r>
        <w:rPr>
          <w:rFonts w:ascii="Tahoma" w:hAnsi="Tahoma"/>
          <w:rtl/>
        </w:rPr>
        <w:t xml:space="preserve">אף נתבקשה חוות דעת פסיכיאטרית (ר' בפרוטוקול, עמ' 18-17 וכן בחוות הדעת הפסיכיאטרית מיום 28.11.2022). עם זאת, בסופו של דבר נמצא הנאשם כשיר לשאת </w:t>
      </w:r>
      <w:r>
        <w:rPr>
          <w:rFonts w:ascii="Tahoma" w:hAnsi="Tahoma" w:hint="cs"/>
          <w:rtl/>
        </w:rPr>
        <w:t xml:space="preserve">עונש של </w:t>
      </w:r>
      <w:r>
        <w:rPr>
          <w:rFonts w:ascii="Tahoma" w:hAnsi="Tahoma"/>
          <w:rtl/>
        </w:rPr>
        <w:t>מאסר בדרך של עבודות שירות.</w:t>
      </w:r>
    </w:p>
    <w:p w14:paraId="2769FDD2" w14:textId="77777777" w:rsidR="007241B1" w:rsidRPr="00554718" w:rsidRDefault="007241B1" w:rsidP="007241B1">
      <w:pPr>
        <w:spacing w:after="120" w:line="360" w:lineRule="auto"/>
        <w:jc w:val="both"/>
        <w:rPr>
          <w:rFonts w:ascii="Tahoma" w:hAnsi="Tahoma"/>
        </w:rPr>
      </w:pPr>
    </w:p>
    <w:p w14:paraId="283B17C4" w14:textId="77777777" w:rsidR="007241B1" w:rsidRDefault="007241B1" w:rsidP="007241B1">
      <w:pPr>
        <w:pStyle w:val="a9"/>
        <w:numPr>
          <w:ilvl w:val="0"/>
          <w:numId w:val="1"/>
        </w:numPr>
        <w:spacing w:after="120" w:line="360" w:lineRule="auto"/>
        <w:ind w:left="360"/>
        <w:jc w:val="both"/>
        <w:rPr>
          <w:rFonts w:ascii="Tahoma" w:hAnsi="Tahoma"/>
          <w:b/>
          <w:bCs/>
          <w:u w:val="single"/>
        </w:rPr>
      </w:pPr>
      <w:r>
        <w:rPr>
          <w:rFonts w:ascii="Tahoma" w:hAnsi="Tahoma"/>
          <w:b/>
          <w:bCs/>
          <w:u w:val="single"/>
          <w:rtl/>
        </w:rPr>
        <w:t>עיקר הראיות והטיעונים לעונש:</w:t>
      </w:r>
    </w:p>
    <w:p w14:paraId="7E0B6FB3" w14:textId="77777777" w:rsidR="007241B1" w:rsidRDefault="007241B1" w:rsidP="007241B1">
      <w:pPr>
        <w:numPr>
          <w:ilvl w:val="0"/>
          <w:numId w:val="2"/>
        </w:numPr>
        <w:spacing w:after="120" w:line="360" w:lineRule="auto"/>
        <w:ind w:left="360"/>
        <w:jc w:val="both"/>
        <w:rPr>
          <w:rFonts w:ascii="Tahoma" w:hAnsi="Tahoma"/>
        </w:rPr>
      </w:pPr>
      <w:r>
        <w:rPr>
          <w:rFonts w:ascii="Tahoma" w:hAnsi="Tahoma"/>
          <w:rtl/>
        </w:rPr>
        <w:t>מטעם המאשימה הוגש תדפיס המידע הפלילי של הנאשם, יליד שנת 1995 (בן 28 שנים כיום). כעולה מתדפיס זה לנאשם ארבע הרשעות קודמות, כולן בתחום עבירות הסמים.</w:t>
      </w:r>
    </w:p>
    <w:p w14:paraId="17C91A65" w14:textId="77777777" w:rsidR="007241B1" w:rsidRPr="003B218B" w:rsidRDefault="007241B1" w:rsidP="007241B1">
      <w:pPr>
        <w:numPr>
          <w:ilvl w:val="0"/>
          <w:numId w:val="2"/>
        </w:numPr>
        <w:spacing w:after="120" w:line="360" w:lineRule="auto"/>
        <w:ind w:left="360"/>
        <w:jc w:val="both"/>
        <w:rPr>
          <w:rFonts w:ascii="Tahoma" w:hAnsi="Tahoma"/>
        </w:rPr>
      </w:pPr>
      <w:r w:rsidRPr="003B218B">
        <w:rPr>
          <w:rFonts w:ascii="Tahoma" w:hAnsi="Tahoma"/>
          <w:rtl/>
        </w:rPr>
        <w:t>בטיעוניה לעונש חזרה ב"כ המאשימה על העתירה העונשית</w:t>
      </w:r>
      <w:r>
        <w:rPr>
          <w:rFonts w:ascii="Tahoma" w:hAnsi="Tahoma" w:hint="cs"/>
          <w:rtl/>
        </w:rPr>
        <w:t>,</w:t>
      </w:r>
      <w:r w:rsidRPr="003B218B">
        <w:rPr>
          <w:rFonts w:ascii="Tahoma" w:hAnsi="Tahoma"/>
          <w:rtl/>
        </w:rPr>
        <w:t xml:space="preserve"> שהוצגה במעמד עריכת הסדר הטיעון</w:t>
      </w:r>
      <w:r>
        <w:rPr>
          <w:rFonts w:ascii="Tahoma" w:hAnsi="Tahoma" w:hint="cs"/>
          <w:rtl/>
        </w:rPr>
        <w:t>,</w:t>
      </w:r>
      <w:r w:rsidRPr="003B218B">
        <w:rPr>
          <w:rFonts w:ascii="Tahoma" w:hAnsi="Tahoma"/>
          <w:rtl/>
        </w:rPr>
        <w:t xml:space="preserve"> וביקשה לכבדה. ב"כ המאשימה עמדה על כך שמדובר בהסדר טיעון מקל, אך עתרה </w:t>
      </w:r>
      <w:r>
        <w:rPr>
          <w:rFonts w:ascii="Tahoma" w:hAnsi="Tahoma" w:hint="cs"/>
          <w:rtl/>
        </w:rPr>
        <w:t xml:space="preserve">כאמור </w:t>
      </w:r>
      <w:r w:rsidRPr="003B218B">
        <w:rPr>
          <w:rFonts w:ascii="Tahoma" w:hAnsi="Tahoma"/>
          <w:rtl/>
        </w:rPr>
        <w:t xml:space="preserve">לכיבודו. ב"כ המאשימה ציינה את התיקונים המהותיים לכף קולה, שנערכו בשני כתבי האישום, על רקע קשיים ראייתיים. בנסיבות אלה, ובהתחשב בחלוף הזמן, ביקשה ב"כ המאשימה לכבד את ההסכמות. עם זאת הוסיפה </w:t>
      </w:r>
      <w:r>
        <w:rPr>
          <w:rFonts w:ascii="Tahoma" w:hAnsi="Tahoma" w:hint="cs"/>
          <w:rtl/>
        </w:rPr>
        <w:t xml:space="preserve">ב"כ המאשימה </w:t>
      </w:r>
      <w:r>
        <w:rPr>
          <w:rFonts w:ascii="Tahoma" w:hAnsi="Tahoma"/>
          <w:rtl/>
        </w:rPr>
        <w:t xml:space="preserve">ועתרה לתיקון </w:t>
      </w:r>
      <w:r w:rsidRPr="003B218B">
        <w:rPr>
          <w:rFonts w:ascii="Tahoma" w:hAnsi="Tahoma"/>
          <w:rtl/>
        </w:rPr>
        <w:t xml:space="preserve">הכרעת הדין בדרך של הכרזה על הנאשם כסוחר סמים, </w:t>
      </w:r>
      <w:r>
        <w:rPr>
          <w:rFonts w:ascii="Tahoma" w:hAnsi="Tahoma" w:hint="cs"/>
          <w:rtl/>
        </w:rPr>
        <w:t xml:space="preserve">וזאת </w:t>
      </w:r>
      <w:r w:rsidRPr="003B218B">
        <w:rPr>
          <w:rFonts w:ascii="Tahoma" w:hAnsi="Tahoma"/>
          <w:rtl/>
        </w:rPr>
        <w:t xml:space="preserve">לצורך חילוט שני הטלפונים הניידים שנתפסו ברשותו </w:t>
      </w:r>
      <w:r>
        <w:rPr>
          <w:rFonts w:ascii="Tahoma" w:hAnsi="Tahoma" w:hint="cs"/>
          <w:rtl/>
        </w:rPr>
        <w:t xml:space="preserve">של הנאשם </w:t>
      </w:r>
      <w:r w:rsidRPr="003B218B">
        <w:rPr>
          <w:rFonts w:ascii="Tahoma" w:hAnsi="Tahoma"/>
          <w:rtl/>
        </w:rPr>
        <w:t>כאמור בהודעה שבסיפא לכתב האישום המתוקן (בתיק העיקרי).</w:t>
      </w:r>
    </w:p>
    <w:p w14:paraId="19064B9E" w14:textId="77777777" w:rsidR="007241B1" w:rsidRDefault="007241B1" w:rsidP="007241B1">
      <w:pPr>
        <w:numPr>
          <w:ilvl w:val="0"/>
          <w:numId w:val="2"/>
        </w:numPr>
        <w:spacing w:after="120" w:line="360" w:lineRule="auto"/>
        <w:ind w:left="360"/>
        <w:jc w:val="both"/>
        <w:rPr>
          <w:rFonts w:ascii="Tahoma" w:hAnsi="Tahoma"/>
        </w:rPr>
      </w:pPr>
      <w:r>
        <w:rPr>
          <w:rFonts w:ascii="Tahoma" w:hAnsi="Tahoma"/>
          <w:rtl/>
        </w:rPr>
        <w:t xml:space="preserve">הנאשם, שבשלב זה </w:t>
      </w:r>
      <w:r>
        <w:rPr>
          <w:rFonts w:ascii="Tahoma" w:hAnsi="Tahoma" w:hint="cs"/>
          <w:rtl/>
        </w:rPr>
        <w:t xml:space="preserve">כבר </w:t>
      </w:r>
      <w:r>
        <w:rPr>
          <w:rFonts w:ascii="Tahoma" w:hAnsi="Tahoma"/>
          <w:rtl/>
        </w:rPr>
        <w:t>ייצג את עצמו, הלין מאוד על כך שהתיק העיקרי לא צורף במסגרת הרשעתו הקודמת האחרונה, וביקש להתחשב בכך. עוד הדגיש הנאשם כי "</w:t>
      </w:r>
      <w:r>
        <w:rPr>
          <w:rFonts w:ascii="Tahoma" w:hAnsi="Tahoma"/>
          <w:b/>
          <w:bCs/>
          <w:rtl/>
        </w:rPr>
        <w:t>חלה השתפרות בהתנהגות שלי... אני מבקש להתחשב בזה שלא נעצרתי מאז ולא ביצעתי עוד עבירות</w:t>
      </w:r>
      <w:r>
        <w:rPr>
          <w:rFonts w:ascii="Tahoma" w:hAnsi="Tahoma"/>
          <w:rtl/>
        </w:rPr>
        <w:t>" (בפרוטוקול, עמ' 26 שורה 25 ואילך).</w:t>
      </w:r>
    </w:p>
    <w:p w14:paraId="218FA559" w14:textId="77777777" w:rsidR="007241B1" w:rsidRDefault="007241B1" w:rsidP="007241B1">
      <w:pPr>
        <w:spacing w:after="120" w:line="360" w:lineRule="auto"/>
        <w:jc w:val="both"/>
        <w:rPr>
          <w:rFonts w:ascii="Tahoma" w:hAnsi="Tahoma"/>
          <w:rtl/>
        </w:rPr>
      </w:pPr>
    </w:p>
    <w:p w14:paraId="1EC6FC9C" w14:textId="77777777" w:rsidR="007241B1" w:rsidRDefault="007241B1" w:rsidP="007241B1">
      <w:pPr>
        <w:pStyle w:val="a9"/>
        <w:numPr>
          <w:ilvl w:val="0"/>
          <w:numId w:val="1"/>
        </w:numPr>
        <w:spacing w:after="120" w:line="360" w:lineRule="auto"/>
        <w:ind w:left="360"/>
        <w:jc w:val="both"/>
        <w:rPr>
          <w:rFonts w:ascii="Tahoma" w:hAnsi="Tahoma"/>
          <w:b/>
          <w:bCs/>
          <w:u w:val="single"/>
          <w:rtl/>
        </w:rPr>
      </w:pPr>
      <w:r>
        <w:rPr>
          <w:rFonts w:ascii="Tahoma" w:hAnsi="Tahoma"/>
          <w:b/>
          <w:bCs/>
          <w:u w:val="single"/>
          <w:rtl/>
        </w:rPr>
        <w:t>דיון והכרעה:</w:t>
      </w:r>
    </w:p>
    <w:p w14:paraId="52D5A5C4" w14:textId="77777777" w:rsidR="007241B1" w:rsidRDefault="007241B1" w:rsidP="007241B1">
      <w:pPr>
        <w:numPr>
          <w:ilvl w:val="0"/>
          <w:numId w:val="2"/>
        </w:numPr>
        <w:spacing w:after="120" w:line="360" w:lineRule="auto"/>
        <w:ind w:left="360"/>
        <w:jc w:val="both"/>
        <w:rPr>
          <w:rFonts w:ascii="Tahoma" w:hAnsi="Tahoma"/>
        </w:rPr>
      </w:pPr>
      <w:r>
        <w:rPr>
          <w:rFonts w:ascii="Tahoma" w:hAnsi="Tahoma"/>
          <w:rtl/>
        </w:rPr>
        <w:t xml:space="preserve">בהתאם להוראות </w:t>
      </w:r>
      <w:hyperlink r:id="rId22" w:history="1">
        <w:r w:rsidR="00B25F0E" w:rsidRPr="00B25F0E">
          <w:rPr>
            <w:rFonts w:ascii="Tahoma" w:hAnsi="Tahoma"/>
            <w:color w:val="0000FF"/>
            <w:u w:val="single"/>
            <w:rtl/>
          </w:rPr>
          <w:t>חוק העונשין</w:t>
        </w:r>
      </w:hyperlink>
      <w:r>
        <w:rPr>
          <w:rFonts w:ascii="Tahoma" w:hAnsi="Tahoma"/>
          <w:rtl/>
        </w:rPr>
        <w:t xml:space="preserve"> בדבר הבניית שיקול הדעת השיפוטי בענישה, בעת גזירת עונשו של נאשם על בית המשפט לקבוע תחילה את מתחם העונש ההולם לכל "אירוע עברייני" שבגינו הורשע הנאשם, ולאחר מכן לגזור את עונשו בתוך המתחמים שנקבעו. קביעת כל מתחם עונש הולם תיעשה בהתאם לעקרון ההלימה, תוך התחשבות בנסיבות הקשורות בביצוע העבירות, ואילו גזירת עונשו של הנאשם בתוך המתחמים תיעשה תוך התחשבות בנסיבות שאינן קשורות בביצוע העבירות.</w:t>
      </w:r>
    </w:p>
    <w:p w14:paraId="694539C6" w14:textId="77777777" w:rsidR="007241B1" w:rsidRDefault="007241B1" w:rsidP="007241B1">
      <w:pPr>
        <w:numPr>
          <w:ilvl w:val="0"/>
          <w:numId w:val="2"/>
        </w:numPr>
        <w:spacing w:after="120" w:line="360" w:lineRule="auto"/>
        <w:ind w:left="360"/>
        <w:jc w:val="both"/>
        <w:rPr>
          <w:rFonts w:ascii="Tahoma" w:hAnsi="Tahoma"/>
        </w:rPr>
      </w:pPr>
      <w:r>
        <w:rPr>
          <w:rFonts w:ascii="Tahoma" w:hAnsi="Tahoma"/>
          <w:rtl/>
        </w:rPr>
        <w:t>עם זאת, כאשר מדובר בהסדרי טיעון, בפרט כאלה הכוללים הסכמות מלאות לעניין הטיעונים לעונש (הסדרי טיעון "סגורים"), השאלה העיקרית הטעונה הכרעה היא שאלת סבירות ההסדר, שעל בית המשפט לבוחנה בהתאם ל"מבחן האיזון" שנקבע בזמנו ב</w:t>
      </w:r>
      <w:hyperlink r:id="rId23" w:history="1">
        <w:r w:rsidR="00B25F0E" w:rsidRPr="00B25F0E">
          <w:rPr>
            <w:rFonts w:ascii="Tahoma" w:hAnsi="Tahoma"/>
            <w:color w:val="0000FF"/>
            <w:u w:val="single"/>
            <w:rtl/>
          </w:rPr>
          <w:t>ע"פ 1958/98</w:t>
        </w:r>
      </w:hyperlink>
      <w:r>
        <w:rPr>
          <w:rFonts w:ascii="Tahoma" w:hAnsi="Tahoma"/>
          <w:rtl/>
        </w:rPr>
        <w:t xml:space="preserve"> </w:t>
      </w:r>
      <w:r>
        <w:rPr>
          <w:rFonts w:ascii="Tahoma" w:hAnsi="Tahoma"/>
          <w:b/>
          <w:bCs/>
          <w:rtl/>
        </w:rPr>
        <w:t>פלוני נ' מדינת ישראל</w:t>
      </w:r>
      <w:r>
        <w:rPr>
          <w:rFonts w:ascii="Tahoma" w:hAnsi="Tahoma"/>
          <w:rtl/>
        </w:rPr>
        <w:t xml:space="preserve"> (25.12.2002). והנה, במקרה דנא על פני הדברים הסדר הטיעון אליו הגיעו הצדדים מצוי בגדרי הסביר, שכן הוא מתיישב עם מדיניות הענישה הנהוגה.</w:t>
      </w:r>
    </w:p>
    <w:p w14:paraId="1FC65E83" w14:textId="77777777" w:rsidR="007241B1" w:rsidRPr="003B218B" w:rsidRDefault="007241B1" w:rsidP="007241B1">
      <w:pPr>
        <w:numPr>
          <w:ilvl w:val="0"/>
          <w:numId w:val="2"/>
        </w:numPr>
        <w:spacing w:after="120" w:line="360" w:lineRule="auto"/>
        <w:ind w:left="360"/>
        <w:jc w:val="both"/>
        <w:rPr>
          <w:rFonts w:ascii="Tahoma" w:hAnsi="Tahoma"/>
        </w:rPr>
      </w:pPr>
      <w:r w:rsidRPr="003B218B">
        <w:rPr>
          <w:rFonts w:ascii="Tahoma" w:hAnsi="Tahoma"/>
          <w:rtl/>
        </w:rPr>
        <w:t>אכן, בתיק העיקרי מתקיימות מספר נסיבות חומרה, שכן הנאשם הואשם –</w:t>
      </w:r>
      <w:r w:rsidRPr="003B218B">
        <w:rPr>
          <w:rFonts w:ascii="Tahoma" w:hAnsi="Tahoma" w:hint="cs"/>
          <w:rtl/>
        </w:rPr>
        <w:t xml:space="preserve"> </w:t>
      </w:r>
      <w:r w:rsidRPr="003B218B">
        <w:rPr>
          <w:rFonts w:ascii="Tahoma" w:hAnsi="Tahoma"/>
          <w:rtl/>
        </w:rPr>
        <w:t>בשני אישומים</w:t>
      </w:r>
      <w:r>
        <w:rPr>
          <w:rFonts w:ascii="Tahoma" w:hAnsi="Tahoma" w:hint="cs"/>
          <w:rtl/>
        </w:rPr>
        <w:t xml:space="preserve"> נפרדים </w:t>
      </w:r>
      <w:r>
        <w:rPr>
          <w:rFonts w:ascii="Tahoma" w:hAnsi="Tahoma"/>
          <w:rtl/>
        </w:rPr>
        <w:t>–</w:t>
      </w:r>
      <w:r>
        <w:rPr>
          <w:rFonts w:ascii="Tahoma" w:hAnsi="Tahoma" w:hint="cs"/>
          <w:rtl/>
        </w:rPr>
        <w:t xml:space="preserve"> בביצוע </w:t>
      </w:r>
      <w:r w:rsidRPr="003B218B">
        <w:rPr>
          <w:rFonts w:ascii="Tahoma" w:hAnsi="Tahoma"/>
          <w:rtl/>
        </w:rPr>
        <w:t xml:space="preserve">שתי עבירות של סחר </w:t>
      </w:r>
      <w:r>
        <w:rPr>
          <w:rFonts w:ascii="Tahoma" w:hAnsi="Tahoma" w:hint="cs"/>
          <w:rtl/>
        </w:rPr>
        <w:t xml:space="preserve">בסמים מסוכנים, </w:t>
      </w:r>
      <w:r w:rsidRPr="003B218B">
        <w:rPr>
          <w:rFonts w:ascii="Tahoma" w:hAnsi="Tahoma"/>
          <w:rtl/>
        </w:rPr>
        <w:t>שאחת מהם בוצעה בצוותא. מדובר בעבירות שבוצעו יום אחר יום ובערים שונות</w:t>
      </w:r>
      <w:r>
        <w:rPr>
          <w:rFonts w:ascii="Tahoma" w:hAnsi="Tahoma" w:hint="cs"/>
          <w:rtl/>
        </w:rPr>
        <w:t xml:space="preserve">. בנוסף, </w:t>
      </w:r>
      <w:r w:rsidRPr="003B218B">
        <w:rPr>
          <w:rFonts w:ascii="Tahoma" w:hAnsi="Tahoma"/>
          <w:rtl/>
        </w:rPr>
        <w:t>בתיק המצורף מדובר באיומים חמורים כלפי שוטרים. עם זאת, אף ההסכמות לטיעונים לעונש כוללות הסכמה למאסר בפועל</w:t>
      </w:r>
      <w:r>
        <w:rPr>
          <w:rFonts w:ascii="Tahoma" w:hAnsi="Tahoma" w:hint="cs"/>
          <w:rtl/>
        </w:rPr>
        <w:t>,</w:t>
      </w:r>
      <w:r>
        <w:rPr>
          <w:rFonts w:ascii="Tahoma" w:hAnsi="Tahoma"/>
          <w:rtl/>
        </w:rPr>
        <w:t xml:space="preserve"> לתקופה המירבית שניתן לשאת</w:t>
      </w:r>
      <w:r w:rsidRPr="003B218B">
        <w:rPr>
          <w:rFonts w:ascii="Tahoma" w:hAnsi="Tahoma"/>
          <w:rtl/>
        </w:rPr>
        <w:t xml:space="preserve"> ב</w:t>
      </w:r>
      <w:r>
        <w:rPr>
          <w:rFonts w:ascii="Tahoma" w:hAnsi="Tahoma" w:hint="cs"/>
          <w:rtl/>
        </w:rPr>
        <w:t xml:space="preserve">דרך של </w:t>
      </w:r>
      <w:r w:rsidRPr="003B218B">
        <w:rPr>
          <w:rFonts w:ascii="Tahoma" w:hAnsi="Tahoma"/>
          <w:rtl/>
        </w:rPr>
        <w:t xml:space="preserve">עבודות שירות. בנוסף, יש ליתן גם משקל לחלוף הזמן </w:t>
      </w:r>
      <w:r>
        <w:rPr>
          <w:rFonts w:ascii="Tahoma" w:hAnsi="Tahoma" w:hint="cs"/>
          <w:rtl/>
        </w:rPr>
        <w:t xml:space="preserve">הרב </w:t>
      </w:r>
      <w:r w:rsidRPr="003B218B">
        <w:rPr>
          <w:rFonts w:ascii="Tahoma" w:hAnsi="Tahoma"/>
          <w:rtl/>
        </w:rPr>
        <w:t xml:space="preserve">מאז ביצוע העבירות, בעיקר בהיבט זה שהנאשם לא שב לסורו ובכך </w:t>
      </w:r>
      <w:r>
        <w:rPr>
          <w:rFonts w:ascii="Tahoma" w:hAnsi="Tahoma" w:hint="cs"/>
          <w:rtl/>
        </w:rPr>
        <w:t xml:space="preserve">ישנה </w:t>
      </w:r>
      <w:r w:rsidRPr="003B218B">
        <w:rPr>
          <w:rFonts w:ascii="Tahoma" w:hAnsi="Tahoma"/>
          <w:rtl/>
        </w:rPr>
        <w:t>אינדיקציה כי אמנם הוא מבקש לשנות את נתיב חייו.</w:t>
      </w:r>
      <w:r w:rsidRPr="003B218B">
        <w:rPr>
          <w:rFonts w:ascii="Tahoma" w:hAnsi="Tahoma" w:hint="cs"/>
          <w:rtl/>
        </w:rPr>
        <w:t xml:space="preserve"> בנסיבות אלה הסדר הטיעון הוא כאמור בגדרי הסביר</w:t>
      </w:r>
      <w:r>
        <w:rPr>
          <w:rFonts w:ascii="Tahoma" w:hAnsi="Tahoma" w:hint="cs"/>
          <w:rtl/>
        </w:rPr>
        <w:t xml:space="preserve"> ועל כן חובת בית המשפט היא לכבדו</w:t>
      </w:r>
      <w:r w:rsidRPr="003B218B">
        <w:rPr>
          <w:rFonts w:ascii="Tahoma" w:hAnsi="Tahoma" w:hint="cs"/>
          <w:rtl/>
        </w:rPr>
        <w:t>.</w:t>
      </w:r>
    </w:p>
    <w:p w14:paraId="18248B8D" w14:textId="77777777" w:rsidR="007241B1" w:rsidRPr="001C40B6" w:rsidRDefault="007241B1" w:rsidP="007241B1">
      <w:pPr>
        <w:numPr>
          <w:ilvl w:val="0"/>
          <w:numId w:val="2"/>
        </w:numPr>
        <w:spacing w:after="120" w:line="360" w:lineRule="auto"/>
        <w:ind w:left="360"/>
        <w:jc w:val="both"/>
        <w:rPr>
          <w:rFonts w:ascii="Tahoma" w:hAnsi="Tahoma"/>
        </w:rPr>
      </w:pPr>
      <w:r w:rsidRPr="001C40B6">
        <w:rPr>
          <w:rFonts w:ascii="Tahoma" w:hAnsi="Tahoma" w:hint="cs"/>
          <w:rtl/>
        </w:rPr>
        <w:t xml:space="preserve">עם זאת, איני מוצא מקום להכריז על הנאשם כסוחר סמים כעת, כאשר הכרזה כאמור לא נתבקשה במסגרת הצגת הסדר הטיעון. לא למותר להוסיף, בהקשר זה, כי חילוט הטלפונים הניידים שנתפסו ברשותו של הנאשם הוא נדרש גם בהתאם להוראות </w:t>
      </w:r>
      <w:hyperlink r:id="rId24" w:history="1">
        <w:r w:rsidR="00B25F0E" w:rsidRPr="00B25F0E">
          <w:rPr>
            <w:rFonts w:ascii="Tahoma" w:hAnsi="Tahoma"/>
            <w:color w:val="0000FF"/>
            <w:u w:val="single"/>
            <w:rtl/>
          </w:rPr>
          <w:t>פקודת סדר הדין הפלילי (מעצר וחיפוש)</w:t>
        </w:r>
      </w:hyperlink>
      <w:r w:rsidRPr="001C40B6">
        <w:rPr>
          <w:rFonts w:ascii="Tahoma" w:hAnsi="Tahoma" w:hint="cs"/>
          <w:rtl/>
        </w:rPr>
        <w:t xml:space="preserve"> [נוסח חדש] </w:t>
      </w:r>
      <w:r w:rsidRPr="001C40B6">
        <w:rPr>
          <w:rFonts w:ascii="Tahoma" w:hAnsi="Tahoma"/>
          <w:rtl/>
        </w:rPr>
        <w:t>–</w:t>
      </w:r>
      <w:r w:rsidRPr="001C40B6">
        <w:rPr>
          <w:rFonts w:ascii="Tahoma" w:hAnsi="Tahoma" w:hint="cs"/>
          <w:rtl/>
        </w:rPr>
        <w:t xml:space="preserve"> כפי שמצוין אף בהודעה שבסיפא לכתב האישום המתוקן (בתיק העיקרי)</w:t>
      </w:r>
      <w:r>
        <w:rPr>
          <w:rFonts w:ascii="Tahoma" w:hAnsi="Tahoma" w:hint="cs"/>
          <w:rtl/>
        </w:rPr>
        <w:t xml:space="preserve"> </w:t>
      </w:r>
      <w:r>
        <w:rPr>
          <w:rFonts w:ascii="Tahoma" w:hAnsi="Tahoma"/>
          <w:rtl/>
        </w:rPr>
        <w:t>–</w:t>
      </w:r>
      <w:r>
        <w:rPr>
          <w:rFonts w:ascii="Tahoma" w:hAnsi="Tahoma" w:hint="cs"/>
          <w:rtl/>
        </w:rPr>
        <w:t xml:space="preserve"> כך שההכרזה אינה נדרשת לצורך זה.</w:t>
      </w:r>
    </w:p>
    <w:p w14:paraId="4D0A7065" w14:textId="77777777" w:rsidR="007241B1" w:rsidRPr="002C7894" w:rsidRDefault="007241B1" w:rsidP="007241B1">
      <w:pPr>
        <w:numPr>
          <w:ilvl w:val="0"/>
          <w:numId w:val="2"/>
        </w:numPr>
        <w:spacing w:after="120" w:line="360" w:lineRule="auto"/>
        <w:ind w:left="360"/>
        <w:jc w:val="both"/>
        <w:rPr>
          <w:rFonts w:ascii="Tahoma" w:hAnsi="Tahoma"/>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2486BA2B" w14:textId="77777777" w:rsidR="007241B1" w:rsidRDefault="007241B1" w:rsidP="007241B1">
      <w:pPr>
        <w:spacing w:after="120" w:line="360" w:lineRule="auto"/>
        <w:ind w:left="360"/>
        <w:jc w:val="both"/>
        <w:rPr>
          <w:rtl/>
        </w:rPr>
      </w:pPr>
      <w:r>
        <w:rPr>
          <w:rFonts w:hint="cs"/>
          <w:rtl/>
        </w:rPr>
        <w:t>(א)</w:t>
      </w:r>
      <w:r>
        <w:rPr>
          <w:rtl/>
        </w:rPr>
        <w:tab/>
      </w:r>
      <w:r>
        <w:rPr>
          <w:rFonts w:hint="cs"/>
          <w:rtl/>
        </w:rPr>
        <w:t>5 חודשי מאסר בפועל.</w:t>
      </w:r>
    </w:p>
    <w:p w14:paraId="5FA0D78A" w14:textId="77777777" w:rsidR="007241B1" w:rsidRDefault="007241B1" w:rsidP="007241B1">
      <w:pPr>
        <w:spacing w:after="120" w:line="360" w:lineRule="auto"/>
        <w:ind w:left="720"/>
        <w:jc w:val="both"/>
        <w:rPr>
          <w:rFonts w:ascii="Tahoma" w:hAnsi="Tahoma"/>
          <w:rtl/>
        </w:rPr>
      </w:pPr>
      <w:r>
        <w:rPr>
          <w:rFonts w:ascii="Tahoma" w:hAnsi="Tahoma" w:hint="cs"/>
          <w:rtl/>
        </w:rPr>
        <w:t>הנאשם יישא את עונש המאסר בדרך של עבודות שירות, כאמור בחוות דעתו של הממונה על עבודות השירות בשירות בתי הסוהר.</w:t>
      </w:r>
    </w:p>
    <w:p w14:paraId="3879B3C2" w14:textId="77777777" w:rsidR="007241B1" w:rsidRPr="001C40B6" w:rsidRDefault="007241B1" w:rsidP="007241B1">
      <w:pPr>
        <w:spacing w:after="120" w:line="360" w:lineRule="auto"/>
        <w:ind w:left="720"/>
        <w:jc w:val="both"/>
        <w:rPr>
          <w:rFonts w:ascii="Tahoma" w:hAnsi="Tahoma"/>
          <w:b/>
          <w:bCs/>
          <w:rtl/>
        </w:rPr>
      </w:pPr>
      <w:r w:rsidRPr="001C40B6">
        <w:rPr>
          <w:rFonts w:ascii="Tahoma" w:hAnsi="Tahoma" w:hint="cs"/>
          <w:b/>
          <w:bCs/>
          <w:rtl/>
        </w:rPr>
        <w:t xml:space="preserve">על הנאשם להתייצב לנשיאת עונשו במשרדי הממונה על עבודות השירות, ביום </w:t>
      </w:r>
      <w:r>
        <w:rPr>
          <w:rFonts w:ascii="Tahoma" w:hAnsi="Tahoma" w:hint="cs"/>
          <w:b/>
          <w:bCs/>
          <w:rtl/>
        </w:rPr>
        <w:t>01.05.2024</w:t>
      </w:r>
      <w:r w:rsidRPr="001C40B6">
        <w:rPr>
          <w:rFonts w:ascii="Tahoma" w:hAnsi="Tahoma" w:hint="cs"/>
          <w:b/>
          <w:bCs/>
          <w:rtl/>
        </w:rPr>
        <w:t xml:space="preserve"> עד השעה 08:00.</w:t>
      </w:r>
    </w:p>
    <w:p w14:paraId="2FF1DF29" w14:textId="77777777" w:rsidR="007241B1" w:rsidRDefault="007241B1" w:rsidP="007241B1">
      <w:pPr>
        <w:spacing w:after="120" w:line="360" w:lineRule="auto"/>
        <w:ind w:left="720"/>
        <w:jc w:val="both"/>
        <w:rPr>
          <w:rFonts w:ascii="Tahoma" w:hAnsi="Tahoma"/>
        </w:rPr>
      </w:pPr>
      <w:r>
        <w:rPr>
          <w:rFonts w:ascii="Tahoma" w:hAnsi="Tahoma" w:hint="cs"/>
          <w:rtl/>
        </w:rPr>
        <w:t>מובהר בזה לנאשם כי בכל הקשור לעבודות השירות עליו לציית להוראות הממונה על עבודות השירות, או למי שהוסמך לכך מטעמו. עוד מובהר לנאשם, כי במידה ולא יציית להוראות כאמור הוא עשוי לשאת את מאסרו, או את יתרת מאסרו, במאסר מאחורי סורג ובריח בבית סוהר.</w:t>
      </w:r>
    </w:p>
    <w:p w14:paraId="6D0AFEE2" w14:textId="77777777" w:rsidR="007241B1" w:rsidRDefault="007241B1" w:rsidP="007241B1">
      <w:pPr>
        <w:spacing w:after="120" w:line="360" w:lineRule="auto"/>
        <w:ind w:left="720" w:hanging="360"/>
        <w:jc w:val="both"/>
        <w:rPr>
          <w:rFonts w:ascii="Tahoma" w:hAnsi="Tahoma"/>
        </w:rPr>
      </w:pPr>
      <w:r>
        <w:rPr>
          <w:rFonts w:hint="cs"/>
          <w:rtl/>
        </w:rPr>
        <w:t>(ב)</w:t>
      </w:r>
      <w:r>
        <w:rPr>
          <w:rtl/>
        </w:rPr>
        <w:tab/>
      </w:r>
      <w:r>
        <w:rPr>
          <w:rFonts w:hint="cs"/>
          <w:rtl/>
        </w:rPr>
        <w:t xml:space="preserve">מאסר על תנאי למשך 3 חודשים, אותו לא יישא הנאשם אלא אם כן יעבור, תוך שלוש שנים מהיום, עבירה מהעבירות בהן הורשע. </w:t>
      </w:r>
    </w:p>
    <w:p w14:paraId="59E11FE2" w14:textId="77777777" w:rsidR="007241B1" w:rsidRPr="002C7894" w:rsidRDefault="007241B1" w:rsidP="007241B1">
      <w:pPr>
        <w:spacing w:after="120" w:line="360" w:lineRule="auto"/>
        <w:ind w:left="360"/>
        <w:jc w:val="both"/>
        <w:rPr>
          <w:rFonts w:ascii="Tahoma" w:hAnsi="Tahoma"/>
          <w:rtl/>
        </w:rPr>
      </w:pPr>
      <w:r>
        <w:rPr>
          <w:rFonts w:hint="cs"/>
          <w:rtl/>
        </w:rPr>
        <w:t xml:space="preserve"> (ג)</w:t>
      </w:r>
      <w:r>
        <w:rPr>
          <w:rtl/>
        </w:rPr>
        <w:tab/>
      </w:r>
      <w:r>
        <w:rPr>
          <w:rFonts w:hint="cs"/>
          <w:rtl/>
        </w:rPr>
        <w:t>קנס בסך של 1,000 ₪, או 5 ימי מאסר תמורתו. הקנס ישולם עד ליום 01.08.2024.</w:t>
      </w:r>
    </w:p>
    <w:p w14:paraId="2C90FDA4" w14:textId="77777777" w:rsidR="007241B1" w:rsidRDefault="007241B1" w:rsidP="007241B1">
      <w:pPr>
        <w:spacing w:after="120" w:line="360" w:lineRule="auto"/>
        <w:ind w:left="720" w:hanging="360"/>
        <w:jc w:val="both"/>
        <w:rPr>
          <w:rFonts w:ascii="Tahoma" w:hAnsi="Tahoma"/>
        </w:rPr>
      </w:pPr>
      <w:r>
        <w:rPr>
          <w:rFonts w:hint="cs"/>
          <w:rtl/>
        </w:rPr>
        <w:t>(ד)</w:t>
      </w:r>
      <w:r>
        <w:rPr>
          <w:rtl/>
        </w:rPr>
        <w:tab/>
      </w:r>
      <w:r>
        <w:rPr>
          <w:rFonts w:hint="cs"/>
          <w:rtl/>
        </w:rPr>
        <w:t>פסילה מלקבל או להחזיק רישיון נהיגה למשך 3 חודשים על תנאי, והתנאי הוא שבמשך שנתיים מהיום לא יעבור הנאשם עבירה מהעבירות המנויות ב</w:t>
      </w:r>
      <w:hyperlink r:id="rId25" w:history="1">
        <w:r w:rsidR="00B25F0E" w:rsidRPr="00B25F0E">
          <w:rPr>
            <w:color w:val="0000FF"/>
            <w:u w:val="single"/>
            <w:rtl/>
          </w:rPr>
          <w:t>פקודת הסמים המסוכנים</w:t>
        </w:r>
      </w:hyperlink>
      <w:r>
        <w:rPr>
          <w:rFonts w:hint="cs"/>
          <w:rtl/>
        </w:rPr>
        <w:t>.</w:t>
      </w:r>
    </w:p>
    <w:p w14:paraId="515F3C91" w14:textId="77777777" w:rsidR="007241B1" w:rsidRDefault="007241B1" w:rsidP="007241B1">
      <w:pPr>
        <w:spacing w:after="120" w:line="360" w:lineRule="auto"/>
        <w:jc w:val="both"/>
        <w:rPr>
          <w:rtl/>
        </w:rPr>
      </w:pPr>
      <w:r w:rsidRPr="00BF022E">
        <w:rPr>
          <w:rtl/>
        </w:rPr>
        <w:t>ככל ש</w:t>
      </w:r>
      <w:r>
        <w:rPr>
          <w:rFonts w:hint="cs"/>
          <w:rtl/>
        </w:rPr>
        <w:t xml:space="preserve">נותר בתיק בית המשפט </w:t>
      </w:r>
      <w:r>
        <w:rPr>
          <w:rtl/>
        </w:rPr>
        <w:t>–</w:t>
      </w:r>
      <w:r>
        <w:rPr>
          <w:rFonts w:hint="cs"/>
          <w:rtl/>
        </w:rPr>
        <w:t xml:space="preserve"> או בתיקים קשורים </w:t>
      </w:r>
      <w:r>
        <w:rPr>
          <w:rtl/>
        </w:rPr>
        <w:t>–</w:t>
      </w:r>
      <w:r>
        <w:rPr>
          <w:rFonts w:hint="cs"/>
          <w:rtl/>
        </w:rPr>
        <w:t xml:space="preserve"> פיקדון שהופקד מטעם הנאשם, בהסכמת ההגנה יקוזז הפיקדון לתשלום הפיצויים והקנס, כאשר הנאשם יידרש לשלם רק את יתרת הסכום שתיוותר. ככל שתיוותר יתרת פיקדון היא תושב לנאשם או למי מטעמו, וזאת בהיעדר עיקול או מניעה אחרת על פי דין להשבת הפיקדון.</w:t>
      </w:r>
    </w:p>
    <w:p w14:paraId="4DA36529" w14:textId="77777777" w:rsidR="007241B1" w:rsidRDefault="007241B1" w:rsidP="007241B1">
      <w:pPr>
        <w:spacing w:after="120" w:line="360" w:lineRule="auto"/>
        <w:jc w:val="both"/>
        <w:rPr>
          <w:rtl/>
        </w:rPr>
      </w:pPr>
      <w:r>
        <w:rPr>
          <w:rFonts w:hint="cs"/>
          <w:rtl/>
        </w:rPr>
        <w:t xml:space="preserve">ניתן בזה צו כללי, לעניין מוצגים, לשיקול דעתו של קצין משטרה. הסמים יושמדו. שני הטלפונים הניידים שנתפסו ברשותו של הנאשם </w:t>
      </w:r>
      <w:r>
        <w:rPr>
          <w:rtl/>
        </w:rPr>
        <w:t>–</w:t>
      </w:r>
      <w:r>
        <w:rPr>
          <w:rFonts w:hint="cs"/>
          <w:rtl/>
        </w:rPr>
        <w:t xml:space="preserve"> יחולטו.</w:t>
      </w:r>
    </w:p>
    <w:p w14:paraId="106CB19C" w14:textId="77777777" w:rsidR="007241B1" w:rsidRDefault="00B25F0E" w:rsidP="007241B1">
      <w:pPr>
        <w:snapToGrid w:val="0"/>
        <w:spacing w:after="120" w:line="360" w:lineRule="auto"/>
        <w:jc w:val="both"/>
        <w:rPr>
          <w:rtl/>
        </w:rPr>
      </w:pPr>
      <w:r w:rsidRPr="00B25F0E">
        <w:rPr>
          <w:color w:val="FFFFFF"/>
          <w:sz w:val="2"/>
          <w:szCs w:val="2"/>
          <w:rtl/>
        </w:rPr>
        <w:t>5129371</w:t>
      </w:r>
      <w:r w:rsidR="007241B1">
        <w:rPr>
          <w:rFonts w:hint="cs"/>
          <w:rtl/>
        </w:rPr>
        <w:t>זכות ערעור בתוך 45 יום מהיום.</w:t>
      </w:r>
    </w:p>
    <w:p w14:paraId="34E66DBD" w14:textId="77777777" w:rsidR="007241B1" w:rsidRPr="00250B83" w:rsidRDefault="00B25F0E" w:rsidP="007241B1">
      <w:pPr>
        <w:rPr>
          <w:rtl/>
        </w:rPr>
      </w:pPr>
      <w:bookmarkStart w:id="8" w:name="Nitan"/>
      <w:r w:rsidRPr="00B25F0E">
        <w:rPr>
          <w:rFonts w:ascii="Arial" w:hAnsi="Arial"/>
          <w:color w:val="FFFFFF"/>
          <w:sz w:val="2"/>
          <w:szCs w:val="2"/>
          <w:rtl/>
        </w:rPr>
        <w:t>54678313</w:t>
      </w:r>
      <w:r>
        <w:rPr>
          <w:rFonts w:ascii="Arial" w:hAnsi="Arial"/>
          <w:rtl/>
        </w:rPr>
        <w:t xml:space="preserve">ניתן היום, ב' אדר ב' תשפ"ד, 12 מרץ 2024, במעמד הצדדים. </w:t>
      </w:r>
      <w:bookmarkEnd w:id="8"/>
    </w:p>
    <w:p w14:paraId="070CAAC1" w14:textId="77777777" w:rsidR="007241B1" w:rsidRPr="00250B83" w:rsidRDefault="007241B1" w:rsidP="00B25F0E">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0BFF5F58" w14:textId="77777777" w:rsidR="007241B1" w:rsidRPr="00250B83" w:rsidRDefault="007241B1" w:rsidP="007241B1">
      <w:pPr>
        <w:jc w:val="center"/>
        <w:rPr>
          <w:rFonts w:ascii="Arial" w:hAnsi="Arial"/>
          <w:rtl/>
        </w:rPr>
      </w:pPr>
    </w:p>
    <w:p w14:paraId="5EF97368" w14:textId="77777777" w:rsidR="007241B1" w:rsidRPr="00250B83" w:rsidRDefault="007241B1" w:rsidP="007241B1">
      <w:pPr>
        <w:rPr>
          <w:rtl/>
        </w:rPr>
      </w:pPr>
    </w:p>
    <w:p w14:paraId="22CD3EB7" w14:textId="77777777" w:rsidR="007241B1" w:rsidRDefault="007241B1" w:rsidP="007241B1">
      <w:pPr>
        <w:pStyle w:val="a3"/>
        <w:jc w:val="center"/>
        <w:rPr>
          <w:rtl/>
        </w:rPr>
      </w:pPr>
    </w:p>
    <w:p w14:paraId="36EBB578" w14:textId="77777777" w:rsidR="00BB188C" w:rsidRPr="00B25F0E" w:rsidRDefault="00BB188C" w:rsidP="00B25F0E">
      <w:pPr>
        <w:keepNext/>
        <w:rPr>
          <w:rFonts w:ascii="David" w:hAnsi="David"/>
          <w:color w:val="000000"/>
          <w:sz w:val="22"/>
          <w:szCs w:val="22"/>
          <w:rtl/>
        </w:rPr>
      </w:pPr>
    </w:p>
    <w:p w14:paraId="0B9D7EE9" w14:textId="77777777" w:rsidR="00B25F0E" w:rsidRPr="00B25F0E" w:rsidRDefault="00B25F0E" w:rsidP="00B25F0E">
      <w:pPr>
        <w:keepNext/>
        <w:rPr>
          <w:rFonts w:ascii="David" w:hAnsi="David"/>
          <w:color w:val="000000"/>
          <w:sz w:val="22"/>
          <w:szCs w:val="22"/>
          <w:rtl/>
        </w:rPr>
      </w:pPr>
      <w:r w:rsidRPr="00B25F0E">
        <w:rPr>
          <w:rFonts w:ascii="David" w:hAnsi="David"/>
          <w:color w:val="000000"/>
          <w:sz w:val="22"/>
          <w:szCs w:val="22"/>
          <w:rtl/>
        </w:rPr>
        <w:t>שאול אבינור 54678313</w:t>
      </w:r>
    </w:p>
    <w:p w14:paraId="341A5A9B" w14:textId="77777777" w:rsidR="00B25F0E" w:rsidRDefault="00B25F0E" w:rsidP="00B25F0E">
      <w:r w:rsidRPr="00B25F0E">
        <w:rPr>
          <w:color w:val="000000"/>
          <w:rtl/>
        </w:rPr>
        <w:t>נוסח מסמך זה כפוף לשינויי ניסוח ועריכה</w:t>
      </w:r>
    </w:p>
    <w:p w14:paraId="7212BB5B" w14:textId="77777777" w:rsidR="00B25F0E" w:rsidRDefault="00B25F0E" w:rsidP="00B25F0E">
      <w:pPr>
        <w:rPr>
          <w:rtl/>
        </w:rPr>
      </w:pPr>
    </w:p>
    <w:p w14:paraId="53AA8419" w14:textId="77777777" w:rsidR="00B25F0E" w:rsidRDefault="00B25F0E" w:rsidP="00B25F0E">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4F9A9E9A" w14:textId="77777777" w:rsidR="00B25F0E" w:rsidRPr="00B25F0E" w:rsidRDefault="00B25F0E" w:rsidP="00B25F0E">
      <w:pPr>
        <w:jc w:val="center"/>
        <w:rPr>
          <w:color w:val="0000FF"/>
          <w:u w:val="single"/>
        </w:rPr>
      </w:pPr>
    </w:p>
    <w:sectPr w:rsidR="00B25F0E" w:rsidRPr="00B25F0E" w:rsidSect="00B25F0E">
      <w:headerReference w:type="even" r:id="rId27"/>
      <w:headerReference w:type="default" r:id="rId28"/>
      <w:footerReference w:type="even" r:id="rId29"/>
      <w:footerReference w:type="default" r:id="rId30"/>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3FFF2" w14:textId="77777777" w:rsidR="002005ED" w:rsidRDefault="002005ED" w:rsidP="00FB42FD">
      <w:r>
        <w:separator/>
      </w:r>
    </w:p>
  </w:endnote>
  <w:endnote w:type="continuationSeparator" w:id="0">
    <w:p w14:paraId="35405FC8" w14:textId="77777777" w:rsidR="002005ED" w:rsidRDefault="002005ED" w:rsidP="00FB4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EC0BA" w14:textId="77777777" w:rsidR="00B25F0E" w:rsidRDefault="00B25F0E" w:rsidP="00B25F0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CA47DD4" w14:textId="77777777" w:rsidR="00D00FFB" w:rsidRPr="00B25F0E" w:rsidRDefault="00B25F0E" w:rsidP="00B25F0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BCCF1" w14:textId="77777777" w:rsidR="00B25F0E" w:rsidRDefault="00B25F0E" w:rsidP="00B25F0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D2093">
      <w:rPr>
        <w:rFonts w:ascii="FrankRuehl" w:hAnsi="FrankRuehl" w:cs="FrankRuehl"/>
        <w:noProof/>
        <w:rtl/>
      </w:rPr>
      <w:t>1</w:t>
    </w:r>
    <w:r>
      <w:rPr>
        <w:rFonts w:ascii="FrankRuehl" w:hAnsi="FrankRuehl" w:cs="FrankRuehl"/>
        <w:rtl/>
      </w:rPr>
      <w:fldChar w:fldCharType="end"/>
    </w:r>
  </w:p>
  <w:p w14:paraId="0461FE7D" w14:textId="77777777" w:rsidR="00D00FFB" w:rsidRPr="00B25F0E" w:rsidRDefault="00B25F0E" w:rsidP="00B25F0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E7E53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50C5E" w14:textId="77777777" w:rsidR="002005ED" w:rsidRDefault="002005ED" w:rsidP="00FB42FD">
      <w:r>
        <w:separator/>
      </w:r>
    </w:p>
  </w:footnote>
  <w:footnote w:type="continuationSeparator" w:id="0">
    <w:p w14:paraId="1BFDBA53" w14:textId="77777777" w:rsidR="002005ED" w:rsidRDefault="002005ED" w:rsidP="00FB4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9766A" w14:textId="77777777" w:rsidR="00B25F0E" w:rsidRPr="00B25F0E" w:rsidRDefault="00B25F0E" w:rsidP="00B25F0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28746-05-20</w:t>
    </w:r>
    <w:r>
      <w:rPr>
        <w:rFonts w:ascii="David" w:hAnsi="David"/>
        <w:color w:val="000000"/>
        <w:sz w:val="22"/>
        <w:szCs w:val="22"/>
        <w:rtl/>
      </w:rPr>
      <w:tab/>
      <w:t xml:space="preserve"> מדינת ישראל נ' ששון פרץ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CD179" w14:textId="77777777" w:rsidR="00B25F0E" w:rsidRPr="00B25F0E" w:rsidRDefault="00B25F0E" w:rsidP="00B25F0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28746-05-20</w:t>
    </w:r>
    <w:r>
      <w:rPr>
        <w:rFonts w:ascii="David" w:hAnsi="David"/>
        <w:color w:val="000000"/>
        <w:sz w:val="22"/>
        <w:szCs w:val="22"/>
        <w:rtl/>
      </w:rPr>
      <w:tab/>
      <w:t xml:space="preserve"> מדינת ישראל נ' ששון פרץ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B51FE"/>
    <w:multiLevelType w:val="hybridMultilevel"/>
    <w:tmpl w:val="85B88C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20C4461A"/>
    <w:multiLevelType w:val="hybridMultilevel"/>
    <w:tmpl w:val="41A00F2A"/>
    <w:lvl w:ilvl="0" w:tplc="44D03E22">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B65310C"/>
    <w:multiLevelType w:val="hybridMultilevel"/>
    <w:tmpl w:val="9448F7A0"/>
    <w:lvl w:ilvl="0" w:tplc="29AC2444">
      <w:start w:val="1"/>
      <w:numFmt w:val="hebrew1"/>
      <w:lvlText w:val="%1."/>
      <w:lvlJc w:val="left"/>
      <w:pPr>
        <w:ind w:left="728" w:hanging="360"/>
      </w:pPr>
      <w:rPr>
        <w:strike w:val="0"/>
        <w:dstrike w:val="0"/>
        <w:u w:val="none"/>
        <w:effect w:val="none"/>
      </w:rPr>
    </w:lvl>
    <w:lvl w:ilvl="1" w:tplc="04090019">
      <w:start w:val="1"/>
      <w:numFmt w:val="lowerLetter"/>
      <w:lvlText w:val="%2."/>
      <w:lvlJc w:val="left"/>
      <w:pPr>
        <w:ind w:left="1448" w:hanging="360"/>
      </w:pPr>
    </w:lvl>
    <w:lvl w:ilvl="2" w:tplc="0409001B">
      <w:start w:val="1"/>
      <w:numFmt w:val="lowerRoman"/>
      <w:lvlText w:val="%3."/>
      <w:lvlJc w:val="right"/>
      <w:pPr>
        <w:ind w:left="2168" w:hanging="180"/>
      </w:pPr>
    </w:lvl>
    <w:lvl w:ilvl="3" w:tplc="0409000F">
      <w:start w:val="1"/>
      <w:numFmt w:val="decimal"/>
      <w:lvlText w:val="%4."/>
      <w:lvlJc w:val="left"/>
      <w:pPr>
        <w:ind w:left="2888" w:hanging="360"/>
      </w:pPr>
    </w:lvl>
    <w:lvl w:ilvl="4" w:tplc="04090019">
      <w:start w:val="1"/>
      <w:numFmt w:val="lowerLetter"/>
      <w:lvlText w:val="%5."/>
      <w:lvlJc w:val="left"/>
      <w:pPr>
        <w:ind w:left="3608" w:hanging="360"/>
      </w:pPr>
    </w:lvl>
    <w:lvl w:ilvl="5" w:tplc="0409001B">
      <w:start w:val="1"/>
      <w:numFmt w:val="lowerRoman"/>
      <w:lvlText w:val="%6."/>
      <w:lvlJc w:val="right"/>
      <w:pPr>
        <w:ind w:left="4328" w:hanging="180"/>
      </w:pPr>
    </w:lvl>
    <w:lvl w:ilvl="6" w:tplc="0409000F">
      <w:start w:val="1"/>
      <w:numFmt w:val="decimal"/>
      <w:lvlText w:val="%7."/>
      <w:lvlJc w:val="left"/>
      <w:pPr>
        <w:ind w:left="5048" w:hanging="360"/>
      </w:pPr>
    </w:lvl>
    <w:lvl w:ilvl="7" w:tplc="04090019">
      <w:start w:val="1"/>
      <w:numFmt w:val="lowerLetter"/>
      <w:lvlText w:val="%8."/>
      <w:lvlJc w:val="left"/>
      <w:pPr>
        <w:ind w:left="5768" w:hanging="360"/>
      </w:pPr>
    </w:lvl>
    <w:lvl w:ilvl="8" w:tplc="0409001B">
      <w:start w:val="1"/>
      <w:numFmt w:val="lowerRoman"/>
      <w:lvlText w:val="%9."/>
      <w:lvlJc w:val="right"/>
      <w:pPr>
        <w:ind w:left="6488" w:hanging="180"/>
      </w:pPr>
    </w:lvl>
  </w:abstractNum>
  <w:abstractNum w:abstractNumId="3" w15:restartNumberingAfterBreak="0">
    <w:nsid w:val="5BBD1929"/>
    <w:multiLevelType w:val="hybridMultilevel"/>
    <w:tmpl w:val="C68C5B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7517790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149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8943484">
    <w:abstractNumId w:val="0"/>
  </w:num>
  <w:num w:numId="4" w16cid:durableId="1549604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241B1"/>
    <w:rsid w:val="0017442F"/>
    <w:rsid w:val="001A0EE3"/>
    <w:rsid w:val="001B5A3B"/>
    <w:rsid w:val="002005ED"/>
    <w:rsid w:val="00304F0B"/>
    <w:rsid w:val="00574B20"/>
    <w:rsid w:val="006C0EBA"/>
    <w:rsid w:val="007241B1"/>
    <w:rsid w:val="007D2093"/>
    <w:rsid w:val="007D55BE"/>
    <w:rsid w:val="00A67F1A"/>
    <w:rsid w:val="00B25F0E"/>
    <w:rsid w:val="00BB188C"/>
    <w:rsid w:val="00D00FFB"/>
    <w:rsid w:val="00EC593D"/>
    <w:rsid w:val="00FB42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ED4D8F"/>
  <w15:chartTrackingRefBased/>
  <w15:docId w15:val="{3FBC1955-0806-469B-8918-788751E92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241B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241B1"/>
    <w:pPr>
      <w:tabs>
        <w:tab w:val="center" w:pos="4153"/>
        <w:tab w:val="right" w:pos="8306"/>
      </w:tabs>
    </w:pPr>
  </w:style>
  <w:style w:type="character" w:customStyle="1" w:styleId="a4">
    <w:name w:val="כותרת עליונה תו"/>
    <w:link w:val="a3"/>
    <w:rsid w:val="007241B1"/>
    <w:rPr>
      <w:rFonts w:ascii="Times New Roman" w:eastAsia="Times New Roman" w:hAnsi="Times New Roman" w:cs="David"/>
      <w:sz w:val="24"/>
      <w:szCs w:val="24"/>
    </w:rPr>
  </w:style>
  <w:style w:type="paragraph" w:styleId="a5">
    <w:name w:val="footer"/>
    <w:basedOn w:val="a"/>
    <w:link w:val="a6"/>
    <w:rsid w:val="007241B1"/>
    <w:pPr>
      <w:tabs>
        <w:tab w:val="center" w:pos="4153"/>
        <w:tab w:val="right" w:pos="8306"/>
      </w:tabs>
    </w:pPr>
  </w:style>
  <w:style w:type="character" w:customStyle="1" w:styleId="a6">
    <w:name w:val="כותרת תחתונה תו"/>
    <w:link w:val="a5"/>
    <w:rsid w:val="007241B1"/>
    <w:rPr>
      <w:rFonts w:ascii="Times New Roman" w:eastAsia="Times New Roman" w:hAnsi="Times New Roman" w:cs="David"/>
      <w:sz w:val="24"/>
      <w:szCs w:val="24"/>
    </w:rPr>
  </w:style>
  <w:style w:type="table" w:styleId="a7">
    <w:name w:val="Table Grid"/>
    <w:basedOn w:val="a1"/>
    <w:rsid w:val="007241B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241B1"/>
  </w:style>
  <w:style w:type="paragraph" w:styleId="a9">
    <w:name w:val="List Paragraph"/>
    <w:basedOn w:val="a"/>
    <w:qFormat/>
    <w:rsid w:val="007241B1"/>
    <w:pPr>
      <w:ind w:left="720"/>
      <w:contextualSpacing/>
    </w:pPr>
    <w:rPr>
      <w:rFonts w:ascii="Arial (W1)" w:hAnsi="Arial (W1)"/>
    </w:rPr>
  </w:style>
  <w:style w:type="character" w:styleId="Hyperlink">
    <w:name w:val="Hyperlink"/>
    <w:rsid w:val="00B25F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74918" TargetMode="External"/><Relationship Id="rId18" Type="http://schemas.openxmlformats.org/officeDocument/2006/relationships/hyperlink" Target="http://www.nevo.co.il/law/70301/192"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192" TargetMode="External"/><Relationship Id="rId17" Type="http://schemas.openxmlformats.org/officeDocument/2006/relationships/hyperlink" Target="http://www.nevo.co.il/law/4216" TargetMode="External"/><Relationship Id="rId25"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law/70301/29.a"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9.a" TargetMode="External"/><Relationship Id="rId24" Type="http://schemas.openxmlformats.org/officeDocument/2006/relationships/hyperlink" Target="http://www.nevo.co.il/law/74918"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161892" TargetMode="External"/><Relationship Id="rId28"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27237368" TargetMode="External"/><Relationship Id="rId22" Type="http://schemas.openxmlformats.org/officeDocument/2006/relationships/hyperlink" Target="http://www.nevo.co.il/law/70301"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1545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9257</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8257637</vt:i4>
      </vt:variant>
      <vt:variant>
        <vt:i4>54</vt:i4>
      </vt:variant>
      <vt:variant>
        <vt:i4>0</vt:i4>
      </vt:variant>
      <vt:variant>
        <vt:i4>5</vt:i4>
      </vt:variant>
      <vt:variant>
        <vt:lpwstr>http://www.nevo.co.il/law/4216</vt:lpwstr>
      </vt:variant>
      <vt:variant>
        <vt:lpwstr/>
      </vt:variant>
      <vt:variant>
        <vt:i4>8323182</vt:i4>
      </vt:variant>
      <vt:variant>
        <vt:i4>51</vt:i4>
      </vt:variant>
      <vt:variant>
        <vt:i4>0</vt:i4>
      </vt:variant>
      <vt:variant>
        <vt:i4>5</vt:i4>
      </vt:variant>
      <vt:variant>
        <vt:lpwstr>http://www.nevo.co.il/law/74918</vt:lpwstr>
      </vt:variant>
      <vt:variant>
        <vt:lpwstr/>
      </vt:variant>
      <vt:variant>
        <vt:i4>589898</vt:i4>
      </vt:variant>
      <vt:variant>
        <vt:i4>48</vt:i4>
      </vt:variant>
      <vt:variant>
        <vt:i4>0</vt:i4>
      </vt:variant>
      <vt:variant>
        <vt:i4>5</vt:i4>
      </vt:variant>
      <vt:variant>
        <vt:lpwstr>http://www.nevo.co.il/case/161892</vt:lpwstr>
      </vt:variant>
      <vt:variant>
        <vt:lpwstr/>
      </vt:variant>
      <vt:variant>
        <vt:i4>7995492</vt:i4>
      </vt:variant>
      <vt:variant>
        <vt:i4>45</vt:i4>
      </vt:variant>
      <vt:variant>
        <vt:i4>0</vt:i4>
      </vt:variant>
      <vt:variant>
        <vt:i4>5</vt:i4>
      </vt:variant>
      <vt:variant>
        <vt:lpwstr>http://www.nevo.co.il/law/70301</vt:lpwstr>
      </vt:variant>
      <vt:variant>
        <vt:lpwstr/>
      </vt:variant>
      <vt:variant>
        <vt:i4>7995492</vt:i4>
      </vt:variant>
      <vt:variant>
        <vt:i4>42</vt:i4>
      </vt:variant>
      <vt:variant>
        <vt:i4>0</vt:i4>
      </vt:variant>
      <vt:variant>
        <vt:i4>5</vt:i4>
      </vt:variant>
      <vt:variant>
        <vt:lpwstr>http://www.nevo.co.il/law/70301</vt:lpwstr>
      </vt:variant>
      <vt:variant>
        <vt:lpwstr/>
      </vt:variant>
      <vt:variant>
        <vt:i4>852041</vt:i4>
      </vt:variant>
      <vt:variant>
        <vt:i4>39</vt:i4>
      </vt:variant>
      <vt:variant>
        <vt:i4>0</vt:i4>
      </vt:variant>
      <vt:variant>
        <vt:i4>5</vt:i4>
      </vt:variant>
      <vt:variant>
        <vt:lpwstr>http://www.nevo.co.il/law/70301/29.a</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7077988</vt:i4>
      </vt:variant>
      <vt:variant>
        <vt:i4>33</vt:i4>
      </vt:variant>
      <vt:variant>
        <vt:i4>0</vt:i4>
      </vt:variant>
      <vt:variant>
        <vt:i4>5</vt:i4>
      </vt:variant>
      <vt:variant>
        <vt:lpwstr>http://www.nevo.co.il/law/70301/192</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3211379</vt:i4>
      </vt:variant>
      <vt:variant>
        <vt:i4>21</vt:i4>
      </vt:variant>
      <vt:variant>
        <vt:i4>0</vt:i4>
      </vt:variant>
      <vt:variant>
        <vt:i4>5</vt:i4>
      </vt:variant>
      <vt:variant>
        <vt:lpwstr>http://www.nevo.co.il/case/27237368</vt:lpwstr>
      </vt:variant>
      <vt:variant>
        <vt:lpwstr/>
      </vt:variant>
      <vt:variant>
        <vt:i4>8323182</vt:i4>
      </vt:variant>
      <vt:variant>
        <vt:i4>18</vt:i4>
      </vt:variant>
      <vt:variant>
        <vt:i4>0</vt:i4>
      </vt:variant>
      <vt:variant>
        <vt:i4>5</vt:i4>
      </vt:variant>
      <vt:variant>
        <vt:lpwstr>http://www.nevo.co.il/law/74918</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852041</vt:i4>
      </vt:variant>
      <vt:variant>
        <vt:i4>12</vt:i4>
      </vt:variant>
      <vt:variant>
        <vt:i4>0</vt:i4>
      </vt:variant>
      <vt:variant>
        <vt:i4>5</vt:i4>
      </vt:variant>
      <vt:variant>
        <vt:lpwstr>http://www.nevo.co.il/law/70301/29.a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2025-04-23T00:34:00Z</dcterms:created>
  <dcterms:modified xsi:type="dcterms:W3CDTF">2025-04-23T00:34:00Z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28746</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ששון פרץ</vt:lpwstr>
  </property>
  <property fmtid="{D5CDD505-2E9C-101B-9397-08002B2CF9AE}" pid="10" name="LAWYER">
    <vt:lpwstr>ספיר יגר שחף</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20240312</vt:lpwstr>
  </property>
  <property fmtid="{D5CDD505-2E9C-101B-9397-08002B2CF9AE}" pid="14" name="TYPE_N_DATE">
    <vt:lpwstr>38020240312</vt:lpwstr>
  </property>
  <property fmtid="{D5CDD505-2E9C-101B-9397-08002B2CF9AE}" pid="15" name="WORDNUMPAGES">
    <vt:lpwstr>5</vt:lpwstr>
  </property>
  <property fmtid="{D5CDD505-2E9C-101B-9397-08002B2CF9AE}" pid="16" name="TYPE_ABS_DATE">
    <vt:lpwstr>380020240312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27237368;161892</vt:lpwstr>
  </property>
  <property fmtid="{D5CDD505-2E9C-101B-9397-08002B2CF9AE}" pid="36" name="LAWLISTTMP1">
    <vt:lpwstr>4216/013;019a</vt:lpwstr>
  </property>
  <property fmtid="{D5CDD505-2E9C-101B-9397-08002B2CF9AE}" pid="37" name="LAWLISTTMP2">
    <vt:lpwstr>70301/192;029.a</vt:lpwstr>
  </property>
  <property fmtid="{D5CDD505-2E9C-101B-9397-08002B2CF9AE}" pid="38" name="LAWLISTTMP3">
    <vt:lpwstr>74918</vt:lpwstr>
  </property>
</Properties>
</file>