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61"/>
        <w:gridCol w:w="3562"/>
      </w:tblGrid>
      <w:tr w:rsidR="00D02E85" w:rsidRPr="002D4D21" w14:paraId="4DEB0E1C" w14:textId="77777777" w:rsidTr="00B95215">
        <w:trPr>
          <w:trHeight w:hRule="exact" w:val="418"/>
          <w:jc w:val="center"/>
        </w:trPr>
        <w:tc>
          <w:tcPr>
            <w:tcW w:w="8523" w:type="dxa"/>
            <w:gridSpan w:val="2"/>
          </w:tcPr>
          <w:p w14:paraId="2E42A61A" w14:textId="77777777" w:rsidR="00D02E85" w:rsidRPr="002D4D21" w:rsidRDefault="00D02E85" w:rsidP="00993B77">
            <w:pPr>
              <w:pStyle w:val="a3"/>
              <w:jc w:val="center"/>
              <w:rPr>
                <w:rFonts w:ascii="Tahoma" w:hAnsi="Tahoma" w:cs="Tahoma"/>
                <w:color w:val="000080"/>
                <w:rtl/>
              </w:rPr>
            </w:pPr>
            <w:bookmarkStart w:id="0" w:name="LastJudge"/>
            <w:r w:rsidRPr="002D4D21">
              <w:rPr>
                <w:rFonts w:ascii="Tahoma" w:hAnsi="Tahoma" w:cs="Tahoma"/>
                <w:b/>
                <w:bCs/>
                <w:color w:val="000080"/>
                <w:rtl/>
              </w:rPr>
              <w:t>בית משפט השלום בנתניה</w:t>
            </w:r>
          </w:p>
        </w:tc>
      </w:tr>
      <w:tr w:rsidR="00D02E85" w:rsidRPr="002D4D21" w14:paraId="3E1BC75B" w14:textId="77777777" w:rsidTr="00B95215">
        <w:trPr>
          <w:trHeight w:val="337"/>
          <w:jc w:val="center"/>
        </w:trPr>
        <w:tc>
          <w:tcPr>
            <w:tcW w:w="4961" w:type="dxa"/>
          </w:tcPr>
          <w:p w14:paraId="4D8919C5" w14:textId="77777777" w:rsidR="00D02E85" w:rsidRPr="002D4D21" w:rsidRDefault="00D02E85" w:rsidP="00993B77">
            <w:pPr>
              <w:rPr>
                <w:rFonts w:cs="FrankRuehl"/>
                <w:sz w:val="28"/>
                <w:szCs w:val="28"/>
                <w:rtl/>
              </w:rPr>
            </w:pPr>
            <w:r w:rsidRPr="002D4D21">
              <w:rPr>
                <w:rFonts w:cs="FrankRuehl"/>
                <w:sz w:val="28"/>
                <w:szCs w:val="28"/>
                <w:rtl/>
              </w:rPr>
              <w:t>ת"פ</w:t>
            </w:r>
            <w:r w:rsidRPr="002D4D21">
              <w:rPr>
                <w:rFonts w:cs="FrankRuehl" w:hint="cs"/>
                <w:sz w:val="28"/>
                <w:szCs w:val="28"/>
                <w:rtl/>
              </w:rPr>
              <w:t xml:space="preserve"> </w:t>
            </w:r>
            <w:r w:rsidRPr="002D4D21">
              <w:rPr>
                <w:rFonts w:cs="FrankRuehl"/>
                <w:sz w:val="28"/>
                <w:szCs w:val="28"/>
                <w:rtl/>
              </w:rPr>
              <w:t>37932-05-20</w:t>
            </w:r>
            <w:r w:rsidRPr="002D4D21">
              <w:rPr>
                <w:rFonts w:cs="FrankRuehl" w:hint="cs"/>
                <w:sz w:val="28"/>
                <w:szCs w:val="28"/>
                <w:rtl/>
              </w:rPr>
              <w:t xml:space="preserve"> </w:t>
            </w:r>
            <w:r w:rsidRPr="002D4D21">
              <w:rPr>
                <w:rFonts w:cs="FrankRuehl"/>
                <w:sz w:val="28"/>
                <w:szCs w:val="28"/>
                <w:rtl/>
              </w:rPr>
              <w:t>מדינת ישראל נ' אוגנסיאן(עציר)</w:t>
            </w:r>
          </w:p>
          <w:p w14:paraId="1FAE6CFD" w14:textId="77777777" w:rsidR="00D02E85" w:rsidRPr="002D4D21" w:rsidRDefault="00D02E85" w:rsidP="00993B77">
            <w:pPr>
              <w:pStyle w:val="a3"/>
              <w:rPr>
                <w:rFonts w:cs="FrankRuehl"/>
                <w:sz w:val="28"/>
                <w:szCs w:val="28"/>
                <w:rtl/>
              </w:rPr>
            </w:pPr>
          </w:p>
        </w:tc>
        <w:tc>
          <w:tcPr>
            <w:tcW w:w="3562" w:type="dxa"/>
          </w:tcPr>
          <w:p w14:paraId="0197F843" w14:textId="77777777" w:rsidR="00D02E85" w:rsidRPr="002D4D21" w:rsidRDefault="00D02E85" w:rsidP="00993B77">
            <w:pPr>
              <w:pStyle w:val="a3"/>
              <w:jc w:val="right"/>
              <w:rPr>
                <w:rFonts w:cs="FrankRuehl"/>
                <w:sz w:val="28"/>
                <w:szCs w:val="28"/>
                <w:rtl/>
              </w:rPr>
            </w:pPr>
          </w:p>
        </w:tc>
      </w:tr>
    </w:tbl>
    <w:p w14:paraId="4ABBBD8F" w14:textId="77777777" w:rsidR="00D02E85" w:rsidRPr="002D4D21" w:rsidRDefault="00D02E85" w:rsidP="00D02E85">
      <w:pPr>
        <w:pStyle w:val="a3"/>
        <w:rPr>
          <w:rtl/>
        </w:rPr>
      </w:pPr>
      <w:r w:rsidRPr="002D4D21">
        <w:rPr>
          <w:rFonts w:hint="cs"/>
          <w:rtl/>
        </w:rPr>
        <w:t xml:space="preserve"> </w:t>
      </w:r>
    </w:p>
    <w:p w14:paraId="1F63F18A" w14:textId="77777777" w:rsidR="00D02E85" w:rsidRPr="002D4D21" w:rsidRDefault="00D02E85" w:rsidP="00D02E85">
      <w:pPr>
        <w:rPr>
          <w:rFonts w:ascii="David" w:hAnsi="David"/>
          <w:bCs/>
          <w:sz w:val="28"/>
          <w:szCs w:val="28"/>
          <w:rtl/>
        </w:rPr>
      </w:pPr>
    </w:p>
    <w:p w14:paraId="583605C3" w14:textId="77777777" w:rsidR="00D02E85" w:rsidRPr="002D4D21" w:rsidRDefault="00D02E85" w:rsidP="00D02E85">
      <w:pPr>
        <w:rPr>
          <w:rFonts w:ascii="David" w:hAnsi="David"/>
          <w:bCs/>
          <w:sz w:val="28"/>
          <w:szCs w:val="28"/>
        </w:rPr>
      </w:pPr>
      <w:r w:rsidRPr="002D4D21">
        <w:rPr>
          <w:rFonts w:ascii="David" w:hAnsi="David"/>
          <w:bCs/>
          <w:sz w:val="28"/>
          <w:szCs w:val="28"/>
          <w:rtl/>
        </w:rPr>
        <w:softHyphen/>
      </w:r>
      <w:r w:rsidRPr="002D4D21">
        <w:rPr>
          <w:rFonts w:ascii="David" w:hAnsi="David"/>
          <w:bCs/>
          <w:sz w:val="28"/>
          <w:szCs w:val="28"/>
          <w:rtl/>
        </w:rPr>
        <w:softHyphen/>
        <w:t>לפני:</w:t>
      </w:r>
      <w:r w:rsidRPr="002D4D21">
        <w:rPr>
          <w:rFonts w:ascii="David" w:hAnsi="David"/>
          <w:bCs/>
          <w:sz w:val="28"/>
          <w:szCs w:val="28"/>
          <w:rtl/>
        </w:rPr>
        <w:tab/>
      </w:r>
      <w:r w:rsidRPr="002D4D21">
        <w:rPr>
          <w:rFonts w:ascii="David" w:hAnsi="David"/>
          <w:bCs/>
          <w:sz w:val="28"/>
          <w:szCs w:val="28"/>
          <w:rtl/>
        </w:rPr>
        <w:tab/>
      </w:r>
      <w:r w:rsidRPr="002D4D21">
        <w:rPr>
          <w:rFonts w:ascii="David" w:hAnsi="David"/>
          <w:bCs/>
          <w:sz w:val="28"/>
          <w:szCs w:val="28"/>
          <w:rtl/>
        </w:rPr>
        <w:tab/>
      </w:r>
      <w:r w:rsidRPr="002D4D21">
        <w:rPr>
          <w:rFonts w:ascii="David" w:hAnsi="David"/>
          <w:bCs/>
          <w:sz w:val="28"/>
          <w:szCs w:val="28"/>
          <w:rtl/>
        </w:rPr>
        <w:tab/>
        <w:t>כבוד השופט גיא אבנון</w:t>
      </w:r>
    </w:p>
    <w:p w14:paraId="2B87E062" w14:textId="77777777" w:rsidR="00D02E85" w:rsidRPr="002D4D21" w:rsidRDefault="00D02E85" w:rsidP="00D02E85">
      <w:pPr>
        <w:rPr>
          <w:rFonts w:ascii="David" w:hAnsi="David"/>
          <w:bCs/>
          <w:sz w:val="28"/>
          <w:szCs w:val="28"/>
          <w:rtl/>
        </w:rPr>
      </w:pPr>
    </w:p>
    <w:p w14:paraId="16B7E193" w14:textId="77777777" w:rsidR="00D02E85" w:rsidRPr="002D4D21" w:rsidRDefault="00D02E85" w:rsidP="00D02E85">
      <w:pPr>
        <w:rPr>
          <w:rFonts w:ascii="David" w:hAnsi="David"/>
          <w:bCs/>
          <w:sz w:val="28"/>
          <w:szCs w:val="28"/>
          <w:rtl/>
        </w:rPr>
      </w:pPr>
      <w:r w:rsidRPr="002D4D21">
        <w:rPr>
          <w:rFonts w:ascii="David" w:hAnsi="David"/>
          <w:bCs/>
          <w:sz w:val="28"/>
          <w:szCs w:val="28"/>
          <w:rtl/>
        </w:rPr>
        <w:t>ה</w:t>
      </w:r>
      <w:bookmarkStart w:id="1" w:name="FirstAppellant"/>
      <w:r w:rsidRPr="002D4D21">
        <w:rPr>
          <w:rFonts w:ascii="David" w:hAnsi="David"/>
          <w:bCs/>
          <w:sz w:val="28"/>
          <w:szCs w:val="28"/>
          <w:rtl/>
        </w:rPr>
        <w:t>מאשימ</w:t>
      </w:r>
      <w:bookmarkEnd w:id="1"/>
      <w:r w:rsidRPr="002D4D21">
        <w:rPr>
          <w:rFonts w:ascii="David" w:hAnsi="David"/>
          <w:bCs/>
          <w:sz w:val="28"/>
          <w:szCs w:val="28"/>
          <w:rtl/>
        </w:rPr>
        <w:t>ה:</w:t>
      </w:r>
      <w:r w:rsidRPr="002D4D21">
        <w:rPr>
          <w:rFonts w:ascii="David" w:hAnsi="David"/>
          <w:bCs/>
          <w:sz w:val="28"/>
          <w:szCs w:val="28"/>
          <w:rtl/>
        </w:rPr>
        <w:tab/>
      </w:r>
      <w:r w:rsidRPr="002D4D21">
        <w:rPr>
          <w:rFonts w:ascii="David" w:hAnsi="David"/>
          <w:bCs/>
          <w:sz w:val="28"/>
          <w:szCs w:val="28"/>
          <w:rtl/>
        </w:rPr>
        <w:tab/>
      </w:r>
      <w:r w:rsidRPr="002D4D21">
        <w:rPr>
          <w:rFonts w:ascii="David" w:hAnsi="David"/>
          <w:bCs/>
          <w:sz w:val="28"/>
          <w:szCs w:val="28"/>
          <w:rtl/>
        </w:rPr>
        <w:tab/>
        <w:t>מדינת ישראל</w:t>
      </w:r>
    </w:p>
    <w:p w14:paraId="2755934E" w14:textId="77777777" w:rsidR="00D02E85" w:rsidRPr="002D4D21" w:rsidRDefault="00D02E85" w:rsidP="00D02E85">
      <w:pPr>
        <w:rPr>
          <w:rFonts w:ascii="David" w:hAnsi="David"/>
          <w:bCs/>
          <w:sz w:val="28"/>
          <w:szCs w:val="28"/>
          <w:rtl/>
        </w:rPr>
      </w:pPr>
      <w:r w:rsidRPr="002D4D21">
        <w:rPr>
          <w:rFonts w:ascii="David" w:hAnsi="David"/>
          <w:bCs/>
          <w:sz w:val="28"/>
          <w:szCs w:val="28"/>
          <w:rtl/>
        </w:rPr>
        <w:tab/>
      </w:r>
      <w:r w:rsidRPr="002D4D21">
        <w:rPr>
          <w:rFonts w:ascii="David" w:hAnsi="David"/>
          <w:bCs/>
          <w:sz w:val="28"/>
          <w:szCs w:val="28"/>
          <w:rtl/>
        </w:rPr>
        <w:tab/>
      </w:r>
      <w:r w:rsidRPr="002D4D21">
        <w:rPr>
          <w:rFonts w:ascii="David" w:hAnsi="David"/>
          <w:bCs/>
          <w:sz w:val="28"/>
          <w:szCs w:val="28"/>
          <w:rtl/>
        </w:rPr>
        <w:tab/>
      </w:r>
      <w:r w:rsidRPr="002D4D21">
        <w:rPr>
          <w:rFonts w:ascii="David" w:hAnsi="David"/>
          <w:bCs/>
          <w:sz w:val="28"/>
          <w:szCs w:val="28"/>
          <w:rtl/>
        </w:rPr>
        <w:tab/>
        <w:t>באמצעות תביעות מרכז – שלוחת נתניה</w:t>
      </w:r>
    </w:p>
    <w:p w14:paraId="1900D514" w14:textId="77777777" w:rsidR="00D02E85" w:rsidRPr="002D4D21" w:rsidRDefault="00D02E85" w:rsidP="00D02E85">
      <w:pPr>
        <w:rPr>
          <w:rFonts w:ascii="David" w:hAnsi="David"/>
          <w:bCs/>
          <w:sz w:val="28"/>
          <w:szCs w:val="28"/>
          <w:rtl/>
        </w:rPr>
      </w:pPr>
    </w:p>
    <w:p w14:paraId="4FFB2D84" w14:textId="77777777" w:rsidR="00D02E85" w:rsidRPr="002D4D21" w:rsidRDefault="00D02E85" w:rsidP="00D02E85">
      <w:pPr>
        <w:rPr>
          <w:rFonts w:ascii="David" w:hAnsi="David"/>
          <w:bCs/>
          <w:sz w:val="28"/>
          <w:szCs w:val="28"/>
          <w:rtl/>
        </w:rPr>
      </w:pPr>
      <w:r w:rsidRPr="002D4D21">
        <w:rPr>
          <w:rFonts w:ascii="David" w:hAnsi="David"/>
          <w:bCs/>
          <w:sz w:val="28"/>
          <w:szCs w:val="28"/>
          <w:rtl/>
        </w:rPr>
        <w:tab/>
      </w:r>
      <w:r w:rsidRPr="002D4D21">
        <w:rPr>
          <w:rFonts w:ascii="David" w:hAnsi="David"/>
          <w:bCs/>
          <w:sz w:val="28"/>
          <w:szCs w:val="28"/>
          <w:rtl/>
        </w:rPr>
        <w:tab/>
      </w:r>
      <w:r w:rsidRPr="002D4D21">
        <w:rPr>
          <w:rFonts w:ascii="David" w:hAnsi="David"/>
          <w:bCs/>
          <w:sz w:val="28"/>
          <w:szCs w:val="28"/>
          <w:rtl/>
        </w:rPr>
        <w:tab/>
      </w:r>
      <w:r w:rsidRPr="002D4D21">
        <w:rPr>
          <w:rFonts w:ascii="David" w:hAnsi="David"/>
          <w:bCs/>
          <w:sz w:val="28"/>
          <w:szCs w:val="28"/>
          <w:rtl/>
        </w:rPr>
        <w:tab/>
      </w:r>
      <w:r w:rsidRPr="002D4D21">
        <w:rPr>
          <w:rFonts w:ascii="David" w:hAnsi="David"/>
          <w:bCs/>
          <w:sz w:val="28"/>
          <w:szCs w:val="28"/>
          <w:rtl/>
        </w:rPr>
        <w:tab/>
      </w:r>
      <w:r w:rsidRPr="002D4D21">
        <w:rPr>
          <w:rFonts w:ascii="David" w:hAnsi="David"/>
          <w:bCs/>
          <w:sz w:val="28"/>
          <w:szCs w:val="28"/>
          <w:rtl/>
        </w:rPr>
        <w:tab/>
        <w:t>נ ג ד</w:t>
      </w:r>
    </w:p>
    <w:p w14:paraId="720E0534" w14:textId="77777777" w:rsidR="00D02E85" w:rsidRPr="002D4D21" w:rsidRDefault="00D02E85" w:rsidP="00D02E85">
      <w:pPr>
        <w:rPr>
          <w:rFonts w:ascii="David" w:hAnsi="David"/>
          <w:bCs/>
          <w:sz w:val="28"/>
          <w:szCs w:val="28"/>
          <w:rtl/>
        </w:rPr>
      </w:pPr>
    </w:p>
    <w:p w14:paraId="1EEA9D72" w14:textId="77777777" w:rsidR="00D02E85" w:rsidRPr="002D4D21" w:rsidRDefault="00D02E85" w:rsidP="00D02E85">
      <w:pPr>
        <w:rPr>
          <w:rFonts w:ascii="David" w:hAnsi="David"/>
          <w:bCs/>
          <w:sz w:val="28"/>
          <w:szCs w:val="28"/>
          <w:rtl/>
        </w:rPr>
      </w:pPr>
      <w:r w:rsidRPr="002D4D21">
        <w:rPr>
          <w:rFonts w:ascii="David" w:hAnsi="David"/>
          <w:bCs/>
          <w:sz w:val="28"/>
          <w:szCs w:val="28"/>
          <w:rtl/>
        </w:rPr>
        <w:t>הנאשם:</w:t>
      </w:r>
      <w:r w:rsidRPr="002D4D21">
        <w:rPr>
          <w:rFonts w:ascii="David" w:hAnsi="David"/>
          <w:bCs/>
          <w:sz w:val="28"/>
          <w:szCs w:val="28"/>
          <w:rtl/>
        </w:rPr>
        <w:tab/>
      </w:r>
      <w:r w:rsidRPr="002D4D21">
        <w:rPr>
          <w:rFonts w:ascii="David" w:hAnsi="David"/>
          <w:bCs/>
          <w:sz w:val="28"/>
          <w:szCs w:val="28"/>
          <w:rtl/>
        </w:rPr>
        <w:tab/>
      </w:r>
      <w:r w:rsidRPr="002D4D21">
        <w:rPr>
          <w:rFonts w:ascii="David" w:hAnsi="David"/>
          <w:bCs/>
          <w:sz w:val="28"/>
          <w:szCs w:val="28"/>
          <w:rtl/>
        </w:rPr>
        <w:tab/>
        <w:t xml:space="preserve">דניס אוגנסיאן </w:t>
      </w:r>
    </w:p>
    <w:p w14:paraId="29A6D424" w14:textId="77777777" w:rsidR="00D02E85" w:rsidRPr="002D4D21" w:rsidRDefault="00D02E85" w:rsidP="00D02E85">
      <w:pPr>
        <w:rPr>
          <w:rFonts w:ascii="David" w:hAnsi="David"/>
          <w:bCs/>
          <w:sz w:val="28"/>
          <w:szCs w:val="28"/>
          <w:rtl/>
        </w:rPr>
      </w:pPr>
    </w:p>
    <w:p w14:paraId="002525A0" w14:textId="77777777" w:rsidR="00D02E85" w:rsidRPr="002D4D21" w:rsidRDefault="00D02E85" w:rsidP="00D02E85">
      <w:pPr>
        <w:rPr>
          <w:rFonts w:ascii="David" w:hAnsi="David"/>
          <w:b/>
          <w:sz w:val="28"/>
          <w:szCs w:val="28"/>
          <w:rtl/>
        </w:rPr>
      </w:pPr>
      <w:bookmarkStart w:id="2" w:name="FirstLawyer"/>
      <w:r w:rsidRPr="002D4D21">
        <w:rPr>
          <w:rFonts w:ascii="David" w:hAnsi="David"/>
          <w:b/>
          <w:sz w:val="28"/>
          <w:szCs w:val="28"/>
          <w:rtl/>
        </w:rPr>
        <w:t>בשם</w:t>
      </w:r>
      <w:bookmarkEnd w:id="2"/>
      <w:r w:rsidRPr="002D4D21">
        <w:rPr>
          <w:rFonts w:ascii="David" w:hAnsi="David"/>
          <w:b/>
          <w:sz w:val="28"/>
          <w:szCs w:val="28"/>
          <w:rtl/>
        </w:rPr>
        <w:t xml:space="preserve"> המאשימה:</w:t>
      </w:r>
      <w:r w:rsidRPr="002D4D21">
        <w:rPr>
          <w:rFonts w:ascii="David" w:hAnsi="David"/>
          <w:b/>
          <w:sz w:val="28"/>
          <w:szCs w:val="28"/>
          <w:rtl/>
        </w:rPr>
        <w:tab/>
      </w:r>
      <w:r w:rsidRPr="002D4D21">
        <w:rPr>
          <w:rFonts w:ascii="David" w:hAnsi="David"/>
          <w:b/>
          <w:sz w:val="28"/>
          <w:szCs w:val="28"/>
          <w:rtl/>
        </w:rPr>
        <w:tab/>
        <w:t>עו"ד מור מלכה ועו"ד סיון ועקנין</w:t>
      </w:r>
    </w:p>
    <w:p w14:paraId="2C21159C" w14:textId="77777777" w:rsidR="00D02E85" w:rsidRPr="002D4D21" w:rsidRDefault="00D02E85" w:rsidP="00D02E85">
      <w:pPr>
        <w:rPr>
          <w:rFonts w:ascii="David" w:hAnsi="David"/>
          <w:b/>
          <w:sz w:val="28"/>
          <w:szCs w:val="28"/>
          <w:rtl/>
        </w:rPr>
      </w:pPr>
      <w:r w:rsidRPr="002D4D21">
        <w:rPr>
          <w:rFonts w:ascii="David" w:hAnsi="David"/>
          <w:b/>
          <w:sz w:val="28"/>
          <w:szCs w:val="28"/>
          <w:rtl/>
        </w:rPr>
        <w:t>בשם הנאשם:</w:t>
      </w:r>
      <w:r w:rsidRPr="002D4D21">
        <w:rPr>
          <w:rFonts w:ascii="David" w:hAnsi="David"/>
          <w:b/>
          <w:sz w:val="28"/>
          <w:szCs w:val="28"/>
          <w:rtl/>
        </w:rPr>
        <w:tab/>
      </w:r>
      <w:r w:rsidRPr="002D4D21">
        <w:rPr>
          <w:rFonts w:ascii="David" w:hAnsi="David"/>
          <w:b/>
          <w:sz w:val="28"/>
          <w:szCs w:val="28"/>
          <w:rtl/>
        </w:rPr>
        <w:tab/>
      </w:r>
      <w:r w:rsidRPr="002D4D21">
        <w:rPr>
          <w:rFonts w:ascii="David" w:hAnsi="David"/>
          <w:b/>
          <w:sz w:val="28"/>
          <w:szCs w:val="28"/>
          <w:rtl/>
        </w:rPr>
        <w:tab/>
        <w:t>עו"ד שרון גואטה</w:t>
      </w:r>
    </w:p>
    <w:p w14:paraId="0C46DB24" w14:textId="77777777" w:rsidR="00D02E85" w:rsidRPr="002D4D21" w:rsidRDefault="00D02E85" w:rsidP="00D02E85">
      <w:pPr>
        <w:spacing w:line="360" w:lineRule="auto"/>
        <w:rPr>
          <w:rFonts w:ascii="David" w:hAnsi="David"/>
          <w:bCs/>
          <w:sz w:val="28"/>
          <w:szCs w:val="28"/>
          <w:rtl/>
        </w:rPr>
      </w:pPr>
    </w:p>
    <w:p w14:paraId="1551B14C" w14:textId="77777777" w:rsidR="002D4D21" w:rsidRPr="002D4D21" w:rsidRDefault="002D4D21" w:rsidP="002D4D21">
      <w:pPr>
        <w:spacing w:before="120" w:after="120" w:line="240" w:lineRule="exact"/>
        <w:ind w:left="283" w:hanging="283"/>
        <w:jc w:val="both"/>
        <w:rPr>
          <w:rFonts w:ascii="FrankRuehl" w:hAnsi="FrankRuehl" w:cs="FrankRuehl"/>
          <w:rtl/>
        </w:rPr>
      </w:pPr>
    </w:p>
    <w:p w14:paraId="7A0B7371" w14:textId="77777777" w:rsidR="002D4D21" w:rsidRPr="002D4D21" w:rsidRDefault="002D4D21" w:rsidP="002D4D21">
      <w:pPr>
        <w:spacing w:line="360" w:lineRule="auto"/>
        <w:jc w:val="center"/>
        <w:rPr>
          <w:rFonts w:ascii="David" w:hAnsi="David"/>
          <w:sz w:val="28"/>
          <w:szCs w:val="28"/>
          <w:rtl/>
        </w:rPr>
      </w:pPr>
    </w:p>
    <w:p w14:paraId="2458B727" w14:textId="77777777" w:rsidR="00B95215" w:rsidRPr="00B95215" w:rsidRDefault="00B95215" w:rsidP="00B95215">
      <w:pPr>
        <w:spacing w:before="120" w:after="120" w:line="240" w:lineRule="exact"/>
        <w:ind w:left="283" w:hanging="283"/>
        <w:jc w:val="both"/>
        <w:rPr>
          <w:rFonts w:ascii="FrankRuehl" w:hAnsi="FrankRuehl" w:cs="FrankRuehl"/>
          <w:rtl/>
        </w:rPr>
      </w:pPr>
    </w:p>
    <w:p w14:paraId="7A772BCE" w14:textId="77777777" w:rsidR="00122A0C" w:rsidRPr="00122A0C" w:rsidRDefault="00122A0C" w:rsidP="00122A0C">
      <w:pPr>
        <w:spacing w:before="120" w:after="120" w:line="240" w:lineRule="exact"/>
        <w:ind w:left="283" w:hanging="283"/>
        <w:jc w:val="both"/>
        <w:rPr>
          <w:rFonts w:ascii="FrankRuehl" w:hAnsi="FrankRuehl" w:cs="FrankRuehl"/>
          <w:rtl/>
        </w:rPr>
      </w:pPr>
    </w:p>
    <w:p w14:paraId="48D87978" w14:textId="77777777" w:rsidR="00A52C83" w:rsidRDefault="00A52C83" w:rsidP="00A52C83">
      <w:pPr>
        <w:spacing w:line="360" w:lineRule="auto"/>
        <w:jc w:val="center"/>
        <w:rPr>
          <w:rFonts w:ascii="David" w:hAnsi="David"/>
          <w:sz w:val="28"/>
          <w:szCs w:val="28"/>
          <w:rtl/>
        </w:rPr>
      </w:pPr>
      <w:bookmarkStart w:id="3" w:name="LawTable"/>
      <w:bookmarkEnd w:id="3"/>
    </w:p>
    <w:p w14:paraId="33B8BF58" w14:textId="77777777" w:rsidR="00A52C83" w:rsidRPr="00A52C83" w:rsidRDefault="00A52C83" w:rsidP="00A52C83">
      <w:pPr>
        <w:spacing w:before="120" w:after="120" w:line="240" w:lineRule="exact"/>
        <w:ind w:left="283" w:hanging="283"/>
        <w:jc w:val="both"/>
        <w:rPr>
          <w:rFonts w:ascii="FrankRuehl" w:hAnsi="FrankRuehl" w:cs="FrankRuehl"/>
          <w:rtl/>
        </w:rPr>
      </w:pPr>
    </w:p>
    <w:p w14:paraId="51916923" w14:textId="77777777" w:rsidR="00A52C83" w:rsidRPr="00A52C83" w:rsidRDefault="00A52C83" w:rsidP="00A52C83">
      <w:pPr>
        <w:spacing w:before="120" w:after="120" w:line="240" w:lineRule="exact"/>
        <w:ind w:left="283" w:hanging="283"/>
        <w:jc w:val="both"/>
        <w:rPr>
          <w:rFonts w:ascii="FrankRuehl" w:hAnsi="FrankRuehl" w:cs="FrankRuehl"/>
          <w:rtl/>
        </w:rPr>
      </w:pPr>
    </w:p>
    <w:p w14:paraId="527B3935" w14:textId="77777777" w:rsidR="00A52C83" w:rsidRPr="00A52C83" w:rsidRDefault="00A52C83" w:rsidP="00A52C83">
      <w:pPr>
        <w:spacing w:before="120" w:after="120" w:line="240" w:lineRule="exact"/>
        <w:ind w:left="283" w:hanging="283"/>
        <w:jc w:val="both"/>
        <w:rPr>
          <w:rFonts w:ascii="FrankRuehl" w:hAnsi="FrankRuehl" w:cs="FrankRuehl"/>
          <w:rtl/>
        </w:rPr>
      </w:pPr>
      <w:r w:rsidRPr="00A52C83">
        <w:rPr>
          <w:rFonts w:ascii="FrankRuehl" w:hAnsi="FrankRuehl" w:cs="FrankRuehl"/>
          <w:rtl/>
        </w:rPr>
        <w:t xml:space="preserve">חקיקה שאוזכרה: </w:t>
      </w:r>
    </w:p>
    <w:p w14:paraId="5C4E89C2" w14:textId="77777777" w:rsidR="00A52C83" w:rsidRPr="00A52C83" w:rsidRDefault="00A52C83" w:rsidP="00A52C83">
      <w:pPr>
        <w:spacing w:before="120" w:after="120" w:line="240" w:lineRule="exact"/>
        <w:ind w:left="283" w:hanging="283"/>
        <w:jc w:val="both"/>
        <w:rPr>
          <w:rFonts w:ascii="FrankRuehl" w:hAnsi="FrankRuehl" w:cs="FrankRuehl"/>
          <w:rtl/>
        </w:rPr>
      </w:pPr>
      <w:hyperlink r:id="rId6" w:history="1">
        <w:r w:rsidRPr="00A52C83">
          <w:rPr>
            <w:rFonts w:ascii="FrankRuehl" w:hAnsi="FrankRuehl" w:cs="FrankRuehl"/>
            <w:color w:val="0000FF"/>
            <w:rtl/>
          </w:rPr>
          <w:t>פקודת הסמים המסוכנים [נוסח חדש], תשל"ג-1973</w:t>
        </w:r>
      </w:hyperlink>
      <w:r w:rsidRPr="00A52C83">
        <w:rPr>
          <w:rFonts w:ascii="FrankRuehl" w:hAnsi="FrankRuehl" w:cs="FrankRuehl"/>
          <w:rtl/>
        </w:rPr>
        <w:t xml:space="preserve">: סע'  </w:t>
      </w:r>
      <w:hyperlink r:id="rId7" w:history="1">
        <w:r w:rsidRPr="00A52C83">
          <w:rPr>
            <w:rFonts w:ascii="FrankRuehl" w:hAnsi="FrankRuehl" w:cs="FrankRuehl"/>
            <w:color w:val="0000FF"/>
            <w:rtl/>
          </w:rPr>
          <w:t>7(א)</w:t>
        </w:r>
      </w:hyperlink>
      <w:r w:rsidRPr="00A52C83">
        <w:rPr>
          <w:rFonts w:ascii="FrankRuehl" w:hAnsi="FrankRuehl" w:cs="FrankRuehl"/>
          <w:rtl/>
        </w:rPr>
        <w:t xml:space="preserve">, </w:t>
      </w:r>
      <w:hyperlink r:id="rId8" w:history="1">
        <w:r w:rsidRPr="00A52C83">
          <w:rPr>
            <w:rFonts w:ascii="FrankRuehl" w:hAnsi="FrankRuehl" w:cs="FrankRuehl"/>
            <w:color w:val="0000FF"/>
            <w:rtl/>
          </w:rPr>
          <w:t>ג</w:t>
        </w:r>
      </w:hyperlink>
    </w:p>
    <w:p w14:paraId="4C07B9B5" w14:textId="77777777" w:rsidR="00A52C83" w:rsidRPr="00A52C83" w:rsidRDefault="00A52C83" w:rsidP="00A52C83">
      <w:pPr>
        <w:spacing w:line="360" w:lineRule="auto"/>
        <w:jc w:val="center"/>
        <w:rPr>
          <w:rFonts w:ascii="David" w:hAnsi="David"/>
          <w:sz w:val="28"/>
          <w:szCs w:val="28"/>
          <w:rtl/>
        </w:rPr>
      </w:pPr>
      <w:bookmarkStart w:id="4" w:name="LawTable_End"/>
      <w:bookmarkEnd w:id="4"/>
    </w:p>
    <w:p w14:paraId="5F6C339D" w14:textId="77777777" w:rsidR="002D4D21" w:rsidRPr="00122A0C" w:rsidRDefault="002D4D21" w:rsidP="00122A0C">
      <w:pPr>
        <w:spacing w:line="360" w:lineRule="auto"/>
        <w:jc w:val="center"/>
        <w:rPr>
          <w:rFonts w:ascii="David" w:hAnsi="David"/>
          <w:sz w:val="28"/>
          <w:szCs w:val="28"/>
          <w:rtl/>
        </w:rPr>
      </w:pPr>
    </w:p>
    <w:p w14:paraId="5504E63A" w14:textId="77777777" w:rsidR="002D4D21" w:rsidRPr="002D4D21" w:rsidRDefault="002D4D21" w:rsidP="002D4D21">
      <w:pPr>
        <w:spacing w:line="360" w:lineRule="auto"/>
        <w:ind w:firstLine="720"/>
        <w:jc w:val="center"/>
        <w:rPr>
          <w:rFonts w:ascii="David" w:hAnsi="David"/>
          <w:bCs/>
          <w:sz w:val="28"/>
          <w:szCs w:val="28"/>
          <w:u w:val="single"/>
          <w:rtl/>
        </w:rPr>
      </w:pPr>
      <w:bookmarkStart w:id="5" w:name="PsakDin"/>
      <w:bookmarkEnd w:id="0"/>
      <w:r w:rsidRPr="002D4D21">
        <w:rPr>
          <w:rFonts w:ascii="David" w:hAnsi="David"/>
          <w:bCs/>
          <w:sz w:val="28"/>
          <w:szCs w:val="28"/>
          <w:u w:val="single"/>
          <w:rtl/>
        </w:rPr>
        <w:t>גזר דין</w:t>
      </w:r>
    </w:p>
    <w:p w14:paraId="380110E5" w14:textId="77777777" w:rsidR="00D02E85" w:rsidRPr="00A3423C" w:rsidRDefault="00D02E85" w:rsidP="00D02E85">
      <w:pPr>
        <w:spacing w:line="360" w:lineRule="auto"/>
        <w:ind w:firstLine="720"/>
        <w:jc w:val="both"/>
        <w:rPr>
          <w:rFonts w:ascii="FrankRuehl" w:eastAsia="Calibri" w:hAnsi="FrankRuehl" w:cs="FrankRuehl"/>
          <w:sz w:val="28"/>
          <w:szCs w:val="28"/>
          <w:rtl/>
        </w:rPr>
      </w:pPr>
      <w:bookmarkStart w:id="6" w:name="ABSTRACT_START"/>
      <w:bookmarkEnd w:id="5"/>
      <w:bookmarkEnd w:id="6"/>
    </w:p>
    <w:p w14:paraId="1BF1E228" w14:textId="77777777" w:rsidR="00D02E85" w:rsidRPr="00A3423C" w:rsidRDefault="00D02E85" w:rsidP="00D02E85">
      <w:pPr>
        <w:spacing w:line="360" w:lineRule="auto"/>
        <w:jc w:val="both"/>
        <w:rPr>
          <w:rFonts w:ascii="FrankRuehl" w:eastAsia="Calibri" w:hAnsi="FrankRuehl" w:cs="FrankRuehl"/>
          <w:sz w:val="28"/>
          <w:szCs w:val="28"/>
          <w:rtl/>
        </w:rPr>
      </w:pPr>
      <w:r w:rsidRPr="00A3423C">
        <w:rPr>
          <w:rFonts w:ascii="FrankRuehl" w:eastAsia="Calibri" w:hAnsi="FrankRuehl" w:cs="FrankRuehl"/>
          <w:sz w:val="28"/>
          <w:szCs w:val="28"/>
          <w:rtl/>
        </w:rPr>
        <w:t>1.</w:t>
      </w:r>
      <w:r w:rsidRPr="00A3423C">
        <w:rPr>
          <w:rFonts w:ascii="FrankRuehl" w:eastAsia="Calibri" w:hAnsi="FrankRuehl" w:cs="FrankRuehl"/>
          <w:sz w:val="28"/>
          <w:szCs w:val="28"/>
          <w:rtl/>
        </w:rPr>
        <w:tab/>
        <w:t>הנאשם הורשע בהתאם להודאתו ב</w:t>
      </w:r>
      <w:r w:rsidRPr="00A3423C">
        <w:rPr>
          <w:rFonts w:ascii="FrankRuehl" w:eastAsia="Calibri" w:hAnsi="FrankRuehl" w:cs="Miriam"/>
          <w:b/>
          <w:sz w:val="28"/>
          <w:rtl/>
        </w:rPr>
        <w:t>החזקת סמים שלא לצריכה עצמית</w:t>
      </w:r>
      <w:r w:rsidRPr="00A3423C">
        <w:rPr>
          <w:rFonts w:ascii="FrankRuehl" w:eastAsia="Calibri" w:hAnsi="FrankRuehl" w:cs="FrankRuehl"/>
          <w:sz w:val="28"/>
          <w:szCs w:val="28"/>
          <w:rtl/>
        </w:rPr>
        <w:t xml:space="preserve">, לפי </w:t>
      </w:r>
      <w:hyperlink r:id="rId9" w:history="1">
        <w:r w:rsidR="00B95215" w:rsidRPr="00B95215">
          <w:rPr>
            <w:rStyle w:val="Hyperlink"/>
            <w:rFonts w:ascii="FrankRuehl" w:eastAsia="Calibri" w:hAnsi="FrankRuehl" w:cs="FrankRuehl"/>
            <w:sz w:val="28"/>
            <w:szCs w:val="28"/>
            <w:rtl/>
          </w:rPr>
          <w:t>סעיף 7(א)</w:t>
        </w:r>
      </w:hyperlink>
      <w:r w:rsidRPr="00A3423C">
        <w:rPr>
          <w:rFonts w:ascii="FrankRuehl" w:eastAsia="Calibri" w:hAnsi="FrankRuehl" w:cs="FrankRuehl"/>
          <w:sz w:val="28"/>
          <w:szCs w:val="28"/>
          <w:rtl/>
        </w:rPr>
        <w:t xml:space="preserve"> ו-(</w:t>
      </w:r>
      <w:hyperlink r:id="rId10" w:history="1">
        <w:r w:rsidR="00B95215" w:rsidRPr="00B95215">
          <w:rPr>
            <w:rStyle w:val="Hyperlink"/>
            <w:rFonts w:ascii="FrankRuehl" w:eastAsia="Calibri" w:hAnsi="FrankRuehl" w:cs="FrankRuehl"/>
            <w:sz w:val="28"/>
            <w:szCs w:val="28"/>
            <w:rtl/>
          </w:rPr>
          <w:t>ג</w:t>
        </w:r>
      </w:hyperlink>
      <w:r w:rsidRPr="00A3423C">
        <w:rPr>
          <w:rFonts w:ascii="FrankRuehl" w:eastAsia="Calibri" w:hAnsi="FrankRuehl" w:cs="FrankRuehl"/>
          <w:sz w:val="28"/>
          <w:szCs w:val="28"/>
          <w:rtl/>
        </w:rPr>
        <w:t>) רישא ל</w:t>
      </w:r>
      <w:hyperlink r:id="rId11" w:history="1">
        <w:r w:rsidR="002D4D21" w:rsidRPr="002D4D21">
          <w:rPr>
            <w:rFonts w:ascii="FrankRuehl" w:eastAsia="Calibri" w:hAnsi="FrankRuehl" w:cs="FrankRuehl"/>
            <w:color w:val="0000FF"/>
            <w:sz w:val="28"/>
            <w:szCs w:val="28"/>
            <w:u w:val="single"/>
            <w:rtl/>
          </w:rPr>
          <w:t>פקודת הסמים המסוכנים</w:t>
        </w:r>
      </w:hyperlink>
      <w:r w:rsidRPr="00A3423C">
        <w:rPr>
          <w:rFonts w:ascii="FrankRuehl" w:eastAsia="Calibri" w:hAnsi="FrankRuehl" w:cs="FrankRuehl"/>
          <w:sz w:val="28"/>
          <w:szCs w:val="28"/>
          <w:rtl/>
        </w:rPr>
        <w:t xml:space="preserve"> [נוסח חדש], תשל"ג-1973 (להלן</w:t>
      </w:r>
      <w:r w:rsidRPr="00A3423C">
        <w:rPr>
          <w:rFonts w:ascii="FrankRuehl" w:eastAsia="Calibri" w:hAnsi="FrankRuehl" w:cs="FrankRuehl"/>
          <w:sz w:val="28"/>
          <w:szCs w:val="28"/>
        </w:rPr>
        <w:t xml:space="preserve"> </w:t>
      </w:r>
      <w:r w:rsidRPr="00A3423C">
        <w:rPr>
          <w:rFonts w:ascii="FrankRuehl" w:eastAsia="Calibri" w:hAnsi="FrankRuehl" w:cs="FrankRuehl"/>
          <w:sz w:val="28"/>
          <w:szCs w:val="28"/>
          <w:rtl/>
        </w:rPr>
        <w:t xml:space="preserve">: </w:t>
      </w:r>
      <w:r w:rsidRPr="00A3423C">
        <w:rPr>
          <w:rFonts w:ascii="FrankRuehl" w:eastAsia="Calibri" w:hAnsi="FrankRuehl" w:cs="Miriam"/>
          <w:b/>
          <w:sz w:val="28"/>
          <w:rtl/>
        </w:rPr>
        <w:t>פקודת הסמים</w:t>
      </w:r>
      <w:r w:rsidRPr="00A3423C">
        <w:rPr>
          <w:rFonts w:ascii="FrankRuehl" w:eastAsia="Calibri" w:hAnsi="FrankRuehl" w:cs="FrankRuehl"/>
          <w:sz w:val="28"/>
          <w:szCs w:val="28"/>
          <w:rtl/>
        </w:rPr>
        <w:t>). ביום 14.8.19, כשהיה נתון במשמורת חוקית בבית סוהר "אשמורת", פלט הנאשם מגופו 2 גלילים בהם 4.01 גרם קוקאין, 15.28 גרם בופרנורפין, 6.01 גרם חשיש ו-0.86 גרם הרואין</w:t>
      </w:r>
      <w:bookmarkStart w:id="7" w:name="ABSTRACT_END"/>
      <w:bookmarkEnd w:id="7"/>
      <w:r w:rsidRPr="00A3423C">
        <w:rPr>
          <w:rFonts w:ascii="FrankRuehl" w:eastAsia="Calibri" w:hAnsi="FrankRuehl" w:cs="FrankRuehl"/>
          <w:sz w:val="28"/>
          <w:szCs w:val="28"/>
          <w:rtl/>
        </w:rPr>
        <w:t xml:space="preserve">. </w:t>
      </w:r>
    </w:p>
    <w:p w14:paraId="297DDE84" w14:textId="77777777" w:rsidR="00D02E85" w:rsidRPr="00A3423C" w:rsidRDefault="00D02E85" w:rsidP="00D02E85">
      <w:pPr>
        <w:spacing w:line="360" w:lineRule="auto"/>
        <w:ind w:firstLine="720"/>
        <w:jc w:val="both"/>
        <w:rPr>
          <w:rFonts w:ascii="FrankRuehl" w:eastAsia="Calibri" w:hAnsi="FrankRuehl" w:cs="FrankRuehl"/>
          <w:sz w:val="28"/>
          <w:szCs w:val="28"/>
          <w:rtl/>
        </w:rPr>
      </w:pPr>
    </w:p>
    <w:p w14:paraId="5CCE3A74" w14:textId="77777777" w:rsidR="00D02E85" w:rsidRPr="00A3423C" w:rsidRDefault="00D02E85" w:rsidP="00D02E85">
      <w:pPr>
        <w:spacing w:line="360" w:lineRule="auto"/>
        <w:ind w:firstLine="720"/>
        <w:jc w:val="both"/>
        <w:rPr>
          <w:rFonts w:ascii="FrankRuehl" w:eastAsia="Calibri" w:hAnsi="FrankRuehl" w:cs="FrankRuehl"/>
          <w:sz w:val="28"/>
          <w:szCs w:val="28"/>
          <w:rtl/>
        </w:rPr>
      </w:pPr>
      <w:r w:rsidRPr="00A3423C">
        <w:rPr>
          <w:rFonts w:ascii="FrankRuehl" w:eastAsia="Calibri" w:hAnsi="FrankRuehl" w:cs="FrankRuehl"/>
          <w:sz w:val="28"/>
          <w:szCs w:val="28"/>
          <w:rtl/>
        </w:rPr>
        <w:t xml:space="preserve">הצדדים הציגו הסדר טיעון במסגרתו התבקש בית המשפט להורות על הפנייתו של הנאשם לקבלת תסקיר מבחן וחוות דעת הממונה על עבודות שירות. עוד הודיעו הצדדים כי "ככל שהתסקיר ילמד על לקיחת אחריות, רמת סיכון נמוכה, היעדר פתיחת תיקים ושיתוף </w:t>
      </w:r>
      <w:r w:rsidRPr="00A3423C">
        <w:rPr>
          <w:rFonts w:ascii="FrankRuehl" w:eastAsia="Calibri" w:hAnsi="FrankRuehl" w:cs="FrankRuehl"/>
          <w:sz w:val="28"/>
          <w:szCs w:val="28"/>
          <w:rtl/>
        </w:rPr>
        <w:lastRenderedPageBreak/>
        <w:t>פעולה בטיפול משמעותי ככל שיידרש על ידי שירות המבחן ובהתאם לשיקול דעתם של שירות המבחן, התביעה תגביל עצמה ל-9 חודשי מאסר שניתן לרצות בעבודות שירות, ואילו ההגנה תטען למאסר בדרך של עבודות שירות ברף נמוך ככל שתמצא לנכון". ככל שהתסקיר לא יענה על הקריטריונים שהוגדרו, יטענו הצדדים לעונש באופן חופשי.</w:t>
      </w:r>
    </w:p>
    <w:p w14:paraId="6EA55F6F" w14:textId="77777777" w:rsidR="00D02E85" w:rsidRPr="00A3423C" w:rsidRDefault="00D02E85" w:rsidP="00D02E85">
      <w:pPr>
        <w:spacing w:line="360" w:lineRule="auto"/>
        <w:ind w:firstLine="720"/>
        <w:jc w:val="both"/>
        <w:rPr>
          <w:rFonts w:ascii="FrankRuehl" w:eastAsia="Calibri" w:hAnsi="FrankRuehl" w:cs="FrankRuehl"/>
          <w:sz w:val="28"/>
          <w:szCs w:val="28"/>
          <w:rtl/>
        </w:rPr>
      </w:pPr>
    </w:p>
    <w:p w14:paraId="594B29B9" w14:textId="77777777" w:rsidR="00D02E85" w:rsidRPr="00A3423C" w:rsidRDefault="00D02E85" w:rsidP="00D02E85">
      <w:pPr>
        <w:spacing w:line="360" w:lineRule="auto"/>
        <w:jc w:val="both"/>
        <w:rPr>
          <w:rFonts w:ascii="FrankRuehl" w:eastAsia="Calibri" w:hAnsi="FrankRuehl" w:cs="FrankRuehl"/>
          <w:sz w:val="28"/>
          <w:szCs w:val="28"/>
          <w:rtl/>
        </w:rPr>
      </w:pPr>
      <w:r w:rsidRPr="00A3423C">
        <w:rPr>
          <w:rFonts w:ascii="FrankRuehl" w:eastAsia="Calibri" w:hAnsi="FrankRuehl" w:cs="FrankRuehl"/>
          <w:sz w:val="28"/>
          <w:szCs w:val="28"/>
          <w:rtl/>
        </w:rPr>
        <w:t>2.</w:t>
      </w:r>
      <w:r w:rsidRPr="00A3423C">
        <w:rPr>
          <w:rFonts w:ascii="FrankRuehl" w:eastAsia="Calibri" w:hAnsi="FrankRuehl" w:cs="FrankRuehl"/>
          <w:sz w:val="28"/>
          <w:szCs w:val="28"/>
          <w:rtl/>
        </w:rPr>
        <w:tab/>
        <w:t xml:space="preserve">בתסקיר מיום 15.9.22 נסקרו קורותיו של הנאשם: בן כ-41, יליד גאורגיה, רווק ללא ילדים, שוחרר שבועיים קודם לכן מעונש מאסר בן חמישה חודשים, מתגורר עם בת זוגו ושני ילדיה ועובד בעבודות שיפוצים מזדמנות. הנאשם עלה לארץ לאחר שלמד בארץ הולדתו 9 שנות לימוד, שלאחריהן החל ללמוד מכונאות רכב, אך פרש בשל עלייתו. הוא התגייס לשירות צבאי, אך כבר במהלך הטירונות ערק, ריצה 6 חודשי מאסר בכלא צבאי, שלאחריהם שוחרר מצה"ל. </w:t>
      </w:r>
      <w:r>
        <w:rPr>
          <w:rFonts w:ascii="FrankRuehl" w:eastAsia="Calibri" w:hAnsi="FrankRuehl" w:cs="FrankRuehl" w:hint="cs"/>
          <w:sz w:val="28"/>
          <w:szCs w:val="28"/>
          <w:rtl/>
        </w:rPr>
        <w:t xml:space="preserve">הוא </w:t>
      </w:r>
      <w:r w:rsidRPr="00A3423C">
        <w:rPr>
          <w:rFonts w:ascii="FrankRuehl" w:eastAsia="Calibri" w:hAnsi="FrankRuehl" w:cs="FrankRuehl"/>
          <w:sz w:val="28"/>
          <w:szCs w:val="28"/>
          <w:rtl/>
        </w:rPr>
        <w:t>ניהל אורח חיים שולי שכלל שימוש בסמים וביצוע עבירות רכוש ואלימות, בגינן ריצה עונשי מאסר ממושכים. בתקופות הקצרות בהן שהה מחוץ לכותלי בית הסוהר, עבד בעבודות מזדמנות. הנאשם קיבל אחריות על מעשה העבירה מושא כתב האישום, והביע חרטה. בהמלצת שירות המבחן הוזמן תסקיר משלים. בתסקיר מיום 1.1.23 פ</w:t>
      </w:r>
      <w:r>
        <w:rPr>
          <w:rFonts w:ascii="FrankRuehl" w:eastAsia="Calibri" w:hAnsi="FrankRuehl" w:cs="FrankRuehl" w:hint="cs"/>
          <w:sz w:val="28"/>
          <w:szCs w:val="28"/>
          <w:rtl/>
        </w:rPr>
        <w:t>ירט</w:t>
      </w:r>
      <w:r w:rsidRPr="00A3423C">
        <w:rPr>
          <w:rFonts w:ascii="FrankRuehl" w:eastAsia="Calibri" w:hAnsi="FrankRuehl" w:cs="FrankRuehl"/>
          <w:sz w:val="28"/>
          <w:szCs w:val="28"/>
          <w:rtl/>
        </w:rPr>
        <w:t xml:space="preserve"> שירות המבחן את הניסיונות שנעשו כדי לשלב את הנאשם במסגרות טיפוליות, הן בשירות המבחן והן ביחידה לטיפול בהתמכרויות. הנאשם הביע אמנם רצון מילולי להשתקם, אך לא הגיע לפגישות ולא מסר בדיקות שתן. לבקשת ההגנה, ולנוכח טענת הנאשם כי הוא עייף מעולם הסמים ומעונין להשתקם, הוזמן תסקיר שלישי, זו הפעם כשהנאשם נתון במעצר בגין הליך אחר. מהתסקיר המשלים עולה כי הנאשם ביקש להשתלב בקהילה טיפולית למכורים, אך ביטא נכונות ברמה המילולית בלבד, תוך קושי להתייחס לקיומם של דפוסי התנהגות בעייתיים מעבר לשימוש בסמים, או להתנהלותו מול שירות המבחן עובר למעצרו. לא ניתנה המלצה טיפולית.</w:t>
      </w:r>
    </w:p>
    <w:p w14:paraId="338C768C" w14:textId="77777777" w:rsidR="00D02E85" w:rsidRPr="00A3423C" w:rsidRDefault="00D02E85" w:rsidP="00D02E85">
      <w:pPr>
        <w:spacing w:line="360" w:lineRule="auto"/>
        <w:ind w:firstLine="720"/>
        <w:jc w:val="both"/>
        <w:rPr>
          <w:rFonts w:ascii="FrankRuehl" w:eastAsia="Calibri" w:hAnsi="FrankRuehl" w:cs="FrankRuehl"/>
          <w:sz w:val="28"/>
          <w:szCs w:val="28"/>
          <w:rtl/>
        </w:rPr>
      </w:pPr>
    </w:p>
    <w:p w14:paraId="2EACB89E" w14:textId="77777777" w:rsidR="00D02E85" w:rsidRPr="00A3423C" w:rsidRDefault="00D02E85" w:rsidP="00D02E85">
      <w:pPr>
        <w:spacing w:line="360" w:lineRule="auto"/>
        <w:jc w:val="both"/>
        <w:rPr>
          <w:rFonts w:ascii="FrankRuehl" w:eastAsia="Calibri" w:hAnsi="FrankRuehl" w:cs="FrankRuehl"/>
          <w:sz w:val="28"/>
          <w:szCs w:val="28"/>
          <w:rtl/>
        </w:rPr>
      </w:pPr>
      <w:r w:rsidRPr="00A3423C">
        <w:rPr>
          <w:rFonts w:ascii="FrankRuehl" w:eastAsia="Calibri" w:hAnsi="FrankRuehl" w:cs="FrankRuehl"/>
          <w:sz w:val="28"/>
          <w:szCs w:val="28"/>
          <w:rtl/>
        </w:rPr>
        <w:t>3.</w:t>
      </w:r>
      <w:r w:rsidRPr="00A3423C">
        <w:rPr>
          <w:rFonts w:ascii="FrankRuehl" w:eastAsia="Calibri" w:hAnsi="FrankRuehl" w:cs="FrankRuehl"/>
          <w:sz w:val="28"/>
          <w:szCs w:val="28"/>
          <w:rtl/>
        </w:rPr>
        <w:tab/>
        <w:t>ב"כ המאשימה עמדה על חומרתה של העבירה שביצע הנאשם, כשהחזיק סמים מסוכנים מסוגים שונים בין כותלי בית הסוהר, והפנתה לפסיקה להמחשת מדיניות הענישה. תחילה ביקשה לקבוע מתחם עו</w:t>
      </w:r>
      <w:r>
        <w:rPr>
          <w:rFonts w:ascii="FrankRuehl" w:eastAsia="Calibri" w:hAnsi="FrankRuehl" w:cs="FrankRuehl"/>
          <w:sz w:val="28"/>
          <w:szCs w:val="28"/>
          <w:rtl/>
        </w:rPr>
        <w:t>נש בין 24-14 חודשי מאסר בפועל</w:t>
      </w:r>
      <w:r>
        <w:rPr>
          <w:rFonts w:ascii="FrankRuehl" w:eastAsia="Calibri" w:hAnsi="FrankRuehl" w:cs="FrankRuehl" w:hint="cs"/>
          <w:sz w:val="28"/>
          <w:szCs w:val="28"/>
          <w:rtl/>
        </w:rPr>
        <w:t xml:space="preserve">. </w:t>
      </w:r>
      <w:r w:rsidRPr="00A3423C">
        <w:rPr>
          <w:rFonts w:ascii="FrankRuehl" w:eastAsia="Calibri" w:hAnsi="FrankRuehl" w:cs="FrankRuehl"/>
          <w:sz w:val="28"/>
          <w:szCs w:val="28"/>
          <w:rtl/>
        </w:rPr>
        <w:t xml:space="preserve">לאחר שבית המשפט ביקש לקבל הבהרה באשר לפער בין המתחם המבוקש לבין ההסדר שהוצג, מיתנה המאשימה </w:t>
      </w:r>
      <w:r>
        <w:rPr>
          <w:rFonts w:ascii="FrankRuehl" w:eastAsia="Calibri" w:hAnsi="FrankRuehl" w:cs="FrankRuehl" w:hint="cs"/>
          <w:sz w:val="28"/>
          <w:szCs w:val="28"/>
          <w:rtl/>
        </w:rPr>
        <w:t xml:space="preserve">עמדתה, </w:t>
      </w:r>
      <w:r w:rsidRPr="00A3423C">
        <w:rPr>
          <w:rFonts w:ascii="FrankRuehl" w:eastAsia="Calibri" w:hAnsi="FrankRuehl" w:cs="FrankRuehl"/>
          <w:sz w:val="28"/>
          <w:szCs w:val="28"/>
          <w:rtl/>
        </w:rPr>
        <w:t>בין 24-12 חודשי מאסר בפועל. הוגש גיליון הרישום הפלילי של הנאשם, נסקרו הרשעותיו הקודמות ועמדת שירות המבחן, וסופו של דיון ביקשה המאשימה לגזור עליו מאסר בפועל למשך 20 חודשים, מאסר על-תנאי, קנס והתחייבות.</w:t>
      </w:r>
    </w:p>
    <w:p w14:paraId="3333647C" w14:textId="77777777" w:rsidR="00D02E85" w:rsidRPr="00A3423C" w:rsidRDefault="00D02E85" w:rsidP="00D02E85">
      <w:pPr>
        <w:spacing w:line="360" w:lineRule="auto"/>
        <w:ind w:firstLine="720"/>
        <w:jc w:val="both"/>
        <w:rPr>
          <w:rFonts w:ascii="FrankRuehl" w:eastAsia="Calibri" w:hAnsi="FrankRuehl" w:cs="FrankRuehl"/>
          <w:sz w:val="28"/>
          <w:szCs w:val="28"/>
          <w:rtl/>
        </w:rPr>
      </w:pPr>
    </w:p>
    <w:p w14:paraId="55A2AFC7" w14:textId="77777777" w:rsidR="00D02E85" w:rsidRPr="00A3423C" w:rsidRDefault="00D02E85" w:rsidP="00D02E85">
      <w:pPr>
        <w:spacing w:line="360" w:lineRule="auto"/>
        <w:ind w:firstLine="720"/>
        <w:jc w:val="both"/>
        <w:rPr>
          <w:rFonts w:ascii="FrankRuehl" w:eastAsia="Calibri" w:hAnsi="FrankRuehl" w:cs="FrankRuehl"/>
          <w:sz w:val="28"/>
          <w:szCs w:val="28"/>
          <w:rtl/>
        </w:rPr>
      </w:pPr>
      <w:r w:rsidRPr="00A3423C">
        <w:rPr>
          <w:rFonts w:ascii="FrankRuehl" w:eastAsia="Calibri" w:hAnsi="FrankRuehl" w:cs="FrankRuehl"/>
          <w:sz w:val="28"/>
          <w:szCs w:val="28"/>
          <w:rtl/>
        </w:rPr>
        <w:t xml:space="preserve">ב"כ הנאשם הפנתה להסדר הטיעון, ממנו ביקשה ללמוד שתחתית מתחם העונש צריכה לעמוד, לכל היותר, על 9 חודשי מאסר בפועל – העונש אותו התעתדה המאשימה לבקש לוּ </w:t>
      </w:r>
      <w:r w:rsidRPr="00A3423C">
        <w:rPr>
          <w:rFonts w:ascii="FrankRuehl" w:eastAsia="Calibri" w:hAnsi="FrankRuehl" w:cs="FrankRuehl"/>
          <w:sz w:val="28"/>
          <w:szCs w:val="28"/>
          <w:rtl/>
        </w:rPr>
        <w:lastRenderedPageBreak/>
        <w:t>עמד הנאשם בתנאי ההסדר. אף היא הפנתה לפסיקה וביקשה לקבוע את מתחם העונש בין 15-6 חודשי מאסר בפועל. בגזירת העונש בתוך המתחם ביקשה לזקוף לזכותו של הנאשם את הודייתו במיוחס לו – הן בבית המשפט והן בפני שירות המבחן, את תחושות העייפות וההכרה במחירים שהוא משלם בשל אורח חייו העברייני, את מודעותו לדפוסיו המכשילים ורצונו להסתייע בטיפול. הקשר הטיפולי נותק אמנם, אך זאת בשל מורכבות חייו של הנאשם, וניסיונו להשקיע את זמנו בעבודה. ב"כ הנאשם ביקשה לגזור את עונשו בשליש התחתון של המתחם לו עתרה.</w:t>
      </w:r>
    </w:p>
    <w:p w14:paraId="5D3E511D" w14:textId="77777777" w:rsidR="00D02E85" w:rsidRPr="00A3423C" w:rsidRDefault="00D02E85" w:rsidP="00D02E85">
      <w:pPr>
        <w:spacing w:line="360" w:lineRule="auto"/>
        <w:ind w:firstLine="720"/>
        <w:jc w:val="both"/>
        <w:rPr>
          <w:rFonts w:ascii="FrankRuehl" w:eastAsia="Calibri" w:hAnsi="FrankRuehl" w:cs="FrankRuehl"/>
          <w:sz w:val="28"/>
          <w:szCs w:val="28"/>
          <w:rtl/>
        </w:rPr>
      </w:pPr>
    </w:p>
    <w:p w14:paraId="3ABAADFC" w14:textId="77777777" w:rsidR="00D02E85" w:rsidRPr="00A3423C" w:rsidRDefault="00D02E85" w:rsidP="00D02E85">
      <w:pPr>
        <w:spacing w:line="360" w:lineRule="auto"/>
        <w:ind w:firstLine="720"/>
        <w:jc w:val="both"/>
        <w:rPr>
          <w:rFonts w:ascii="FrankRuehl" w:eastAsia="Calibri" w:hAnsi="FrankRuehl" w:cs="FrankRuehl"/>
          <w:sz w:val="28"/>
          <w:szCs w:val="28"/>
          <w:rtl/>
        </w:rPr>
      </w:pPr>
      <w:r w:rsidRPr="00A3423C">
        <w:rPr>
          <w:rFonts w:ascii="FrankRuehl" w:eastAsia="Calibri" w:hAnsi="FrankRuehl" w:cs="FrankRuehl"/>
          <w:sz w:val="28"/>
          <w:szCs w:val="28"/>
          <w:rtl/>
        </w:rPr>
        <w:t>הנאשם בדברו לעונש הביע צער על מעשיו, וסיפר כי מזה למעלה משנה הוא נמנע משימוש בסמים ומקפיד על אורח חיים ספורטיבי.</w:t>
      </w:r>
    </w:p>
    <w:p w14:paraId="26B17E55" w14:textId="77777777" w:rsidR="00D02E85" w:rsidRPr="00A3423C" w:rsidRDefault="00D02E85" w:rsidP="00D02E85">
      <w:pPr>
        <w:spacing w:line="360" w:lineRule="auto"/>
        <w:jc w:val="both"/>
        <w:rPr>
          <w:rFonts w:ascii="FrankRuehl" w:eastAsia="Calibri" w:hAnsi="FrankRuehl" w:cs="FrankRuehl"/>
          <w:sz w:val="28"/>
          <w:szCs w:val="28"/>
          <w:rtl/>
        </w:rPr>
      </w:pPr>
    </w:p>
    <w:p w14:paraId="024837EF" w14:textId="77777777" w:rsidR="00D02E85" w:rsidRDefault="00D02E85" w:rsidP="00D02E85">
      <w:pPr>
        <w:spacing w:line="360" w:lineRule="auto"/>
        <w:jc w:val="both"/>
        <w:rPr>
          <w:rFonts w:ascii="FrankRuehl" w:eastAsia="Calibri" w:hAnsi="FrankRuehl" w:cs="Miriam"/>
          <w:b/>
          <w:sz w:val="28"/>
          <w:rtl/>
        </w:rPr>
      </w:pPr>
    </w:p>
    <w:p w14:paraId="27967004" w14:textId="77777777" w:rsidR="00D02E85" w:rsidRDefault="00D02E85" w:rsidP="00D02E85">
      <w:pPr>
        <w:spacing w:line="360" w:lineRule="auto"/>
        <w:jc w:val="both"/>
        <w:rPr>
          <w:rFonts w:ascii="FrankRuehl" w:eastAsia="Calibri" w:hAnsi="FrankRuehl" w:cs="Miriam"/>
          <w:b/>
          <w:sz w:val="28"/>
          <w:rtl/>
        </w:rPr>
      </w:pPr>
    </w:p>
    <w:p w14:paraId="51541907" w14:textId="77777777" w:rsidR="00D02E85" w:rsidRDefault="00D02E85" w:rsidP="00D02E85">
      <w:pPr>
        <w:spacing w:line="360" w:lineRule="auto"/>
        <w:jc w:val="both"/>
        <w:rPr>
          <w:rFonts w:ascii="FrankRuehl" w:eastAsia="Calibri" w:hAnsi="FrankRuehl" w:cs="Miriam"/>
          <w:b/>
          <w:sz w:val="28"/>
          <w:rtl/>
        </w:rPr>
      </w:pPr>
    </w:p>
    <w:p w14:paraId="22510EA4" w14:textId="77777777" w:rsidR="00D02E85" w:rsidRPr="00A3423C" w:rsidRDefault="00D02E85" w:rsidP="00D02E85">
      <w:pPr>
        <w:spacing w:line="360" w:lineRule="auto"/>
        <w:jc w:val="both"/>
        <w:rPr>
          <w:rFonts w:ascii="FrankRuehl" w:eastAsia="Calibri" w:hAnsi="FrankRuehl" w:cs="FrankRuehl"/>
          <w:sz w:val="28"/>
          <w:szCs w:val="28"/>
          <w:rtl/>
        </w:rPr>
      </w:pPr>
      <w:r w:rsidRPr="00A3423C">
        <w:rPr>
          <w:rFonts w:ascii="FrankRuehl" w:eastAsia="Calibri" w:hAnsi="FrankRuehl" w:cs="Miriam"/>
          <w:b/>
          <w:sz w:val="28"/>
          <w:rtl/>
        </w:rPr>
        <w:t>דיון</w:t>
      </w:r>
    </w:p>
    <w:p w14:paraId="1AAB6F0A" w14:textId="77777777" w:rsidR="00D02E85" w:rsidRPr="00A3423C" w:rsidRDefault="00D02E85" w:rsidP="00D02E85">
      <w:pPr>
        <w:spacing w:line="360" w:lineRule="auto"/>
        <w:jc w:val="both"/>
        <w:rPr>
          <w:rFonts w:ascii="FrankRuehl" w:eastAsia="Calibri" w:hAnsi="FrankRuehl" w:cs="FrankRuehl"/>
          <w:sz w:val="28"/>
          <w:szCs w:val="28"/>
          <w:rtl/>
        </w:rPr>
      </w:pPr>
    </w:p>
    <w:p w14:paraId="3DCF94B8" w14:textId="77777777" w:rsidR="00D02E85" w:rsidRPr="00A3423C" w:rsidRDefault="00D02E85" w:rsidP="00D02E85">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4.</w:t>
      </w:r>
      <w:r>
        <w:rPr>
          <w:rFonts w:ascii="FrankRuehl" w:eastAsia="Calibri" w:hAnsi="FrankRuehl" w:cs="FrankRuehl"/>
          <w:sz w:val="28"/>
          <w:szCs w:val="28"/>
          <w:rtl/>
        </w:rPr>
        <w:tab/>
        <w:t>שוב ושוב חוזר</w:t>
      </w:r>
      <w:r>
        <w:rPr>
          <w:rFonts w:ascii="FrankRuehl" w:eastAsia="Calibri" w:hAnsi="FrankRuehl" w:cs="FrankRuehl" w:hint="cs"/>
          <w:sz w:val="28"/>
          <w:szCs w:val="28"/>
          <w:rtl/>
        </w:rPr>
        <w:t>ים בתי המשפט ומזהירים</w:t>
      </w:r>
      <w:r w:rsidRPr="00A3423C">
        <w:rPr>
          <w:rFonts w:ascii="FrankRuehl" w:eastAsia="Calibri" w:hAnsi="FrankRuehl" w:cs="FrankRuehl"/>
          <w:sz w:val="28"/>
          <w:szCs w:val="28"/>
          <w:rtl/>
        </w:rPr>
        <w:t xml:space="preserve"> מפני הנזקים הנגרמים לחברה כתוצאה מנגע הסמים </w:t>
      </w:r>
      <w:r>
        <w:rPr>
          <w:rFonts w:ascii="FrankRuehl" w:eastAsia="Calibri" w:hAnsi="FrankRuehl" w:cs="FrankRuehl" w:hint="cs"/>
          <w:sz w:val="28"/>
          <w:szCs w:val="28"/>
          <w:rtl/>
        </w:rPr>
        <w:t>המסב נזק ל</w:t>
      </w:r>
      <w:r w:rsidRPr="00A3423C">
        <w:rPr>
          <w:rFonts w:ascii="FrankRuehl" w:eastAsia="Calibri" w:hAnsi="FrankRuehl" w:cs="FrankRuehl"/>
          <w:sz w:val="28"/>
          <w:szCs w:val="28"/>
          <w:rtl/>
        </w:rPr>
        <w:t xml:space="preserve">כל חלקה טובה – </w:t>
      </w:r>
      <w:r>
        <w:rPr>
          <w:rFonts w:ascii="FrankRuehl" w:eastAsia="Calibri" w:hAnsi="FrankRuehl" w:cs="FrankRuehl" w:hint="cs"/>
          <w:sz w:val="28"/>
          <w:szCs w:val="28"/>
          <w:rtl/>
        </w:rPr>
        <w:t>ל</w:t>
      </w:r>
      <w:r w:rsidRPr="00A3423C">
        <w:rPr>
          <w:rFonts w:ascii="FrankRuehl" w:eastAsia="Calibri" w:hAnsi="FrankRuehl" w:cs="FrankRuehl"/>
          <w:sz w:val="28"/>
          <w:szCs w:val="28"/>
          <w:rtl/>
        </w:rPr>
        <w:t xml:space="preserve">בריאות הציבור, </w:t>
      </w:r>
      <w:r>
        <w:rPr>
          <w:rFonts w:ascii="FrankRuehl" w:eastAsia="Calibri" w:hAnsi="FrankRuehl" w:cs="FrankRuehl" w:hint="cs"/>
          <w:sz w:val="28"/>
          <w:szCs w:val="28"/>
          <w:rtl/>
        </w:rPr>
        <w:t>ל</w:t>
      </w:r>
      <w:r>
        <w:rPr>
          <w:rFonts w:ascii="FrankRuehl" w:eastAsia="Calibri" w:hAnsi="FrankRuehl" w:cs="FrankRuehl"/>
          <w:sz w:val="28"/>
          <w:szCs w:val="28"/>
          <w:rtl/>
        </w:rPr>
        <w:t xml:space="preserve">שלומו, </w:t>
      </w:r>
      <w:r>
        <w:rPr>
          <w:rFonts w:ascii="FrankRuehl" w:eastAsia="Calibri" w:hAnsi="FrankRuehl" w:cs="FrankRuehl" w:hint="cs"/>
          <w:sz w:val="28"/>
          <w:szCs w:val="28"/>
          <w:rtl/>
        </w:rPr>
        <w:t>ל</w:t>
      </w:r>
      <w:r w:rsidRPr="00A3423C">
        <w:rPr>
          <w:rFonts w:ascii="FrankRuehl" w:eastAsia="Calibri" w:hAnsi="FrankRuehl" w:cs="FrankRuehl"/>
          <w:sz w:val="28"/>
          <w:szCs w:val="28"/>
          <w:rtl/>
        </w:rPr>
        <w:t xml:space="preserve">ביטחונו, </w:t>
      </w:r>
      <w:r>
        <w:rPr>
          <w:rFonts w:ascii="FrankRuehl" w:eastAsia="Calibri" w:hAnsi="FrankRuehl" w:cs="FrankRuehl" w:hint="cs"/>
          <w:sz w:val="28"/>
          <w:szCs w:val="28"/>
          <w:rtl/>
        </w:rPr>
        <w:t>ל</w:t>
      </w:r>
      <w:r w:rsidRPr="00A3423C">
        <w:rPr>
          <w:rFonts w:ascii="FrankRuehl" w:eastAsia="Calibri" w:hAnsi="FrankRuehl" w:cs="FrankRuehl"/>
          <w:sz w:val="28"/>
          <w:szCs w:val="28"/>
          <w:rtl/>
        </w:rPr>
        <w:t>סדר הציבורי, ומהו</w:t>
      </w:r>
      <w:r>
        <w:rPr>
          <w:rFonts w:ascii="FrankRuehl" w:eastAsia="Calibri" w:hAnsi="FrankRuehl" w:cs="FrankRuehl" w:hint="cs"/>
          <w:sz w:val="28"/>
          <w:szCs w:val="28"/>
          <w:rtl/>
        </w:rPr>
        <w:t>ו</w:t>
      </w:r>
      <w:r w:rsidRPr="00A3423C">
        <w:rPr>
          <w:rFonts w:ascii="FrankRuehl" w:eastAsia="Calibri" w:hAnsi="FrankRuehl" w:cs="FrankRuehl"/>
          <w:sz w:val="28"/>
          <w:szCs w:val="28"/>
          <w:rtl/>
        </w:rPr>
        <w:t>ה אחד ממחוללי הפשיעה העיקריים וזרז לביצוע עבירות נוספות, בעיקר רכוש ואלימות. "עבירות הסמים הפכו זה מכבר לנגע הפוגע בציבור המשתמשים ובחברה בכללותה, ויש לעשות הכל על מנת למגרן ולעקרן מן השורש, גם בדרך של ענישה קשה ומחמירה" (</w:t>
      </w:r>
      <w:hyperlink r:id="rId12" w:history="1">
        <w:r w:rsidR="002D4D21" w:rsidRPr="002D4D21">
          <w:rPr>
            <w:rFonts w:ascii="FrankRuehl" w:eastAsia="Calibri" w:hAnsi="FrankRuehl" w:cs="FrankRuehl"/>
            <w:color w:val="0000FF"/>
            <w:sz w:val="28"/>
            <w:szCs w:val="28"/>
            <w:u w:val="single"/>
            <w:rtl/>
          </w:rPr>
          <w:t>רע"פ 6869/17</w:t>
        </w:r>
      </w:hyperlink>
      <w:r w:rsidRPr="00A3423C">
        <w:rPr>
          <w:rFonts w:ascii="FrankRuehl" w:eastAsia="Calibri" w:hAnsi="FrankRuehl" w:cs="FrankRuehl"/>
          <w:sz w:val="28"/>
          <w:szCs w:val="28"/>
          <w:rtl/>
        </w:rPr>
        <w:t xml:space="preserve"> </w:t>
      </w:r>
      <w:r w:rsidRPr="00A3423C">
        <w:rPr>
          <w:rFonts w:ascii="FrankRuehl" w:eastAsia="Calibri" w:hAnsi="FrankRuehl" w:cs="Miriam"/>
          <w:sz w:val="28"/>
          <w:rtl/>
        </w:rPr>
        <w:t>יבגני פילברג נ' מדינת ישראל</w:t>
      </w:r>
      <w:r w:rsidRPr="00A3423C">
        <w:rPr>
          <w:rFonts w:ascii="FrankRuehl" w:eastAsia="Calibri" w:hAnsi="FrankRuehl" w:cs="FrankRuehl"/>
          <w:sz w:val="28"/>
          <w:szCs w:val="28"/>
          <w:rtl/>
        </w:rPr>
        <w:t xml:space="preserve"> (11.9.17)). אשר לביצוע עבירות סמים בתוככי הכלא, אין לי אלא לחזור על קביעותיי ב</w:t>
      </w:r>
      <w:hyperlink r:id="rId13" w:history="1">
        <w:r w:rsidR="002D4D21" w:rsidRPr="002D4D21">
          <w:rPr>
            <w:rFonts w:ascii="FrankRuehl" w:eastAsia="Calibri" w:hAnsi="FrankRuehl" w:cs="FrankRuehl"/>
            <w:color w:val="0000FF"/>
            <w:sz w:val="28"/>
            <w:szCs w:val="28"/>
            <w:u w:val="single"/>
            <w:rtl/>
          </w:rPr>
          <w:t>ת"פ (נתניה) 62073-03-19</w:t>
        </w:r>
      </w:hyperlink>
      <w:r w:rsidRPr="00A3423C">
        <w:rPr>
          <w:rFonts w:ascii="FrankRuehl" w:eastAsia="Calibri" w:hAnsi="FrankRuehl" w:cs="FrankRuehl"/>
          <w:sz w:val="28"/>
          <w:szCs w:val="28"/>
          <w:rtl/>
        </w:rPr>
        <w:t xml:space="preserve"> </w:t>
      </w:r>
      <w:r w:rsidRPr="00A3423C">
        <w:rPr>
          <w:rFonts w:ascii="FrankRuehl" w:eastAsia="Calibri" w:hAnsi="FrankRuehl" w:cs="Miriam"/>
          <w:b/>
          <w:sz w:val="28"/>
          <w:rtl/>
        </w:rPr>
        <w:t xml:space="preserve">מדינת ישראל נ' שווכי </w:t>
      </w:r>
      <w:r w:rsidRPr="00A3423C">
        <w:rPr>
          <w:rFonts w:ascii="FrankRuehl" w:eastAsia="Calibri" w:hAnsi="FrankRuehl" w:cs="FrankRuehl"/>
          <w:sz w:val="28"/>
          <w:szCs w:val="28"/>
          <w:rtl/>
        </w:rPr>
        <w:t xml:space="preserve">(29.3.22, להלן: </w:t>
      </w:r>
      <w:r w:rsidRPr="00A3423C">
        <w:rPr>
          <w:rFonts w:ascii="FrankRuehl" w:eastAsia="Calibri" w:hAnsi="FrankRuehl" w:cs="Miriam"/>
          <w:b/>
          <w:sz w:val="28"/>
          <w:rtl/>
        </w:rPr>
        <w:t>ענין שווכי</w:t>
      </w:r>
      <w:r w:rsidRPr="00A3423C">
        <w:rPr>
          <w:rFonts w:ascii="FrankRuehl" w:eastAsia="Calibri" w:hAnsi="FrankRuehl" w:cs="FrankRuehl"/>
          <w:sz w:val="28"/>
          <w:szCs w:val="28"/>
          <w:rtl/>
        </w:rPr>
        <w:t>. ערעור הנאשם נדחה ביום 6.3.23): "החזקת סמים בין כותלי בית הסוהר טומנת בחובה פגיעה בניהולו התקין של בית הסוהר, ומגבירה פשיעה ואלימות בין כתליו".</w:t>
      </w:r>
    </w:p>
    <w:p w14:paraId="5F8938A0" w14:textId="77777777" w:rsidR="00D02E85" w:rsidRPr="00A3423C" w:rsidRDefault="00D02E85" w:rsidP="00D02E85">
      <w:pPr>
        <w:spacing w:line="360" w:lineRule="auto"/>
        <w:ind w:firstLine="720"/>
        <w:jc w:val="both"/>
        <w:rPr>
          <w:rFonts w:ascii="FrankRuehl" w:eastAsia="Calibri" w:hAnsi="FrankRuehl" w:cs="FrankRuehl"/>
          <w:sz w:val="28"/>
          <w:szCs w:val="28"/>
          <w:rtl/>
        </w:rPr>
      </w:pPr>
    </w:p>
    <w:p w14:paraId="2E4E2D8A" w14:textId="77777777" w:rsidR="00D02E85" w:rsidRPr="00A3423C" w:rsidRDefault="00D02E85" w:rsidP="00D02E85">
      <w:pPr>
        <w:spacing w:line="360" w:lineRule="auto"/>
        <w:ind w:firstLine="720"/>
        <w:jc w:val="both"/>
        <w:rPr>
          <w:rFonts w:ascii="FrankRuehl" w:hAnsi="FrankRuehl" w:cs="FrankRuehl"/>
          <w:sz w:val="28"/>
          <w:szCs w:val="28"/>
          <w:rtl/>
        </w:rPr>
      </w:pPr>
      <w:r w:rsidRPr="00A3423C">
        <w:rPr>
          <w:rFonts w:ascii="FrankRuehl" w:eastAsia="Calibri" w:hAnsi="FrankRuehl" w:cs="FrankRuehl"/>
          <w:sz w:val="28"/>
          <w:szCs w:val="28"/>
          <w:rtl/>
        </w:rPr>
        <w:t>הנאשם פלט מגופו סמים מסוגים שונים בכמויות שוות ערך למספר לא מבוטל של "מנות סם". החזקת הסם שלא לצריכה עצמית, ובעיקר החזקתו ב</w:t>
      </w:r>
      <w:r>
        <w:rPr>
          <w:rFonts w:ascii="FrankRuehl" w:eastAsia="Calibri" w:hAnsi="FrankRuehl" w:cs="FrankRuehl" w:hint="cs"/>
          <w:sz w:val="28"/>
          <w:szCs w:val="28"/>
          <w:rtl/>
        </w:rPr>
        <w:t>תוך</w:t>
      </w:r>
      <w:r w:rsidRPr="00A3423C">
        <w:rPr>
          <w:rFonts w:ascii="FrankRuehl" w:eastAsia="Calibri" w:hAnsi="FrankRuehl" w:cs="FrankRuehl"/>
          <w:sz w:val="28"/>
          <w:szCs w:val="28"/>
          <w:rtl/>
        </w:rPr>
        <w:t xml:space="preserve"> בית הסוהר, </w:t>
      </w:r>
      <w:r>
        <w:rPr>
          <w:rFonts w:ascii="FrankRuehl" w:eastAsia="Calibri" w:hAnsi="FrankRuehl" w:cs="FrankRuehl" w:hint="cs"/>
          <w:sz w:val="28"/>
          <w:szCs w:val="28"/>
          <w:rtl/>
        </w:rPr>
        <w:t>היא</w:t>
      </w:r>
      <w:r w:rsidRPr="00A3423C">
        <w:rPr>
          <w:rFonts w:ascii="FrankRuehl" w:eastAsia="Calibri" w:hAnsi="FrankRuehl" w:cs="FrankRuehl"/>
          <w:sz w:val="28"/>
          <w:szCs w:val="28"/>
          <w:rtl/>
        </w:rPr>
        <w:t xml:space="preserve"> הפרה בוטה של הסדר הציבורי והמשמעת בבית הסוהר, מקימה סיכון ממשי לבריאותם של קורבנות פוטנציאליים, ומבססת חשש מפני התפתחות אירועי פשיעה נוספים.</w:t>
      </w:r>
      <w:r w:rsidRPr="00A3423C">
        <w:rPr>
          <w:rFonts w:ascii="FrankRuehl" w:hAnsi="FrankRuehl" w:cs="FrankRuehl"/>
          <w:sz w:val="28"/>
          <w:szCs w:val="28"/>
          <w:rtl/>
        </w:rPr>
        <w:t xml:space="preserve"> למדיניות הענישה ראו ענין שווכי והפסיקה שאוזכרה בו, שם נקבע מתחם עונש בין 20-8 חודשי מאסר בפועל לאסיר שהחזיק בתחתוניו 50 יחידות סם מסוג </w:t>
      </w:r>
      <w:r w:rsidRPr="00A3423C">
        <w:rPr>
          <w:rFonts w:ascii="FrankRuehl" w:hAnsi="FrankRuehl" w:cs="FrankRuehl"/>
          <w:sz w:val="28"/>
          <w:szCs w:val="28"/>
        </w:rPr>
        <w:t>LSD</w:t>
      </w:r>
      <w:r w:rsidRPr="00A3423C">
        <w:rPr>
          <w:rFonts w:ascii="FrankRuehl" w:hAnsi="FrankRuehl" w:cs="FrankRuehl"/>
          <w:sz w:val="28"/>
          <w:szCs w:val="28"/>
          <w:rtl/>
        </w:rPr>
        <w:t xml:space="preserve">. הוא נדון לעונש מאסר בפועל למשך שנה, מאסרים על-תנאי וקנס. הן המתחם והן התוצאה הסופית אושרו על ידי ערכאת הערעור, </w:t>
      </w:r>
      <w:hyperlink r:id="rId14" w:history="1">
        <w:r w:rsidR="002D4D21" w:rsidRPr="002D4D21">
          <w:rPr>
            <w:rFonts w:ascii="FrankRuehl" w:hAnsi="FrankRuehl" w:cs="FrankRuehl"/>
            <w:color w:val="0000FF"/>
            <w:sz w:val="28"/>
            <w:szCs w:val="28"/>
            <w:u w:val="single"/>
            <w:rtl/>
          </w:rPr>
          <w:t>עפ"ג (מרכז-לוד) 10121-05-22</w:t>
        </w:r>
      </w:hyperlink>
      <w:r w:rsidRPr="00A3423C">
        <w:rPr>
          <w:rFonts w:ascii="FrankRuehl" w:hAnsi="FrankRuehl" w:cs="FrankRuehl"/>
          <w:sz w:val="28"/>
          <w:szCs w:val="28"/>
          <w:rtl/>
        </w:rPr>
        <w:t xml:space="preserve"> </w:t>
      </w:r>
      <w:r w:rsidRPr="00A3423C">
        <w:rPr>
          <w:rFonts w:ascii="FrankRuehl" w:hAnsi="FrankRuehl" w:cs="Miriam"/>
          <w:b/>
          <w:sz w:val="28"/>
          <w:rtl/>
        </w:rPr>
        <w:t xml:space="preserve">שווכי נ' מדינת ישראל </w:t>
      </w:r>
      <w:r w:rsidRPr="00A3423C">
        <w:rPr>
          <w:rFonts w:ascii="FrankRuehl" w:hAnsi="FrankRuehl" w:cs="FrankRuehl"/>
          <w:sz w:val="28"/>
          <w:szCs w:val="28"/>
          <w:rtl/>
        </w:rPr>
        <w:t>(6.3.23</w:t>
      </w:r>
      <w:r>
        <w:rPr>
          <w:rFonts w:ascii="FrankRuehl" w:hAnsi="FrankRuehl" w:cs="FrankRuehl" w:hint="cs"/>
          <w:sz w:val="28"/>
          <w:szCs w:val="28"/>
          <w:rtl/>
        </w:rPr>
        <w:t>, לא פורסם</w:t>
      </w:r>
      <w:r w:rsidRPr="00A3423C">
        <w:rPr>
          <w:rFonts w:ascii="FrankRuehl" w:hAnsi="FrankRuehl" w:cs="FrankRuehl"/>
          <w:sz w:val="28"/>
          <w:szCs w:val="28"/>
          <w:rtl/>
        </w:rPr>
        <w:t xml:space="preserve">). כן ראו </w:t>
      </w:r>
      <w:hyperlink r:id="rId15" w:history="1">
        <w:r w:rsidR="002D4D21" w:rsidRPr="002D4D21">
          <w:rPr>
            <w:rFonts w:ascii="FrankRuehl" w:hAnsi="FrankRuehl" w:cs="FrankRuehl"/>
            <w:color w:val="0000FF"/>
            <w:sz w:val="28"/>
            <w:szCs w:val="28"/>
            <w:u w:val="single"/>
            <w:rtl/>
          </w:rPr>
          <w:t>עפ"ג (מרכז-לוד) 77208-01-23</w:t>
        </w:r>
      </w:hyperlink>
      <w:r w:rsidRPr="00A3423C">
        <w:rPr>
          <w:rFonts w:ascii="FrankRuehl" w:hAnsi="FrankRuehl" w:cs="FrankRuehl"/>
          <w:sz w:val="28"/>
          <w:szCs w:val="28"/>
          <w:rtl/>
        </w:rPr>
        <w:t xml:space="preserve"> </w:t>
      </w:r>
      <w:r w:rsidRPr="00A3423C">
        <w:rPr>
          <w:rFonts w:ascii="FrankRuehl" w:hAnsi="FrankRuehl" w:cs="Miriam"/>
          <w:b/>
          <w:sz w:val="28"/>
          <w:rtl/>
        </w:rPr>
        <w:t xml:space="preserve">עיסא נ' מדינת ישראל </w:t>
      </w:r>
      <w:r w:rsidRPr="00A3423C">
        <w:rPr>
          <w:rFonts w:ascii="FrankRuehl" w:hAnsi="FrankRuehl" w:cs="FrankRuehl"/>
          <w:sz w:val="28"/>
          <w:szCs w:val="28"/>
          <w:rtl/>
        </w:rPr>
        <w:t>(27.3.23</w:t>
      </w:r>
      <w:r>
        <w:rPr>
          <w:rFonts w:ascii="FrankRuehl" w:hAnsi="FrankRuehl" w:cs="FrankRuehl" w:hint="cs"/>
          <w:sz w:val="28"/>
          <w:szCs w:val="28"/>
          <w:rtl/>
        </w:rPr>
        <w:t>, לא פורסם</w:t>
      </w:r>
      <w:r w:rsidRPr="00A3423C">
        <w:rPr>
          <w:rFonts w:ascii="FrankRuehl" w:hAnsi="FrankRuehl" w:cs="FrankRuehl"/>
          <w:sz w:val="28"/>
          <w:szCs w:val="28"/>
          <w:rtl/>
        </w:rPr>
        <w:t>).</w:t>
      </w:r>
    </w:p>
    <w:p w14:paraId="0835D1B1" w14:textId="77777777" w:rsidR="00D02E85" w:rsidRPr="00A3423C" w:rsidRDefault="00D02E85" w:rsidP="00D02E85">
      <w:pPr>
        <w:spacing w:line="360" w:lineRule="auto"/>
        <w:ind w:firstLine="720"/>
        <w:jc w:val="both"/>
        <w:rPr>
          <w:rFonts w:ascii="FrankRuehl" w:hAnsi="FrankRuehl" w:cs="FrankRuehl"/>
          <w:sz w:val="28"/>
          <w:szCs w:val="28"/>
          <w:rtl/>
        </w:rPr>
      </w:pPr>
    </w:p>
    <w:p w14:paraId="13BA1C84" w14:textId="77777777" w:rsidR="00D02E85" w:rsidRPr="00A3423C" w:rsidRDefault="00D02E85" w:rsidP="00D02E85">
      <w:pPr>
        <w:spacing w:line="360" w:lineRule="auto"/>
        <w:ind w:firstLine="720"/>
        <w:jc w:val="both"/>
        <w:rPr>
          <w:rFonts w:ascii="FrankRuehl" w:hAnsi="FrankRuehl" w:cs="FrankRuehl"/>
          <w:sz w:val="28"/>
          <w:szCs w:val="28"/>
          <w:rtl/>
        </w:rPr>
      </w:pPr>
      <w:r w:rsidRPr="00A3423C">
        <w:rPr>
          <w:rFonts w:ascii="FrankRuehl" w:hAnsi="FrankRuehl" w:cs="FrankRuehl"/>
          <w:sz w:val="28"/>
          <w:szCs w:val="28"/>
          <w:rtl/>
        </w:rPr>
        <w:t>בהתחשב בשיקולים עליהם עמדתי ובמדיניות הענישה, מצאתי לקבוע את מתחם העונש בגין העבירה שביצע הנאשם, בין 20-8 חודשי מאסר בפועל. אוסיף כי מקובלת עליי טענתה של ב"כ הנאשם, לפיה מהאופן בו הוצג הסדר הטיעון בין הצדדים, ניתן היה להסיק כי לשיטתה של המאשימה, עונש מאסר בפועל בן 9 חודשים מצוי בתוך מתחם העונש הראוי. לא שוכנעתי מהסבריה של המאשימה מדוע בחרה לטעון למתחם חמור יותר, לְמִצער בתחתיתו. ככל שביקשה להמתין לקבלת תסקיר מבחן, יש בו כדי להשפיע על גזירת העונש בתוך המתחם, ולא על אופן קביעת המתחם. מכאן, הגם שאין חולק על כך שהנאשם לא עמד בתנאי ההסדר, כך שהמאשימה רשאית לטעון לעונש באופן חופשי, קשה להלום את חומרת המתחם לו עתרה, בדגש על תחתיתו.</w:t>
      </w:r>
    </w:p>
    <w:p w14:paraId="65E4A3AE" w14:textId="77777777" w:rsidR="00D02E85" w:rsidRPr="00A3423C" w:rsidRDefault="00D02E85" w:rsidP="00D02E85">
      <w:pPr>
        <w:spacing w:line="360" w:lineRule="auto"/>
        <w:ind w:firstLine="720"/>
        <w:jc w:val="both"/>
        <w:rPr>
          <w:rFonts w:ascii="FrankRuehl" w:hAnsi="FrankRuehl" w:cs="FrankRuehl"/>
          <w:sz w:val="28"/>
          <w:szCs w:val="28"/>
          <w:rtl/>
        </w:rPr>
      </w:pPr>
    </w:p>
    <w:p w14:paraId="0F683F1A" w14:textId="77777777" w:rsidR="00D02E85" w:rsidRPr="00A3423C" w:rsidRDefault="00D02E85" w:rsidP="00D02E85">
      <w:pPr>
        <w:spacing w:line="360" w:lineRule="auto"/>
        <w:jc w:val="both"/>
        <w:rPr>
          <w:rFonts w:ascii="FrankRuehl" w:hAnsi="FrankRuehl" w:cs="FrankRuehl"/>
          <w:sz w:val="28"/>
          <w:szCs w:val="28"/>
          <w:rtl/>
        </w:rPr>
      </w:pPr>
      <w:r w:rsidRPr="00A3423C">
        <w:rPr>
          <w:rFonts w:ascii="FrankRuehl" w:hAnsi="FrankRuehl" w:cs="FrankRuehl"/>
          <w:sz w:val="28"/>
          <w:szCs w:val="28"/>
          <w:rtl/>
        </w:rPr>
        <w:t>5.</w:t>
      </w:r>
      <w:r w:rsidRPr="00A3423C">
        <w:rPr>
          <w:rFonts w:ascii="FrankRuehl" w:hAnsi="FrankRuehl" w:cs="FrankRuehl"/>
          <w:sz w:val="28"/>
          <w:szCs w:val="28"/>
          <w:rtl/>
        </w:rPr>
        <w:tab/>
        <w:t>אשר לעונש הראוי לנאשם: לזכותו – הודייתו במיוחס לו, קבלת אחריות, וחיסכון בזמנם של עדי התביעה. את חלוף הזמן קשה לזקוף לטובת הנאשם, הן בשל תקופה</w:t>
      </w:r>
      <w:r>
        <w:rPr>
          <w:rFonts w:ascii="FrankRuehl" w:hAnsi="FrankRuehl" w:cs="FrankRuehl" w:hint="cs"/>
          <w:sz w:val="28"/>
          <w:szCs w:val="28"/>
          <w:rtl/>
        </w:rPr>
        <w:t xml:space="preserve"> ממושכת</w:t>
      </w:r>
      <w:r w:rsidRPr="00A3423C">
        <w:rPr>
          <w:rFonts w:ascii="FrankRuehl" w:hAnsi="FrankRuehl" w:cs="FrankRuehl"/>
          <w:sz w:val="28"/>
          <w:szCs w:val="28"/>
          <w:rtl/>
        </w:rPr>
        <w:t xml:space="preserve"> בה הותלו ההליכים לאחר שהנאשם לא התייצב לדיונים, והן לנוכח העובדה שדיונים</w:t>
      </w:r>
      <w:r>
        <w:rPr>
          <w:rFonts w:ascii="FrankRuehl" w:hAnsi="FrankRuehl" w:cs="FrankRuehl"/>
          <w:sz w:val="28"/>
          <w:szCs w:val="28"/>
          <w:rtl/>
        </w:rPr>
        <w:t xml:space="preserve"> נדחו מעת לעת לצורך קבלת תסקירי</w:t>
      </w:r>
      <w:r>
        <w:rPr>
          <w:rFonts w:ascii="FrankRuehl" w:hAnsi="FrankRuehl" w:cs="FrankRuehl" w:hint="cs"/>
          <w:sz w:val="28"/>
          <w:szCs w:val="28"/>
          <w:rtl/>
        </w:rPr>
        <w:t xml:space="preserve"> מבחן</w:t>
      </w:r>
      <w:r w:rsidRPr="00A3423C">
        <w:rPr>
          <w:rFonts w:ascii="FrankRuehl" w:hAnsi="FrankRuehl" w:cs="FrankRuehl"/>
          <w:sz w:val="28"/>
          <w:szCs w:val="28"/>
          <w:rtl/>
        </w:rPr>
        <w:t>, שסופו של יום לא הניבו את התוצאה המצופה, מחמת שיתוף פעולה לקוי מצדו של הנאשם. לחובתו עברו הפלילי המכביד – הנאשם בן 42, ריצה עד כה למעלה מ-13 שנים מחייו (באופן מצטבר) בין כותלי בית הסוהר בגין עבירות מסוגים שונים, בעיקר רכוש ואלימות. הוא הודה במיוחס לו בפני שירות המבחן, אך ניסיונות חוזרים לרתום אותו להליך טיפולי, לא נחלו הצלחה. בהתחשב בטיעוני הצדדים ובשיקולים עליהם עמדתי, אני גוזר על הנאשם את העונשים הבאים:</w:t>
      </w:r>
    </w:p>
    <w:p w14:paraId="2D4989B6" w14:textId="77777777" w:rsidR="00D02E85" w:rsidRPr="00A3423C" w:rsidRDefault="00D02E85" w:rsidP="00D02E85">
      <w:pPr>
        <w:spacing w:line="360" w:lineRule="auto"/>
        <w:jc w:val="both"/>
        <w:rPr>
          <w:rFonts w:ascii="FrankRuehl" w:eastAsia="Calibri" w:hAnsi="FrankRuehl" w:cs="FrankRuehl"/>
          <w:sz w:val="28"/>
          <w:szCs w:val="28"/>
          <w:rtl/>
        </w:rPr>
      </w:pPr>
    </w:p>
    <w:p w14:paraId="7934C69B" w14:textId="77777777" w:rsidR="00D02E85" w:rsidRPr="00A3423C" w:rsidRDefault="00D02E85" w:rsidP="00D02E85">
      <w:pPr>
        <w:spacing w:line="360" w:lineRule="auto"/>
        <w:ind w:left="1440" w:hanging="720"/>
        <w:jc w:val="both"/>
        <w:rPr>
          <w:rFonts w:ascii="FrankRuehl" w:hAnsi="FrankRuehl" w:cs="FrankRuehl"/>
          <w:sz w:val="28"/>
          <w:szCs w:val="28"/>
          <w:rtl/>
        </w:rPr>
      </w:pPr>
      <w:r w:rsidRPr="00A3423C">
        <w:rPr>
          <w:rFonts w:ascii="FrankRuehl" w:hAnsi="FrankRuehl" w:cs="FrankRuehl"/>
          <w:sz w:val="28"/>
          <w:szCs w:val="28"/>
          <w:rtl/>
        </w:rPr>
        <w:t>א.</w:t>
      </w:r>
      <w:r w:rsidRPr="00A3423C">
        <w:rPr>
          <w:rFonts w:ascii="FrankRuehl" w:hAnsi="FrankRuehl" w:cs="FrankRuehl"/>
          <w:sz w:val="28"/>
          <w:szCs w:val="28"/>
          <w:rtl/>
        </w:rPr>
        <w:tab/>
        <w:t>שנת מאסר בפועל.</w:t>
      </w:r>
    </w:p>
    <w:p w14:paraId="78B4310D" w14:textId="77777777" w:rsidR="00D02E85" w:rsidRPr="00A3423C" w:rsidRDefault="00D02E85" w:rsidP="00D02E85">
      <w:pPr>
        <w:spacing w:line="360" w:lineRule="auto"/>
        <w:ind w:left="1440" w:hanging="720"/>
        <w:jc w:val="both"/>
        <w:rPr>
          <w:rFonts w:ascii="FrankRuehl" w:hAnsi="FrankRuehl" w:cs="FrankRuehl"/>
          <w:sz w:val="28"/>
          <w:szCs w:val="28"/>
          <w:rtl/>
        </w:rPr>
      </w:pPr>
      <w:r w:rsidRPr="00A3423C">
        <w:rPr>
          <w:rFonts w:ascii="FrankRuehl" w:hAnsi="FrankRuehl" w:cs="FrankRuehl"/>
          <w:sz w:val="28"/>
          <w:szCs w:val="28"/>
          <w:rtl/>
        </w:rPr>
        <w:t>ב.</w:t>
      </w:r>
      <w:r w:rsidRPr="00A3423C">
        <w:rPr>
          <w:rFonts w:ascii="FrankRuehl" w:hAnsi="FrankRuehl" w:cs="FrankRuehl"/>
          <w:sz w:val="28"/>
          <w:szCs w:val="28"/>
          <w:rtl/>
        </w:rPr>
        <w:tab/>
        <w:t>6 חודשי מאסר אותם לא ירצה הנאשם אלא אם יעבור תוך שלוש שנים מהיום עבירה על פקודת הסמים "מסוג פשע".</w:t>
      </w:r>
    </w:p>
    <w:p w14:paraId="33CAAC98" w14:textId="77777777" w:rsidR="00D02E85" w:rsidRPr="00A3423C" w:rsidRDefault="00D02E85" w:rsidP="00D02E85">
      <w:pPr>
        <w:spacing w:line="360" w:lineRule="auto"/>
        <w:ind w:left="1440" w:hanging="720"/>
        <w:jc w:val="both"/>
        <w:rPr>
          <w:rFonts w:ascii="FrankRuehl" w:hAnsi="FrankRuehl" w:cs="FrankRuehl"/>
          <w:sz w:val="28"/>
          <w:szCs w:val="28"/>
          <w:rtl/>
        </w:rPr>
      </w:pPr>
      <w:r w:rsidRPr="00A3423C">
        <w:rPr>
          <w:rFonts w:ascii="FrankRuehl" w:hAnsi="FrankRuehl" w:cs="FrankRuehl"/>
          <w:sz w:val="28"/>
          <w:szCs w:val="28"/>
          <w:rtl/>
        </w:rPr>
        <w:tab/>
        <w:t>3 חודשי מאסר אותם לא ירצה הנאשם אלא אם יעבור תוך שלוש שנים מהיום עביר</w:t>
      </w:r>
      <w:r>
        <w:rPr>
          <w:rFonts w:ascii="FrankRuehl" w:hAnsi="FrankRuehl" w:cs="FrankRuehl" w:hint="cs"/>
          <w:sz w:val="28"/>
          <w:szCs w:val="28"/>
          <w:rtl/>
        </w:rPr>
        <w:t>ה</w:t>
      </w:r>
      <w:r w:rsidRPr="00A3423C">
        <w:rPr>
          <w:rFonts w:ascii="FrankRuehl" w:hAnsi="FrankRuehl" w:cs="FrankRuehl"/>
          <w:sz w:val="28"/>
          <w:szCs w:val="28"/>
          <w:rtl/>
        </w:rPr>
        <w:t xml:space="preserve"> על פקודת הסמים "מסוג עוון".</w:t>
      </w:r>
    </w:p>
    <w:p w14:paraId="014C1A37" w14:textId="77777777" w:rsidR="00D02E85" w:rsidRPr="00A3423C" w:rsidRDefault="00D02E85" w:rsidP="00D02E85">
      <w:pPr>
        <w:spacing w:line="360" w:lineRule="auto"/>
        <w:ind w:left="1440" w:hanging="720"/>
        <w:jc w:val="both"/>
        <w:rPr>
          <w:rFonts w:ascii="FrankRuehl" w:hAnsi="FrankRuehl" w:cs="FrankRuehl"/>
          <w:sz w:val="28"/>
          <w:szCs w:val="28"/>
          <w:rtl/>
        </w:rPr>
      </w:pPr>
      <w:r w:rsidRPr="00A3423C">
        <w:rPr>
          <w:rFonts w:ascii="FrankRuehl" w:hAnsi="FrankRuehl" w:cs="FrankRuehl"/>
          <w:sz w:val="28"/>
          <w:szCs w:val="28"/>
          <w:rtl/>
        </w:rPr>
        <w:t>ג.</w:t>
      </w:r>
      <w:r w:rsidRPr="00A3423C">
        <w:rPr>
          <w:rFonts w:ascii="FrankRuehl" w:hAnsi="FrankRuehl" w:cs="FrankRuehl"/>
          <w:sz w:val="28"/>
          <w:szCs w:val="28"/>
          <w:rtl/>
        </w:rPr>
        <w:tab/>
        <w:t>קנס בסך 2,000 ₪ או 14 ימי מאסר תמורתו. הקנס ישולם ב-</w:t>
      </w:r>
      <w:r>
        <w:rPr>
          <w:rFonts w:ascii="FrankRuehl" w:hAnsi="FrankRuehl" w:cs="FrankRuehl" w:hint="cs"/>
          <w:sz w:val="28"/>
          <w:szCs w:val="28"/>
          <w:rtl/>
        </w:rPr>
        <w:t>5</w:t>
      </w:r>
      <w:r w:rsidRPr="00A3423C">
        <w:rPr>
          <w:rFonts w:ascii="FrankRuehl" w:hAnsi="FrankRuehl" w:cs="FrankRuehl"/>
          <w:sz w:val="28"/>
          <w:szCs w:val="28"/>
          <w:rtl/>
        </w:rPr>
        <w:t xml:space="preserve"> תשלומים חודשיים שווים ורצופים, החל מיום 10.8.23 ובכל 10 בחודש שלאחריו. לא ישולם איזה מהתשלומים במועדו, תעמוד יתרת הקנס לפירעון מידי.</w:t>
      </w:r>
    </w:p>
    <w:p w14:paraId="5F965F09" w14:textId="77777777" w:rsidR="00D02E85" w:rsidRPr="002D4D21" w:rsidRDefault="002D4D21" w:rsidP="00D02E85">
      <w:pPr>
        <w:spacing w:line="360" w:lineRule="auto"/>
        <w:jc w:val="both"/>
        <w:rPr>
          <w:rFonts w:ascii="FrankRuehl" w:hAnsi="FrankRuehl" w:cs="FrankRuehl"/>
          <w:color w:val="FFFFFF"/>
          <w:sz w:val="2"/>
          <w:szCs w:val="2"/>
          <w:rtl/>
        </w:rPr>
      </w:pPr>
      <w:r w:rsidRPr="002D4D21">
        <w:rPr>
          <w:rFonts w:ascii="FrankRuehl" w:hAnsi="FrankRuehl" w:cs="FrankRuehl"/>
          <w:color w:val="FFFFFF"/>
          <w:sz w:val="2"/>
          <w:szCs w:val="2"/>
          <w:rtl/>
        </w:rPr>
        <w:t>5129371</w:t>
      </w:r>
    </w:p>
    <w:p w14:paraId="26C8B8CF" w14:textId="77777777" w:rsidR="00D02E85" w:rsidRPr="00A3423C" w:rsidRDefault="002D4D21" w:rsidP="00D02E85">
      <w:pPr>
        <w:spacing w:line="360" w:lineRule="auto"/>
        <w:jc w:val="both"/>
        <w:rPr>
          <w:rFonts w:ascii="FrankRuehl" w:hAnsi="FrankRuehl" w:cs="Miriam"/>
          <w:b/>
          <w:sz w:val="28"/>
          <w:u w:val="single"/>
          <w:rtl/>
        </w:rPr>
      </w:pPr>
      <w:r w:rsidRPr="002D4D21">
        <w:rPr>
          <w:rFonts w:ascii="FrankRuehl" w:hAnsi="FrankRuehl" w:cs="Miriam"/>
          <w:b/>
          <w:color w:val="FFFFFF"/>
          <w:sz w:val="2"/>
          <w:szCs w:val="2"/>
          <w:u w:val="single"/>
          <w:rtl/>
        </w:rPr>
        <w:t>54678313</w:t>
      </w:r>
      <w:r w:rsidR="00D02E85" w:rsidRPr="00A3423C">
        <w:rPr>
          <w:rFonts w:ascii="FrankRuehl" w:hAnsi="FrankRuehl" w:cs="Miriam"/>
          <w:b/>
          <w:sz w:val="28"/>
          <w:u w:val="single"/>
          <w:rtl/>
        </w:rPr>
        <w:t>זכות ערעור לבית המשפט המחוזי תוך 45 ימים מהיום.</w:t>
      </w:r>
    </w:p>
    <w:p w14:paraId="7D66A8A6" w14:textId="77777777" w:rsidR="00D02E85" w:rsidRPr="000F2247" w:rsidRDefault="00D02E85" w:rsidP="00D02E85">
      <w:pPr>
        <w:rPr>
          <w:rFonts w:ascii="Arial" w:hAnsi="Arial"/>
          <w:b/>
          <w:bCs/>
          <w:sz w:val="26"/>
          <w:szCs w:val="26"/>
          <w:rtl/>
        </w:rPr>
      </w:pPr>
    </w:p>
    <w:p w14:paraId="6660E522" w14:textId="77777777" w:rsidR="00D02E85" w:rsidRPr="000F2247" w:rsidRDefault="002D4D21" w:rsidP="00D02E85">
      <w:pPr>
        <w:spacing w:line="360" w:lineRule="auto"/>
        <w:jc w:val="both"/>
        <w:rPr>
          <w:rFonts w:ascii="Arial" w:hAnsi="Arial"/>
          <w:b/>
          <w:bCs/>
          <w:sz w:val="26"/>
          <w:szCs w:val="26"/>
          <w:rtl/>
        </w:rPr>
      </w:pPr>
      <w:bookmarkStart w:id="8" w:name="Nitan"/>
      <w:r>
        <w:rPr>
          <w:rFonts w:ascii="FrankRuehl" w:hAnsi="FrankRuehl" w:cs="FrankRuehl"/>
          <w:sz w:val="28"/>
          <w:szCs w:val="28"/>
          <w:rtl/>
        </w:rPr>
        <w:t xml:space="preserve">ניתן היום,  ח' תמוז תשפ"ג, 27 יוני 2023, במעמד הצדדים. </w:t>
      </w:r>
      <w:bookmarkEnd w:id="8"/>
      <w:r w:rsidR="00D02E85" w:rsidRPr="00A3423C">
        <w:rPr>
          <w:rFonts w:ascii="FrankRuehl" w:hAnsi="FrankRuehl" w:cs="FrankRuehl"/>
          <w:sz w:val="28"/>
          <w:szCs w:val="28"/>
          <w:rtl/>
        </w:rPr>
        <w:t>המזכירות תעביר עותק מגזר הדין לשירות המבחן.</w:t>
      </w:r>
      <w:r w:rsidR="00D02E85">
        <w:rPr>
          <w:rFonts w:ascii="Arial" w:hAnsi="Arial"/>
          <w:b/>
          <w:bCs/>
          <w:sz w:val="26"/>
          <w:szCs w:val="26"/>
          <w:rtl/>
        </w:rPr>
        <w:tab/>
      </w:r>
      <w:r w:rsidR="00D02E85">
        <w:rPr>
          <w:rFonts w:ascii="Arial" w:hAnsi="Arial"/>
          <w:b/>
          <w:bCs/>
          <w:sz w:val="26"/>
          <w:szCs w:val="26"/>
          <w:rtl/>
        </w:rPr>
        <w:tab/>
      </w:r>
      <w:r w:rsidR="00D02E85">
        <w:rPr>
          <w:rFonts w:ascii="Arial" w:hAnsi="Arial"/>
          <w:b/>
          <w:bCs/>
          <w:sz w:val="26"/>
          <w:szCs w:val="26"/>
          <w:rtl/>
        </w:rPr>
        <w:tab/>
      </w:r>
      <w:r w:rsidR="00D02E85">
        <w:rPr>
          <w:rFonts w:ascii="Arial" w:hAnsi="Arial"/>
          <w:b/>
          <w:bCs/>
          <w:sz w:val="26"/>
          <w:szCs w:val="26"/>
          <w:rtl/>
        </w:rPr>
        <w:tab/>
      </w:r>
      <w:r w:rsidR="00D02E85">
        <w:rPr>
          <w:rFonts w:ascii="Arial" w:hAnsi="Arial"/>
          <w:b/>
          <w:bCs/>
          <w:sz w:val="26"/>
          <w:szCs w:val="26"/>
          <w:rtl/>
        </w:rPr>
        <w:tab/>
      </w:r>
      <w:r w:rsidR="00D02E85">
        <w:rPr>
          <w:rFonts w:ascii="Arial" w:hAnsi="Arial" w:hint="cs"/>
          <w:b/>
          <w:bCs/>
          <w:sz w:val="26"/>
          <w:szCs w:val="26"/>
          <w:rtl/>
        </w:rPr>
        <w:t xml:space="preserve">         </w:t>
      </w:r>
    </w:p>
    <w:p w14:paraId="2E433ADF" w14:textId="77777777" w:rsidR="00D02E85" w:rsidRPr="000F2247" w:rsidRDefault="00D02E85" w:rsidP="002D4D2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436379B" w14:textId="77777777" w:rsidR="00D02E85" w:rsidRPr="00B95215" w:rsidRDefault="00B95215" w:rsidP="00D02E85">
      <w:pPr>
        <w:jc w:val="center"/>
        <w:rPr>
          <w:rFonts w:ascii="Arial" w:hAnsi="Arial"/>
          <w:b/>
          <w:bCs/>
          <w:color w:val="FFFFFF"/>
          <w:sz w:val="2"/>
          <w:szCs w:val="2"/>
          <w:rtl/>
        </w:rPr>
      </w:pPr>
      <w:r w:rsidRPr="00B95215">
        <w:rPr>
          <w:rFonts w:ascii="Arial" w:hAnsi="Arial"/>
          <w:b/>
          <w:bCs/>
          <w:color w:val="FFFFFF"/>
          <w:sz w:val="2"/>
          <w:szCs w:val="2"/>
          <w:rtl/>
        </w:rPr>
        <w:t>5129371</w:t>
      </w:r>
    </w:p>
    <w:p w14:paraId="0F0010CD" w14:textId="77777777" w:rsidR="00C32820" w:rsidRPr="00B95215" w:rsidRDefault="00B95215" w:rsidP="002D4D21">
      <w:pPr>
        <w:keepNext/>
        <w:rPr>
          <w:rFonts w:ascii="David" w:hAnsi="David"/>
          <w:color w:val="FFFFFF"/>
          <w:sz w:val="2"/>
          <w:szCs w:val="2"/>
          <w:rtl/>
        </w:rPr>
      </w:pPr>
      <w:r w:rsidRPr="00B95215">
        <w:rPr>
          <w:rFonts w:ascii="David" w:hAnsi="David"/>
          <w:color w:val="FFFFFF"/>
          <w:sz w:val="2"/>
          <w:szCs w:val="2"/>
          <w:rtl/>
        </w:rPr>
        <w:t>54678313</w:t>
      </w:r>
    </w:p>
    <w:p w14:paraId="109133A2" w14:textId="77777777" w:rsidR="002D4D21" w:rsidRDefault="002D4D21" w:rsidP="002D4D21">
      <w:pPr>
        <w:rPr>
          <w:rtl/>
        </w:rPr>
      </w:pPr>
    </w:p>
    <w:p w14:paraId="2D76994E" w14:textId="77777777" w:rsidR="002D4D21" w:rsidRDefault="002D4D21" w:rsidP="002D4D21">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39E41BCE" w14:textId="77777777" w:rsidR="00B95215" w:rsidRPr="00B95215" w:rsidRDefault="00B95215" w:rsidP="00B95215">
      <w:pPr>
        <w:keepNext/>
        <w:rPr>
          <w:rFonts w:ascii="David" w:hAnsi="David"/>
          <w:color w:val="000000"/>
          <w:sz w:val="22"/>
          <w:szCs w:val="22"/>
          <w:rtl/>
        </w:rPr>
      </w:pPr>
    </w:p>
    <w:p w14:paraId="7F0B78D6" w14:textId="77777777" w:rsidR="00B95215" w:rsidRPr="00B95215" w:rsidRDefault="00B95215" w:rsidP="00B95215">
      <w:pPr>
        <w:keepNext/>
        <w:rPr>
          <w:rFonts w:ascii="David" w:hAnsi="David"/>
          <w:color w:val="000000"/>
          <w:sz w:val="22"/>
          <w:szCs w:val="22"/>
          <w:rtl/>
        </w:rPr>
      </w:pPr>
      <w:r w:rsidRPr="00B95215">
        <w:rPr>
          <w:rFonts w:ascii="David" w:hAnsi="David"/>
          <w:color w:val="000000"/>
          <w:sz w:val="22"/>
          <w:szCs w:val="22"/>
          <w:rtl/>
        </w:rPr>
        <w:t>גיא אבנון 54678313-/</w:t>
      </w:r>
    </w:p>
    <w:p w14:paraId="7627A31F" w14:textId="77777777" w:rsidR="002D4D21" w:rsidRPr="002D4D21" w:rsidRDefault="00B95215" w:rsidP="00B95215">
      <w:pPr>
        <w:rPr>
          <w:color w:val="0000FF"/>
          <w:u w:val="single"/>
        </w:rPr>
      </w:pPr>
      <w:r w:rsidRPr="00B95215">
        <w:rPr>
          <w:color w:val="000000"/>
          <w:u w:val="single"/>
          <w:rtl/>
        </w:rPr>
        <w:t>נוסח מסמך זה כפוף לשינויי ניסוח ועריכה</w:t>
      </w:r>
    </w:p>
    <w:sectPr w:rsidR="002D4D21" w:rsidRPr="002D4D21" w:rsidSect="00B95215">
      <w:headerReference w:type="even" r:id="rId17"/>
      <w:headerReference w:type="default" r:id="rId18"/>
      <w:footerReference w:type="even" r:id="rId19"/>
      <w:footerReference w:type="default" r:id="rId2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1CA31" w14:textId="77777777" w:rsidR="005A4EBB" w:rsidRDefault="005A4EBB" w:rsidP="005C7D00">
      <w:r>
        <w:separator/>
      </w:r>
    </w:p>
  </w:endnote>
  <w:endnote w:type="continuationSeparator" w:id="0">
    <w:p w14:paraId="6991E62B" w14:textId="77777777" w:rsidR="005A4EBB" w:rsidRDefault="005A4EBB" w:rsidP="005C7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AA53F" w14:textId="77777777" w:rsidR="00B95215" w:rsidRDefault="00B95215" w:rsidP="00B952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B423A87" w14:textId="77777777" w:rsidR="00993B77" w:rsidRPr="00B95215" w:rsidRDefault="00B95215" w:rsidP="00B95215">
    <w:pPr>
      <w:pStyle w:val="a5"/>
      <w:pBdr>
        <w:top w:val="single" w:sz="4" w:space="1" w:color="auto"/>
        <w:between w:val="single" w:sz="4" w:space="0" w:color="auto"/>
      </w:pBdr>
      <w:spacing w:after="60"/>
      <w:jc w:val="center"/>
      <w:rPr>
        <w:rFonts w:ascii="FrankRuehl" w:hAnsi="FrankRuehl" w:cs="FrankRuehl"/>
        <w:color w:val="000000"/>
      </w:rPr>
    </w:pPr>
    <w:r w:rsidRPr="00B952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D25AB" w14:textId="77777777" w:rsidR="00B95215" w:rsidRDefault="00B95215" w:rsidP="00B952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4031E">
      <w:rPr>
        <w:rFonts w:ascii="FrankRuehl" w:hAnsi="FrankRuehl" w:cs="FrankRuehl"/>
        <w:noProof/>
        <w:rtl/>
      </w:rPr>
      <w:t>1</w:t>
    </w:r>
    <w:r>
      <w:rPr>
        <w:rFonts w:ascii="FrankRuehl" w:hAnsi="FrankRuehl" w:cs="FrankRuehl"/>
        <w:rtl/>
      </w:rPr>
      <w:fldChar w:fldCharType="end"/>
    </w:r>
  </w:p>
  <w:p w14:paraId="2AAAB2FE" w14:textId="77777777" w:rsidR="00993B77" w:rsidRPr="00B95215" w:rsidRDefault="00B95215" w:rsidP="00B95215">
    <w:pPr>
      <w:pStyle w:val="a5"/>
      <w:pBdr>
        <w:top w:val="single" w:sz="4" w:space="1" w:color="auto"/>
        <w:between w:val="single" w:sz="4" w:space="0" w:color="auto"/>
      </w:pBdr>
      <w:spacing w:after="60"/>
      <w:jc w:val="center"/>
      <w:rPr>
        <w:rFonts w:ascii="FrankRuehl" w:hAnsi="FrankRuehl" w:cs="FrankRuehl"/>
        <w:color w:val="000000"/>
      </w:rPr>
    </w:pPr>
    <w:r w:rsidRPr="00B95215">
      <w:rPr>
        <w:rFonts w:ascii="FrankRuehl" w:hAnsi="FrankRuehl" w:cs="FrankRuehl"/>
        <w:color w:val="000000"/>
      </w:rPr>
      <w:pict w14:anchorId="464FE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701E8" w14:textId="77777777" w:rsidR="005A4EBB" w:rsidRDefault="005A4EBB" w:rsidP="005C7D00">
      <w:r>
        <w:separator/>
      </w:r>
    </w:p>
  </w:footnote>
  <w:footnote w:type="continuationSeparator" w:id="0">
    <w:p w14:paraId="06704696" w14:textId="77777777" w:rsidR="005A4EBB" w:rsidRDefault="005A4EBB" w:rsidP="005C7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4F756" w14:textId="77777777" w:rsidR="002D4D21" w:rsidRPr="00B95215" w:rsidRDefault="00B95215" w:rsidP="00B9521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37932-05-20</w:t>
    </w:r>
    <w:r>
      <w:rPr>
        <w:rFonts w:ascii="David" w:hAnsi="David"/>
        <w:color w:val="000000"/>
        <w:sz w:val="22"/>
        <w:szCs w:val="22"/>
        <w:rtl/>
      </w:rPr>
      <w:tab/>
      <w:t xml:space="preserve"> מדינת ישראל נ' דניס אוגנסיאן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D5C71" w14:textId="77777777" w:rsidR="002D4D21" w:rsidRPr="00B95215" w:rsidRDefault="00B95215" w:rsidP="00B9521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37932-05-20</w:t>
    </w:r>
    <w:r>
      <w:rPr>
        <w:rFonts w:ascii="David" w:hAnsi="David"/>
        <w:color w:val="000000"/>
        <w:sz w:val="22"/>
        <w:szCs w:val="22"/>
        <w:rtl/>
      </w:rPr>
      <w:tab/>
      <w:t xml:space="preserve"> מדינת ישראל נ' דניס אוגנסיאן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02E85"/>
    <w:rsid w:val="00122A0C"/>
    <w:rsid w:val="001B5A3B"/>
    <w:rsid w:val="002264B6"/>
    <w:rsid w:val="002D4D21"/>
    <w:rsid w:val="0044031E"/>
    <w:rsid w:val="005A4EBB"/>
    <w:rsid w:val="005C7D00"/>
    <w:rsid w:val="0073554E"/>
    <w:rsid w:val="007E01A2"/>
    <w:rsid w:val="00847B68"/>
    <w:rsid w:val="00993B77"/>
    <w:rsid w:val="00A30CB1"/>
    <w:rsid w:val="00A52C83"/>
    <w:rsid w:val="00B95215"/>
    <w:rsid w:val="00C32820"/>
    <w:rsid w:val="00D02E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BBE25A"/>
  <w15:chartTrackingRefBased/>
  <w15:docId w15:val="{EE4D6C51-4DF9-45E1-BB14-69EA0A7F5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2E8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02E85"/>
    <w:pPr>
      <w:tabs>
        <w:tab w:val="center" w:pos="4153"/>
        <w:tab w:val="right" w:pos="8306"/>
      </w:tabs>
    </w:pPr>
  </w:style>
  <w:style w:type="character" w:customStyle="1" w:styleId="a4">
    <w:name w:val="כותרת עליונה תו"/>
    <w:link w:val="a3"/>
    <w:rsid w:val="00D02E85"/>
    <w:rPr>
      <w:rFonts w:ascii="Times New Roman" w:eastAsia="Times New Roman" w:hAnsi="Times New Roman" w:cs="David"/>
      <w:sz w:val="24"/>
      <w:szCs w:val="24"/>
    </w:rPr>
  </w:style>
  <w:style w:type="paragraph" w:styleId="a5">
    <w:name w:val="footer"/>
    <w:basedOn w:val="a"/>
    <w:link w:val="a6"/>
    <w:rsid w:val="00D02E85"/>
    <w:pPr>
      <w:tabs>
        <w:tab w:val="center" w:pos="4153"/>
        <w:tab w:val="right" w:pos="8306"/>
      </w:tabs>
    </w:pPr>
  </w:style>
  <w:style w:type="character" w:customStyle="1" w:styleId="a6">
    <w:name w:val="כותרת תחתונה תו"/>
    <w:link w:val="a5"/>
    <w:rsid w:val="00D02E85"/>
    <w:rPr>
      <w:rFonts w:ascii="Times New Roman" w:eastAsia="Times New Roman" w:hAnsi="Times New Roman" w:cs="David"/>
      <w:sz w:val="24"/>
      <w:szCs w:val="24"/>
    </w:rPr>
  </w:style>
  <w:style w:type="character" w:styleId="a7">
    <w:name w:val="page number"/>
    <w:rsid w:val="00D02E85"/>
  </w:style>
  <w:style w:type="character" w:styleId="Hyperlink">
    <w:name w:val="Hyperlink"/>
    <w:rsid w:val="002D4D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case/25573464"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4216/7.a" TargetMode="External"/><Relationship Id="rId12" Type="http://schemas.openxmlformats.org/officeDocument/2006/relationships/hyperlink" Target="http://www.nevo.co.il/case/22961877"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yperlink" Target="http://www.nevo.co.il/case/29358722" TargetMode="External"/><Relationship Id="rId10" Type="http://schemas.openxmlformats.org/officeDocument/2006/relationships/hyperlink" Target="http://www.nevo.co.il/law/4216/7.c"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case/28578768"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1289</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7719</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3866751</vt:i4>
      </vt:variant>
      <vt:variant>
        <vt:i4>27</vt:i4>
      </vt:variant>
      <vt:variant>
        <vt:i4>0</vt:i4>
      </vt:variant>
      <vt:variant>
        <vt:i4>5</vt:i4>
      </vt:variant>
      <vt:variant>
        <vt:lpwstr>http://www.nevo.co.il/case/29358722</vt:lpwstr>
      </vt:variant>
      <vt:variant>
        <vt:lpwstr/>
      </vt:variant>
      <vt:variant>
        <vt:i4>3735676</vt:i4>
      </vt:variant>
      <vt:variant>
        <vt:i4>24</vt:i4>
      </vt:variant>
      <vt:variant>
        <vt:i4>0</vt:i4>
      </vt:variant>
      <vt:variant>
        <vt:i4>5</vt:i4>
      </vt:variant>
      <vt:variant>
        <vt:lpwstr>http://www.nevo.co.il/case/28578768</vt:lpwstr>
      </vt:variant>
      <vt:variant>
        <vt:lpwstr/>
      </vt:variant>
      <vt:variant>
        <vt:i4>3276914</vt:i4>
      </vt:variant>
      <vt:variant>
        <vt:i4>21</vt:i4>
      </vt:variant>
      <vt:variant>
        <vt:i4>0</vt:i4>
      </vt:variant>
      <vt:variant>
        <vt:i4>5</vt:i4>
      </vt:variant>
      <vt:variant>
        <vt:lpwstr>http://www.nevo.co.il/case/25573464</vt:lpwstr>
      </vt:variant>
      <vt:variant>
        <vt:lpwstr/>
      </vt:variant>
      <vt:variant>
        <vt:i4>3997816</vt:i4>
      </vt:variant>
      <vt:variant>
        <vt:i4>18</vt:i4>
      </vt:variant>
      <vt:variant>
        <vt:i4>0</vt:i4>
      </vt:variant>
      <vt:variant>
        <vt:i4>5</vt:i4>
      </vt:variant>
      <vt:variant>
        <vt:lpwstr>http://www.nevo.co.il/case/22961877</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2025-04-23T00:34:00Z</dcterms:created>
  <dcterms:modified xsi:type="dcterms:W3CDTF">2025-04-23T00:34:00Z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37932</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דניס אוגנסיאן</vt:lpwstr>
  </property>
  <property fmtid="{D5CDD505-2E9C-101B-9397-08002B2CF9AE}" pid="10" name="LAWYER">
    <vt:lpwstr>מור מלכה;סיון ועקנין;שרון גואטה</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20230627</vt:lpwstr>
  </property>
  <property fmtid="{D5CDD505-2E9C-101B-9397-08002B2CF9AE}" pid="14" name="TYPE_N_DATE">
    <vt:lpwstr>38020230627</vt:lpwstr>
  </property>
  <property fmtid="{D5CDD505-2E9C-101B-9397-08002B2CF9AE}" pid="15" name="WORDNUMPAGES">
    <vt:lpwstr>5</vt:lpwstr>
  </property>
  <property fmtid="{D5CDD505-2E9C-101B-9397-08002B2CF9AE}" pid="16" name="TYPE_ABS_DATE">
    <vt:lpwstr>380020230627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22961877;25573464;28578768;29358722</vt:lpwstr>
  </property>
  <property fmtid="{D5CDD505-2E9C-101B-9397-08002B2CF9AE}" pid="36" name="LAWLISTTMP1">
    <vt:lpwstr>4216/007.a;007.c</vt:lpwstr>
  </property>
</Properties>
</file>