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77ADD" w:rsidRPr="00C428A7" w14:paraId="4B9DFBBD" w14:textId="77777777" w:rsidTr="005E5FCA">
        <w:trPr>
          <w:trHeight w:hRule="exact" w:val="418"/>
          <w:jc w:val="center"/>
        </w:trPr>
        <w:tc>
          <w:tcPr>
            <w:tcW w:w="8721" w:type="dxa"/>
            <w:gridSpan w:val="2"/>
          </w:tcPr>
          <w:p w14:paraId="0E3CBFFD" w14:textId="77777777" w:rsidR="00477ADD" w:rsidRPr="00C428A7" w:rsidRDefault="00477ADD" w:rsidP="0027401A">
            <w:pPr>
              <w:pStyle w:val="a3"/>
              <w:jc w:val="center"/>
              <w:rPr>
                <w:rFonts w:ascii="Tahoma" w:hAnsi="Tahoma" w:cs="Tahoma"/>
                <w:color w:val="000080"/>
                <w:rtl/>
              </w:rPr>
            </w:pPr>
            <w:r w:rsidRPr="00C428A7">
              <w:rPr>
                <w:rFonts w:ascii="Tahoma" w:hAnsi="Tahoma" w:cs="Tahoma"/>
                <w:b/>
                <w:bCs/>
                <w:color w:val="000080"/>
                <w:rtl/>
              </w:rPr>
              <w:t>בית משפט השלום בבאר שבע</w:t>
            </w:r>
            <w:r w:rsidRPr="00C428A7">
              <w:rPr>
                <w:rFonts w:ascii="Tahoma" w:hAnsi="Tahoma" w:cs="Tahoma" w:hint="cs"/>
                <w:b/>
                <w:bCs/>
                <w:color w:val="000080"/>
                <w:rtl/>
              </w:rPr>
              <w:t xml:space="preserve"> בשבתו בבית משפט השלום באשקלון </w:t>
            </w:r>
          </w:p>
        </w:tc>
      </w:tr>
      <w:tr w:rsidR="00477ADD" w:rsidRPr="00C428A7" w14:paraId="59664BA5" w14:textId="77777777" w:rsidTr="005E5FCA">
        <w:trPr>
          <w:trHeight w:val="337"/>
          <w:jc w:val="center"/>
        </w:trPr>
        <w:tc>
          <w:tcPr>
            <w:tcW w:w="5054" w:type="dxa"/>
          </w:tcPr>
          <w:p w14:paraId="06CF6FA9" w14:textId="77777777" w:rsidR="00477ADD" w:rsidRPr="00C428A7" w:rsidRDefault="00477ADD" w:rsidP="0027401A">
            <w:pPr>
              <w:rPr>
                <w:rFonts w:cs="FrankRuehl"/>
                <w:sz w:val="28"/>
                <w:szCs w:val="28"/>
                <w:rtl/>
              </w:rPr>
            </w:pPr>
            <w:r w:rsidRPr="00C428A7">
              <w:rPr>
                <w:rFonts w:cs="FrankRuehl"/>
                <w:sz w:val="28"/>
                <w:szCs w:val="28"/>
                <w:rtl/>
              </w:rPr>
              <w:t>ת"פ</w:t>
            </w:r>
            <w:r w:rsidRPr="00C428A7">
              <w:rPr>
                <w:rFonts w:cs="FrankRuehl" w:hint="cs"/>
                <w:sz w:val="28"/>
                <w:szCs w:val="28"/>
                <w:rtl/>
              </w:rPr>
              <w:t xml:space="preserve"> </w:t>
            </w:r>
            <w:hyperlink r:id="rId7" w:history="1">
              <w:r w:rsidR="00CA502A" w:rsidRPr="00CA502A">
                <w:rPr>
                  <w:rFonts w:cs="FrankRuehl"/>
                  <w:color w:val="0000FF"/>
                  <w:sz w:val="28"/>
                  <w:szCs w:val="28"/>
                  <w:u w:val="single"/>
                  <w:rtl/>
                </w:rPr>
                <w:t xml:space="preserve">38680-05-20 </w:t>
              </w:r>
            </w:hyperlink>
            <w:r w:rsidRPr="00C428A7">
              <w:rPr>
                <w:rFonts w:cs="FrankRuehl" w:hint="cs"/>
                <w:sz w:val="28"/>
                <w:szCs w:val="28"/>
                <w:rtl/>
              </w:rPr>
              <w:t xml:space="preserve"> </w:t>
            </w:r>
            <w:r w:rsidRPr="00C428A7">
              <w:rPr>
                <w:rFonts w:cs="FrankRuehl"/>
                <w:sz w:val="28"/>
                <w:szCs w:val="28"/>
                <w:rtl/>
              </w:rPr>
              <w:t>מדינת ישראל נ' גבאי</w:t>
            </w:r>
          </w:p>
          <w:p w14:paraId="5EFB4C62" w14:textId="77777777" w:rsidR="00477ADD" w:rsidRPr="00C428A7" w:rsidRDefault="00477ADD" w:rsidP="0027401A">
            <w:pPr>
              <w:pStyle w:val="a3"/>
              <w:rPr>
                <w:rFonts w:cs="FrankRuehl"/>
                <w:sz w:val="28"/>
                <w:szCs w:val="28"/>
                <w:rtl/>
              </w:rPr>
            </w:pPr>
          </w:p>
        </w:tc>
        <w:tc>
          <w:tcPr>
            <w:tcW w:w="3667" w:type="dxa"/>
          </w:tcPr>
          <w:p w14:paraId="69AE28F6" w14:textId="77777777" w:rsidR="00477ADD" w:rsidRPr="00C428A7" w:rsidRDefault="00477ADD" w:rsidP="0027401A">
            <w:pPr>
              <w:pStyle w:val="a3"/>
              <w:jc w:val="right"/>
              <w:rPr>
                <w:rFonts w:cs="FrankRuehl"/>
                <w:sz w:val="28"/>
                <w:szCs w:val="28"/>
                <w:rtl/>
              </w:rPr>
            </w:pPr>
          </w:p>
        </w:tc>
      </w:tr>
    </w:tbl>
    <w:p w14:paraId="4470D075" w14:textId="77777777" w:rsidR="00477ADD" w:rsidRPr="00C428A7" w:rsidRDefault="00477ADD" w:rsidP="00477ADD">
      <w:pPr>
        <w:pStyle w:val="a3"/>
        <w:rPr>
          <w:rtl/>
        </w:rPr>
      </w:pPr>
      <w:r w:rsidRPr="00C428A7">
        <w:rPr>
          <w:rFonts w:hint="cs"/>
          <w:rtl/>
        </w:rPr>
        <w:t xml:space="preserve"> </w:t>
      </w:r>
    </w:p>
    <w:p w14:paraId="36F9F857" w14:textId="77777777" w:rsidR="00477ADD" w:rsidRPr="00C428A7" w:rsidRDefault="00477ADD" w:rsidP="00477ADD">
      <w:pPr>
        <w:rPr>
          <w:rtl/>
        </w:rPr>
      </w:pPr>
    </w:p>
    <w:p w14:paraId="2EB8E14C" w14:textId="77777777" w:rsidR="00477ADD" w:rsidRPr="00C428A7" w:rsidRDefault="00477ADD" w:rsidP="00477A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77ADD" w:rsidRPr="00C428A7" w14:paraId="1D573F33" w14:textId="77777777" w:rsidTr="00477ADD">
        <w:trPr>
          <w:trHeight w:val="295"/>
          <w:jc w:val="center"/>
        </w:trPr>
        <w:tc>
          <w:tcPr>
            <w:tcW w:w="923" w:type="dxa"/>
            <w:tcBorders>
              <w:top w:val="nil"/>
              <w:left w:val="nil"/>
              <w:bottom w:val="nil"/>
              <w:right w:val="nil"/>
            </w:tcBorders>
            <w:shd w:val="clear" w:color="auto" w:fill="auto"/>
          </w:tcPr>
          <w:p w14:paraId="05A7E339" w14:textId="77777777" w:rsidR="00477ADD" w:rsidRPr="00C428A7" w:rsidRDefault="00477ADD" w:rsidP="00477ADD">
            <w:pPr>
              <w:jc w:val="both"/>
              <w:rPr>
                <w:rFonts w:ascii="David" w:hAnsi="David"/>
                <w:sz w:val="26"/>
                <w:szCs w:val="26"/>
              </w:rPr>
            </w:pPr>
            <w:r w:rsidRPr="00C428A7">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4C4C78B" w14:textId="77777777" w:rsidR="00477ADD" w:rsidRPr="00C428A7" w:rsidRDefault="00477ADD" w:rsidP="0027401A">
            <w:pPr>
              <w:rPr>
                <w:rFonts w:ascii="David" w:hAnsi="David"/>
                <w:b/>
                <w:bCs/>
                <w:sz w:val="26"/>
                <w:szCs w:val="26"/>
                <w:rtl/>
              </w:rPr>
            </w:pPr>
            <w:r w:rsidRPr="00C428A7">
              <w:rPr>
                <w:rFonts w:ascii="David" w:hAnsi="David"/>
                <w:b/>
                <w:bCs/>
                <w:sz w:val="26"/>
                <w:szCs w:val="26"/>
                <w:rtl/>
              </w:rPr>
              <w:t>כבוד השופטת, סגנית הנשיא  ענת חולתא</w:t>
            </w:r>
          </w:p>
          <w:p w14:paraId="5C27DE0F" w14:textId="77777777" w:rsidR="00477ADD" w:rsidRPr="00C428A7" w:rsidRDefault="00477ADD" w:rsidP="0027401A">
            <w:pPr>
              <w:rPr>
                <w:rFonts w:ascii="David" w:hAnsi="David"/>
                <w:sz w:val="26"/>
                <w:szCs w:val="26"/>
                <w:rtl/>
              </w:rPr>
            </w:pPr>
          </w:p>
          <w:p w14:paraId="007ED8FE" w14:textId="77777777" w:rsidR="00477ADD" w:rsidRPr="00C428A7" w:rsidRDefault="00477ADD" w:rsidP="00477ADD">
            <w:pPr>
              <w:jc w:val="both"/>
              <w:rPr>
                <w:rFonts w:ascii="David" w:hAnsi="David"/>
                <w:sz w:val="26"/>
                <w:szCs w:val="26"/>
              </w:rPr>
            </w:pPr>
          </w:p>
        </w:tc>
      </w:tr>
      <w:tr w:rsidR="00477ADD" w:rsidRPr="00C428A7" w14:paraId="55B6F7B9" w14:textId="77777777" w:rsidTr="00477ADD">
        <w:trPr>
          <w:trHeight w:val="355"/>
          <w:jc w:val="center"/>
        </w:trPr>
        <w:tc>
          <w:tcPr>
            <w:tcW w:w="923" w:type="dxa"/>
            <w:tcBorders>
              <w:top w:val="nil"/>
              <w:left w:val="nil"/>
              <w:bottom w:val="nil"/>
              <w:right w:val="nil"/>
            </w:tcBorders>
            <w:shd w:val="clear" w:color="auto" w:fill="auto"/>
          </w:tcPr>
          <w:p w14:paraId="3720407A" w14:textId="77777777" w:rsidR="00477ADD" w:rsidRPr="00C428A7" w:rsidRDefault="00477ADD" w:rsidP="00477ADD">
            <w:pPr>
              <w:jc w:val="both"/>
              <w:rPr>
                <w:rFonts w:ascii="David" w:hAnsi="David"/>
                <w:sz w:val="26"/>
                <w:szCs w:val="26"/>
              </w:rPr>
            </w:pPr>
            <w:bookmarkStart w:id="0" w:name="FirstAppellant"/>
            <w:bookmarkStart w:id="1" w:name="LastJudge"/>
            <w:bookmarkEnd w:id="1"/>
            <w:r w:rsidRPr="00C428A7">
              <w:rPr>
                <w:rFonts w:ascii="David" w:hAnsi="David"/>
                <w:sz w:val="26"/>
                <w:szCs w:val="26"/>
                <w:rtl/>
              </w:rPr>
              <w:t>בעניין:</w:t>
            </w:r>
          </w:p>
        </w:tc>
        <w:tc>
          <w:tcPr>
            <w:tcW w:w="4126" w:type="dxa"/>
            <w:tcBorders>
              <w:top w:val="nil"/>
              <w:left w:val="nil"/>
              <w:bottom w:val="nil"/>
              <w:right w:val="nil"/>
            </w:tcBorders>
            <w:shd w:val="clear" w:color="auto" w:fill="auto"/>
          </w:tcPr>
          <w:p w14:paraId="6B564918" w14:textId="77777777" w:rsidR="00477ADD" w:rsidRPr="00C428A7" w:rsidRDefault="00477ADD" w:rsidP="0027401A">
            <w:pPr>
              <w:rPr>
                <w:rFonts w:ascii="David" w:hAnsi="David"/>
                <w:sz w:val="26"/>
                <w:szCs w:val="26"/>
              </w:rPr>
            </w:pPr>
            <w:r w:rsidRPr="00C428A7">
              <w:rPr>
                <w:rFonts w:ascii="David" w:hAnsi="David"/>
                <w:sz w:val="26"/>
                <w:szCs w:val="26"/>
                <w:rtl/>
              </w:rPr>
              <w:t>מדינת ישראל</w:t>
            </w:r>
          </w:p>
        </w:tc>
        <w:tc>
          <w:tcPr>
            <w:tcW w:w="3771" w:type="dxa"/>
            <w:tcBorders>
              <w:top w:val="nil"/>
              <w:left w:val="nil"/>
              <w:bottom w:val="nil"/>
              <w:right w:val="nil"/>
            </w:tcBorders>
            <w:shd w:val="clear" w:color="auto" w:fill="auto"/>
          </w:tcPr>
          <w:p w14:paraId="683F0BDC" w14:textId="77777777" w:rsidR="00477ADD" w:rsidRPr="00C428A7" w:rsidRDefault="00477ADD" w:rsidP="00477ADD">
            <w:pPr>
              <w:jc w:val="both"/>
              <w:rPr>
                <w:rFonts w:ascii="David" w:hAnsi="David"/>
                <w:sz w:val="26"/>
                <w:szCs w:val="26"/>
              </w:rPr>
            </w:pPr>
          </w:p>
        </w:tc>
      </w:tr>
      <w:bookmarkEnd w:id="0"/>
      <w:tr w:rsidR="00477ADD" w:rsidRPr="00C428A7" w14:paraId="6128AAC6" w14:textId="77777777" w:rsidTr="00477ADD">
        <w:trPr>
          <w:trHeight w:val="355"/>
          <w:jc w:val="center"/>
        </w:trPr>
        <w:tc>
          <w:tcPr>
            <w:tcW w:w="923" w:type="dxa"/>
            <w:tcBorders>
              <w:top w:val="nil"/>
              <w:left w:val="nil"/>
              <w:bottom w:val="nil"/>
              <w:right w:val="nil"/>
            </w:tcBorders>
            <w:shd w:val="clear" w:color="auto" w:fill="auto"/>
          </w:tcPr>
          <w:p w14:paraId="674A5743" w14:textId="77777777" w:rsidR="00477ADD" w:rsidRPr="00C428A7" w:rsidRDefault="00477ADD" w:rsidP="00477ADD">
            <w:pPr>
              <w:jc w:val="both"/>
              <w:rPr>
                <w:rFonts w:ascii="David" w:hAnsi="David"/>
                <w:sz w:val="26"/>
                <w:szCs w:val="26"/>
                <w:rtl/>
              </w:rPr>
            </w:pPr>
          </w:p>
        </w:tc>
        <w:tc>
          <w:tcPr>
            <w:tcW w:w="4126" w:type="dxa"/>
            <w:tcBorders>
              <w:top w:val="nil"/>
              <w:left w:val="nil"/>
              <w:bottom w:val="nil"/>
              <w:right w:val="nil"/>
            </w:tcBorders>
            <w:shd w:val="clear" w:color="auto" w:fill="auto"/>
          </w:tcPr>
          <w:p w14:paraId="2A028420" w14:textId="77777777" w:rsidR="00477ADD" w:rsidRPr="00C428A7" w:rsidRDefault="00477ADD" w:rsidP="00477ADD">
            <w:pPr>
              <w:jc w:val="both"/>
              <w:rPr>
                <w:rFonts w:ascii="David" w:hAnsi="David"/>
                <w:sz w:val="26"/>
                <w:szCs w:val="26"/>
                <w:rtl/>
              </w:rPr>
            </w:pPr>
          </w:p>
        </w:tc>
        <w:tc>
          <w:tcPr>
            <w:tcW w:w="3771" w:type="dxa"/>
            <w:tcBorders>
              <w:top w:val="nil"/>
              <w:left w:val="nil"/>
              <w:bottom w:val="nil"/>
              <w:right w:val="nil"/>
            </w:tcBorders>
            <w:shd w:val="clear" w:color="auto" w:fill="auto"/>
          </w:tcPr>
          <w:p w14:paraId="3D9390D9" w14:textId="77777777" w:rsidR="00477ADD" w:rsidRPr="00C428A7" w:rsidRDefault="00477ADD" w:rsidP="00477ADD">
            <w:pPr>
              <w:jc w:val="right"/>
              <w:rPr>
                <w:rFonts w:ascii="David" w:hAnsi="David"/>
                <w:sz w:val="26"/>
                <w:szCs w:val="26"/>
                <w:rtl/>
              </w:rPr>
            </w:pPr>
            <w:r w:rsidRPr="00C428A7">
              <w:rPr>
                <w:rFonts w:ascii="David" w:hAnsi="David"/>
                <w:sz w:val="26"/>
                <w:szCs w:val="26"/>
                <w:rtl/>
              </w:rPr>
              <w:t>המאשימה</w:t>
            </w:r>
          </w:p>
        </w:tc>
      </w:tr>
      <w:tr w:rsidR="00477ADD" w:rsidRPr="00C428A7" w14:paraId="4EB7ACDD" w14:textId="77777777" w:rsidTr="00477ADD">
        <w:trPr>
          <w:trHeight w:val="355"/>
          <w:jc w:val="center"/>
        </w:trPr>
        <w:tc>
          <w:tcPr>
            <w:tcW w:w="923" w:type="dxa"/>
            <w:tcBorders>
              <w:top w:val="nil"/>
              <w:left w:val="nil"/>
              <w:bottom w:val="nil"/>
              <w:right w:val="nil"/>
            </w:tcBorders>
            <w:shd w:val="clear" w:color="auto" w:fill="auto"/>
          </w:tcPr>
          <w:p w14:paraId="702C54E1" w14:textId="77777777" w:rsidR="00477ADD" w:rsidRPr="00C428A7" w:rsidRDefault="00477ADD" w:rsidP="00477AD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FC12B9B" w14:textId="77777777" w:rsidR="00477ADD" w:rsidRPr="00C428A7" w:rsidRDefault="00477ADD" w:rsidP="00477ADD">
            <w:pPr>
              <w:jc w:val="center"/>
              <w:rPr>
                <w:rFonts w:ascii="David" w:hAnsi="David"/>
                <w:b/>
                <w:bCs/>
                <w:sz w:val="26"/>
                <w:szCs w:val="26"/>
                <w:rtl/>
              </w:rPr>
            </w:pPr>
          </w:p>
          <w:p w14:paraId="60B2BA7D" w14:textId="77777777" w:rsidR="00477ADD" w:rsidRPr="00C428A7" w:rsidRDefault="00477ADD" w:rsidP="00477ADD">
            <w:pPr>
              <w:jc w:val="center"/>
              <w:rPr>
                <w:rFonts w:ascii="David" w:hAnsi="David"/>
                <w:b/>
                <w:bCs/>
                <w:sz w:val="26"/>
                <w:szCs w:val="26"/>
                <w:rtl/>
              </w:rPr>
            </w:pPr>
            <w:r w:rsidRPr="00C428A7">
              <w:rPr>
                <w:rFonts w:ascii="David" w:hAnsi="David"/>
                <w:b/>
                <w:bCs/>
                <w:sz w:val="26"/>
                <w:szCs w:val="26"/>
                <w:rtl/>
              </w:rPr>
              <w:t>נגד</w:t>
            </w:r>
          </w:p>
          <w:p w14:paraId="43A93DE1" w14:textId="77777777" w:rsidR="00477ADD" w:rsidRPr="00C428A7" w:rsidRDefault="00477ADD" w:rsidP="00477ADD">
            <w:pPr>
              <w:jc w:val="both"/>
              <w:rPr>
                <w:rFonts w:ascii="David" w:hAnsi="David"/>
                <w:sz w:val="26"/>
                <w:szCs w:val="26"/>
              </w:rPr>
            </w:pPr>
          </w:p>
        </w:tc>
      </w:tr>
      <w:tr w:rsidR="00477ADD" w:rsidRPr="00C428A7" w14:paraId="0FF0F8BF" w14:textId="77777777" w:rsidTr="00477ADD">
        <w:trPr>
          <w:trHeight w:val="355"/>
          <w:jc w:val="center"/>
        </w:trPr>
        <w:tc>
          <w:tcPr>
            <w:tcW w:w="923" w:type="dxa"/>
            <w:tcBorders>
              <w:top w:val="nil"/>
              <w:left w:val="nil"/>
              <w:bottom w:val="nil"/>
              <w:right w:val="nil"/>
            </w:tcBorders>
            <w:shd w:val="clear" w:color="auto" w:fill="auto"/>
          </w:tcPr>
          <w:p w14:paraId="776F891A" w14:textId="77777777" w:rsidR="00477ADD" w:rsidRPr="00C428A7" w:rsidRDefault="00477ADD" w:rsidP="0027401A">
            <w:pPr>
              <w:rPr>
                <w:rFonts w:ascii="David" w:hAnsi="David"/>
                <w:sz w:val="26"/>
                <w:szCs w:val="26"/>
                <w:rtl/>
              </w:rPr>
            </w:pPr>
          </w:p>
        </w:tc>
        <w:tc>
          <w:tcPr>
            <w:tcW w:w="4126" w:type="dxa"/>
            <w:tcBorders>
              <w:top w:val="nil"/>
              <w:left w:val="nil"/>
              <w:bottom w:val="nil"/>
              <w:right w:val="nil"/>
            </w:tcBorders>
            <w:shd w:val="clear" w:color="auto" w:fill="auto"/>
          </w:tcPr>
          <w:p w14:paraId="0CEB9D17" w14:textId="77777777" w:rsidR="00477ADD" w:rsidRPr="00C428A7" w:rsidRDefault="00477ADD" w:rsidP="0027401A">
            <w:pPr>
              <w:rPr>
                <w:rFonts w:ascii="David" w:hAnsi="David"/>
                <w:sz w:val="26"/>
                <w:szCs w:val="26"/>
                <w:rtl/>
              </w:rPr>
            </w:pPr>
            <w:r w:rsidRPr="00C428A7">
              <w:rPr>
                <w:rFonts w:ascii="David" w:hAnsi="David"/>
                <w:sz w:val="26"/>
                <w:szCs w:val="26"/>
                <w:rtl/>
              </w:rPr>
              <w:t>אברהם גבאי</w:t>
            </w:r>
          </w:p>
        </w:tc>
        <w:tc>
          <w:tcPr>
            <w:tcW w:w="3771" w:type="dxa"/>
            <w:tcBorders>
              <w:top w:val="nil"/>
              <w:left w:val="nil"/>
              <w:bottom w:val="nil"/>
              <w:right w:val="nil"/>
            </w:tcBorders>
            <w:shd w:val="clear" w:color="auto" w:fill="auto"/>
          </w:tcPr>
          <w:p w14:paraId="45F62B89" w14:textId="77777777" w:rsidR="00477ADD" w:rsidRPr="00C428A7" w:rsidRDefault="00477ADD" w:rsidP="00477ADD">
            <w:pPr>
              <w:jc w:val="right"/>
              <w:rPr>
                <w:rFonts w:ascii="David" w:hAnsi="David"/>
                <w:sz w:val="26"/>
                <w:szCs w:val="26"/>
              </w:rPr>
            </w:pPr>
          </w:p>
        </w:tc>
      </w:tr>
      <w:tr w:rsidR="00477ADD" w:rsidRPr="00C428A7" w14:paraId="64DC3C50" w14:textId="77777777" w:rsidTr="00477ADD">
        <w:trPr>
          <w:trHeight w:val="355"/>
          <w:jc w:val="center"/>
        </w:trPr>
        <w:tc>
          <w:tcPr>
            <w:tcW w:w="923" w:type="dxa"/>
            <w:tcBorders>
              <w:top w:val="nil"/>
              <w:left w:val="nil"/>
              <w:bottom w:val="nil"/>
              <w:right w:val="nil"/>
            </w:tcBorders>
            <w:shd w:val="clear" w:color="auto" w:fill="auto"/>
          </w:tcPr>
          <w:p w14:paraId="2A835FED" w14:textId="77777777" w:rsidR="00477ADD" w:rsidRPr="00C428A7" w:rsidRDefault="00477ADD" w:rsidP="00477ADD">
            <w:pPr>
              <w:jc w:val="both"/>
              <w:rPr>
                <w:rFonts w:ascii="David" w:hAnsi="David"/>
                <w:sz w:val="26"/>
                <w:szCs w:val="26"/>
                <w:rtl/>
              </w:rPr>
            </w:pPr>
          </w:p>
        </w:tc>
        <w:tc>
          <w:tcPr>
            <w:tcW w:w="4126" w:type="dxa"/>
            <w:tcBorders>
              <w:top w:val="nil"/>
              <w:left w:val="nil"/>
              <w:bottom w:val="nil"/>
              <w:right w:val="nil"/>
            </w:tcBorders>
            <w:shd w:val="clear" w:color="auto" w:fill="auto"/>
          </w:tcPr>
          <w:p w14:paraId="0D03C4D8" w14:textId="77777777" w:rsidR="00477ADD" w:rsidRPr="00C428A7" w:rsidRDefault="00477ADD" w:rsidP="00477ADD">
            <w:pPr>
              <w:jc w:val="both"/>
              <w:rPr>
                <w:rFonts w:ascii="David" w:hAnsi="David"/>
                <w:sz w:val="26"/>
                <w:szCs w:val="26"/>
                <w:rtl/>
              </w:rPr>
            </w:pPr>
          </w:p>
        </w:tc>
        <w:tc>
          <w:tcPr>
            <w:tcW w:w="3771" w:type="dxa"/>
            <w:tcBorders>
              <w:top w:val="nil"/>
              <w:left w:val="nil"/>
              <w:bottom w:val="nil"/>
              <w:right w:val="nil"/>
            </w:tcBorders>
            <w:shd w:val="clear" w:color="auto" w:fill="auto"/>
          </w:tcPr>
          <w:p w14:paraId="64A3395B" w14:textId="77777777" w:rsidR="00477ADD" w:rsidRPr="00C428A7" w:rsidRDefault="00477ADD" w:rsidP="00477ADD">
            <w:pPr>
              <w:jc w:val="right"/>
              <w:rPr>
                <w:rFonts w:ascii="David" w:hAnsi="David"/>
                <w:sz w:val="26"/>
                <w:szCs w:val="26"/>
              </w:rPr>
            </w:pPr>
            <w:r w:rsidRPr="00C428A7">
              <w:rPr>
                <w:rFonts w:ascii="David" w:hAnsi="David"/>
                <w:sz w:val="26"/>
                <w:szCs w:val="26"/>
                <w:rtl/>
              </w:rPr>
              <w:t>הנאשמים</w:t>
            </w:r>
          </w:p>
        </w:tc>
      </w:tr>
    </w:tbl>
    <w:p w14:paraId="7002A43F" w14:textId="77777777" w:rsidR="005E5FCA" w:rsidRDefault="005E5FCA" w:rsidP="00C428A7">
      <w:pPr>
        <w:rPr>
          <w:rtl/>
        </w:rPr>
      </w:pPr>
    </w:p>
    <w:p w14:paraId="30640743" w14:textId="77777777" w:rsidR="005E5FCA" w:rsidRPr="005E5FCA" w:rsidRDefault="005E5FCA" w:rsidP="005E5FCA">
      <w:pPr>
        <w:spacing w:after="120" w:line="240" w:lineRule="exact"/>
        <w:ind w:left="283" w:hanging="283"/>
        <w:jc w:val="both"/>
        <w:rPr>
          <w:rFonts w:ascii="FrankRuehl" w:hAnsi="FrankRuehl" w:cs="FrankRuehl"/>
          <w:rtl/>
        </w:rPr>
      </w:pPr>
    </w:p>
    <w:p w14:paraId="08777148" w14:textId="77777777" w:rsidR="00CA502A" w:rsidRPr="00CA502A" w:rsidRDefault="00CA502A" w:rsidP="00CA502A">
      <w:pPr>
        <w:spacing w:before="120" w:after="120" w:line="240" w:lineRule="exact"/>
        <w:ind w:left="283" w:hanging="283"/>
        <w:jc w:val="both"/>
        <w:rPr>
          <w:rFonts w:ascii="FrankRuehl" w:hAnsi="FrankRuehl" w:cs="FrankRuehl"/>
          <w:rtl/>
        </w:rPr>
      </w:pPr>
    </w:p>
    <w:p w14:paraId="694185C2" w14:textId="77777777" w:rsidR="00462E81" w:rsidRDefault="00462E81" w:rsidP="00462E81">
      <w:pPr>
        <w:rPr>
          <w:rtl/>
        </w:rPr>
      </w:pPr>
      <w:bookmarkStart w:id="2" w:name="LawTable"/>
      <w:bookmarkEnd w:id="2"/>
    </w:p>
    <w:p w14:paraId="11B562EF" w14:textId="77777777" w:rsidR="00462E81" w:rsidRPr="00462E81" w:rsidRDefault="00462E81" w:rsidP="00462E81">
      <w:pPr>
        <w:spacing w:before="120" w:after="120" w:line="240" w:lineRule="exact"/>
        <w:ind w:left="283" w:hanging="283"/>
        <w:jc w:val="both"/>
        <w:rPr>
          <w:rFonts w:ascii="FrankRuehl" w:hAnsi="FrankRuehl" w:cs="FrankRuehl"/>
          <w:rtl/>
        </w:rPr>
      </w:pPr>
    </w:p>
    <w:p w14:paraId="76A11D2C" w14:textId="77777777" w:rsidR="00462E81" w:rsidRPr="00462E81" w:rsidRDefault="00462E81" w:rsidP="00462E81">
      <w:pPr>
        <w:spacing w:before="120" w:after="120" w:line="240" w:lineRule="exact"/>
        <w:ind w:left="283" w:hanging="283"/>
        <w:jc w:val="both"/>
        <w:rPr>
          <w:rFonts w:ascii="FrankRuehl" w:hAnsi="FrankRuehl" w:cs="FrankRuehl"/>
          <w:rtl/>
        </w:rPr>
      </w:pPr>
    </w:p>
    <w:p w14:paraId="1DE92396" w14:textId="77777777" w:rsidR="00462E81" w:rsidRPr="00462E81" w:rsidRDefault="00462E81" w:rsidP="00462E81">
      <w:pPr>
        <w:spacing w:before="120" w:after="120" w:line="240" w:lineRule="exact"/>
        <w:ind w:left="283" w:hanging="283"/>
        <w:jc w:val="both"/>
        <w:rPr>
          <w:rFonts w:ascii="FrankRuehl" w:hAnsi="FrankRuehl" w:cs="FrankRuehl"/>
          <w:rtl/>
        </w:rPr>
      </w:pPr>
      <w:r w:rsidRPr="00462E81">
        <w:rPr>
          <w:rFonts w:ascii="FrankRuehl" w:hAnsi="FrankRuehl" w:cs="FrankRuehl"/>
          <w:rtl/>
        </w:rPr>
        <w:t xml:space="preserve">חקיקה שאוזכרה: </w:t>
      </w:r>
    </w:p>
    <w:p w14:paraId="1406FC0D" w14:textId="77777777" w:rsidR="00462E81" w:rsidRPr="00462E81" w:rsidRDefault="00462E81" w:rsidP="00462E81">
      <w:pPr>
        <w:spacing w:before="120" w:after="120" w:line="240" w:lineRule="exact"/>
        <w:ind w:left="283" w:hanging="283"/>
        <w:jc w:val="both"/>
        <w:rPr>
          <w:rFonts w:ascii="FrankRuehl" w:hAnsi="FrankRuehl" w:cs="FrankRuehl"/>
          <w:rtl/>
        </w:rPr>
      </w:pPr>
      <w:hyperlink r:id="rId8" w:history="1">
        <w:r w:rsidRPr="00462E81">
          <w:rPr>
            <w:rFonts w:ascii="FrankRuehl" w:hAnsi="FrankRuehl" w:cs="FrankRuehl"/>
            <w:color w:val="0000FF"/>
            <w:rtl/>
          </w:rPr>
          <w:t>פקודת הסמים המסוכנים [נוסח חדש], תשל"ג-1973</w:t>
        </w:r>
      </w:hyperlink>
      <w:r w:rsidRPr="00462E81">
        <w:rPr>
          <w:rFonts w:ascii="FrankRuehl" w:hAnsi="FrankRuehl" w:cs="FrankRuehl"/>
          <w:rtl/>
        </w:rPr>
        <w:t xml:space="preserve">: סע'  </w:t>
      </w:r>
      <w:hyperlink r:id="rId9" w:history="1">
        <w:r w:rsidRPr="00462E81">
          <w:rPr>
            <w:rFonts w:ascii="FrankRuehl" w:hAnsi="FrankRuehl" w:cs="FrankRuehl"/>
            <w:color w:val="0000FF"/>
            <w:rtl/>
          </w:rPr>
          <w:t>6</w:t>
        </w:r>
      </w:hyperlink>
    </w:p>
    <w:p w14:paraId="6B0027EE" w14:textId="77777777" w:rsidR="00462E81" w:rsidRPr="00462E81" w:rsidRDefault="00462E81" w:rsidP="00462E81">
      <w:pPr>
        <w:spacing w:before="120" w:after="120" w:line="240" w:lineRule="exact"/>
        <w:ind w:left="283" w:hanging="283"/>
        <w:jc w:val="both"/>
        <w:rPr>
          <w:rFonts w:ascii="FrankRuehl" w:hAnsi="FrankRuehl" w:cs="FrankRuehl"/>
          <w:rtl/>
        </w:rPr>
      </w:pPr>
      <w:hyperlink r:id="rId10" w:history="1">
        <w:r w:rsidRPr="00462E81">
          <w:rPr>
            <w:rFonts w:ascii="FrankRuehl" w:hAnsi="FrankRuehl" w:cs="FrankRuehl"/>
            <w:color w:val="0000FF"/>
            <w:rtl/>
          </w:rPr>
          <w:t>חוק העונשין, תשל"ז-1977</w:t>
        </w:r>
      </w:hyperlink>
      <w:r w:rsidRPr="00462E81">
        <w:rPr>
          <w:rFonts w:ascii="FrankRuehl" w:hAnsi="FrankRuehl" w:cs="FrankRuehl"/>
          <w:rtl/>
        </w:rPr>
        <w:t xml:space="preserve">: סע'  </w:t>
      </w:r>
      <w:hyperlink r:id="rId11" w:history="1">
        <w:r w:rsidRPr="00462E81">
          <w:rPr>
            <w:rFonts w:ascii="FrankRuehl" w:hAnsi="FrankRuehl" w:cs="FrankRuehl"/>
            <w:color w:val="0000FF"/>
            <w:rtl/>
          </w:rPr>
          <w:t>40ד(א)</w:t>
        </w:r>
      </w:hyperlink>
    </w:p>
    <w:p w14:paraId="0008D1EC" w14:textId="77777777" w:rsidR="00462E81" w:rsidRPr="00462E81" w:rsidRDefault="00462E81" w:rsidP="00462E81">
      <w:pPr>
        <w:rPr>
          <w:rtl/>
        </w:rPr>
      </w:pPr>
      <w:bookmarkStart w:id="3" w:name="LawTable_End"/>
      <w:bookmarkEnd w:id="3"/>
    </w:p>
    <w:p w14:paraId="6D69F2F8" w14:textId="77777777" w:rsidR="00477ADD" w:rsidRPr="00CA502A" w:rsidRDefault="00477ADD" w:rsidP="00CA502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7ADD" w14:paraId="69B54C71" w14:textId="77777777" w:rsidTr="00477ADD">
        <w:trPr>
          <w:trHeight w:val="355"/>
          <w:jc w:val="center"/>
        </w:trPr>
        <w:tc>
          <w:tcPr>
            <w:tcW w:w="8820" w:type="dxa"/>
            <w:tcBorders>
              <w:top w:val="nil"/>
              <w:left w:val="nil"/>
              <w:bottom w:val="nil"/>
              <w:right w:val="nil"/>
            </w:tcBorders>
            <w:shd w:val="clear" w:color="auto" w:fill="auto"/>
          </w:tcPr>
          <w:p w14:paraId="149B02B1" w14:textId="77777777" w:rsidR="00C428A7" w:rsidRPr="00C428A7" w:rsidRDefault="00C428A7" w:rsidP="00C428A7">
            <w:pPr>
              <w:jc w:val="center"/>
              <w:rPr>
                <w:rFonts w:ascii="David" w:hAnsi="David"/>
                <w:b/>
                <w:bCs/>
                <w:sz w:val="32"/>
                <w:szCs w:val="32"/>
                <w:u w:val="single"/>
                <w:rtl/>
              </w:rPr>
            </w:pPr>
            <w:bookmarkStart w:id="4" w:name="PsakDin" w:colFirst="0" w:colLast="0"/>
            <w:r w:rsidRPr="00C428A7">
              <w:rPr>
                <w:rFonts w:ascii="David" w:hAnsi="David"/>
                <w:b/>
                <w:bCs/>
                <w:sz w:val="32"/>
                <w:szCs w:val="32"/>
                <w:u w:val="single"/>
                <w:rtl/>
              </w:rPr>
              <w:t>גזר דין</w:t>
            </w:r>
          </w:p>
          <w:p w14:paraId="19C30576" w14:textId="77777777" w:rsidR="00477ADD" w:rsidRPr="00C428A7" w:rsidRDefault="00477ADD" w:rsidP="00C428A7">
            <w:pPr>
              <w:jc w:val="center"/>
              <w:rPr>
                <w:rFonts w:ascii="David" w:hAnsi="David"/>
                <w:bCs/>
                <w:sz w:val="32"/>
                <w:szCs w:val="32"/>
                <w:u w:val="single"/>
                <w:rtl/>
              </w:rPr>
            </w:pPr>
          </w:p>
        </w:tc>
      </w:tr>
      <w:bookmarkEnd w:id="4"/>
    </w:tbl>
    <w:p w14:paraId="6B427D50" w14:textId="77777777" w:rsidR="00477ADD" w:rsidRPr="000454A8" w:rsidRDefault="00477ADD" w:rsidP="00477ADD">
      <w:pPr>
        <w:rPr>
          <w:rFonts w:ascii="Arial" w:hAnsi="Arial"/>
          <w:sz w:val="26"/>
          <w:szCs w:val="26"/>
          <w:rtl/>
        </w:rPr>
      </w:pPr>
    </w:p>
    <w:p w14:paraId="70CE6656" w14:textId="77777777" w:rsidR="00477ADD" w:rsidRPr="00477ADD" w:rsidRDefault="00477ADD" w:rsidP="00477ADD">
      <w:pPr>
        <w:spacing w:after="160" w:line="360" w:lineRule="auto"/>
        <w:jc w:val="both"/>
        <w:rPr>
          <w:rFonts w:ascii="Calibri" w:hAnsi="Calibri"/>
          <w:b/>
          <w:bCs/>
          <w:u w:val="single"/>
          <w:rtl/>
        </w:rPr>
      </w:pPr>
      <w:r w:rsidRPr="00477ADD">
        <w:rPr>
          <w:rFonts w:ascii="Calibri" w:hAnsi="Calibri" w:hint="eastAsia"/>
          <w:b/>
          <w:bCs/>
          <w:u w:val="single"/>
          <w:rtl/>
        </w:rPr>
        <w:t>רקע</w:t>
      </w:r>
    </w:p>
    <w:p w14:paraId="3938F03F" w14:textId="77777777" w:rsidR="00477ADD" w:rsidRPr="00B85BD0" w:rsidRDefault="00477ADD" w:rsidP="00477ADD">
      <w:pPr>
        <w:numPr>
          <w:ilvl w:val="0"/>
          <w:numId w:val="1"/>
        </w:numPr>
        <w:snapToGrid w:val="0"/>
        <w:spacing w:line="360" w:lineRule="auto"/>
        <w:contextualSpacing/>
        <w:jc w:val="both"/>
        <w:rPr>
          <w:lang w:eastAsia="he-IL"/>
        </w:rPr>
      </w:pPr>
      <w:bookmarkStart w:id="5" w:name="ABSTRACT_START"/>
      <w:bookmarkEnd w:id="5"/>
      <w:r w:rsidRPr="00B85BD0">
        <w:rPr>
          <w:rtl/>
          <w:lang w:eastAsia="he-IL"/>
        </w:rPr>
        <w:t xml:space="preserve">ביום 4.8.20 הורשע הנאשם על פי הודאתו בעובדות כתב האישום המתוקן בעבירה של </w:t>
      </w:r>
      <w:r w:rsidRPr="00B85BD0">
        <w:rPr>
          <w:b/>
          <w:bCs/>
          <w:rtl/>
          <w:lang w:eastAsia="he-IL"/>
        </w:rPr>
        <w:t xml:space="preserve">גידול, ייצור, הכנת סמים מסוכנים, </w:t>
      </w:r>
      <w:r w:rsidRPr="00B85BD0">
        <w:rPr>
          <w:rtl/>
          <w:lang w:eastAsia="he-IL"/>
        </w:rPr>
        <w:t xml:space="preserve">עבירה לפי </w:t>
      </w:r>
      <w:hyperlink r:id="rId12" w:history="1">
        <w:r w:rsidR="005E5FCA" w:rsidRPr="005E5FCA">
          <w:rPr>
            <w:rStyle w:val="Hyperlink"/>
            <w:rtl/>
            <w:lang w:eastAsia="he-IL"/>
          </w:rPr>
          <w:t>סעיף 6</w:t>
        </w:r>
      </w:hyperlink>
      <w:r w:rsidRPr="00B85BD0">
        <w:rPr>
          <w:rtl/>
          <w:lang w:eastAsia="he-IL"/>
        </w:rPr>
        <w:t xml:space="preserve"> ל</w:t>
      </w:r>
      <w:hyperlink r:id="rId13" w:history="1">
        <w:r w:rsidR="00C428A7" w:rsidRPr="00C428A7">
          <w:rPr>
            <w:color w:val="0000FF"/>
            <w:u w:val="single"/>
            <w:rtl/>
            <w:lang w:eastAsia="he-IL"/>
          </w:rPr>
          <w:t>פקודת הסמים המסוכנים</w:t>
        </w:r>
      </w:hyperlink>
      <w:r w:rsidRPr="00B85BD0">
        <w:rPr>
          <w:rtl/>
          <w:lang w:eastAsia="he-IL"/>
        </w:rPr>
        <w:t xml:space="preserve"> (נוסח חדש) תשל"ג-1973.</w:t>
      </w:r>
    </w:p>
    <w:p w14:paraId="5865763B" w14:textId="77777777" w:rsidR="00477ADD" w:rsidRPr="00B85BD0" w:rsidRDefault="00477ADD" w:rsidP="00477ADD">
      <w:pPr>
        <w:snapToGrid w:val="0"/>
        <w:spacing w:line="360" w:lineRule="auto"/>
        <w:ind w:left="786"/>
        <w:contextualSpacing/>
        <w:jc w:val="both"/>
        <w:rPr>
          <w:rtl/>
          <w:lang w:eastAsia="he-IL"/>
        </w:rPr>
      </w:pPr>
      <w:bookmarkStart w:id="6" w:name="ABSTRACT_END"/>
      <w:bookmarkEnd w:id="6"/>
    </w:p>
    <w:p w14:paraId="47758B00"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 xml:space="preserve">על פי עובדות כתב האישום המתוקן, כחודש וחצי עובר לתאריך 30.4.20 בנה הנאשם בערד מעבדה לגידול סמים והתקין בה גופי תאורה, מערכות השקיה, דישון ואוורור וכן עציצים (להלן: "המעבדה"). הנאשם גידל במעבדה 350 שתילים של סם מסוכן מסוג קנבוס במשקל </w:t>
      </w:r>
      <w:r w:rsidRPr="00B85BD0">
        <w:rPr>
          <w:rtl/>
          <w:lang w:eastAsia="he-IL"/>
        </w:rPr>
        <w:lastRenderedPageBreak/>
        <w:t>כולל של 14.8 ק"ג נטו, שלא לצריכתו העצמית וללא היתר. כן החזיק הנאשם בכלים המשמשים להכנת סם מסוכן ללא היתר.</w:t>
      </w:r>
    </w:p>
    <w:p w14:paraId="0362697A" w14:textId="77777777" w:rsidR="00477ADD" w:rsidRPr="00B85BD0" w:rsidRDefault="00477ADD" w:rsidP="00477ADD">
      <w:pPr>
        <w:snapToGrid w:val="0"/>
        <w:ind w:left="720"/>
        <w:contextualSpacing/>
        <w:rPr>
          <w:rtl/>
          <w:lang w:eastAsia="he-IL"/>
        </w:rPr>
      </w:pPr>
    </w:p>
    <w:p w14:paraId="71752510"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 xml:space="preserve">בהתאם להסדר הדיוני אליו הגיעו הצדדים, שירות המבחן התבקש להכין תסקיר לעונש בעניינו של הנאשם. נקבע, כי הצדדים יטענו לעונש באופן "חופשי", לרבות הגשת תמונות מהמעבדה.  </w:t>
      </w:r>
    </w:p>
    <w:p w14:paraId="361BDC69" w14:textId="77777777" w:rsidR="00477ADD" w:rsidRPr="00B85BD0" w:rsidRDefault="00477ADD" w:rsidP="00477ADD">
      <w:pPr>
        <w:snapToGrid w:val="0"/>
        <w:ind w:left="720"/>
        <w:contextualSpacing/>
        <w:rPr>
          <w:rtl/>
          <w:lang w:eastAsia="he-IL"/>
        </w:rPr>
      </w:pPr>
    </w:p>
    <w:p w14:paraId="65E37CE3"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ביום 16.11.20 הוגש תסקיר ראשון בעניינו של הנאשם, ובו המלצה לדחיית הדיון למשך שלושה חודשים. נמסר, כי הנאשם בן 40, נשוי ואב לבת 3 ולפעוט בן שנה. הנאשם מובטל מזה תקופה בשל משבר הקורונה. התסקיר סוקר את קורות הנאשם מגיל צעיר, הרקע המשפחתי והכלכלי שלא יפורט מטעמי צנעת הפרט. נמסר, כי לנאשם רקע של שימוש בסמים מסוג גראס וחשיש מגיל צעיר, וכן התנסויות בודדות בחומרים פסיכו-אקטיביים.</w:t>
      </w:r>
    </w:p>
    <w:p w14:paraId="633AFB03" w14:textId="77777777" w:rsidR="00477ADD" w:rsidRPr="00B85BD0" w:rsidRDefault="00477ADD" w:rsidP="00477ADD">
      <w:pPr>
        <w:snapToGrid w:val="0"/>
        <w:ind w:left="720"/>
        <w:contextualSpacing/>
        <w:rPr>
          <w:rtl/>
          <w:lang w:eastAsia="he-IL"/>
        </w:rPr>
      </w:pPr>
    </w:p>
    <w:p w14:paraId="68BC872A"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 xml:space="preserve">הנאשם שולב במרכז יום לטיפול בהתמכרויות בשלב המעצר ושיתף פעולה עם המסגרת. ההתרשמות היא, כי הנאשם מתמסר להליך הטיפולי ונמצא בתחילת דרכו הטיפולית. </w:t>
      </w:r>
    </w:p>
    <w:p w14:paraId="239A57BC" w14:textId="77777777" w:rsidR="00477ADD" w:rsidRPr="00B85BD0" w:rsidRDefault="00477ADD" w:rsidP="00477ADD">
      <w:pPr>
        <w:snapToGrid w:val="0"/>
        <w:spacing w:line="360" w:lineRule="auto"/>
        <w:ind w:left="360"/>
        <w:contextualSpacing/>
        <w:jc w:val="both"/>
        <w:rPr>
          <w:rtl/>
          <w:lang w:eastAsia="he-IL"/>
        </w:rPr>
      </w:pPr>
    </w:p>
    <w:p w14:paraId="73249C56"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 xml:space="preserve">הנאשם נוטל אחריות על ביצוע העבירה ומביע חרטה על התנהלותו. מסר, כי לקה בהפעלת שיקול הדעת והתפתה לרווח הכספי שהוצע לו. שירות המבחן התרשם כי ברקע לביצוע העבירה, ההיכרות וההתנסות המוקדמת עם חומרים פסיכו- אקטיביים, והיעדר גבולות חיצוניים למניעת התנהלות עוברת חוק, כמו גם צרכיו הרגשיים והחסכים החומריים ברקע. </w:t>
      </w:r>
    </w:p>
    <w:p w14:paraId="5E8E95A9"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 xml:space="preserve">בשיקלול גורמי הסיכון הערכת שירות המבחן היא, כי קיים סיכון לחזרה על התנהלות דומה בעתיד. בבחינת גורמי הסיכוי ההתרשמות היא, כי הנאשם מבטא אחריות לגבי תפקודו המשפחתי, כי מדובר במי שעומד לדין לראשונה בחייו באופן הגורם לטלטול ולחידוד גבולות וכי הנאשם נרתם לטיפול ומשתף פעולה. </w:t>
      </w:r>
    </w:p>
    <w:p w14:paraId="1F106F81"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בנסיבות אלה נתבקשה דחיית הדיון.</w:t>
      </w:r>
    </w:p>
    <w:p w14:paraId="54926C0C" w14:textId="77777777" w:rsidR="00477ADD" w:rsidRPr="00B85BD0" w:rsidRDefault="00477ADD" w:rsidP="00477ADD">
      <w:pPr>
        <w:snapToGrid w:val="0"/>
        <w:spacing w:line="360" w:lineRule="auto"/>
        <w:ind w:left="360"/>
        <w:contextualSpacing/>
        <w:jc w:val="both"/>
        <w:rPr>
          <w:rtl/>
          <w:lang w:eastAsia="he-IL"/>
        </w:rPr>
      </w:pPr>
    </w:p>
    <w:p w14:paraId="1047ED71"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ביום 18.11.20 קיבל בית המשפט את המלצת שירות המבחן והמשך הדיון נקבע ליום 15.2.21 והועבר לטיפול מותב זה. בהמשך נדחה הדיון לבקשת ב"כ הנאשם וטיעון לעונש נשמע בתאריך 3.3.21.</w:t>
      </w:r>
    </w:p>
    <w:p w14:paraId="326CBCCD" w14:textId="77777777" w:rsidR="00477ADD" w:rsidRPr="00B85BD0" w:rsidRDefault="00477ADD" w:rsidP="00477ADD">
      <w:pPr>
        <w:snapToGrid w:val="0"/>
        <w:spacing w:line="360" w:lineRule="auto"/>
        <w:ind w:left="360"/>
        <w:contextualSpacing/>
        <w:jc w:val="both"/>
        <w:rPr>
          <w:rtl/>
          <w:lang w:eastAsia="he-IL"/>
        </w:rPr>
      </w:pPr>
    </w:p>
    <w:p w14:paraId="1093D985"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 xml:space="preserve">ביום 9.2.21 הוגש תסקיר משלים בעניינו של הנאשם. נמסר, כי הנאשם משולב בהליך טיפולי מזה חמישה חודשים ועדיין אינו עובד. הנאשם משתתף בפעילות באופן סדיר ומביע מוטיבציה גבוהה לעריכת שינוי בחייו. בדיקות שתן שמסר נקיות משרידי סם. ההתרשמות היא, כי הליך השיקום שעבר הנאשם משמעותי. </w:t>
      </w:r>
    </w:p>
    <w:p w14:paraId="130C7D04" w14:textId="77777777" w:rsidR="00477ADD" w:rsidRPr="00B85BD0" w:rsidRDefault="00477ADD" w:rsidP="00477ADD">
      <w:pPr>
        <w:snapToGrid w:val="0"/>
        <w:ind w:left="720"/>
        <w:contextualSpacing/>
        <w:rPr>
          <w:rtl/>
          <w:lang w:eastAsia="he-IL"/>
        </w:rPr>
      </w:pPr>
    </w:p>
    <w:p w14:paraId="6124B0AF"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 xml:space="preserve">בשיקלול מכלול הגורמים וכן הרצון לאפשר לנאשם להשתלב בתעסוקה ולתת מענה לקשייו הכלכליים הקיומיים, עד כדי סיכון לרווחת ילדיו, שירות המבחן סבור כי יש להימנע במקרה זה </w:t>
      </w:r>
      <w:r w:rsidRPr="00B85BD0">
        <w:rPr>
          <w:rtl/>
          <w:lang w:eastAsia="he-IL"/>
        </w:rPr>
        <w:lastRenderedPageBreak/>
        <w:t xml:space="preserve">מעונש מאסר, ולו בעבודות שירות. ההמלצה היא, להטיל על הנאשם צו מבחן למשך שנה, צו של"צ בהיקף מורחב, ומאסר מותנה. </w:t>
      </w:r>
    </w:p>
    <w:p w14:paraId="579B062F"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 xml:space="preserve"> </w:t>
      </w:r>
    </w:p>
    <w:p w14:paraId="71492664" w14:textId="77777777" w:rsidR="00477ADD" w:rsidRPr="00477ADD" w:rsidRDefault="00477ADD" w:rsidP="00477ADD">
      <w:pPr>
        <w:spacing w:after="160" w:line="360" w:lineRule="auto"/>
        <w:jc w:val="both"/>
        <w:rPr>
          <w:rFonts w:ascii="Calibri" w:hAnsi="Calibri"/>
          <w:b/>
          <w:bCs/>
          <w:u w:val="single"/>
          <w:rtl/>
        </w:rPr>
      </w:pPr>
      <w:r w:rsidRPr="00477ADD">
        <w:rPr>
          <w:rFonts w:ascii="Calibri" w:hAnsi="Calibri" w:hint="eastAsia"/>
          <w:b/>
          <w:bCs/>
          <w:u w:val="single"/>
          <w:rtl/>
        </w:rPr>
        <w:t>עדויות</w:t>
      </w:r>
      <w:r w:rsidRPr="00477ADD">
        <w:rPr>
          <w:rFonts w:ascii="Calibri" w:hAnsi="Calibri"/>
          <w:b/>
          <w:bCs/>
          <w:u w:val="single"/>
          <w:rtl/>
        </w:rPr>
        <w:t xml:space="preserve"> </w:t>
      </w:r>
      <w:r w:rsidRPr="00477ADD">
        <w:rPr>
          <w:rFonts w:ascii="Calibri" w:hAnsi="Calibri" w:hint="eastAsia"/>
          <w:b/>
          <w:bCs/>
          <w:u w:val="single"/>
          <w:rtl/>
        </w:rPr>
        <w:t>וראיות</w:t>
      </w:r>
      <w:r w:rsidRPr="00477ADD">
        <w:rPr>
          <w:rFonts w:ascii="Calibri" w:hAnsi="Calibri"/>
          <w:b/>
          <w:bCs/>
          <w:u w:val="single"/>
          <w:rtl/>
        </w:rPr>
        <w:t xml:space="preserve"> </w:t>
      </w:r>
      <w:r w:rsidRPr="00477ADD">
        <w:rPr>
          <w:rFonts w:ascii="Calibri" w:hAnsi="Calibri" w:hint="eastAsia"/>
          <w:b/>
          <w:bCs/>
          <w:u w:val="single"/>
          <w:rtl/>
        </w:rPr>
        <w:t>לעונש</w:t>
      </w:r>
    </w:p>
    <w:p w14:paraId="1E52CB0F"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 xml:space="preserve">מטעם </w:t>
      </w:r>
      <w:r w:rsidRPr="00B85BD0">
        <w:rPr>
          <w:b/>
          <w:bCs/>
          <w:rtl/>
          <w:lang w:eastAsia="he-IL"/>
        </w:rPr>
        <w:t xml:space="preserve">הנאשם </w:t>
      </w:r>
      <w:r w:rsidRPr="00B85BD0">
        <w:rPr>
          <w:rtl/>
          <w:lang w:eastAsia="he-IL"/>
        </w:rPr>
        <w:t xml:space="preserve">העידה לעונש אשתו. העדה סיפרה על עצמה כי היא אשת חינוך, בעלת תואר ראשון לבעיות טיפול ועזרה לילדים בעלי צרכים מיוחדים. העדה סיפרה על שינוי שחל אצל הנאשם מאז מעצרו ובעקבות הטיפול. העדה הסתייגה ממעשי בעלה בהם הורשע ומסרה, כי המשפחה לא ידעה על כך דבר. העדה תיארה את שיתוף הפעולה של הנאשם בטיפול, ואת המוטיבציה הגבוהה שיש בו כיום לשינוי בכלל המישורים: הזוגי, המשפחתי והפסקת השימוש בסמים ובאלכוהול. העדה מסרה, כי נישאה לנאשם בשנת 2016 וידעה שהוא מכור לסמים. השינוי שחל בו . </w:t>
      </w:r>
    </w:p>
    <w:p w14:paraId="6944B452" w14:textId="77777777" w:rsidR="00477ADD" w:rsidRPr="00B85BD0" w:rsidRDefault="00477ADD" w:rsidP="00477ADD">
      <w:pPr>
        <w:snapToGrid w:val="0"/>
        <w:spacing w:line="360" w:lineRule="auto"/>
        <w:ind w:left="360"/>
        <w:contextualSpacing/>
        <w:jc w:val="both"/>
        <w:rPr>
          <w:lang w:eastAsia="he-IL"/>
        </w:rPr>
      </w:pPr>
      <w:r w:rsidRPr="00B85BD0">
        <w:rPr>
          <w:rtl/>
          <w:lang w:eastAsia="he-IL"/>
        </w:rPr>
        <w:t xml:space="preserve">לטענתה, מאז האירוע הנאשם עשה עם עצמו שינוי משמעותי, לדבריה הוא קיבל "זעזוע" מהמקרה וכיום, בשונה מבעבר הוא בעל מוטיבציה גבוה לשינוי והיא רואה זאת במספר מישורים: המשפחתי, הזוגי וכן הפסקת שימוש בסמים ואלכוהול. כן מסרה כי הנאשם והיא נשואים מאז שנת 2016 וכי ידעה שהוא מכור לסמים, אך הדבר בא לידי ביטוי בעיקר בהתנהגות מחוץ לבית. העדה מסרה כי הדחיקה את חומרת מצבו של הנאשם וכן את הפסול שבמעשיו אך המעצר גרם למשבר גדול ולשינוי בעקבותיו. מסרה, כי היא תומכת בבעלה, למרות הכעס. העדה מסרה, כי הנאשם אינו עובד ואינו מפרנס את המשפחה מזה תקופה, והיא נתמכת כלכלית על ידי משפחתה לצרכי הילדים. </w:t>
      </w:r>
    </w:p>
    <w:p w14:paraId="0BC69EA2" w14:textId="77777777" w:rsidR="00477ADD" w:rsidRPr="00B85BD0" w:rsidRDefault="00477ADD" w:rsidP="00477ADD">
      <w:pPr>
        <w:spacing w:after="160" w:line="360" w:lineRule="auto"/>
        <w:jc w:val="both"/>
        <w:rPr>
          <w:b/>
          <w:bCs/>
          <w:u w:val="single"/>
          <w:rtl/>
          <w:lang w:eastAsia="he-IL"/>
        </w:rPr>
      </w:pPr>
    </w:p>
    <w:p w14:paraId="5DC07575" w14:textId="77777777" w:rsidR="00477ADD" w:rsidRPr="00B85BD0" w:rsidRDefault="00477ADD" w:rsidP="00477ADD">
      <w:pPr>
        <w:spacing w:after="160" w:line="360" w:lineRule="auto"/>
        <w:jc w:val="both"/>
        <w:rPr>
          <w:b/>
          <w:bCs/>
          <w:u w:val="single"/>
          <w:lang w:eastAsia="he-IL"/>
        </w:rPr>
      </w:pPr>
      <w:r w:rsidRPr="00B85BD0">
        <w:rPr>
          <w:b/>
          <w:bCs/>
          <w:u w:val="single"/>
          <w:rtl/>
          <w:lang w:eastAsia="he-IL"/>
        </w:rPr>
        <w:t>טענות הצדדים לעונש</w:t>
      </w:r>
    </w:p>
    <w:p w14:paraId="3B66E3B8" w14:textId="77777777" w:rsidR="00477ADD" w:rsidRPr="00B85BD0" w:rsidRDefault="00477ADD" w:rsidP="00477ADD">
      <w:pPr>
        <w:numPr>
          <w:ilvl w:val="0"/>
          <w:numId w:val="1"/>
        </w:numPr>
        <w:snapToGrid w:val="0"/>
        <w:spacing w:line="360" w:lineRule="auto"/>
        <w:contextualSpacing/>
        <w:jc w:val="both"/>
        <w:rPr>
          <w:lang w:eastAsia="he-IL"/>
        </w:rPr>
      </w:pPr>
      <w:r w:rsidRPr="00B85BD0">
        <w:rPr>
          <w:b/>
          <w:bCs/>
          <w:rtl/>
          <w:lang w:eastAsia="he-IL"/>
        </w:rPr>
        <w:t xml:space="preserve">המאשימה </w:t>
      </w:r>
      <w:r w:rsidRPr="00B85BD0">
        <w:rPr>
          <w:rtl/>
          <w:lang w:eastAsia="he-IL"/>
        </w:rPr>
        <w:t>הגישה טיעון לעונש בכתב [במ/1] וכן תמונות מהזירה [ת/1].</w:t>
      </w:r>
    </w:p>
    <w:p w14:paraId="753AD7FE" w14:textId="77777777" w:rsidR="00477ADD" w:rsidRPr="00B85BD0" w:rsidRDefault="00477ADD" w:rsidP="00477ADD">
      <w:pPr>
        <w:snapToGrid w:val="0"/>
        <w:spacing w:line="360" w:lineRule="auto"/>
        <w:ind w:left="360"/>
        <w:contextualSpacing/>
        <w:jc w:val="both"/>
        <w:rPr>
          <w:lang w:eastAsia="he-IL"/>
        </w:rPr>
      </w:pPr>
      <w:r w:rsidRPr="00B85BD0">
        <w:rPr>
          <w:rtl/>
          <w:lang w:eastAsia="he-IL"/>
        </w:rPr>
        <w:t xml:space="preserve">המאשימה התייחסה לכך, כי מגדלי הסמים הם העומדים בראש שרשרת הפצת הסם. עבירות הסמים פוגעות בציבור כולו – באופן ישיר או עקיף – ולעיתים קרובות הן עומדות ברקע לביצוע עבירות נוספות. משכך, נחוצה הרתעה משמעותית. </w:t>
      </w:r>
    </w:p>
    <w:p w14:paraId="6D7D166B" w14:textId="77777777" w:rsidR="00477ADD" w:rsidRPr="00B85BD0" w:rsidRDefault="00477ADD" w:rsidP="00477ADD">
      <w:pPr>
        <w:snapToGrid w:val="0"/>
        <w:spacing w:line="360" w:lineRule="auto"/>
        <w:ind w:left="360"/>
        <w:contextualSpacing/>
        <w:jc w:val="both"/>
        <w:rPr>
          <w:lang w:eastAsia="he-IL"/>
        </w:rPr>
      </w:pPr>
      <w:r w:rsidRPr="00B85BD0">
        <w:rPr>
          <w:rtl/>
          <w:lang w:eastAsia="he-IL"/>
        </w:rPr>
        <w:t>בבחינת נסיבות ביצוע העבירה נטען, כי מדובר בגידול סם בהיקף גדול, שהנאשם השקיע מכספו ומזמנו כדי לטפח אותו. הוקמה מעבדה מקצועית, הכוללת ציוד ייעודי והגידול אף נשא פרי והצמחים הגיעו למשקל נכבד.</w:t>
      </w:r>
    </w:p>
    <w:p w14:paraId="72D1FD7B" w14:textId="77777777" w:rsidR="00477ADD" w:rsidRDefault="00477ADD" w:rsidP="00477ADD">
      <w:pPr>
        <w:snapToGrid w:val="0"/>
        <w:spacing w:line="360" w:lineRule="auto"/>
        <w:ind w:left="360"/>
        <w:contextualSpacing/>
        <w:jc w:val="both"/>
        <w:rPr>
          <w:rtl/>
          <w:lang w:eastAsia="he-IL"/>
        </w:rPr>
      </w:pPr>
      <w:r w:rsidRPr="00B85BD0">
        <w:rPr>
          <w:rtl/>
          <w:lang w:eastAsia="he-IL"/>
        </w:rPr>
        <w:t>נטען, כי יש להביא בחשבון את שיקול הרתעת הרבים שכן עבירות הגידול הפכו "מכת מדינה" של ממש, והחוטאים בה הם פעמים רבות אנשים מן היישוב ונעדרי עבר פלילי.</w:t>
      </w:r>
    </w:p>
    <w:p w14:paraId="7CF64633" w14:textId="77777777" w:rsidR="00477ADD" w:rsidRPr="00B85BD0" w:rsidRDefault="00477ADD" w:rsidP="00477ADD">
      <w:pPr>
        <w:snapToGrid w:val="0"/>
        <w:spacing w:line="360" w:lineRule="auto"/>
        <w:ind w:left="360"/>
        <w:contextualSpacing/>
        <w:jc w:val="both"/>
        <w:rPr>
          <w:lang w:eastAsia="he-IL"/>
        </w:rPr>
      </w:pPr>
    </w:p>
    <w:p w14:paraId="0EF00FBC"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 xml:space="preserve">אף המחוקק מצא להחמיר בעבירה זו, שקבוע בצדה עונש מאסר של 20 שנות מאסר, בדומה לסחר בסמים. המאשימה הפנתה לאסמכתאות מהן נלמד, כי בית המשפט העליון מנחה לתת דגש לשיקולי הרתעה, גמול ומניעה אל מול הנסיבות האישיות. </w:t>
      </w:r>
    </w:p>
    <w:p w14:paraId="2A9866DB" w14:textId="77777777" w:rsidR="00477ADD" w:rsidRPr="00B85BD0" w:rsidRDefault="00477ADD" w:rsidP="00477ADD">
      <w:pPr>
        <w:snapToGrid w:val="0"/>
        <w:spacing w:line="360" w:lineRule="auto"/>
        <w:ind w:left="360"/>
        <w:contextualSpacing/>
        <w:jc w:val="both"/>
        <w:rPr>
          <w:lang w:eastAsia="he-IL"/>
        </w:rPr>
      </w:pPr>
    </w:p>
    <w:p w14:paraId="33AEA4F1"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כן הפנתה המאשימה, לעניין מדיניות הענישה הנוהגת, למספר פסקי דין ובהם (מתוך פסקי הדין של ערכאות הערעור המנחות):</w:t>
      </w:r>
    </w:p>
    <w:p w14:paraId="4DFA9308" w14:textId="77777777" w:rsidR="00477ADD" w:rsidRPr="00B85BD0" w:rsidRDefault="00C428A7" w:rsidP="00477ADD">
      <w:pPr>
        <w:numPr>
          <w:ilvl w:val="0"/>
          <w:numId w:val="4"/>
        </w:numPr>
        <w:snapToGrid w:val="0"/>
        <w:spacing w:line="360" w:lineRule="auto"/>
        <w:contextualSpacing/>
        <w:jc w:val="both"/>
        <w:rPr>
          <w:lang w:eastAsia="he-IL"/>
        </w:rPr>
      </w:pPr>
      <w:hyperlink r:id="rId14" w:history="1">
        <w:r w:rsidRPr="00C428A7">
          <w:rPr>
            <w:color w:val="0000FF"/>
            <w:u w:val="single"/>
            <w:rtl/>
            <w:lang w:eastAsia="he-IL"/>
          </w:rPr>
          <w:t>עפ"ג 1559-02-17</w:t>
        </w:r>
      </w:hyperlink>
      <w:r w:rsidR="00477ADD" w:rsidRPr="00B85BD0">
        <w:rPr>
          <w:rtl/>
          <w:lang w:eastAsia="he-IL"/>
        </w:rPr>
        <w:t xml:space="preserve"> </w:t>
      </w:r>
      <w:r w:rsidR="00477ADD" w:rsidRPr="00B85BD0">
        <w:rPr>
          <w:b/>
          <w:bCs/>
          <w:rtl/>
          <w:lang w:eastAsia="he-IL"/>
        </w:rPr>
        <w:t>מדינת ישראל נ' פילברג</w:t>
      </w:r>
      <w:r w:rsidR="00477ADD" w:rsidRPr="00B85BD0">
        <w:rPr>
          <w:rtl/>
          <w:lang w:eastAsia="he-IL"/>
        </w:rPr>
        <w:t xml:space="preserve"> (18.7.17) – נאשם נעדר עבר פלילי, אשר גידל כמות של 229 שתילים במשקל 19 ק"ג. ברקע הדברים קושי כלכלי ותלות בשימוש בסם. נקבע מתחם ענישה של 12-36 חודשי מאסר. בתסקירי שירות המבחן נסקר תהליך שיקום מוצלח שכלל טיפול במסגרת מרכז יום ושמירה על ניקיון מסמים. בבית המשפט המחוזי הוחמר עונשו ל-9 חודשי מאסר בפועל חלף 6 חודשי עבודות שירות שנגזרו עליו במקור. הבר"ע נדחתה תוך ציון, כי פסק הדין בערעור מאוזן גם בהינתן שיקולי השיקום. </w:t>
      </w:r>
    </w:p>
    <w:p w14:paraId="20E77FD0" w14:textId="77777777" w:rsidR="00477ADD" w:rsidRPr="00B85BD0" w:rsidRDefault="00C428A7" w:rsidP="00477ADD">
      <w:pPr>
        <w:numPr>
          <w:ilvl w:val="0"/>
          <w:numId w:val="4"/>
        </w:numPr>
        <w:snapToGrid w:val="0"/>
        <w:spacing w:line="360" w:lineRule="auto"/>
        <w:contextualSpacing/>
        <w:jc w:val="both"/>
        <w:rPr>
          <w:lang w:eastAsia="he-IL"/>
        </w:rPr>
      </w:pPr>
      <w:hyperlink r:id="rId15" w:history="1">
        <w:r w:rsidRPr="00C428A7">
          <w:rPr>
            <w:color w:val="0000FF"/>
            <w:u w:val="single"/>
            <w:rtl/>
            <w:lang w:eastAsia="he-IL"/>
          </w:rPr>
          <w:t>עפ"ג 33252-12-18</w:t>
        </w:r>
      </w:hyperlink>
      <w:r w:rsidR="00477ADD" w:rsidRPr="00B85BD0">
        <w:rPr>
          <w:rtl/>
          <w:lang w:eastAsia="he-IL"/>
        </w:rPr>
        <w:t xml:space="preserve"> </w:t>
      </w:r>
      <w:r w:rsidR="00477ADD" w:rsidRPr="00B85BD0">
        <w:rPr>
          <w:b/>
          <w:bCs/>
          <w:rtl/>
          <w:lang w:eastAsia="he-IL"/>
        </w:rPr>
        <w:t>דנפירי נ' מדינת ישראל</w:t>
      </w:r>
      <w:r w:rsidR="00477ADD" w:rsidRPr="00B85BD0">
        <w:rPr>
          <w:rtl/>
          <w:lang w:eastAsia="he-IL"/>
        </w:rPr>
        <w:t xml:space="preserve"> (6.2.19) – נדחה ערעור של נאשם, נעדר עבר פלילי אשר הורשע בגידול 190 שתילי קנביס במשקל 17 ק"ג. הנאשם נדון ל-12 חודשי מאסר בפועל, חרף תסקיר "חיובי" לפיו הנאשם עבר הליך טיפולי והומלץ על הטלת מאסר בעבודות שירות.</w:t>
      </w:r>
    </w:p>
    <w:p w14:paraId="6C1F033C" w14:textId="77777777" w:rsidR="00477ADD" w:rsidRPr="00B85BD0" w:rsidRDefault="00C428A7" w:rsidP="00477ADD">
      <w:pPr>
        <w:numPr>
          <w:ilvl w:val="0"/>
          <w:numId w:val="4"/>
        </w:numPr>
        <w:snapToGrid w:val="0"/>
        <w:spacing w:line="360" w:lineRule="auto"/>
        <w:contextualSpacing/>
        <w:jc w:val="both"/>
        <w:rPr>
          <w:lang w:eastAsia="he-IL"/>
        </w:rPr>
      </w:pPr>
      <w:hyperlink r:id="rId16" w:history="1">
        <w:r w:rsidRPr="00C428A7">
          <w:rPr>
            <w:color w:val="0000FF"/>
            <w:u w:val="single"/>
            <w:rtl/>
            <w:lang w:eastAsia="he-IL"/>
          </w:rPr>
          <w:t>עפ"ג 8650-04-15</w:t>
        </w:r>
      </w:hyperlink>
      <w:r w:rsidR="00477ADD" w:rsidRPr="00B85BD0">
        <w:rPr>
          <w:rtl/>
          <w:lang w:eastAsia="he-IL"/>
        </w:rPr>
        <w:t xml:space="preserve"> </w:t>
      </w:r>
      <w:r w:rsidR="00477ADD" w:rsidRPr="00B85BD0">
        <w:rPr>
          <w:b/>
          <w:bCs/>
          <w:rtl/>
          <w:lang w:eastAsia="he-IL"/>
        </w:rPr>
        <w:t>שוורץ נ' מדינת ישראל</w:t>
      </w:r>
      <w:r w:rsidR="00477ADD" w:rsidRPr="00B85BD0">
        <w:rPr>
          <w:rtl/>
          <w:lang w:eastAsia="he-IL"/>
        </w:rPr>
        <w:t xml:space="preserve"> (7.1.16) – נדחה ערעור של נאשם, אשר הורשע בגידול 146 שתילי קנבוס במשקל 2.69 בחדר נסתר בביתו. נקבע מתחם של 6-24 חודשי מאסר. אף ששירות המבחן המליץ על אפיק שיקומי, הנאשם נדון ל-9 חודשי מאסר בפועל.</w:t>
      </w:r>
    </w:p>
    <w:p w14:paraId="7CCC093B" w14:textId="77777777" w:rsidR="00477ADD" w:rsidRPr="00B85BD0" w:rsidRDefault="00C428A7" w:rsidP="00477ADD">
      <w:pPr>
        <w:numPr>
          <w:ilvl w:val="0"/>
          <w:numId w:val="4"/>
        </w:numPr>
        <w:snapToGrid w:val="0"/>
        <w:spacing w:before="240" w:line="360" w:lineRule="auto"/>
        <w:contextualSpacing/>
        <w:jc w:val="both"/>
        <w:rPr>
          <w:lang w:eastAsia="he-IL"/>
        </w:rPr>
      </w:pPr>
      <w:hyperlink r:id="rId17" w:history="1">
        <w:r w:rsidRPr="00C428A7">
          <w:rPr>
            <w:color w:val="0000FF"/>
            <w:u w:val="single"/>
            <w:rtl/>
            <w:lang w:eastAsia="he-IL"/>
          </w:rPr>
          <w:t>עפ"ג 62171-05-17</w:t>
        </w:r>
      </w:hyperlink>
      <w:r w:rsidR="00477ADD" w:rsidRPr="00B85BD0">
        <w:rPr>
          <w:rtl/>
          <w:lang w:eastAsia="he-IL"/>
        </w:rPr>
        <w:t xml:space="preserve">  </w:t>
      </w:r>
      <w:r w:rsidR="00477ADD" w:rsidRPr="00B85BD0">
        <w:rPr>
          <w:b/>
          <w:bCs/>
          <w:rtl/>
          <w:lang w:eastAsia="he-IL"/>
        </w:rPr>
        <w:t>חן נ' מדינת ישראל</w:t>
      </w:r>
      <w:r w:rsidR="00477ADD" w:rsidRPr="00B85BD0">
        <w:rPr>
          <w:rtl/>
          <w:lang w:eastAsia="he-IL"/>
        </w:rPr>
        <w:t xml:space="preserve"> (10.7.17) – נדחה ערעור של נאשם שהורשע בגידול 18 שתילי קנבוס במשקל 3.85 ק"ג. נקבע מתחם של 8-20 חודשי מאסר והוטלו על הנאשם 12 חודשי מאסר בפועל.</w:t>
      </w:r>
    </w:p>
    <w:p w14:paraId="3A8B2720" w14:textId="77777777" w:rsidR="00477ADD" w:rsidRPr="00B85BD0" w:rsidRDefault="00C428A7" w:rsidP="00477ADD">
      <w:pPr>
        <w:numPr>
          <w:ilvl w:val="0"/>
          <w:numId w:val="4"/>
        </w:numPr>
        <w:snapToGrid w:val="0"/>
        <w:spacing w:before="240" w:line="360" w:lineRule="auto"/>
        <w:contextualSpacing/>
        <w:jc w:val="both"/>
        <w:rPr>
          <w:lang w:eastAsia="he-IL"/>
        </w:rPr>
      </w:pPr>
      <w:hyperlink r:id="rId18" w:history="1">
        <w:r w:rsidRPr="00C428A7">
          <w:rPr>
            <w:color w:val="0000FF"/>
            <w:u w:val="single"/>
            <w:rtl/>
            <w:lang w:eastAsia="he-IL"/>
          </w:rPr>
          <w:t>רע"פ 314/16</w:t>
        </w:r>
      </w:hyperlink>
      <w:r w:rsidR="00477ADD" w:rsidRPr="00B85BD0">
        <w:rPr>
          <w:rtl/>
          <w:lang w:eastAsia="he-IL"/>
        </w:rPr>
        <w:t xml:space="preserve"> </w:t>
      </w:r>
      <w:r w:rsidR="00477ADD" w:rsidRPr="00B85BD0">
        <w:rPr>
          <w:b/>
          <w:bCs/>
          <w:color w:val="000000"/>
          <w:rtl/>
          <w:lang w:eastAsia="he-IL"/>
        </w:rPr>
        <w:t xml:space="preserve">בן צבי נ' מדינת ישראל (22.6.16) </w:t>
      </w:r>
      <w:r w:rsidR="00477ADD" w:rsidRPr="00B85BD0">
        <w:rPr>
          <w:color w:val="000000"/>
          <w:rtl/>
          <w:lang w:eastAsia="he-IL"/>
        </w:rPr>
        <w:t>–</w:t>
      </w:r>
      <w:r w:rsidR="00477ADD" w:rsidRPr="00B85BD0">
        <w:rPr>
          <w:color w:val="000000"/>
          <w:sz w:val="27"/>
          <w:szCs w:val="27"/>
          <w:rtl/>
          <w:lang w:eastAsia="he-IL"/>
        </w:rPr>
        <w:t xml:space="preserve"> </w:t>
      </w:r>
      <w:r w:rsidR="00477ADD" w:rsidRPr="00B85BD0">
        <w:rPr>
          <w:rtl/>
          <w:lang w:eastAsia="he-IL"/>
        </w:rPr>
        <w:t xml:space="preserve">נדחה ערעור של נאשם, אשר הורשע בגידול שתילי קנבוס במשקל 2.5. ק"ג. בבית משפט השלום הוטלו עליו 6 חודשי מאסר לריצוי בעבודות שירות. במסגרת הערעור הוחמר עונשו והועמד על 10 חודשי מאסר בפועל. </w:t>
      </w:r>
    </w:p>
    <w:p w14:paraId="0768D8DC" w14:textId="77777777" w:rsidR="00477ADD" w:rsidRPr="00B85BD0" w:rsidRDefault="00477ADD" w:rsidP="00477ADD">
      <w:pPr>
        <w:snapToGrid w:val="0"/>
        <w:spacing w:line="360" w:lineRule="auto"/>
        <w:ind w:left="360"/>
        <w:contextualSpacing/>
        <w:jc w:val="both"/>
        <w:rPr>
          <w:rtl/>
          <w:lang w:eastAsia="he-IL"/>
        </w:rPr>
      </w:pPr>
    </w:p>
    <w:p w14:paraId="5C54286B"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 xml:space="preserve">לאור זאת, בשים לב לנסיבות ביצוע העבירה – התחכום וההשקעה הרבה בגידול הסם, מספר השתילים הרב והמשקל הסופי - וכן לאור מדיניות הענישה הנוהגת, יש לקבוע כי מתחם העונש ההולם הוא 14-30 חודשי מאסר בפועל ועונשים נלווים.  </w:t>
      </w:r>
    </w:p>
    <w:p w14:paraId="239F6910" w14:textId="77777777" w:rsidR="00477ADD" w:rsidRPr="00B85BD0" w:rsidRDefault="00477ADD" w:rsidP="00477ADD">
      <w:pPr>
        <w:snapToGrid w:val="0"/>
        <w:spacing w:line="360" w:lineRule="auto"/>
        <w:ind w:left="360"/>
        <w:contextualSpacing/>
        <w:jc w:val="both"/>
        <w:rPr>
          <w:lang w:eastAsia="he-IL"/>
        </w:rPr>
      </w:pPr>
    </w:p>
    <w:p w14:paraId="358E5CA3"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בבחינת שיקולי הענישה הפרטניים צוין, כי הנאשם נעדר הרשעות קודמות. הנסיבות האישיות שברקע לביצוע העבירות פורטו בתסקיר. בין היתר עולה, כי מדובר במניע טהור של בצע כסף. הנאשם לא היה במצוקה כלכלית כשהחליט לגדל במודע כמויות סם גדולות, המרעילות את הציבור. נטען, כי אין די בהליך הטיפולי אותו עבר הנאשם כדי להצדיק סטייה ממתחם העונש הראוי והמקובל, ואין לקבל את ההמלצה העונשית של שירות המבחן. נטען, כי דווקא האימה מגזירת הדין עשויה להיות תמריץ איכותי לאדם נעדר עבר פלילי להימנע מעבירות. בהקשר זה הפנתה, לנטיית הנאשם לרצות את גורמי הטיפול כפי שצוין בתסקיר הראשון.</w:t>
      </w:r>
    </w:p>
    <w:p w14:paraId="31849A2E" w14:textId="77777777" w:rsidR="00477ADD" w:rsidRPr="00B85BD0" w:rsidRDefault="00477ADD" w:rsidP="00477ADD">
      <w:pPr>
        <w:snapToGrid w:val="0"/>
        <w:spacing w:line="360" w:lineRule="auto"/>
        <w:ind w:left="360"/>
        <w:contextualSpacing/>
        <w:jc w:val="both"/>
        <w:rPr>
          <w:lang w:eastAsia="he-IL"/>
        </w:rPr>
      </w:pPr>
    </w:p>
    <w:p w14:paraId="471B9CB2"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 xml:space="preserve">בנסיבות אלה המאשימה עתרה להטיל על הנאשם מאסר בפועל בחלקו התחתון של המתחם שהוצג, מאסר מותנה ארוך ומרתיע, פסילת רישיון בפועל ועל תנאי וקנס כספי משמעותי אשר יביא בחשבון את פוטנציאל הנזק לציבור. </w:t>
      </w:r>
    </w:p>
    <w:p w14:paraId="0957252B" w14:textId="77777777" w:rsidR="00477ADD" w:rsidRPr="00B85BD0" w:rsidRDefault="00477ADD" w:rsidP="00477ADD">
      <w:pPr>
        <w:snapToGrid w:val="0"/>
        <w:spacing w:line="360" w:lineRule="auto"/>
        <w:ind w:left="360"/>
        <w:contextualSpacing/>
        <w:jc w:val="both"/>
        <w:rPr>
          <w:lang w:eastAsia="he-IL"/>
        </w:rPr>
      </w:pPr>
    </w:p>
    <w:p w14:paraId="6F39A78D" w14:textId="77777777" w:rsidR="00477ADD" w:rsidRPr="00B85BD0" w:rsidRDefault="00477ADD" w:rsidP="00477ADD">
      <w:pPr>
        <w:numPr>
          <w:ilvl w:val="0"/>
          <w:numId w:val="1"/>
        </w:numPr>
        <w:snapToGrid w:val="0"/>
        <w:spacing w:line="360" w:lineRule="auto"/>
        <w:contextualSpacing/>
        <w:jc w:val="both"/>
        <w:rPr>
          <w:lang w:eastAsia="he-IL"/>
        </w:rPr>
      </w:pPr>
      <w:r w:rsidRPr="00B85BD0">
        <w:rPr>
          <w:b/>
          <w:bCs/>
          <w:rtl/>
          <w:lang w:eastAsia="he-IL"/>
        </w:rPr>
        <w:t xml:space="preserve">ב"כ הנאשם </w:t>
      </w:r>
      <w:r w:rsidRPr="00B85BD0">
        <w:rPr>
          <w:rtl/>
          <w:lang w:eastAsia="he-IL"/>
        </w:rPr>
        <w:t>ביקש להקל עם הנאשם, משיקולי שיקומו.</w:t>
      </w:r>
    </w:p>
    <w:p w14:paraId="11DDD0A0" w14:textId="77777777" w:rsidR="00477ADD" w:rsidRDefault="00477ADD" w:rsidP="00477ADD">
      <w:pPr>
        <w:snapToGrid w:val="0"/>
        <w:spacing w:line="360" w:lineRule="auto"/>
        <w:ind w:left="360"/>
        <w:contextualSpacing/>
        <w:jc w:val="both"/>
        <w:rPr>
          <w:rtl/>
          <w:lang w:eastAsia="he-IL"/>
        </w:rPr>
      </w:pPr>
      <w:r w:rsidRPr="00B85BD0">
        <w:rPr>
          <w:rtl/>
          <w:lang w:eastAsia="he-IL"/>
        </w:rPr>
        <w:t>נטען, כי כיום המחוקק מאפשר לרצות 9 חודשי מאסר בעבודות שירות. זאת, בין היתר על מנת למנוע את הנזקים העלולים להיגרם משהות בבית הסוהר, לאדם ללא עבר פלילי וללא דפוסים עבריינים.</w:t>
      </w:r>
    </w:p>
    <w:p w14:paraId="05993C1B" w14:textId="77777777" w:rsidR="00477ADD" w:rsidRPr="00B85BD0" w:rsidRDefault="00477ADD" w:rsidP="00477ADD">
      <w:pPr>
        <w:snapToGrid w:val="0"/>
        <w:spacing w:line="360" w:lineRule="auto"/>
        <w:ind w:left="360"/>
        <w:contextualSpacing/>
        <w:jc w:val="both"/>
        <w:rPr>
          <w:rtl/>
          <w:lang w:eastAsia="he-IL"/>
        </w:rPr>
      </w:pPr>
    </w:p>
    <w:p w14:paraId="62A39134"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 xml:space="preserve">בהתייחסו לרמת הענישה הנוהגת בפסיקה, הפנה ב"כ הנאשם למספר אסמכתאות. כן הושלמה ההתייחסות לעונש פעמיים לאחר מועד הטיעון לעונש (ולאחרונה ביום 14.4.21) בהפניה לאסמכתאות נוספות. כך, למשל, הפנה לפסקי דין של ערכאות הערעור המנחות: </w:t>
      </w:r>
    </w:p>
    <w:p w14:paraId="380656FA" w14:textId="77777777" w:rsidR="00477ADD" w:rsidRPr="00B85BD0" w:rsidRDefault="00C428A7" w:rsidP="00477ADD">
      <w:pPr>
        <w:numPr>
          <w:ilvl w:val="0"/>
          <w:numId w:val="5"/>
        </w:numPr>
        <w:snapToGrid w:val="0"/>
        <w:spacing w:line="360" w:lineRule="auto"/>
        <w:contextualSpacing/>
        <w:jc w:val="both"/>
        <w:rPr>
          <w:rFonts w:ascii="David" w:hAnsi="David"/>
          <w:lang w:eastAsia="he-IL"/>
        </w:rPr>
      </w:pPr>
      <w:hyperlink r:id="rId19" w:history="1">
        <w:r w:rsidRPr="00C428A7">
          <w:rPr>
            <w:rFonts w:ascii="David" w:hAnsi="David"/>
            <w:color w:val="0000FF"/>
            <w:u w:val="single"/>
            <w:rtl/>
            <w:lang w:eastAsia="he-IL"/>
          </w:rPr>
          <w:t>עפ"ג 49414-05-18</w:t>
        </w:r>
      </w:hyperlink>
      <w:r w:rsidR="00477ADD" w:rsidRPr="00B85BD0">
        <w:rPr>
          <w:rFonts w:ascii="David" w:hAnsi="David"/>
          <w:rtl/>
          <w:lang w:eastAsia="he-IL"/>
        </w:rPr>
        <w:t xml:space="preserve"> </w:t>
      </w:r>
      <w:r w:rsidR="00477ADD" w:rsidRPr="00B85BD0">
        <w:rPr>
          <w:rFonts w:ascii="David" w:hAnsi="David"/>
          <w:b/>
          <w:bCs/>
          <w:rtl/>
          <w:lang w:eastAsia="he-IL"/>
        </w:rPr>
        <w:t>מדינת ישראל נ' שלמה בנון</w:t>
      </w:r>
      <w:r w:rsidR="00477ADD" w:rsidRPr="00B85BD0">
        <w:rPr>
          <w:rFonts w:ascii="David" w:hAnsi="David"/>
          <w:rtl/>
          <w:lang w:eastAsia="he-IL"/>
        </w:rPr>
        <w:t xml:space="preserve"> (30.12.18)  - שם הורשע נאשם בגידול, בהיקף גדול יותר. נקבע, כי מתחם העונש ההולם הוא 8-18 חודשי מאסר. חרף עברו הפלילי, נוכח תסקירים ממליצים והליך טיפולי מוצלח, הוטלו עליו 6 חודשי מאסר לריצוי עבודות שירות. בבית המשפט המחוזי אושר המתחם שנקבע כמתחם הראוי וערעור המאשימה לעונש נדחה.</w:t>
      </w:r>
    </w:p>
    <w:p w14:paraId="66437B8D" w14:textId="77777777" w:rsidR="00477ADD" w:rsidRPr="00B85BD0" w:rsidRDefault="00C428A7" w:rsidP="00477ADD">
      <w:pPr>
        <w:numPr>
          <w:ilvl w:val="0"/>
          <w:numId w:val="5"/>
        </w:numPr>
        <w:snapToGrid w:val="0"/>
        <w:spacing w:line="360" w:lineRule="auto"/>
        <w:contextualSpacing/>
        <w:jc w:val="both"/>
        <w:rPr>
          <w:rFonts w:ascii="David" w:hAnsi="David"/>
          <w:lang w:eastAsia="he-IL"/>
        </w:rPr>
      </w:pPr>
      <w:hyperlink r:id="rId20" w:history="1">
        <w:r w:rsidRPr="00C428A7">
          <w:rPr>
            <w:rFonts w:ascii="David" w:hAnsi="David"/>
            <w:color w:val="0000FF"/>
            <w:u w:val="single"/>
            <w:rtl/>
            <w:lang w:eastAsia="he-IL"/>
          </w:rPr>
          <w:t>עפ"ג 26985-08-19</w:t>
        </w:r>
      </w:hyperlink>
      <w:r w:rsidR="00477ADD" w:rsidRPr="00B85BD0">
        <w:rPr>
          <w:rFonts w:ascii="David" w:hAnsi="David"/>
          <w:rtl/>
          <w:lang w:eastAsia="he-IL"/>
        </w:rPr>
        <w:t xml:space="preserve"> </w:t>
      </w:r>
      <w:r w:rsidR="00477ADD" w:rsidRPr="00B85BD0">
        <w:rPr>
          <w:b/>
          <w:bCs/>
          <w:color w:val="000000"/>
          <w:rtl/>
          <w:lang w:eastAsia="he-IL"/>
        </w:rPr>
        <w:t>שטנפר נ' מדינת ישראל</w:t>
      </w:r>
      <w:r>
        <w:rPr>
          <w:color w:val="000000"/>
          <w:rtl/>
          <w:lang w:eastAsia="he-IL"/>
        </w:rPr>
        <w:t xml:space="preserve"> </w:t>
      </w:r>
      <w:r w:rsidR="00477ADD" w:rsidRPr="00B85BD0">
        <w:rPr>
          <w:color w:val="000000"/>
          <w:rtl/>
          <w:lang w:eastAsia="he-IL"/>
        </w:rPr>
        <w:t xml:space="preserve">(21.11.19) – </w:t>
      </w:r>
      <w:r w:rsidR="00477ADD" w:rsidRPr="00B85BD0">
        <w:rPr>
          <w:rFonts w:ascii="David" w:hAnsi="David"/>
          <w:rtl/>
          <w:lang w:eastAsia="he-IL"/>
        </w:rPr>
        <w:t xml:space="preserve">ניתנו צווי מבחן ושל"צ למי שהורשע בגידול סם במשקל של 13 ק"ג. </w:t>
      </w:r>
    </w:p>
    <w:p w14:paraId="45E7BC0B" w14:textId="77777777" w:rsidR="00477ADD" w:rsidRPr="00B85BD0" w:rsidRDefault="00C428A7" w:rsidP="00477ADD">
      <w:pPr>
        <w:numPr>
          <w:ilvl w:val="0"/>
          <w:numId w:val="5"/>
        </w:numPr>
        <w:snapToGrid w:val="0"/>
        <w:spacing w:line="360" w:lineRule="auto"/>
        <w:contextualSpacing/>
        <w:jc w:val="both"/>
        <w:rPr>
          <w:rFonts w:ascii="David" w:hAnsi="David"/>
          <w:rtl/>
          <w:lang w:eastAsia="he-IL"/>
        </w:rPr>
      </w:pPr>
      <w:hyperlink r:id="rId21" w:history="1">
        <w:r w:rsidRPr="00C428A7">
          <w:rPr>
            <w:rFonts w:ascii="David" w:hAnsi="David"/>
            <w:color w:val="0000FF"/>
            <w:u w:val="single"/>
            <w:rtl/>
            <w:lang w:eastAsia="he-IL"/>
          </w:rPr>
          <w:t>ע"פ 4285/17</w:t>
        </w:r>
      </w:hyperlink>
      <w:r w:rsidR="00477ADD" w:rsidRPr="00B85BD0">
        <w:rPr>
          <w:rFonts w:ascii="David" w:hAnsi="David"/>
          <w:rtl/>
          <w:lang w:eastAsia="he-IL"/>
        </w:rPr>
        <w:t xml:space="preserve"> </w:t>
      </w:r>
      <w:r w:rsidR="00477ADD" w:rsidRPr="00B85BD0">
        <w:rPr>
          <w:b/>
          <w:bCs/>
          <w:color w:val="000000"/>
          <w:rtl/>
          <w:lang w:eastAsia="he-IL"/>
        </w:rPr>
        <w:t>שירה יצחקי נ' מדינת ישראל</w:t>
      </w:r>
      <w:r>
        <w:rPr>
          <w:color w:val="000000"/>
          <w:sz w:val="27"/>
          <w:szCs w:val="27"/>
          <w:rtl/>
          <w:lang w:eastAsia="he-IL"/>
        </w:rPr>
        <w:t xml:space="preserve"> </w:t>
      </w:r>
      <w:r w:rsidR="00477ADD" w:rsidRPr="00B85BD0">
        <w:rPr>
          <w:rFonts w:ascii="David" w:hAnsi="David"/>
          <w:rtl/>
          <w:lang w:eastAsia="he-IL"/>
        </w:rPr>
        <w:t xml:space="preserve"> (4.6.17) - שם הורשעה הנאשמת בגידול 1,000 שתילים במשקל 100 ק"ג. בבית המשפט המחוזי הוטלו עליה 12 חודשי מאסר, תוך התחשבות בשיקולי השיקום במסגרת הערעור הוחלט כי תרצה 6 חודשי מאסר בעבודות שירות, נוכח שיקולי השיקום.</w:t>
      </w:r>
    </w:p>
    <w:p w14:paraId="6625DA72" w14:textId="77777777" w:rsidR="00477ADD" w:rsidRPr="00B85BD0" w:rsidRDefault="00477ADD" w:rsidP="00477ADD">
      <w:pPr>
        <w:snapToGrid w:val="0"/>
        <w:spacing w:line="360" w:lineRule="auto"/>
        <w:ind w:left="720"/>
        <w:contextualSpacing/>
        <w:jc w:val="both"/>
        <w:rPr>
          <w:rFonts w:ascii="David" w:hAnsi="David"/>
          <w:lang w:eastAsia="he-IL"/>
        </w:rPr>
      </w:pPr>
    </w:p>
    <w:p w14:paraId="553A2932" w14:textId="77777777" w:rsidR="00477ADD" w:rsidRPr="00B85BD0" w:rsidRDefault="00477ADD" w:rsidP="00477ADD">
      <w:pPr>
        <w:spacing w:after="160" w:line="360" w:lineRule="auto"/>
        <w:ind w:left="360"/>
        <w:jc w:val="both"/>
        <w:rPr>
          <w:rFonts w:ascii="David" w:hAnsi="David"/>
          <w:rtl/>
        </w:rPr>
      </w:pPr>
      <w:r w:rsidRPr="00B85BD0">
        <w:rPr>
          <w:rFonts w:ascii="David" w:hAnsi="David"/>
          <w:rtl/>
        </w:rPr>
        <w:t>כן הפנה למספר פסקי דין של הערכאות הדיוניות, בהן נקבעו מתחמי ענישה במנעד שבין 6-24 חודשי מאסר, ובתי המשפט סטו ממתחם העונש ההולם לקולא משיקולי שיקום. כך, בין אם בהטלת מאסר לתקופה קצרה יותר מ"תחתית" המתחם ובין אם בהימנעות מהטלת מאסר.</w:t>
      </w:r>
    </w:p>
    <w:p w14:paraId="334B3E94" w14:textId="77777777" w:rsidR="00477ADD" w:rsidRPr="00B85BD0" w:rsidRDefault="00477ADD" w:rsidP="00477ADD">
      <w:pPr>
        <w:snapToGrid w:val="0"/>
        <w:spacing w:line="360" w:lineRule="auto"/>
        <w:ind w:left="360"/>
        <w:contextualSpacing/>
        <w:jc w:val="both"/>
        <w:rPr>
          <w:rtl/>
          <w:lang w:eastAsia="he-IL"/>
        </w:rPr>
      </w:pPr>
    </w:p>
    <w:p w14:paraId="68AC7E51"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בנוסף, הפנה ב"כ הנאשם ל</w:t>
      </w:r>
      <w:hyperlink r:id="rId22" w:history="1">
        <w:r w:rsidR="00C428A7" w:rsidRPr="00C428A7">
          <w:rPr>
            <w:color w:val="0000FF"/>
            <w:u w:val="single"/>
            <w:rtl/>
            <w:lang w:eastAsia="he-IL"/>
          </w:rPr>
          <w:t>בש"פ 8640/20</w:t>
        </w:r>
      </w:hyperlink>
      <w:r w:rsidRPr="00B85BD0">
        <w:rPr>
          <w:rtl/>
          <w:lang w:eastAsia="he-IL"/>
        </w:rPr>
        <w:t xml:space="preserve"> </w:t>
      </w:r>
      <w:r w:rsidRPr="00B85BD0">
        <w:rPr>
          <w:b/>
          <w:bCs/>
          <w:rtl/>
          <w:lang w:eastAsia="he-IL"/>
        </w:rPr>
        <w:t>אבו קרינאת נ' מדינת ישראל</w:t>
      </w:r>
      <w:r w:rsidRPr="00B85BD0">
        <w:rPr>
          <w:rtl/>
          <w:lang w:eastAsia="he-IL"/>
        </w:rPr>
        <w:t xml:space="preserve"> (23.12.20)  שם ניתן משקל רב לסוג הסם בו מדובר, שהוא סם "קל" שהשימוש בו נפוץ ואף נשקלת רגולציה בנוגע אליו.</w:t>
      </w:r>
    </w:p>
    <w:p w14:paraId="3C76DF5D" w14:textId="77777777" w:rsidR="00477ADD" w:rsidRPr="00B85BD0" w:rsidRDefault="00477ADD" w:rsidP="00477ADD">
      <w:pPr>
        <w:snapToGrid w:val="0"/>
        <w:spacing w:line="360" w:lineRule="auto"/>
        <w:ind w:left="360"/>
        <w:contextualSpacing/>
        <w:jc w:val="both"/>
        <w:rPr>
          <w:rtl/>
          <w:lang w:eastAsia="he-IL"/>
        </w:rPr>
      </w:pPr>
    </w:p>
    <w:p w14:paraId="3763C8E1" w14:textId="77777777" w:rsidR="00477ADD" w:rsidRPr="00B85BD0" w:rsidRDefault="00477ADD" w:rsidP="00477ADD">
      <w:pPr>
        <w:snapToGrid w:val="0"/>
        <w:spacing w:line="360" w:lineRule="auto"/>
        <w:ind w:left="360"/>
        <w:contextualSpacing/>
        <w:jc w:val="both"/>
        <w:rPr>
          <w:rtl/>
          <w:lang w:eastAsia="he-IL"/>
        </w:rPr>
      </w:pPr>
      <w:r w:rsidRPr="00B85BD0">
        <w:rPr>
          <w:rtl/>
          <w:lang w:eastAsia="he-IL"/>
        </w:rPr>
        <w:t>כן הפנה לתפקידו של הנאשם במסכת העבריינית, שהוא איננו מחולל הפשיעה העיקרי ("קוף") והזעזוע אותו ספג ימנע המשך ביצוע עבירות בעתיד.</w:t>
      </w:r>
    </w:p>
    <w:p w14:paraId="0A1E2E44" w14:textId="77777777" w:rsidR="00477ADD" w:rsidRPr="00B85BD0" w:rsidRDefault="00477ADD" w:rsidP="00477ADD">
      <w:pPr>
        <w:snapToGrid w:val="0"/>
        <w:spacing w:line="360" w:lineRule="auto"/>
        <w:ind w:left="360"/>
        <w:contextualSpacing/>
        <w:jc w:val="both"/>
        <w:rPr>
          <w:rtl/>
          <w:lang w:eastAsia="he-IL"/>
        </w:rPr>
      </w:pPr>
    </w:p>
    <w:p w14:paraId="42E1A7F7"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בבחינת שיקולי שיקומו של הנאשם הפנה ב"כ הנאשם לתהליך הארוך אותו עבר הנאשם, נוכח הרקע האישי שלו, התמכרותו לסמים בגיל צעיר, והמצוקה הכלכלית בה נמצאת המשפחה כיום, והמחסור במוצרים בסיסיים. נטען, כי במסגרת תהליך השיקום הנאשם חדל משימוש בסמים. נטען, כי הנאשם לא השתלב בעבודה על מנת להתמיד בהליך הטיפולי ומכאן המלצת שירות המבחן להימנע מהטלת מאסר, ולו בעבודות שירות. הנאשם נטל אחריות על מעשיו ומדובר במי שאין לחובתו הרשעות קודמות.</w:t>
      </w:r>
    </w:p>
    <w:p w14:paraId="65F59096" w14:textId="77777777" w:rsidR="00477ADD" w:rsidRPr="00B85BD0" w:rsidRDefault="00477ADD" w:rsidP="00477ADD">
      <w:pPr>
        <w:snapToGrid w:val="0"/>
        <w:spacing w:line="360" w:lineRule="auto"/>
        <w:ind w:left="360"/>
        <w:contextualSpacing/>
        <w:jc w:val="both"/>
        <w:rPr>
          <w:lang w:eastAsia="he-IL"/>
        </w:rPr>
      </w:pPr>
      <w:r w:rsidRPr="00B85BD0">
        <w:rPr>
          <w:rtl/>
          <w:lang w:eastAsia="he-IL"/>
        </w:rPr>
        <w:t>הודגש, כי ההליך הטיפולי איננו פשוט ומצריך השקעת זמן ומאמץ מדי יום.</w:t>
      </w:r>
    </w:p>
    <w:p w14:paraId="18B8ACE0"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לחלופין, עתר לכך שאם יסבור בית המשפט שלא ניתן להימנע מהשתת עונש מאסר, יש להגבילו למאסר בעבודות שירות. נטען, כי טיעון המאשימה לעונש אינו מתיישב עם האינטרס הציבורי שהנאשם ימשיך בטיפול בו החל ואף לא עם הפסיקה אליה הפנה.</w:t>
      </w:r>
    </w:p>
    <w:p w14:paraId="7FCCD3CE" w14:textId="77777777" w:rsidR="00477ADD" w:rsidRPr="00B85BD0" w:rsidRDefault="00477ADD" w:rsidP="00477ADD">
      <w:pPr>
        <w:snapToGrid w:val="0"/>
        <w:spacing w:line="360" w:lineRule="auto"/>
        <w:ind w:left="360"/>
        <w:contextualSpacing/>
        <w:jc w:val="both"/>
        <w:rPr>
          <w:rtl/>
          <w:lang w:eastAsia="he-IL"/>
        </w:rPr>
      </w:pPr>
    </w:p>
    <w:p w14:paraId="6FE67C25"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ב"כ הנאשם ביקש להטיל על הנאשם פסילת רישיון על תנאי בלבד הואיל והוא נעדר עבר פלילי בתחום הסמים וזו לו העבירה הראשונה בתחום זה.</w:t>
      </w:r>
    </w:p>
    <w:p w14:paraId="78359073" w14:textId="77777777" w:rsidR="00477ADD" w:rsidRPr="00B85BD0" w:rsidRDefault="00477ADD" w:rsidP="00477ADD">
      <w:pPr>
        <w:snapToGrid w:val="0"/>
        <w:spacing w:line="360" w:lineRule="auto"/>
        <w:ind w:left="360"/>
        <w:contextualSpacing/>
        <w:jc w:val="both"/>
        <w:rPr>
          <w:lang w:eastAsia="he-IL"/>
        </w:rPr>
      </w:pPr>
    </w:p>
    <w:p w14:paraId="39F3731B" w14:textId="77777777" w:rsidR="00477ADD" w:rsidRPr="00B85BD0" w:rsidRDefault="00477ADD" w:rsidP="00477ADD">
      <w:pPr>
        <w:numPr>
          <w:ilvl w:val="0"/>
          <w:numId w:val="1"/>
        </w:numPr>
        <w:snapToGrid w:val="0"/>
        <w:spacing w:line="360" w:lineRule="auto"/>
        <w:contextualSpacing/>
        <w:jc w:val="both"/>
        <w:rPr>
          <w:lang w:eastAsia="he-IL"/>
        </w:rPr>
      </w:pPr>
      <w:r w:rsidRPr="00B85BD0">
        <w:rPr>
          <w:b/>
          <w:bCs/>
          <w:rtl/>
          <w:lang w:eastAsia="he-IL"/>
        </w:rPr>
        <w:t xml:space="preserve">הנאשם </w:t>
      </w:r>
      <w:r w:rsidRPr="00B85BD0">
        <w:rPr>
          <w:rtl/>
          <w:lang w:eastAsia="he-IL"/>
        </w:rPr>
        <w:t>עצמו בדבריו האחרונים לבית המשפט מסר, כי הוא לוקח אחריות ולא יחזור על מעשיו. הנאשם מסר, כי לא ביצע את המיוחס לו בשל בצע כסף, אלא מחמת התמכרותו לסמים. טען, כי כיום הוא נמצא במקום אחר, עובר תהליך שיקום אינטנסיבי ומתמודד עם רגשותיו. מסר, כי איננו עובד מזה תקופה ארוכה וביקש לאפשר לו להמשיך בטיפול במסגרת מרכז היום ובמקביל להתנדב במסגרת של"צ. הנאשם טען, כי "בזכות" ההסתבכות, כיום אינו עושה כל שימוש בסמים או באלכוהול. הנאשם מסר, כי הוא עצמו לא מכר סמים ולא הרוויח ממעשה העבירה. הנאשם ביקש כי בית המשפט יתחשב בו והוא מבקש להמשיך בחייו.</w:t>
      </w:r>
    </w:p>
    <w:p w14:paraId="4B9398DE" w14:textId="77777777" w:rsidR="00477ADD" w:rsidRPr="00477ADD" w:rsidRDefault="00477ADD" w:rsidP="00477ADD">
      <w:pPr>
        <w:spacing w:after="160" w:line="360" w:lineRule="auto"/>
        <w:jc w:val="both"/>
        <w:rPr>
          <w:rFonts w:ascii="Calibri" w:hAnsi="Calibri"/>
          <w:bCs/>
          <w:u w:val="single"/>
          <w:rtl/>
        </w:rPr>
      </w:pPr>
    </w:p>
    <w:p w14:paraId="785C501E" w14:textId="77777777" w:rsidR="00477ADD" w:rsidRPr="00477ADD" w:rsidRDefault="00477ADD" w:rsidP="00477ADD">
      <w:pPr>
        <w:spacing w:after="160" w:line="360" w:lineRule="auto"/>
        <w:jc w:val="both"/>
        <w:rPr>
          <w:rFonts w:ascii="Calibri" w:hAnsi="Calibri"/>
          <w:bCs/>
          <w:u w:val="single"/>
          <w:rtl/>
        </w:rPr>
      </w:pPr>
      <w:r w:rsidRPr="00477ADD">
        <w:rPr>
          <w:rFonts w:ascii="Calibri" w:hAnsi="Calibri" w:hint="eastAsia"/>
          <w:bCs/>
          <w:u w:val="single"/>
          <w:rtl/>
        </w:rPr>
        <w:t>דיון</w:t>
      </w:r>
      <w:r w:rsidRPr="00477ADD">
        <w:rPr>
          <w:rFonts w:ascii="Calibri" w:hAnsi="Calibri"/>
          <w:bCs/>
          <w:u w:val="single"/>
          <w:rtl/>
        </w:rPr>
        <w:t xml:space="preserve"> </w:t>
      </w:r>
      <w:r w:rsidRPr="00477ADD">
        <w:rPr>
          <w:rFonts w:ascii="Calibri" w:hAnsi="Calibri" w:hint="eastAsia"/>
          <w:bCs/>
          <w:u w:val="single"/>
          <w:rtl/>
        </w:rPr>
        <w:t>והכרעה</w:t>
      </w:r>
    </w:p>
    <w:p w14:paraId="087A7614" w14:textId="77777777" w:rsidR="00477ADD" w:rsidRPr="00477ADD" w:rsidRDefault="00477ADD" w:rsidP="00477ADD">
      <w:pPr>
        <w:spacing w:after="160" w:line="360" w:lineRule="auto"/>
        <w:jc w:val="both"/>
        <w:rPr>
          <w:rFonts w:ascii="Calibri" w:hAnsi="Calibri"/>
          <w:u w:val="single"/>
        </w:rPr>
      </w:pPr>
      <w:r w:rsidRPr="00477ADD">
        <w:rPr>
          <w:rFonts w:ascii="Calibri" w:hAnsi="Calibri" w:hint="eastAsia"/>
          <w:u w:val="single"/>
          <w:rtl/>
        </w:rPr>
        <w:t>קביעת</w:t>
      </w:r>
      <w:r w:rsidRPr="00477ADD">
        <w:rPr>
          <w:rFonts w:ascii="Calibri" w:hAnsi="Calibri"/>
          <w:u w:val="single"/>
          <w:rtl/>
        </w:rPr>
        <w:t xml:space="preserve"> </w:t>
      </w:r>
      <w:r w:rsidRPr="00477ADD">
        <w:rPr>
          <w:rFonts w:ascii="Calibri" w:hAnsi="Calibri" w:hint="eastAsia"/>
          <w:u w:val="single"/>
          <w:rtl/>
        </w:rPr>
        <w:t>מתחם</w:t>
      </w:r>
      <w:r w:rsidRPr="00477ADD">
        <w:rPr>
          <w:rFonts w:ascii="Calibri" w:hAnsi="Calibri"/>
          <w:u w:val="single"/>
          <w:rtl/>
        </w:rPr>
        <w:t xml:space="preserve"> </w:t>
      </w:r>
      <w:r w:rsidRPr="00477ADD">
        <w:rPr>
          <w:rFonts w:ascii="Calibri" w:hAnsi="Calibri" w:hint="eastAsia"/>
          <w:u w:val="single"/>
          <w:rtl/>
        </w:rPr>
        <w:t>העונש</w:t>
      </w:r>
      <w:r w:rsidRPr="00477ADD">
        <w:rPr>
          <w:rFonts w:ascii="Calibri" w:hAnsi="Calibri"/>
          <w:u w:val="single"/>
          <w:rtl/>
        </w:rPr>
        <w:t xml:space="preserve"> </w:t>
      </w:r>
      <w:r w:rsidRPr="00477ADD">
        <w:rPr>
          <w:rFonts w:ascii="Calibri" w:hAnsi="Calibri" w:hint="eastAsia"/>
          <w:u w:val="single"/>
          <w:rtl/>
        </w:rPr>
        <w:t>ההולם</w:t>
      </w:r>
      <w:r w:rsidRPr="00477ADD">
        <w:rPr>
          <w:rFonts w:ascii="Calibri" w:hAnsi="Calibri"/>
          <w:u w:val="single"/>
          <w:rtl/>
        </w:rPr>
        <w:t>:</w:t>
      </w:r>
    </w:p>
    <w:p w14:paraId="5D109563"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603FD2AD" w14:textId="77777777" w:rsidR="00477ADD" w:rsidRPr="00B85BD0" w:rsidRDefault="00477ADD" w:rsidP="00477ADD">
      <w:pPr>
        <w:snapToGrid w:val="0"/>
        <w:spacing w:line="360" w:lineRule="auto"/>
        <w:ind w:left="360"/>
        <w:contextualSpacing/>
        <w:jc w:val="both"/>
        <w:rPr>
          <w:rtl/>
          <w:lang w:eastAsia="he-IL"/>
        </w:rPr>
      </w:pPr>
    </w:p>
    <w:p w14:paraId="0B821D47" w14:textId="77777777" w:rsidR="00477ADD"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הערכים המוגנים בעבירות סמים הם הגנה על בריאות הציבור ועל שלומו הפיזי והנפשי וכן על רכושו, מפני הנזקים הישירים והעקיפים הנגרמים עקב השימוש בסמים. חקיקת הסמים נועדה לעקור את נגע הסמים מהשורש. והמחוקק מצא להחמיר בעבירות ייצור וגידול הסם ולהשוותן לסחר בסמים, מבחינה נורמטיבית.  בגידול הסמים לצרכי הפצה טמון</w:t>
      </w:r>
      <w:r>
        <w:rPr>
          <w:rFonts w:ascii="David" w:hAnsi="David"/>
          <w:rtl/>
          <w:lang w:eastAsia="he-IL"/>
        </w:rPr>
        <w:t xml:space="preserve"> פוטנציאל </w:t>
      </w:r>
      <w:r w:rsidRPr="00B85BD0">
        <w:rPr>
          <w:rFonts w:ascii="David" w:hAnsi="David"/>
          <w:rtl/>
          <w:lang w:eastAsia="he-IL"/>
        </w:rPr>
        <w:t>נזק רחב, לא רק למעורבים הישירים בביצוע העבירה ואף לא רק לצרכנים המיועדים, אלא לציבור כולו: לבני המשפחה, לבעלי העסקים והציבור הנפגע מעבירות הרכוש הנלוות לעיתים קרובות לתלות בסם, לציבור המצוי במרחבים הציבוריים שהאווירה ואיכות החיים בהם נפגמת כתוצאה מהתופעה הנרחבת של הפצת הסם</w:t>
      </w:r>
      <w:r>
        <w:rPr>
          <w:rFonts w:ascii="David" w:hAnsi="David" w:hint="cs"/>
          <w:rtl/>
          <w:lang w:eastAsia="he-IL"/>
        </w:rPr>
        <w:t xml:space="preserve"> והשימוש בו</w:t>
      </w:r>
      <w:r w:rsidRPr="00B85BD0">
        <w:rPr>
          <w:rFonts w:ascii="David" w:hAnsi="David"/>
          <w:rtl/>
          <w:lang w:eastAsia="he-IL"/>
        </w:rPr>
        <w:t xml:space="preserve">. כך, במקומות הבילוי, בכבישי הארץ, בגנים ובפארקים הציבוריים. </w:t>
      </w:r>
    </w:p>
    <w:p w14:paraId="19A9EBE3" w14:textId="77777777" w:rsidR="00477ADD" w:rsidRPr="00B85BD0" w:rsidRDefault="00477ADD" w:rsidP="00477ADD">
      <w:pPr>
        <w:snapToGrid w:val="0"/>
        <w:spacing w:after="200" w:line="360" w:lineRule="auto"/>
        <w:ind w:left="360"/>
        <w:contextualSpacing/>
        <w:jc w:val="both"/>
        <w:rPr>
          <w:rFonts w:ascii="David" w:hAnsi="David"/>
          <w:lang w:eastAsia="he-IL"/>
        </w:rPr>
      </w:pPr>
    </w:p>
    <w:p w14:paraId="26CB14B2" w14:textId="77777777" w:rsidR="00477ADD" w:rsidRPr="00B85BD0" w:rsidRDefault="00477ADD" w:rsidP="00477ADD">
      <w:pPr>
        <w:numPr>
          <w:ilvl w:val="0"/>
          <w:numId w:val="1"/>
        </w:numPr>
        <w:snapToGrid w:val="0"/>
        <w:spacing w:line="360" w:lineRule="auto"/>
        <w:contextualSpacing/>
        <w:jc w:val="both"/>
        <w:rPr>
          <w:rFonts w:ascii="David" w:hAnsi="David"/>
          <w:lang w:eastAsia="he-IL"/>
        </w:rPr>
      </w:pPr>
      <w:r w:rsidRPr="00B85BD0">
        <w:rPr>
          <w:rFonts w:ascii="David" w:hAnsi="David"/>
          <w:rtl/>
          <w:lang w:eastAsia="he-IL"/>
        </w:rPr>
        <w:t xml:space="preserve">לעניין זה ראו דבריו הברורים של הרכב בית המשפט המחוזי בתל-אביב במסגרת </w:t>
      </w:r>
      <w:hyperlink r:id="rId23" w:history="1">
        <w:r w:rsidR="00C428A7" w:rsidRPr="00C428A7">
          <w:rPr>
            <w:rFonts w:ascii="David" w:hAnsi="David"/>
            <w:color w:val="0000FF"/>
            <w:u w:val="single"/>
            <w:rtl/>
            <w:lang w:eastAsia="he-IL"/>
          </w:rPr>
          <w:t>עפ"ג 46738-09-14</w:t>
        </w:r>
      </w:hyperlink>
      <w:r w:rsidRPr="00B85BD0">
        <w:rPr>
          <w:rFonts w:ascii="David" w:hAnsi="David"/>
          <w:rtl/>
          <w:lang w:eastAsia="he-IL"/>
        </w:rPr>
        <w:t xml:space="preserve"> </w:t>
      </w:r>
      <w:r w:rsidRPr="00B85BD0">
        <w:rPr>
          <w:rFonts w:ascii="David" w:hAnsi="David"/>
          <w:b/>
          <w:bCs/>
          <w:rtl/>
          <w:lang w:eastAsia="he-IL"/>
        </w:rPr>
        <w:t>מדינת ישראל נ' צקבאשווילי ואח'</w:t>
      </w:r>
      <w:r w:rsidRPr="00B85BD0">
        <w:rPr>
          <w:rFonts w:ascii="David" w:hAnsi="David"/>
          <w:rtl/>
          <w:lang w:eastAsia="he-IL"/>
        </w:rPr>
        <w:t xml:space="preserve"> (31.12.14), אליו הפנתה המאשימה:</w:t>
      </w:r>
    </w:p>
    <w:p w14:paraId="57E5B11A" w14:textId="77777777" w:rsidR="00477ADD" w:rsidRPr="00B85BD0" w:rsidRDefault="00477ADD" w:rsidP="00477ADD">
      <w:pPr>
        <w:snapToGrid w:val="0"/>
        <w:spacing w:line="360" w:lineRule="auto"/>
        <w:ind w:left="360"/>
        <w:contextualSpacing/>
        <w:jc w:val="both"/>
        <w:rPr>
          <w:rFonts w:ascii="David" w:hAnsi="David"/>
          <w:rtl/>
          <w:lang w:eastAsia="he-IL"/>
        </w:rPr>
      </w:pPr>
    </w:p>
    <w:p w14:paraId="21C81461" w14:textId="77777777" w:rsidR="00477ADD" w:rsidRPr="00B85BD0" w:rsidRDefault="00477ADD" w:rsidP="00477ADD">
      <w:pPr>
        <w:widowControl w:val="0"/>
        <w:snapToGrid w:val="0"/>
        <w:spacing w:before="60" w:line="360" w:lineRule="auto"/>
        <w:ind w:left="1440" w:right="992"/>
        <w:jc w:val="both"/>
        <w:rPr>
          <w:rFonts w:ascii="David" w:hAnsi="David"/>
          <w:rtl/>
          <w:lang w:eastAsia="he-IL"/>
        </w:rPr>
      </w:pPr>
      <w:r w:rsidRPr="00B85BD0">
        <w:rPr>
          <w:rFonts w:ascii="David" w:hAnsi="David"/>
          <w:rtl/>
          <w:lang w:eastAsia="he-IL"/>
        </w:rPr>
        <w:t>"</w:t>
      </w:r>
      <w:r w:rsidRPr="00B85BD0">
        <w:rPr>
          <w:rFonts w:ascii="David" w:hAnsi="David"/>
          <w:b/>
          <w:bCs/>
          <w:rtl/>
          <w:lang w:eastAsia="he-IL"/>
        </w:rPr>
        <w:t>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 ספציפית באשר למעבדות סמים: לצערנו, שוב ושוב אנו נתקלים במקרים כדוגמת המקרה הנוכחי...</w:t>
      </w:r>
      <w:r w:rsidRPr="00B85BD0">
        <w:rPr>
          <w:rFonts w:ascii="David" w:hAnsi="David"/>
          <w:rtl/>
          <w:lang w:eastAsia="he-IL"/>
        </w:rPr>
        <w:t>".</w:t>
      </w:r>
    </w:p>
    <w:p w14:paraId="13C2903A" w14:textId="77777777" w:rsidR="00477ADD" w:rsidRPr="00B85BD0" w:rsidRDefault="00477ADD" w:rsidP="00477ADD">
      <w:pPr>
        <w:widowControl w:val="0"/>
        <w:snapToGrid w:val="0"/>
        <w:spacing w:before="120" w:line="360" w:lineRule="auto"/>
        <w:ind w:left="714"/>
        <w:jc w:val="both"/>
        <w:rPr>
          <w:rFonts w:ascii="David" w:hAnsi="David"/>
          <w:rtl/>
          <w:lang w:eastAsia="he-IL"/>
        </w:rPr>
      </w:pPr>
      <w:r w:rsidRPr="00B85BD0">
        <w:rPr>
          <w:rFonts w:ascii="David" w:hAnsi="David"/>
          <w:rtl/>
          <w:lang w:eastAsia="he-IL"/>
        </w:rPr>
        <w:t>גם בחלוף השנים, הדברים נכונים וניכרים בעבודתו היומיומית של בית המשפט, ואף ביתר שאת.  ראו עוד גם ב</w:t>
      </w:r>
      <w:hyperlink r:id="rId24" w:history="1">
        <w:r w:rsidR="00C428A7" w:rsidRPr="00C428A7">
          <w:rPr>
            <w:rFonts w:ascii="David" w:hAnsi="David"/>
            <w:color w:val="0000FF"/>
            <w:u w:val="single"/>
            <w:rtl/>
            <w:lang w:eastAsia="he-IL"/>
          </w:rPr>
          <w:t>עפ"ג 42358-10-14</w:t>
        </w:r>
      </w:hyperlink>
      <w:r w:rsidRPr="00B85BD0">
        <w:rPr>
          <w:rFonts w:ascii="David" w:hAnsi="David"/>
          <w:rtl/>
          <w:lang w:eastAsia="he-IL"/>
        </w:rPr>
        <w:t xml:space="preserve"> </w:t>
      </w:r>
      <w:r w:rsidRPr="00B85BD0">
        <w:rPr>
          <w:rFonts w:ascii="David" w:hAnsi="David"/>
          <w:b/>
          <w:bCs/>
          <w:rtl/>
          <w:lang w:eastAsia="he-IL"/>
        </w:rPr>
        <w:t xml:space="preserve">גיא נ' מדינת ישראל </w:t>
      </w:r>
      <w:r w:rsidRPr="00B85BD0">
        <w:rPr>
          <w:rFonts w:ascii="David" w:hAnsi="David"/>
          <w:rtl/>
          <w:lang w:eastAsia="he-IL"/>
        </w:rPr>
        <w:t xml:space="preserve">(18.2.15):  </w:t>
      </w:r>
    </w:p>
    <w:p w14:paraId="2A23C362" w14:textId="77777777" w:rsidR="00477ADD" w:rsidRPr="00B85BD0" w:rsidRDefault="00477ADD" w:rsidP="00477ADD">
      <w:pPr>
        <w:widowControl w:val="0"/>
        <w:snapToGrid w:val="0"/>
        <w:spacing w:before="120" w:line="360" w:lineRule="auto"/>
        <w:ind w:left="714"/>
        <w:jc w:val="both"/>
        <w:rPr>
          <w:rFonts w:ascii="David" w:hAnsi="David"/>
          <w:b/>
          <w:bCs/>
          <w:lang w:eastAsia="he-IL"/>
        </w:rPr>
      </w:pPr>
      <w:r w:rsidRPr="00B85BD0">
        <w:rPr>
          <w:rFonts w:ascii="David" w:hAnsi="David"/>
          <w:rtl/>
          <w:lang w:eastAsia="he-IL"/>
        </w:rPr>
        <w:t xml:space="preserve">  </w:t>
      </w:r>
    </w:p>
    <w:p w14:paraId="390B56ED" w14:textId="77777777" w:rsidR="00477ADD" w:rsidRPr="00B85BD0" w:rsidRDefault="00477ADD" w:rsidP="00477ADD">
      <w:pPr>
        <w:widowControl w:val="0"/>
        <w:spacing w:before="60" w:after="160" w:line="360" w:lineRule="auto"/>
        <w:ind w:left="1440" w:right="993"/>
        <w:jc w:val="both"/>
        <w:rPr>
          <w:rFonts w:ascii="David" w:hAnsi="David"/>
          <w:b/>
          <w:bCs/>
        </w:rPr>
      </w:pPr>
      <w:r w:rsidRPr="00B85BD0">
        <w:rPr>
          <w:rFonts w:ascii="David" w:hAnsi="David"/>
          <w:b/>
          <w:bCs/>
          <w:rtl/>
        </w:rPr>
        <w:t>"דומה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המשפט העוסקים בתחום זה".</w:t>
      </w:r>
    </w:p>
    <w:p w14:paraId="03129127"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מכלול שיקולי הענישה הכלליים, והמידה הנרחבת של הפגיעה בערכים המוגנים בכל רבדי החברה, הודגמו היטב במקרה זה שלפניי:</w:t>
      </w:r>
    </w:p>
    <w:p w14:paraId="7A572A7B" w14:textId="77777777" w:rsidR="00477ADD" w:rsidRPr="00B85BD0" w:rsidRDefault="00477ADD" w:rsidP="00477ADD">
      <w:pPr>
        <w:snapToGrid w:val="0"/>
        <w:spacing w:after="200" w:line="360" w:lineRule="auto"/>
        <w:ind w:left="360"/>
        <w:contextualSpacing/>
        <w:jc w:val="both"/>
        <w:rPr>
          <w:rFonts w:ascii="David" w:hAnsi="David"/>
          <w:rtl/>
          <w:lang w:eastAsia="he-IL"/>
        </w:rPr>
      </w:pPr>
    </w:p>
    <w:p w14:paraId="7D059C0E" w14:textId="77777777" w:rsidR="00477ADD" w:rsidRPr="00B85BD0" w:rsidRDefault="00477ADD" w:rsidP="00477ADD">
      <w:pPr>
        <w:snapToGrid w:val="0"/>
        <w:spacing w:after="200" w:line="360" w:lineRule="auto"/>
        <w:ind w:left="360"/>
        <w:contextualSpacing/>
        <w:jc w:val="both"/>
        <w:rPr>
          <w:rFonts w:ascii="David" w:hAnsi="David"/>
          <w:rtl/>
          <w:lang w:eastAsia="he-IL"/>
        </w:rPr>
      </w:pPr>
      <w:r w:rsidRPr="00B85BD0">
        <w:rPr>
          <w:rFonts w:ascii="David" w:hAnsi="David"/>
          <w:rtl/>
          <w:lang w:eastAsia="he-IL"/>
        </w:rPr>
        <w:t>הנאשם עצמו, מציב את התמכרותו לסמים מגיל צעיר, על רקע נסיבותיו המשפחתיות והרגשיות, כמרכיב מרכזי שהוביל אותו לביצוע העבירות. מדובר באותם הסמים שבגידולם עסק הנאשם. אותם סמים, שהשימוש בהם כה נפוץ, עד כי בבתי המשפט וברחובות העיר נשמע מדי יום ביומו, כי מדובר בסמים "קלים", שה</w:t>
      </w:r>
      <w:r>
        <w:rPr>
          <w:rFonts w:ascii="David" w:hAnsi="David" w:hint="cs"/>
          <w:rtl/>
          <w:lang w:eastAsia="he-IL"/>
        </w:rPr>
        <w:t>ה</w:t>
      </w:r>
      <w:r w:rsidRPr="00B85BD0">
        <w:rPr>
          <w:rFonts w:ascii="David" w:hAnsi="David"/>
          <w:rtl/>
          <w:lang w:eastAsia="he-IL"/>
        </w:rPr>
        <w:t>חזק</w:t>
      </w:r>
      <w:r>
        <w:rPr>
          <w:rFonts w:ascii="David" w:hAnsi="David" w:hint="cs"/>
          <w:rtl/>
          <w:lang w:eastAsia="he-IL"/>
        </w:rPr>
        <w:t>ה</w:t>
      </w:r>
      <w:r w:rsidRPr="00B85BD0">
        <w:rPr>
          <w:rFonts w:ascii="David" w:hAnsi="David"/>
          <w:rtl/>
          <w:lang w:eastAsia="he-IL"/>
        </w:rPr>
        <w:t xml:space="preserve"> והשימוש בהם אינו נחשב כהתנהגות בלתי-נורמטיבית, וככאלה שאין פגם בשימוש בהם שכן, בשונה מסמים אחרים, הם אינם ממכרים ואינם פוגעים בתיפקוד היומיומי. כל מי שעיניו בראשו, ובפרט בתי המשפט שנחשפים לתופעה – הן מצד הצרכנים והן מצד מחוללי הפשיעה במעגלים השונים -  נחשף לתפיסות רווחות אלה ולפער שבינן ובין המציאות הכואבת.</w:t>
      </w:r>
    </w:p>
    <w:p w14:paraId="5B40C117" w14:textId="77777777" w:rsidR="00477ADD" w:rsidRPr="00B85BD0" w:rsidRDefault="00477ADD" w:rsidP="00477ADD">
      <w:pPr>
        <w:snapToGrid w:val="0"/>
        <w:spacing w:after="200" w:line="360" w:lineRule="auto"/>
        <w:ind w:left="360"/>
        <w:contextualSpacing/>
        <w:jc w:val="both"/>
        <w:rPr>
          <w:rFonts w:ascii="David" w:hAnsi="David"/>
          <w:rtl/>
          <w:lang w:eastAsia="he-IL"/>
        </w:rPr>
      </w:pPr>
    </w:p>
    <w:p w14:paraId="5E3C80DF"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גם במקרה שלפניי, אשתו של הנאשם, אשת טיפול במקצועה, היתה ערה לשימוש הנרחב של בעלה בסם, והשלימה עם כך בשל סוג הסם, והעובדה שהשימוש בו נעשה "מחוץ לבית". הדברים ניכרו היטב בדבריה לבית המשפט. אותה התפכחות שתיארה בדבריה הכנים, התרחשה לאחר מעצרו של בעלה והמחירים שהמשפחה נאלצה לשלם כתוצאה מכך, וכאשר היא מבינה, כיום, עד כמה הושפעו אורח חייה ותפקודו של בעלה כבן זוג וכאב, מהרגליו ה</w:t>
      </w:r>
      <w:r w:rsidRPr="00B85BD0">
        <w:rPr>
          <w:rFonts w:ascii="David" w:hAnsi="David"/>
          <w:b/>
          <w:bCs/>
          <w:rtl/>
          <w:lang w:eastAsia="he-IL"/>
        </w:rPr>
        <w:t>בלתי נורמטיביים</w:t>
      </w:r>
      <w:r w:rsidRPr="00B85BD0">
        <w:rPr>
          <w:rFonts w:ascii="David" w:hAnsi="David"/>
          <w:rtl/>
          <w:lang w:eastAsia="he-IL"/>
        </w:rPr>
        <w:t>.</w:t>
      </w:r>
    </w:p>
    <w:p w14:paraId="5228CBF8" w14:textId="77777777" w:rsidR="00477ADD" w:rsidRPr="00B85BD0" w:rsidRDefault="00477ADD" w:rsidP="00477ADD">
      <w:pPr>
        <w:snapToGrid w:val="0"/>
        <w:spacing w:after="200" w:line="360" w:lineRule="auto"/>
        <w:ind w:left="360"/>
        <w:contextualSpacing/>
        <w:jc w:val="both"/>
        <w:rPr>
          <w:rFonts w:ascii="David" w:hAnsi="David"/>
          <w:rtl/>
          <w:lang w:eastAsia="he-IL"/>
        </w:rPr>
      </w:pPr>
    </w:p>
    <w:p w14:paraId="0225C496"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מידת התלות שפיתח הנאשם בסם ה"קל" הובילה לכך שהוא נדרש כבר חודשים ארוכים למסגרת טיפולית במסגרת מרכז יום לטיפול בהתמכרויות – מסגרת יומיומית, שקיימת לפניי המלצה להמשיך בה תקופה נוספת. המדובר במסגרת טיפולית, אחת מיני רבות, שהקופה הציבורית מחזיקה ומוקצים לטובתה משאבים ציבוריים שיכולים היו להיות מוקצים לשימושים ציבוריים אחרים, אף כאלה להם נזקק הנאשם עצמו בצעירותו, לולי נדרש הציבור לטפל בתוצאות ההתמכרות לסם "הקל" וה"בלתי ממכר".</w:t>
      </w:r>
    </w:p>
    <w:p w14:paraId="7DF359A6" w14:textId="77777777" w:rsidR="00477ADD" w:rsidRPr="00B85BD0" w:rsidRDefault="00477ADD" w:rsidP="00477ADD">
      <w:pPr>
        <w:snapToGrid w:val="0"/>
        <w:ind w:left="720"/>
        <w:contextualSpacing/>
        <w:rPr>
          <w:rFonts w:ascii="David" w:hAnsi="David"/>
          <w:rtl/>
          <w:lang w:eastAsia="he-IL"/>
        </w:rPr>
      </w:pPr>
    </w:p>
    <w:p w14:paraId="7BC3271F"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 xml:space="preserve">בכל תקופת הטיפול הנאשם ממשיך לא לעבוד ולא לפרנס את משפחתו (הנאשם פוטר מעבודתו בשל מגיפת הקורונה עוד קודם להשתלבותו בטיפול), עד כדי כך שנטען, שעל בית המשפט להתחשב בנאשם בגזירת עונשו משום המצב הכלכלי הנוכחי של המשפחה. </w:t>
      </w:r>
    </w:p>
    <w:p w14:paraId="08C0BDBC" w14:textId="77777777" w:rsidR="00477ADD" w:rsidRPr="00B85BD0" w:rsidRDefault="00477ADD" w:rsidP="00477ADD">
      <w:pPr>
        <w:snapToGrid w:val="0"/>
        <w:ind w:left="720"/>
        <w:contextualSpacing/>
        <w:rPr>
          <w:rFonts w:ascii="David" w:hAnsi="David"/>
          <w:rtl/>
          <w:lang w:eastAsia="he-IL"/>
        </w:rPr>
      </w:pPr>
    </w:p>
    <w:p w14:paraId="653B974F"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 xml:space="preserve">נטען, כי הנאשם איננו מחולל הפשיעה הראשי – זה אשר משקיע את הממון, מנהל את ההפצה ואת הסחר וקוצר את מרבית פירותיהם. אכן, ניתן להניח, כי הנאשם  שלפניי, שאיננו נטוע בעולם העברייני, איננו העומד בראש הפירמידה העבריינית. הדברים הובאו בצורה הברורה ביותר גם במסגרת התסקיר הראשון (החל מעמוד 3 פסקה אחרונה) שם תואר האופן שבו "נשכר" הנאשם לביצוע העבירה תמורת תשלום גדול שהיווה פיתוי לעיסוק אותו כינה אז "עבודה" אשר כלל גם, מני ובי, קבלת אחריות מלאה במקרה </w:t>
      </w:r>
      <w:r>
        <w:rPr>
          <w:rFonts w:ascii="David" w:hAnsi="David" w:hint="cs"/>
          <w:rtl/>
          <w:lang w:eastAsia="he-IL"/>
        </w:rPr>
        <w:t>ש</w:t>
      </w:r>
      <w:r w:rsidRPr="00B85BD0">
        <w:rPr>
          <w:rFonts w:ascii="David" w:hAnsi="David"/>
          <w:rtl/>
          <w:lang w:eastAsia="he-IL"/>
        </w:rPr>
        <w:t>בו ייתפס. התמורה הגדולה, המבטאת גם את הסיכון בהיתפסות, אפשרה לנאשם בין היתר, להשיג "בדרך מקוצרת" סמלי סטטוס ומעמד המהווים פיצוי לתחושת כישלון מתמשכת.</w:t>
      </w:r>
      <w:r>
        <w:rPr>
          <w:rFonts w:ascii="David" w:hAnsi="David" w:hint="cs"/>
          <w:rtl/>
          <w:lang w:eastAsia="he-IL"/>
        </w:rPr>
        <w:t xml:space="preserve"> כך על פי שירות המבחן. </w:t>
      </w:r>
    </w:p>
    <w:p w14:paraId="3A288C83" w14:textId="77777777" w:rsidR="00477ADD" w:rsidRPr="00B85BD0" w:rsidRDefault="00477ADD" w:rsidP="00477ADD">
      <w:pPr>
        <w:snapToGrid w:val="0"/>
        <w:ind w:left="720"/>
        <w:contextualSpacing/>
        <w:rPr>
          <w:rFonts w:ascii="David" w:hAnsi="David"/>
          <w:rtl/>
          <w:lang w:eastAsia="he-IL"/>
        </w:rPr>
      </w:pPr>
    </w:p>
    <w:p w14:paraId="40A35D20" w14:textId="77777777" w:rsidR="00477ADD" w:rsidRPr="00B85BD0" w:rsidRDefault="00477ADD" w:rsidP="00477ADD">
      <w:pPr>
        <w:snapToGrid w:val="0"/>
        <w:spacing w:after="200" w:line="360" w:lineRule="auto"/>
        <w:ind w:left="360"/>
        <w:contextualSpacing/>
        <w:jc w:val="both"/>
        <w:rPr>
          <w:rFonts w:ascii="David" w:hAnsi="David"/>
          <w:rtl/>
          <w:lang w:eastAsia="he-IL"/>
        </w:rPr>
      </w:pPr>
      <w:r w:rsidRPr="00B85BD0">
        <w:rPr>
          <w:rFonts w:ascii="David" w:hAnsi="David"/>
          <w:rtl/>
          <w:lang w:eastAsia="he-IL"/>
        </w:rPr>
        <w:t xml:space="preserve">הנה כי כן, לפנינו דוגמא מאלפת למאפיינים של מי שמגויסים לשמש "עובדים" בתעשיית הסמים, בשירותם של מחוללי הפשיעה העבריינים ולתמריצים השונים הפועלים על אותם אנשים: הרקע האישי המוליד חולשת אופי ושיקול דעת לקוי; הנרטיב ה"מלבין" והמקל המאפשר הפעלה של דפוסי ההכחשה וההדחקה אצל העבריין ואצל בני משפחתו; התמורה הכספית המפתה; סיכויי ההיתפסות הנמוכים, בהיות העבירות עבירות "חשיפה", ללא קורבן או מתלונן.  </w:t>
      </w:r>
    </w:p>
    <w:p w14:paraId="56385ECE" w14:textId="77777777" w:rsidR="00477ADD" w:rsidRDefault="00477ADD" w:rsidP="00477ADD">
      <w:pPr>
        <w:snapToGrid w:val="0"/>
        <w:spacing w:after="200" w:line="360" w:lineRule="auto"/>
        <w:ind w:left="360"/>
        <w:contextualSpacing/>
        <w:jc w:val="both"/>
        <w:rPr>
          <w:rFonts w:ascii="David" w:hAnsi="David"/>
          <w:rtl/>
          <w:lang w:eastAsia="he-IL"/>
        </w:rPr>
      </w:pPr>
      <w:r w:rsidRPr="00B85BD0">
        <w:rPr>
          <w:rFonts w:ascii="David" w:hAnsi="David"/>
          <w:rtl/>
          <w:lang w:eastAsia="he-IL"/>
        </w:rPr>
        <w:t>אל כל אלה מתווספת גם האפשרות, כי בהיות הנאשם "נורמטיבי" ברקעו, ללא הרשעות קודמות או עצור לראשונה בחייו, ועם קיומם של מאפיינים משפחתיים ואישיותיים מתאימים, שירות המבחן יעתור לאימוץ אפיק שיקומי ובית המשפט לא יחמיר בעונשו.</w:t>
      </w:r>
    </w:p>
    <w:p w14:paraId="4B99D7EE" w14:textId="77777777" w:rsidR="00477ADD" w:rsidRPr="00B85BD0" w:rsidRDefault="00477ADD" w:rsidP="00477ADD">
      <w:pPr>
        <w:snapToGrid w:val="0"/>
        <w:spacing w:after="200" w:line="360" w:lineRule="auto"/>
        <w:ind w:left="360"/>
        <w:contextualSpacing/>
        <w:jc w:val="both"/>
        <w:rPr>
          <w:rFonts w:ascii="David" w:hAnsi="David"/>
          <w:rtl/>
          <w:lang w:eastAsia="he-IL"/>
        </w:rPr>
      </w:pPr>
    </w:p>
    <w:p w14:paraId="67FDB028"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כל המתואר לעיל, על קצה המזלג, מוביל למסקנה מצערת אחת, כי הציבור בישראל – על רבדיו ומעגליו השונים – הוא המשלם את המחירים שוב ושוב ושוב – פעם כמכור לסמים, פעם כמשפחתו של המכור, פעם כמי שסובל מתופעות פשיעה הנלוות להתנהגותו של המכור, פעם כמי שסובל מניוונו ומקשיי תפ</w:t>
      </w:r>
      <w:r>
        <w:rPr>
          <w:rFonts w:ascii="David" w:hAnsi="David"/>
          <w:rtl/>
          <w:lang w:eastAsia="he-IL"/>
        </w:rPr>
        <w:t>קודו של המכור כאזרח פעיל ויצרני</w:t>
      </w:r>
      <w:r>
        <w:rPr>
          <w:rFonts w:ascii="David" w:hAnsi="David" w:hint="cs"/>
          <w:rtl/>
          <w:lang w:eastAsia="he-IL"/>
        </w:rPr>
        <w:t xml:space="preserve"> בחברה,</w:t>
      </w:r>
      <w:r w:rsidRPr="00B85BD0">
        <w:rPr>
          <w:rFonts w:ascii="David" w:hAnsi="David"/>
          <w:rtl/>
          <w:lang w:eastAsia="he-IL"/>
        </w:rPr>
        <w:t xml:space="preserve"> פעם כמי שמממן את רשויות האכיפה, פעם כמי שמממן את גורמי הגמילה והטיפול. הציבור הוא גם זה שמשלם את המחירים בגין התעשרותם ושגשוגם של מחוללי הפשיעה האמיתיים – אלה שברגיל אינם מובאים בפועל לבתי המשפט בגין חלקם בתעשיית הסמים המרעילה</w:t>
      </w:r>
      <w:r>
        <w:rPr>
          <w:rFonts w:ascii="David" w:hAnsi="David" w:hint="cs"/>
          <w:rtl/>
          <w:lang w:eastAsia="he-IL"/>
        </w:rPr>
        <w:t>. אלה שכחלק מההסכם שבינם ובין העובדים בפועל במעבדות, זהותם נשמרת חסויה ואינה נמסרת לרשויות האכיפה.</w:t>
      </w:r>
      <w:r w:rsidRPr="00B85BD0">
        <w:rPr>
          <w:rFonts w:ascii="David" w:hAnsi="David"/>
          <w:rtl/>
          <w:lang w:eastAsia="he-IL"/>
        </w:rPr>
        <w:t xml:space="preserve"> אל</w:t>
      </w:r>
      <w:r>
        <w:rPr>
          <w:rFonts w:ascii="David" w:hAnsi="David" w:hint="cs"/>
          <w:rtl/>
          <w:lang w:eastAsia="he-IL"/>
        </w:rPr>
        <w:t>ה</w:t>
      </w:r>
      <w:r w:rsidRPr="00B85BD0">
        <w:rPr>
          <w:rFonts w:ascii="David" w:hAnsi="David"/>
          <w:rtl/>
          <w:lang w:eastAsia="he-IL"/>
        </w:rPr>
        <w:t xml:space="preserve"> הם </w:t>
      </w:r>
      <w:r>
        <w:rPr>
          <w:rFonts w:ascii="David" w:hAnsi="David" w:hint="cs"/>
          <w:rtl/>
          <w:lang w:eastAsia="he-IL"/>
        </w:rPr>
        <w:t>ה</w:t>
      </w:r>
      <w:r w:rsidRPr="00B85BD0">
        <w:rPr>
          <w:rFonts w:ascii="David" w:hAnsi="David"/>
          <w:rtl/>
          <w:lang w:eastAsia="he-IL"/>
        </w:rPr>
        <w:t>נהנים מפירות העבירות, ובד בבד מנהלים ברחבי ארצנו, וברחובות עירנו מלחמות כנופיות עקובות מדם.</w:t>
      </w:r>
    </w:p>
    <w:p w14:paraId="0A5BE18D" w14:textId="77777777" w:rsidR="00477ADD" w:rsidRPr="00B85BD0" w:rsidRDefault="00477ADD" w:rsidP="00477ADD">
      <w:pPr>
        <w:snapToGrid w:val="0"/>
        <w:spacing w:after="200" w:line="360" w:lineRule="auto"/>
        <w:ind w:left="360"/>
        <w:contextualSpacing/>
        <w:jc w:val="both"/>
        <w:rPr>
          <w:rFonts w:ascii="David" w:hAnsi="David"/>
          <w:lang w:eastAsia="he-IL"/>
        </w:rPr>
      </w:pPr>
    </w:p>
    <w:p w14:paraId="01E88ABC"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 xml:space="preserve">לעניין סוג הסם בו מדובר, והאבחנה בינו ובין סמים אחרים, נכתב לאחרונה ממש בפסק דין אחר של מותב זה (ראו </w:t>
      </w:r>
      <w:hyperlink r:id="rId25" w:history="1">
        <w:r w:rsidR="00C428A7" w:rsidRPr="00C428A7">
          <w:rPr>
            <w:rFonts w:ascii="David" w:hAnsi="David"/>
            <w:color w:val="0000FF"/>
            <w:u w:val="single"/>
            <w:rtl/>
            <w:lang w:eastAsia="he-IL"/>
          </w:rPr>
          <w:t>ת"פ  63029-12-20</w:t>
        </w:r>
      </w:hyperlink>
      <w:r w:rsidRPr="00B85BD0">
        <w:rPr>
          <w:rFonts w:ascii="David" w:hAnsi="David"/>
          <w:rtl/>
          <w:lang w:eastAsia="he-IL"/>
        </w:rPr>
        <w:t xml:space="preserve"> בעניין </w:t>
      </w:r>
      <w:r w:rsidRPr="00B85BD0">
        <w:rPr>
          <w:rFonts w:ascii="David" w:hAnsi="David"/>
          <w:b/>
          <w:bCs/>
          <w:rtl/>
          <w:lang w:eastAsia="he-IL"/>
        </w:rPr>
        <w:t>שליף</w:t>
      </w:r>
      <w:r w:rsidRPr="00B85BD0">
        <w:rPr>
          <w:rFonts w:ascii="David" w:hAnsi="David"/>
          <w:rtl/>
          <w:lang w:eastAsia="he-IL"/>
        </w:rPr>
        <w:t xml:space="preserve">):  </w:t>
      </w:r>
    </w:p>
    <w:p w14:paraId="511EFDBA" w14:textId="77777777" w:rsidR="00477ADD" w:rsidRPr="00B85BD0" w:rsidRDefault="00477ADD" w:rsidP="00477ADD">
      <w:pPr>
        <w:snapToGrid w:val="0"/>
        <w:spacing w:after="200" w:line="360" w:lineRule="auto"/>
        <w:ind w:left="360"/>
        <w:contextualSpacing/>
        <w:jc w:val="both"/>
        <w:rPr>
          <w:rFonts w:ascii="David" w:hAnsi="David"/>
          <w:rtl/>
          <w:lang w:eastAsia="he-IL"/>
        </w:rPr>
      </w:pPr>
    </w:p>
    <w:p w14:paraId="2CF8A197" w14:textId="77777777" w:rsidR="00477ADD" w:rsidRPr="00B85BD0" w:rsidRDefault="00477ADD" w:rsidP="00477ADD">
      <w:pPr>
        <w:snapToGrid w:val="0"/>
        <w:spacing w:after="200" w:line="360" w:lineRule="auto"/>
        <w:ind w:left="793" w:right="567"/>
        <w:contextualSpacing/>
        <w:jc w:val="both"/>
        <w:rPr>
          <w:rFonts w:ascii="David" w:hAnsi="David"/>
          <w:rtl/>
          <w:lang w:eastAsia="he-IL"/>
        </w:rPr>
      </w:pPr>
      <w:r w:rsidRPr="00B85BD0">
        <w:rPr>
          <w:rFonts w:ascii="David" w:hAnsi="David"/>
          <w:rtl/>
          <w:lang w:eastAsia="he-IL"/>
        </w:rPr>
        <w:t xml:space="preserve">"...אכן, יש מקום לאבחנה בין סוגי הסמים המופצים ואבחנה זו רלוונטית לקביעת מתחם הענישה בהתאם למידת הפגיעה בערכים המוגנים. קיימים סמים שפגיעתם הצפויה במשתמשים, לעיתים כבר בשימוש המזדמן הראשון, רבה מאד. לסמים שונים מאפייני השפעה שונים, וגם נזקים משניים צפויים בעוצמות שונות ונתונים אלה ודאי רלוונטיים בקביעת מתחם הענישה. בהתייחסות למשקל הסם יש לקחת בחשבון גם משקלה של המנה הבודדת (ואת הכמות המוגדרת בפקודה ככמות לגביה חלה "חזקת הכמות") וברור שאין דין החזקה של קילו קנבוס, כדין החזקה של קילו קוקאין. אך העובדה שקיימים סמים חמורים </w:t>
      </w:r>
      <w:r w:rsidRPr="00B85BD0">
        <w:rPr>
          <w:rFonts w:ascii="David" w:hAnsi="David"/>
          <w:b/>
          <w:bCs/>
          <w:rtl/>
          <w:lang w:eastAsia="he-IL"/>
        </w:rPr>
        <w:t xml:space="preserve">מאד </w:t>
      </w:r>
      <w:r w:rsidRPr="00B85BD0">
        <w:rPr>
          <w:rFonts w:ascii="David" w:hAnsi="David"/>
          <w:rtl/>
          <w:lang w:eastAsia="he-IL"/>
        </w:rPr>
        <w:t>אין משמעה שקיים סם "קל" והסמים שבהחזקתם הורשע הנאשם אינם "קלים" ".</w:t>
      </w:r>
    </w:p>
    <w:p w14:paraId="595BE03E" w14:textId="77777777" w:rsidR="00477ADD" w:rsidRPr="00B85BD0" w:rsidRDefault="00477ADD" w:rsidP="00477ADD">
      <w:pPr>
        <w:snapToGrid w:val="0"/>
        <w:spacing w:after="200" w:line="360" w:lineRule="auto"/>
        <w:ind w:left="360"/>
        <w:contextualSpacing/>
        <w:jc w:val="both"/>
        <w:rPr>
          <w:rFonts w:ascii="David" w:hAnsi="David"/>
          <w:lang w:eastAsia="he-IL"/>
        </w:rPr>
      </w:pPr>
      <w:r w:rsidRPr="00B85BD0">
        <w:rPr>
          <w:rFonts w:ascii="David" w:hAnsi="David"/>
          <w:rtl/>
          <w:lang w:eastAsia="he-IL"/>
        </w:rPr>
        <w:t xml:space="preserve"> </w:t>
      </w:r>
    </w:p>
    <w:p w14:paraId="34B681D1"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 xml:space="preserve">הנה כי כן, בקביעת מתחם העונש ההולם, על בית המשפט להתחשב במידת הפגיעה בערכים המוגנים כתוצאה ממעשה העבירה, ולעניין זה קיימים שיקולים כלליים ושיקולים קונקרטיים ומידת הפגיעה במקרה זה, הקונקרטי והמשקף גם את המקרה הכללי, היא משמעותית. </w:t>
      </w:r>
    </w:p>
    <w:p w14:paraId="589EF9DA" w14:textId="77777777" w:rsidR="00477ADD" w:rsidRPr="00B85BD0" w:rsidRDefault="00477ADD" w:rsidP="00477ADD">
      <w:pPr>
        <w:snapToGrid w:val="0"/>
        <w:spacing w:after="200" w:line="360" w:lineRule="auto"/>
        <w:ind w:left="360"/>
        <w:contextualSpacing/>
        <w:jc w:val="both"/>
        <w:rPr>
          <w:rFonts w:ascii="David" w:hAnsi="David"/>
          <w:lang w:eastAsia="he-IL"/>
        </w:rPr>
      </w:pPr>
    </w:p>
    <w:p w14:paraId="65E4129C" w14:textId="77777777" w:rsidR="00477ADD"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 xml:space="preserve">אף מידת אשמו של הנאשם היא משמעותית. בשים לב למכלול הנתונים שברקע, כפי שפורטו בתסקיר שירות המבחן, לא מדובר ברמת האשם הגבוהה ביותר, אך גם לא ניתן להקל בה ראש או להציגה כפעוטה: הנאשם התפתה לביצוע העבירה כפיתרון קל ומהיר להשגת תמורה כספית, מתוך טשטוש גבולות ושיקול הדעת וכמענה לתלות שפיתח בסם על רקע קשייו הנטועים בעברו ובצעירותו. הנאשם הסתיר את מעשיו מבני משפחתו ובכך גרם גם להם נזק מתמשך. </w:t>
      </w:r>
    </w:p>
    <w:p w14:paraId="79AAD285" w14:textId="77777777" w:rsidR="00477ADD" w:rsidRPr="00B85BD0" w:rsidRDefault="00477ADD" w:rsidP="00477ADD">
      <w:pPr>
        <w:snapToGrid w:val="0"/>
        <w:spacing w:after="200" w:line="360" w:lineRule="auto"/>
        <w:ind w:left="360"/>
        <w:contextualSpacing/>
        <w:jc w:val="both"/>
        <w:rPr>
          <w:rFonts w:ascii="David" w:hAnsi="David"/>
          <w:lang w:eastAsia="he-IL"/>
        </w:rPr>
      </w:pPr>
    </w:p>
    <w:p w14:paraId="295B2F14" w14:textId="77777777" w:rsidR="00477ADD"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 xml:space="preserve">בבחינת </w:t>
      </w:r>
      <w:r w:rsidRPr="00B85BD0">
        <w:rPr>
          <w:rFonts w:ascii="David" w:hAnsi="David"/>
          <w:b/>
          <w:bCs/>
          <w:rtl/>
          <w:lang w:eastAsia="he-IL"/>
        </w:rPr>
        <w:t xml:space="preserve">מדיניות הענישה הנוהגת </w:t>
      </w:r>
      <w:r w:rsidRPr="00B85BD0">
        <w:rPr>
          <w:rFonts w:ascii="David" w:hAnsi="David"/>
          <w:rtl/>
          <w:lang w:eastAsia="he-IL"/>
        </w:rPr>
        <w:t>עיינתי באסמכתאות אליהן הפנו ב"כ הצדדים ובפרט באלה שניתנו על ידי ערכאות הערעור המנחות, חלקן גם צוטטו בפסקי הדין של הערכאות הדיוניות.  העיון מלמד, כי במקרים שונים נקבעו מתחמי ענישה במנעד המשקף בעיקר את נסיבות הגידול ואת היקפו, ותוך התחשבות בטיב ובהיקף התשתית, מספר השתילים, כמות הסם בפועל, ונסיבות אחרות של מעשה העבירה. כך, כמות שתילים גדולה, המלמדת על גידול מסחרי ופוטנציאל נזק רב, עשויה להביא להחמרה בענישה גם אם משקל הסם בפועל אינו גדול. השאלה באיזה שלב נפסקת פעילות מעבדת הסמים היא מקרית, בכל הקשור למידת האשם של הנאשם, ותלויה בעיקר באיכות ובנחישות עבודת רשויות האכיפה.</w:t>
      </w:r>
    </w:p>
    <w:p w14:paraId="2A29E85C" w14:textId="77777777" w:rsidR="00477ADD" w:rsidRPr="00B85BD0" w:rsidRDefault="00477ADD" w:rsidP="00477ADD">
      <w:pPr>
        <w:snapToGrid w:val="0"/>
        <w:spacing w:after="200" w:line="360" w:lineRule="auto"/>
        <w:ind w:left="360"/>
        <w:contextualSpacing/>
        <w:jc w:val="both"/>
        <w:rPr>
          <w:rFonts w:ascii="David" w:hAnsi="David"/>
          <w:lang w:eastAsia="he-IL"/>
        </w:rPr>
      </w:pPr>
    </w:p>
    <w:p w14:paraId="24C3DFF3" w14:textId="77777777" w:rsidR="00477ADD"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 xml:space="preserve">כך, למשל, בפסק דין אליו הפנה ב"כ הנאשם במסגרת השלמתו האחרונה, נקבע תוך הפניה לאסמכתאות של ערכאות הערעור, מתחם ענישה של 15-36 חודשי מאסר בגין גידול והכנה של קנבוס, בשלבים שונים של הגידול ובמשקל כולל של כ-30 ק"ג ( </w:t>
      </w:r>
      <w:hyperlink r:id="rId26" w:history="1">
        <w:r w:rsidR="00C428A7" w:rsidRPr="00C428A7">
          <w:rPr>
            <w:rFonts w:ascii="David" w:hAnsi="David"/>
            <w:color w:val="0000FF"/>
            <w:u w:val="single"/>
            <w:rtl/>
            <w:lang w:eastAsia="he-IL"/>
          </w:rPr>
          <w:t>ת"פ (אש') 30421-02-20</w:t>
        </w:r>
      </w:hyperlink>
      <w:r w:rsidRPr="00B85BD0">
        <w:rPr>
          <w:rFonts w:ascii="David" w:hAnsi="David"/>
          <w:rtl/>
          <w:lang w:eastAsia="he-IL"/>
        </w:rPr>
        <w:t xml:space="preserve"> בעניין </w:t>
      </w:r>
      <w:r w:rsidRPr="00B85BD0">
        <w:rPr>
          <w:rFonts w:ascii="David" w:hAnsi="David"/>
          <w:b/>
          <w:bCs/>
          <w:rtl/>
          <w:lang w:eastAsia="he-IL"/>
        </w:rPr>
        <w:t xml:space="preserve">הרוש </w:t>
      </w:r>
      <w:r w:rsidRPr="00B85BD0">
        <w:rPr>
          <w:rFonts w:ascii="David" w:hAnsi="David"/>
          <w:rtl/>
          <w:lang w:eastAsia="he-IL"/>
        </w:rPr>
        <w:t xml:space="preserve"> מיום 11.4.21 ). גם שם המליץ שירות המבחן נוכח שיקולי השיקום שלא להטיל עונש מאסר, גם לא בעבודות שירות. בית המשפט החליט, בהיות הנאשם נעדר הרשעות קודמות ונוכח שיקולי שיקומו, להסתפק במאסר בן 9 חודשים, לריצוי בעבודות שירות. </w:t>
      </w:r>
    </w:p>
    <w:p w14:paraId="09732E8B" w14:textId="77777777" w:rsidR="00477ADD" w:rsidRPr="00B85BD0" w:rsidRDefault="00477ADD" w:rsidP="00477ADD">
      <w:pPr>
        <w:snapToGrid w:val="0"/>
        <w:spacing w:after="200" w:line="360" w:lineRule="auto"/>
        <w:ind w:left="360"/>
        <w:contextualSpacing/>
        <w:jc w:val="both"/>
        <w:rPr>
          <w:rFonts w:ascii="David" w:hAnsi="David"/>
          <w:lang w:eastAsia="he-IL"/>
        </w:rPr>
      </w:pPr>
    </w:p>
    <w:p w14:paraId="22CD45FE" w14:textId="77777777" w:rsidR="00477ADD" w:rsidRPr="00B85BD0" w:rsidRDefault="00477ADD" w:rsidP="00477ADD">
      <w:pPr>
        <w:numPr>
          <w:ilvl w:val="0"/>
          <w:numId w:val="1"/>
        </w:numPr>
        <w:snapToGrid w:val="0"/>
        <w:spacing w:after="200" w:line="360" w:lineRule="auto"/>
        <w:contextualSpacing/>
        <w:jc w:val="both"/>
        <w:rPr>
          <w:rFonts w:ascii="David" w:hAnsi="David"/>
          <w:lang w:eastAsia="he-IL"/>
        </w:rPr>
      </w:pPr>
      <w:r w:rsidRPr="00B85BD0">
        <w:rPr>
          <w:rFonts w:ascii="David" w:hAnsi="David"/>
          <w:rtl/>
          <w:lang w:eastAsia="he-IL"/>
        </w:rPr>
        <w:t>לעניין מדיניות הענישה, ראו, בנוסף לפסקי הדין אליהם הפנו הצדדים, גם את ההחלטות הבאות שניתנו על ידי ערכאות הערעור בשנים האחרונות:</w:t>
      </w:r>
    </w:p>
    <w:p w14:paraId="3802DD4B" w14:textId="77777777" w:rsidR="00477ADD" w:rsidRPr="00B85BD0" w:rsidRDefault="00477ADD" w:rsidP="00477ADD">
      <w:pPr>
        <w:snapToGrid w:val="0"/>
        <w:spacing w:after="200" w:line="360" w:lineRule="auto"/>
        <w:ind w:left="360"/>
        <w:contextualSpacing/>
        <w:jc w:val="both"/>
        <w:rPr>
          <w:rFonts w:ascii="David" w:hAnsi="David"/>
          <w:rtl/>
          <w:lang w:eastAsia="he-IL"/>
        </w:rPr>
      </w:pPr>
    </w:p>
    <w:p w14:paraId="60F04CAD" w14:textId="77777777" w:rsidR="00477ADD" w:rsidRPr="00B85BD0" w:rsidRDefault="00C428A7" w:rsidP="00477ADD">
      <w:pPr>
        <w:widowControl w:val="0"/>
        <w:numPr>
          <w:ilvl w:val="0"/>
          <w:numId w:val="3"/>
        </w:numPr>
        <w:snapToGrid w:val="0"/>
        <w:spacing w:before="120" w:line="360" w:lineRule="auto"/>
        <w:jc w:val="both"/>
        <w:rPr>
          <w:rFonts w:ascii="David" w:hAnsi="David"/>
          <w:lang w:eastAsia="he-IL"/>
        </w:rPr>
      </w:pPr>
      <w:hyperlink r:id="rId27" w:history="1">
        <w:r w:rsidRPr="00C428A7">
          <w:rPr>
            <w:rFonts w:ascii="David" w:hAnsi="David"/>
            <w:color w:val="0000FF"/>
            <w:u w:val="single"/>
            <w:rtl/>
            <w:lang w:eastAsia="he-IL"/>
          </w:rPr>
          <w:t>רע"פ 8563/18</w:t>
        </w:r>
      </w:hyperlink>
      <w:r w:rsidR="00477ADD" w:rsidRPr="00B85BD0">
        <w:rPr>
          <w:rFonts w:ascii="David" w:hAnsi="David"/>
          <w:rtl/>
          <w:lang w:eastAsia="he-IL"/>
        </w:rPr>
        <w:t xml:space="preserve"> </w:t>
      </w:r>
      <w:r w:rsidR="00477ADD" w:rsidRPr="00B85BD0">
        <w:rPr>
          <w:rFonts w:ascii="David" w:hAnsi="David"/>
          <w:b/>
          <w:bCs/>
          <w:rtl/>
          <w:lang w:eastAsia="he-IL"/>
        </w:rPr>
        <w:t>שרפוב נ' מדינת ישראל</w:t>
      </w:r>
      <w:r w:rsidR="00477ADD" w:rsidRPr="00B85BD0">
        <w:rPr>
          <w:rFonts w:ascii="David" w:hAnsi="David"/>
          <w:rtl/>
          <w:lang w:eastAsia="he-IL"/>
        </w:rPr>
        <w:t xml:space="preserve"> (12.12.18) – שם הורשעו הנאשמים ושותפיו בגידול של כ- 18 ק"ג קנבוס, תוך גניבת חשמל, ונקבע מתחם ענישה של  10-30. על הנאשם הושת עונש מאסר בתחתית המתחם, בהינתן נתוניו האישיים לרבות נטילת אחריות והיעדר הרשעות קודמות ונוכח המלצת שירות המבחן, אשר היתה חיובית, אולם לא הצביע על הישג שיקומי משמעותי.  </w:t>
      </w:r>
    </w:p>
    <w:p w14:paraId="7DBA7F28" w14:textId="77777777" w:rsidR="00477ADD" w:rsidRPr="00B85BD0" w:rsidRDefault="00C428A7" w:rsidP="00477ADD">
      <w:pPr>
        <w:widowControl w:val="0"/>
        <w:numPr>
          <w:ilvl w:val="0"/>
          <w:numId w:val="3"/>
        </w:numPr>
        <w:snapToGrid w:val="0"/>
        <w:spacing w:before="120" w:line="360" w:lineRule="auto"/>
        <w:jc w:val="both"/>
        <w:rPr>
          <w:rFonts w:ascii="David" w:hAnsi="David"/>
          <w:lang w:eastAsia="he-IL"/>
        </w:rPr>
      </w:pPr>
      <w:hyperlink r:id="rId28" w:history="1">
        <w:r w:rsidRPr="00C428A7">
          <w:rPr>
            <w:rFonts w:ascii="David" w:hAnsi="David"/>
            <w:color w:val="0000FF"/>
            <w:u w:val="single"/>
            <w:rtl/>
            <w:lang w:eastAsia="he-IL"/>
          </w:rPr>
          <w:t>עפ"ג 33215-12-18</w:t>
        </w:r>
      </w:hyperlink>
      <w:r w:rsidR="00477ADD" w:rsidRPr="00B85BD0">
        <w:rPr>
          <w:rFonts w:ascii="David" w:hAnsi="David"/>
          <w:rtl/>
          <w:lang w:eastAsia="he-IL"/>
        </w:rPr>
        <w:t xml:space="preserve"> </w:t>
      </w:r>
      <w:r w:rsidR="00477ADD" w:rsidRPr="00B85BD0">
        <w:rPr>
          <w:rFonts w:ascii="David" w:hAnsi="David"/>
          <w:b/>
          <w:bCs/>
          <w:rtl/>
          <w:lang w:eastAsia="he-IL"/>
        </w:rPr>
        <w:t>אבו עיאדה נ' מדינת ישראל</w:t>
      </w:r>
      <w:r w:rsidR="00477ADD" w:rsidRPr="00B85BD0">
        <w:rPr>
          <w:rFonts w:ascii="David" w:hAnsi="David"/>
          <w:rtl/>
          <w:lang w:eastAsia="he-IL"/>
        </w:rPr>
        <w:t xml:space="preserve"> (23.1.19) – שם אושר פסק הדין במסגרתו נקבע מתחם ענישה של 10-20 חודשי מאסר בפועל בגין גידול 900 שתילי קנבוס במשקל כולל של 44.80 </w:t>
      </w:r>
      <w:r w:rsidR="00477ADD" w:rsidRPr="00B85BD0">
        <w:rPr>
          <w:rFonts w:ascii="David" w:hAnsi="David"/>
          <w:b/>
          <w:bCs/>
          <w:rtl/>
          <w:lang w:eastAsia="he-IL"/>
        </w:rPr>
        <w:t>גרם</w:t>
      </w:r>
      <w:r w:rsidR="00477ADD" w:rsidRPr="00B85BD0">
        <w:rPr>
          <w:rFonts w:ascii="David" w:hAnsi="David"/>
          <w:rtl/>
          <w:lang w:eastAsia="he-IL"/>
        </w:rPr>
        <w:t>. על הנאשם באותו מקרה, צעיר כבן 26 ללא הרשעות קודמות, שעבד בתחום החשמל וביצע את העבירות על מנת להפיק רווח כספי קל ומהיר, הוטלו 12 חודשי מאסר לריצוי בפועל.</w:t>
      </w:r>
    </w:p>
    <w:p w14:paraId="76AD1A76" w14:textId="77777777" w:rsidR="00477ADD" w:rsidRPr="00B85BD0" w:rsidRDefault="00C428A7" w:rsidP="00477ADD">
      <w:pPr>
        <w:widowControl w:val="0"/>
        <w:numPr>
          <w:ilvl w:val="0"/>
          <w:numId w:val="3"/>
        </w:numPr>
        <w:snapToGrid w:val="0"/>
        <w:spacing w:before="120" w:line="360" w:lineRule="auto"/>
        <w:jc w:val="both"/>
        <w:rPr>
          <w:rFonts w:ascii="David" w:hAnsi="David"/>
          <w:lang w:eastAsia="he-IL"/>
        </w:rPr>
      </w:pPr>
      <w:hyperlink r:id="rId29" w:history="1">
        <w:r w:rsidRPr="00C428A7">
          <w:rPr>
            <w:rFonts w:ascii="David" w:hAnsi="David"/>
            <w:color w:val="0000FF"/>
            <w:u w:val="single"/>
            <w:rtl/>
            <w:lang w:eastAsia="he-IL"/>
          </w:rPr>
          <w:t>עפ"ג 5788-09-18</w:t>
        </w:r>
      </w:hyperlink>
      <w:r w:rsidR="00477ADD" w:rsidRPr="00B85BD0">
        <w:rPr>
          <w:rFonts w:ascii="David" w:hAnsi="David"/>
          <w:rtl/>
          <w:lang w:eastAsia="he-IL"/>
        </w:rPr>
        <w:t xml:space="preserve"> </w:t>
      </w:r>
      <w:r w:rsidR="00477ADD" w:rsidRPr="00B85BD0">
        <w:rPr>
          <w:rFonts w:ascii="David" w:hAnsi="David"/>
          <w:b/>
          <w:bCs/>
          <w:rtl/>
          <w:lang w:eastAsia="he-IL"/>
        </w:rPr>
        <w:t>אבו עסא נ' מדינת ישראל</w:t>
      </w:r>
      <w:r w:rsidR="00477ADD" w:rsidRPr="00B85BD0">
        <w:rPr>
          <w:rFonts w:ascii="David" w:hAnsi="David"/>
          <w:rtl/>
          <w:lang w:eastAsia="he-IL"/>
        </w:rPr>
        <w:t xml:space="preserve"> (28.11.18) – שם אושר פסק הדין במסגרתו נקבע מתחם ענישה של 9-22 חודשי מאסר בפועל בגין גידול 254 שתילי קנבוס במשקל של כ-6.5 ק"ג. על הנאשם הושם עונש מאסר של 9 חודשי מאסר בפועל, בהיותו צעיר, ללא הרשעות קודמות, שהודה במיוחס לו ושיתרת מאסרו קצרה. </w:t>
      </w:r>
    </w:p>
    <w:p w14:paraId="69DD27A9" w14:textId="77777777" w:rsidR="00477ADD" w:rsidRPr="00B85BD0" w:rsidRDefault="00477ADD" w:rsidP="00477ADD">
      <w:pPr>
        <w:widowControl w:val="0"/>
        <w:spacing w:before="120" w:after="160" w:line="360" w:lineRule="auto"/>
        <w:jc w:val="both"/>
        <w:rPr>
          <w:rFonts w:ascii="David" w:hAnsi="David" w:cs="Arial"/>
          <w:szCs w:val="22"/>
          <w:rtl/>
        </w:rPr>
      </w:pPr>
    </w:p>
    <w:p w14:paraId="644775E7" w14:textId="77777777" w:rsidR="00477ADD" w:rsidRDefault="00477ADD" w:rsidP="00477ADD">
      <w:pPr>
        <w:spacing w:after="160" w:line="360" w:lineRule="auto"/>
        <w:contextualSpacing/>
        <w:jc w:val="both"/>
        <w:rPr>
          <w:rFonts w:ascii="David" w:hAnsi="David"/>
          <w:b/>
          <w:bCs/>
          <w:rtl/>
        </w:rPr>
      </w:pPr>
      <w:r w:rsidRPr="00B85BD0">
        <w:rPr>
          <w:rFonts w:ascii="David" w:hAnsi="David"/>
          <w:b/>
          <w:bCs/>
          <w:rtl/>
        </w:rPr>
        <w:t>מכל האמור, אני מסיקה, כי מתחם העונש ההולם במקרה של גידול קנבוס בהיקף משמעותי,  בנסיבות המלמדות על גידול מסחרי בשירותם של אחרים, אינו יכול לכלול, כנקודת מוצא, עונש מאסר הניתן לריצוי בעבודות שירות ואני קובעת, כי מתחם העונש ההולם הוא 12-24 חודשי מאסר בפועל, בצירוף עונשים נלווים.</w:t>
      </w:r>
    </w:p>
    <w:p w14:paraId="24831442" w14:textId="77777777" w:rsidR="00477ADD" w:rsidRPr="00B85BD0" w:rsidRDefault="00477ADD" w:rsidP="00477ADD">
      <w:pPr>
        <w:spacing w:after="160" w:line="360" w:lineRule="auto"/>
        <w:contextualSpacing/>
        <w:jc w:val="both"/>
        <w:rPr>
          <w:rFonts w:ascii="David" w:hAnsi="David"/>
          <w:b/>
          <w:bCs/>
          <w:rtl/>
        </w:rPr>
      </w:pPr>
    </w:p>
    <w:p w14:paraId="53ACECAF" w14:textId="77777777" w:rsidR="00477ADD" w:rsidRPr="00B85BD0" w:rsidRDefault="00477ADD" w:rsidP="00477ADD">
      <w:pPr>
        <w:spacing w:after="160" w:line="360" w:lineRule="auto"/>
        <w:jc w:val="both"/>
        <w:rPr>
          <w:rFonts w:ascii="David" w:hAnsi="David"/>
          <w:b/>
          <w:bCs/>
          <w:rtl/>
        </w:rPr>
      </w:pPr>
    </w:p>
    <w:p w14:paraId="2C00E512" w14:textId="77777777" w:rsidR="00477ADD" w:rsidRPr="00B85BD0" w:rsidRDefault="00477ADD" w:rsidP="00477ADD">
      <w:pPr>
        <w:spacing w:after="160" w:line="360" w:lineRule="auto"/>
        <w:rPr>
          <w:rFonts w:ascii="David" w:hAnsi="David"/>
          <w:b/>
          <w:bCs/>
          <w:szCs w:val="22"/>
          <w:u w:val="single"/>
        </w:rPr>
      </w:pPr>
      <w:r w:rsidRPr="00B85BD0">
        <w:rPr>
          <w:rFonts w:ascii="David" w:hAnsi="David"/>
          <w:b/>
          <w:bCs/>
          <w:szCs w:val="22"/>
          <w:u w:val="single"/>
          <w:rtl/>
        </w:rPr>
        <w:t>סטייה ממתחם העונש ההולם משיקולי שיקום</w:t>
      </w:r>
      <w:r w:rsidRPr="00B85BD0">
        <w:rPr>
          <w:rFonts w:ascii="David" w:hAnsi="David"/>
          <w:b/>
          <w:bCs/>
          <w:szCs w:val="22"/>
          <w:u w:val="single"/>
        </w:rPr>
        <w:t>:</w:t>
      </w:r>
    </w:p>
    <w:p w14:paraId="3960A1CE" w14:textId="77777777" w:rsidR="00477ADD" w:rsidRPr="000D39BA" w:rsidRDefault="00477ADD" w:rsidP="00477ADD">
      <w:pPr>
        <w:numPr>
          <w:ilvl w:val="0"/>
          <w:numId w:val="1"/>
        </w:numPr>
        <w:snapToGrid w:val="0"/>
        <w:spacing w:line="360" w:lineRule="auto"/>
        <w:contextualSpacing/>
        <w:jc w:val="both"/>
        <w:rPr>
          <w:lang w:eastAsia="he-IL"/>
        </w:rPr>
      </w:pPr>
      <w:r w:rsidRPr="00B85BD0">
        <w:rPr>
          <w:rFonts w:ascii="David" w:hAnsi="David"/>
          <w:rtl/>
          <w:lang w:eastAsia="he-IL"/>
        </w:rPr>
        <w:t xml:space="preserve">על פי </w:t>
      </w:r>
      <w:hyperlink r:id="rId30" w:history="1">
        <w:r w:rsidR="005E5FCA" w:rsidRPr="005E5FCA">
          <w:rPr>
            <w:rStyle w:val="Hyperlink"/>
            <w:rFonts w:ascii="David" w:hAnsi="David"/>
            <w:rtl/>
            <w:lang w:eastAsia="he-IL"/>
          </w:rPr>
          <w:t>סעיף 40ד(א)</w:t>
        </w:r>
      </w:hyperlink>
      <w:r w:rsidRPr="00B85BD0">
        <w:rPr>
          <w:rFonts w:ascii="David" w:hAnsi="David"/>
          <w:rtl/>
          <w:lang w:eastAsia="he-IL"/>
        </w:rPr>
        <w:t xml:space="preserve"> ל</w:t>
      </w:r>
      <w:hyperlink r:id="rId31" w:history="1">
        <w:r w:rsidR="00C428A7" w:rsidRPr="00C428A7">
          <w:rPr>
            <w:rFonts w:ascii="David" w:hAnsi="David"/>
            <w:color w:val="0000FF"/>
            <w:u w:val="single"/>
            <w:rtl/>
            <w:lang w:eastAsia="he-IL"/>
          </w:rPr>
          <w:t>חוק העונשין</w:t>
        </w:r>
      </w:hyperlink>
      <w:r w:rsidRPr="00B85BD0">
        <w:rPr>
          <w:rFonts w:ascii="David" w:hAnsi="David"/>
          <w:rtl/>
          <w:lang w:eastAsia="he-IL"/>
        </w:rPr>
        <w:t xml:space="preserve">: </w:t>
      </w:r>
      <w:r w:rsidRPr="00B85BD0">
        <w:rPr>
          <w:rFonts w:ascii="Miriam" w:hAnsi="Miriam"/>
          <w:rtl/>
          <w:lang w:eastAsia="he-IL"/>
        </w:rPr>
        <w:t>"</w:t>
      </w:r>
      <w:r w:rsidRPr="00B85BD0">
        <w:rPr>
          <w:rFonts w:ascii="Miriam" w:hAnsi="Miriam" w:hint="eastAsia"/>
          <w:rtl/>
          <w:lang w:eastAsia="he-IL"/>
        </w:rPr>
        <w:t>קבע</w:t>
      </w:r>
      <w:r w:rsidRPr="00B85BD0">
        <w:rPr>
          <w:rFonts w:ascii="Miriam" w:hAnsi="Miriam"/>
          <w:rtl/>
          <w:lang w:eastAsia="he-IL"/>
        </w:rPr>
        <w:t xml:space="preserve"> </w:t>
      </w:r>
      <w:r w:rsidRPr="00B85BD0">
        <w:rPr>
          <w:rFonts w:ascii="Miriam" w:hAnsi="Miriam" w:hint="eastAsia"/>
          <w:rtl/>
          <w:lang w:eastAsia="he-IL"/>
        </w:rPr>
        <w:t>בית</w:t>
      </w:r>
      <w:r w:rsidRPr="00B85BD0">
        <w:rPr>
          <w:rFonts w:ascii="Miriam" w:hAnsi="Miriam"/>
          <w:rtl/>
          <w:lang w:eastAsia="he-IL"/>
        </w:rPr>
        <w:t xml:space="preserve"> </w:t>
      </w:r>
      <w:r w:rsidRPr="00B85BD0">
        <w:rPr>
          <w:rFonts w:ascii="Miriam" w:hAnsi="Miriam" w:hint="eastAsia"/>
          <w:rtl/>
          <w:lang w:eastAsia="he-IL"/>
        </w:rPr>
        <w:t>המשפט</w:t>
      </w:r>
      <w:r w:rsidRPr="00B85BD0">
        <w:rPr>
          <w:rFonts w:ascii="Miriam" w:hAnsi="Miriam"/>
          <w:rtl/>
          <w:lang w:eastAsia="he-IL"/>
        </w:rPr>
        <w:t xml:space="preserve"> </w:t>
      </w:r>
      <w:r w:rsidRPr="00B85BD0">
        <w:rPr>
          <w:rFonts w:ascii="Miriam" w:hAnsi="Miriam" w:hint="eastAsia"/>
          <w:rtl/>
          <w:lang w:eastAsia="he-IL"/>
        </w:rPr>
        <w:t>את</w:t>
      </w:r>
      <w:r w:rsidRPr="00B85BD0">
        <w:rPr>
          <w:rFonts w:ascii="Miriam" w:hAnsi="Miriam"/>
          <w:rtl/>
          <w:lang w:eastAsia="he-IL"/>
        </w:rPr>
        <w:t xml:space="preserve"> </w:t>
      </w:r>
      <w:r w:rsidRPr="00B85BD0">
        <w:rPr>
          <w:rFonts w:ascii="Miriam" w:hAnsi="Miriam" w:hint="eastAsia"/>
          <w:rtl/>
          <w:lang w:eastAsia="he-IL"/>
        </w:rPr>
        <w:t>מתחם</w:t>
      </w:r>
      <w:r w:rsidRPr="00B85BD0">
        <w:rPr>
          <w:rFonts w:ascii="Miriam" w:hAnsi="Miriam"/>
          <w:rtl/>
          <w:lang w:eastAsia="he-IL"/>
        </w:rPr>
        <w:t xml:space="preserve"> </w:t>
      </w:r>
      <w:r w:rsidRPr="00B85BD0">
        <w:rPr>
          <w:rFonts w:ascii="Miriam" w:hAnsi="Miriam" w:hint="eastAsia"/>
          <w:rtl/>
          <w:lang w:eastAsia="he-IL"/>
        </w:rPr>
        <w:t>העונש</w:t>
      </w:r>
      <w:r w:rsidRPr="00B85BD0">
        <w:rPr>
          <w:rFonts w:ascii="Miriam" w:hAnsi="Miriam"/>
          <w:rtl/>
          <w:lang w:eastAsia="he-IL"/>
        </w:rPr>
        <w:t xml:space="preserve"> </w:t>
      </w:r>
      <w:r w:rsidRPr="00B85BD0">
        <w:rPr>
          <w:rFonts w:ascii="Miriam" w:hAnsi="Miriam" w:hint="eastAsia"/>
          <w:rtl/>
          <w:lang w:eastAsia="he-IL"/>
        </w:rPr>
        <w:t>ההולם</w:t>
      </w:r>
      <w:r w:rsidRPr="00B85BD0">
        <w:rPr>
          <w:rFonts w:ascii="Miriam" w:hAnsi="Miriam"/>
          <w:rtl/>
          <w:lang w:eastAsia="he-IL"/>
        </w:rPr>
        <w:t xml:space="preserve"> </w:t>
      </w:r>
      <w:r w:rsidRPr="00B85BD0">
        <w:rPr>
          <w:rFonts w:ascii="Miriam" w:hAnsi="Miriam" w:hint="eastAsia"/>
          <w:rtl/>
          <w:lang w:eastAsia="he-IL"/>
        </w:rPr>
        <w:t>בהתאם</w:t>
      </w:r>
      <w:r w:rsidRPr="00B85BD0">
        <w:rPr>
          <w:rFonts w:ascii="Miriam" w:hAnsi="Miriam"/>
          <w:rtl/>
          <w:lang w:eastAsia="he-IL"/>
        </w:rPr>
        <w:t xml:space="preserve"> </w:t>
      </w:r>
      <w:r w:rsidRPr="00B85BD0">
        <w:rPr>
          <w:rFonts w:ascii="Miriam" w:hAnsi="Miriam" w:hint="eastAsia"/>
          <w:rtl/>
          <w:lang w:eastAsia="he-IL"/>
        </w:rPr>
        <w:t>לעיקרון</w:t>
      </w:r>
      <w:r w:rsidRPr="00B85BD0">
        <w:rPr>
          <w:rFonts w:ascii="Miriam" w:hAnsi="Miriam"/>
          <w:rtl/>
          <w:lang w:eastAsia="he-IL"/>
        </w:rPr>
        <w:t xml:space="preserve"> </w:t>
      </w:r>
      <w:r w:rsidRPr="00B85BD0">
        <w:rPr>
          <w:rFonts w:ascii="Miriam" w:hAnsi="Miriam" w:hint="eastAsia"/>
          <w:rtl/>
          <w:lang w:eastAsia="he-IL"/>
        </w:rPr>
        <w:t>המנחה</w:t>
      </w:r>
      <w:r w:rsidRPr="00B85BD0">
        <w:rPr>
          <w:rFonts w:ascii="Miriam" w:hAnsi="Miriam"/>
          <w:rtl/>
          <w:lang w:eastAsia="he-IL"/>
        </w:rPr>
        <w:t xml:space="preserve"> </w:t>
      </w:r>
      <w:r w:rsidRPr="00B85BD0">
        <w:rPr>
          <w:rFonts w:ascii="Miriam" w:hAnsi="Miriam" w:hint="eastAsia"/>
          <w:rtl/>
          <w:lang w:eastAsia="he-IL"/>
        </w:rPr>
        <w:t>ומצא</w:t>
      </w:r>
      <w:r w:rsidRPr="00B85BD0">
        <w:rPr>
          <w:rFonts w:ascii="Miriam" w:hAnsi="Miriam"/>
          <w:rtl/>
          <w:lang w:eastAsia="he-IL"/>
        </w:rPr>
        <w:t xml:space="preserve"> </w:t>
      </w:r>
      <w:r w:rsidRPr="00B85BD0">
        <w:rPr>
          <w:rFonts w:ascii="Miriam" w:hAnsi="Miriam" w:hint="eastAsia"/>
          <w:rtl/>
          <w:lang w:eastAsia="he-IL"/>
        </w:rPr>
        <w:t>כי</w:t>
      </w:r>
      <w:r w:rsidRPr="00B85BD0">
        <w:rPr>
          <w:rFonts w:ascii="Miriam" w:hAnsi="Miriam"/>
          <w:rtl/>
          <w:lang w:eastAsia="he-IL"/>
        </w:rPr>
        <w:t xml:space="preserve"> </w:t>
      </w:r>
      <w:r w:rsidRPr="00B85BD0">
        <w:rPr>
          <w:rFonts w:ascii="Miriam" w:hAnsi="Miriam" w:hint="eastAsia"/>
          <w:rtl/>
          <w:lang w:eastAsia="he-IL"/>
        </w:rPr>
        <w:t>הנאשם</w:t>
      </w:r>
      <w:r w:rsidRPr="00B85BD0">
        <w:rPr>
          <w:rFonts w:ascii="Miriam" w:hAnsi="Miriam"/>
          <w:rtl/>
          <w:lang w:eastAsia="he-IL"/>
        </w:rPr>
        <w:t xml:space="preserve"> </w:t>
      </w:r>
      <w:r w:rsidRPr="00B85BD0">
        <w:rPr>
          <w:rFonts w:ascii="Miriam" w:hAnsi="Miriam" w:hint="eastAsia"/>
          <w:rtl/>
          <w:lang w:eastAsia="he-IL"/>
        </w:rPr>
        <w:t>השתקם</w:t>
      </w:r>
      <w:r w:rsidRPr="00B85BD0">
        <w:rPr>
          <w:rFonts w:ascii="Miriam" w:hAnsi="Miriam"/>
          <w:rtl/>
          <w:lang w:eastAsia="he-IL"/>
        </w:rPr>
        <w:t xml:space="preserve"> </w:t>
      </w:r>
      <w:r w:rsidRPr="00B85BD0">
        <w:rPr>
          <w:rFonts w:ascii="Miriam" w:hAnsi="Miriam" w:hint="eastAsia"/>
          <w:rtl/>
          <w:lang w:eastAsia="he-IL"/>
        </w:rPr>
        <w:t>או</w:t>
      </w:r>
      <w:r w:rsidRPr="00B85BD0">
        <w:rPr>
          <w:rFonts w:ascii="Miriam" w:hAnsi="Miriam"/>
          <w:rtl/>
          <w:lang w:eastAsia="he-IL"/>
        </w:rPr>
        <w:t xml:space="preserve"> </w:t>
      </w:r>
      <w:r w:rsidRPr="00B85BD0">
        <w:rPr>
          <w:rFonts w:ascii="Miriam" w:hAnsi="Miriam" w:hint="eastAsia"/>
          <w:rtl/>
          <w:lang w:eastAsia="he-IL"/>
        </w:rPr>
        <w:t>כי</w:t>
      </w:r>
      <w:r w:rsidRPr="00B85BD0">
        <w:rPr>
          <w:rFonts w:ascii="Miriam" w:hAnsi="Miriam"/>
          <w:rtl/>
          <w:lang w:eastAsia="he-IL"/>
        </w:rPr>
        <w:t xml:space="preserve"> </w:t>
      </w:r>
      <w:r w:rsidRPr="00B85BD0">
        <w:rPr>
          <w:rFonts w:ascii="Miriam" w:hAnsi="Miriam" w:hint="eastAsia"/>
          <w:rtl/>
          <w:lang w:eastAsia="he-IL"/>
        </w:rPr>
        <w:t>יש</w:t>
      </w:r>
      <w:r w:rsidRPr="00B85BD0">
        <w:rPr>
          <w:rFonts w:ascii="Miriam" w:hAnsi="Miriam"/>
          <w:rtl/>
          <w:lang w:eastAsia="he-IL"/>
        </w:rPr>
        <w:t xml:space="preserve"> </w:t>
      </w:r>
      <w:r w:rsidRPr="00B85BD0">
        <w:rPr>
          <w:rFonts w:ascii="Miriam" w:hAnsi="Miriam" w:hint="eastAsia"/>
          <w:rtl/>
          <w:lang w:eastAsia="he-IL"/>
        </w:rPr>
        <w:t>סיכוי</w:t>
      </w:r>
      <w:r w:rsidRPr="00B85BD0">
        <w:rPr>
          <w:rFonts w:ascii="Miriam" w:hAnsi="Miriam"/>
          <w:rtl/>
          <w:lang w:eastAsia="he-IL"/>
        </w:rPr>
        <w:t xml:space="preserve"> </w:t>
      </w:r>
      <w:r w:rsidRPr="00B85BD0">
        <w:rPr>
          <w:rFonts w:ascii="Miriam" w:hAnsi="Miriam" w:hint="eastAsia"/>
          <w:rtl/>
          <w:lang w:eastAsia="he-IL"/>
        </w:rPr>
        <w:t>של</w:t>
      </w:r>
      <w:r w:rsidRPr="00B85BD0">
        <w:rPr>
          <w:rFonts w:ascii="Miriam" w:hAnsi="Miriam"/>
          <w:rtl/>
          <w:lang w:eastAsia="he-IL"/>
        </w:rPr>
        <w:t xml:space="preserve"> </w:t>
      </w:r>
      <w:r w:rsidRPr="00B85BD0">
        <w:rPr>
          <w:rFonts w:ascii="Miriam" w:hAnsi="Miriam" w:hint="eastAsia"/>
          <w:rtl/>
          <w:lang w:eastAsia="he-IL"/>
        </w:rPr>
        <w:t>ממש</w:t>
      </w:r>
      <w:r w:rsidRPr="00B85BD0">
        <w:rPr>
          <w:rFonts w:ascii="Miriam" w:hAnsi="Miriam"/>
          <w:rtl/>
          <w:lang w:eastAsia="he-IL"/>
        </w:rPr>
        <w:t xml:space="preserve"> </w:t>
      </w:r>
      <w:r w:rsidRPr="00B85BD0">
        <w:rPr>
          <w:rFonts w:ascii="Miriam" w:hAnsi="Miriam" w:hint="eastAsia"/>
          <w:rtl/>
          <w:lang w:eastAsia="he-IL"/>
        </w:rPr>
        <w:t>שישתקם</w:t>
      </w:r>
      <w:r w:rsidRPr="00B85BD0">
        <w:rPr>
          <w:rFonts w:ascii="Miriam" w:hAnsi="Miriam"/>
          <w:rtl/>
          <w:lang w:eastAsia="he-IL"/>
        </w:rPr>
        <w:t xml:space="preserve">, </w:t>
      </w:r>
      <w:r w:rsidRPr="00B85BD0">
        <w:rPr>
          <w:rFonts w:ascii="Miriam" w:hAnsi="Miriam" w:hint="eastAsia"/>
          <w:rtl/>
          <w:lang w:eastAsia="he-IL"/>
        </w:rPr>
        <w:t>רשאי</w:t>
      </w:r>
      <w:r w:rsidRPr="00B85BD0">
        <w:rPr>
          <w:rFonts w:ascii="Miriam" w:hAnsi="Miriam"/>
          <w:rtl/>
          <w:lang w:eastAsia="he-IL"/>
        </w:rPr>
        <w:t xml:space="preserve"> </w:t>
      </w:r>
      <w:r w:rsidRPr="00B85BD0">
        <w:rPr>
          <w:rFonts w:ascii="Miriam" w:hAnsi="Miriam" w:hint="eastAsia"/>
          <w:rtl/>
          <w:lang w:eastAsia="he-IL"/>
        </w:rPr>
        <w:t>הוא</w:t>
      </w:r>
      <w:r w:rsidRPr="00B85BD0">
        <w:rPr>
          <w:rFonts w:ascii="Miriam" w:hAnsi="Miriam"/>
          <w:rtl/>
          <w:lang w:eastAsia="he-IL"/>
        </w:rPr>
        <w:t xml:space="preserve"> </w:t>
      </w:r>
      <w:r w:rsidRPr="00B85BD0">
        <w:rPr>
          <w:rFonts w:ascii="Miriam" w:hAnsi="Miriam" w:hint="eastAsia"/>
          <w:rtl/>
          <w:lang w:eastAsia="he-IL"/>
        </w:rPr>
        <w:t>לחרוג</w:t>
      </w:r>
      <w:r w:rsidRPr="00B85BD0">
        <w:rPr>
          <w:rFonts w:ascii="Miriam" w:hAnsi="Miriam"/>
          <w:rtl/>
          <w:lang w:eastAsia="he-IL"/>
        </w:rPr>
        <w:t xml:space="preserve"> </w:t>
      </w:r>
      <w:r w:rsidRPr="00B85BD0">
        <w:rPr>
          <w:rFonts w:ascii="Miriam" w:hAnsi="Miriam" w:hint="eastAsia"/>
          <w:rtl/>
          <w:lang w:eastAsia="he-IL"/>
        </w:rPr>
        <w:t>ממתחם</w:t>
      </w:r>
      <w:r w:rsidRPr="00B85BD0">
        <w:rPr>
          <w:rFonts w:ascii="Miriam" w:hAnsi="Miriam"/>
          <w:rtl/>
          <w:lang w:eastAsia="he-IL"/>
        </w:rPr>
        <w:t xml:space="preserve"> </w:t>
      </w:r>
      <w:r w:rsidRPr="00B85BD0">
        <w:rPr>
          <w:rFonts w:ascii="Miriam" w:hAnsi="Miriam" w:hint="eastAsia"/>
          <w:rtl/>
          <w:lang w:eastAsia="he-IL"/>
        </w:rPr>
        <w:t>העונש</w:t>
      </w:r>
      <w:r w:rsidRPr="00B85BD0">
        <w:rPr>
          <w:rFonts w:ascii="Miriam" w:hAnsi="Miriam"/>
          <w:rtl/>
          <w:lang w:eastAsia="he-IL"/>
        </w:rPr>
        <w:t xml:space="preserve"> </w:t>
      </w:r>
      <w:r w:rsidRPr="00B85BD0">
        <w:rPr>
          <w:rFonts w:ascii="Miriam" w:hAnsi="Miriam" w:hint="eastAsia"/>
          <w:rtl/>
          <w:lang w:eastAsia="he-IL"/>
        </w:rPr>
        <w:t>ההולם</w:t>
      </w:r>
      <w:r w:rsidRPr="00B85BD0">
        <w:rPr>
          <w:rFonts w:ascii="Miriam" w:hAnsi="Miriam"/>
          <w:rtl/>
          <w:lang w:eastAsia="he-IL"/>
        </w:rPr>
        <w:t xml:space="preserve"> </w:t>
      </w:r>
      <w:r w:rsidRPr="00B85BD0">
        <w:rPr>
          <w:rFonts w:ascii="Miriam" w:hAnsi="Miriam" w:hint="eastAsia"/>
          <w:rtl/>
          <w:lang w:eastAsia="he-IL"/>
        </w:rPr>
        <w:t>ולקבוע</w:t>
      </w:r>
      <w:r w:rsidRPr="00B85BD0">
        <w:rPr>
          <w:rFonts w:ascii="Miriam" w:hAnsi="Miriam"/>
          <w:rtl/>
          <w:lang w:eastAsia="he-IL"/>
        </w:rPr>
        <w:t xml:space="preserve"> </w:t>
      </w:r>
      <w:r w:rsidRPr="00B85BD0">
        <w:rPr>
          <w:rFonts w:ascii="Miriam" w:hAnsi="Miriam" w:hint="eastAsia"/>
          <w:rtl/>
          <w:lang w:eastAsia="he-IL"/>
        </w:rPr>
        <w:t>את</w:t>
      </w:r>
      <w:r w:rsidRPr="00B85BD0">
        <w:rPr>
          <w:rFonts w:ascii="Miriam" w:hAnsi="Miriam"/>
          <w:rtl/>
          <w:lang w:eastAsia="he-IL"/>
        </w:rPr>
        <w:t xml:space="preserve"> </w:t>
      </w:r>
      <w:r w:rsidRPr="00B85BD0">
        <w:rPr>
          <w:rFonts w:ascii="Miriam" w:hAnsi="Miriam" w:hint="eastAsia"/>
          <w:rtl/>
          <w:lang w:eastAsia="he-IL"/>
        </w:rPr>
        <w:t>עונשו</w:t>
      </w:r>
      <w:r w:rsidRPr="00B85BD0">
        <w:rPr>
          <w:rFonts w:ascii="Miriam" w:hAnsi="Miriam"/>
          <w:rtl/>
          <w:lang w:eastAsia="he-IL"/>
        </w:rPr>
        <w:t xml:space="preserve"> </w:t>
      </w:r>
      <w:r w:rsidRPr="00B85BD0">
        <w:rPr>
          <w:rFonts w:ascii="Miriam" w:hAnsi="Miriam" w:hint="eastAsia"/>
          <w:rtl/>
          <w:lang w:eastAsia="he-IL"/>
        </w:rPr>
        <w:t>של</w:t>
      </w:r>
      <w:r w:rsidRPr="00B85BD0">
        <w:rPr>
          <w:rFonts w:ascii="Miriam" w:hAnsi="Miriam"/>
          <w:rtl/>
          <w:lang w:eastAsia="he-IL"/>
        </w:rPr>
        <w:t xml:space="preserve"> </w:t>
      </w:r>
      <w:r w:rsidRPr="00B85BD0">
        <w:rPr>
          <w:rFonts w:ascii="Miriam" w:hAnsi="Miriam" w:hint="eastAsia"/>
          <w:rtl/>
          <w:lang w:eastAsia="he-IL"/>
        </w:rPr>
        <w:t>הנאשם</w:t>
      </w:r>
      <w:r w:rsidRPr="00B85BD0">
        <w:rPr>
          <w:rFonts w:ascii="Miriam" w:hAnsi="Miriam"/>
          <w:rtl/>
          <w:lang w:eastAsia="he-IL"/>
        </w:rPr>
        <w:t xml:space="preserve"> </w:t>
      </w:r>
      <w:r w:rsidRPr="00B85BD0">
        <w:rPr>
          <w:rFonts w:ascii="Miriam" w:hAnsi="Miriam" w:hint="eastAsia"/>
          <w:rtl/>
          <w:lang w:eastAsia="he-IL"/>
        </w:rPr>
        <w:t>לפי</w:t>
      </w:r>
      <w:r w:rsidRPr="00B85BD0">
        <w:rPr>
          <w:rFonts w:ascii="Miriam" w:hAnsi="Miriam"/>
          <w:rtl/>
          <w:lang w:eastAsia="he-IL"/>
        </w:rPr>
        <w:t xml:space="preserve"> </w:t>
      </w:r>
      <w:r w:rsidRPr="00B85BD0">
        <w:rPr>
          <w:rFonts w:ascii="Miriam" w:hAnsi="Miriam" w:hint="eastAsia"/>
          <w:rtl/>
          <w:lang w:eastAsia="he-IL"/>
        </w:rPr>
        <w:t>שיקולי</w:t>
      </w:r>
      <w:r w:rsidRPr="00B85BD0">
        <w:rPr>
          <w:rFonts w:ascii="Miriam" w:hAnsi="Miriam"/>
          <w:rtl/>
          <w:lang w:eastAsia="he-IL"/>
        </w:rPr>
        <w:t xml:space="preserve"> </w:t>
      </w:r>
      <w:r w:rsidRPr="00B85BD0">
        <w:rPr>
          <w:rFonts w:ascii="Miriam" w:hAnsi="Miriam" w:hint="eastAsia"/>
          <w:rtl/>
          <w:lang w:eastAsia="he-IL"/>
        </w:rPr>
        <w:t>שיקומו</w:t>
      </w:r>
      <w:r w:rsidRPr="00B85BD0">
        <w:rPr>
          <w:rFonts w:ascii="Miriam" w:hAnsi="Miriam"/>
          <w:rtl/>
          <w:lang w:eastAsia="he-IL"/>
        </w:rPr>
        <w:t xml:space="preserve">, </w:t>
      </w:r>
      <w:r w:rsidRPr="00B85BD0">
        <w:rPr>
          <w:rFonts w:ascii="Miriam" w:hAnsi="Miriam" w:hint="eastAsia"/>
          <w:rtl/>
          <w:lang w:eastAsia="he-IL"/>
        </w:rPr>
        <w:t>וכן</w:t>
      </w:r>
      <w:r w:rsidRPr="00B85BD0">
        <w:rPr>
          <w:rFonts w:ascii="Miriam" w:hAnsi="Miriam"/>
          <w:rtl/>
          <w:lang w:eastAsia="he-IL"/>
        </w:rPr>
        <w:t xml:space="preserve"> </w:t>
      </w:r>
      <w:r w:rsidRPr="00B85BD0">
        <w:rPr>
          <w:rFonts w:ascii="Miriam" w:hAnsi="Miriam" w:hint="eastAsia"/>
          <w:rtl/>
          <w:lang w:eastAsia="he-IL"/>
        </w:rPr>
        <w:t>להורות</w:t>
      </w:r>
      <w:r w:rsidRPr="00B85BD0">
        <w:rPr>
          <w:rFonts w:ascii="Miriam" w:hAnsi="Miriam"/>
          <w:rtl/>
          <w:lang w:eastAsia="he-IL"/>
        </w:rPr>
        <w:t xml:space="preserve"> </w:t>
      </w:r>
      <w:r w:rsidRPr="00B85BD0">
        <w:rPr>
          <w:rFonts w:ascii="Miriam" w:hAnsi="Miriam" w:hint="eastAsia"/>
          <w:rtl/>
          <w:lang w:eastAsia="he-IL"/>
        </w:rPr>
        <w:t>על</w:t>
      </w:r>
      <w:r w:rsidRPr="00B85BD0">
        <w:rPr>
          <w:rFonts w:ascii="Miriam" w:hAnsi="Miriam"/>
          <w:rtl/>
          <w:lang w:eastAsia="he-IL"/>
        </w:rPr>
        <w:t xml:space="preserve"> </w:t>
      </w:r>
      <w:r w:rsidRPr="00B85BD0">
        <w:rPr>
          <w:rFonts w:ascii="Miriam" w:hAnsi="Miriam" w:hint="eastAsia"/>
          <w:rtl/>
          <w:lang w:eastAsia="he-IL"/>
        </w:rPr>
        <w:t>נקיטת</w:t>
      </w:r>
      <w:r w:rsidRPr="00B85BD0">
        <w:rPr>
          <w:rFonts w:ascii="Miriam" w:hAnsi="Miriam"/>
          <w:rtl/>
          <w:lang w:eastAsia="he-IL"/>
        </w:rPr>
        <w:t xml:space="preserve"> </w:t>
      </w:r>
      <w:r w:rsidRPr="00B85BD0">
        <w:rPr>
          <w:rFonts w:ascii="Miriam" w:hAnsi="Miriam" w:hint="eastAsia"/>
          <w:rtl/>
          <w:lang w:eastAsia="he-IL"/>
        </w:rPr>
        <w:t>אמצעי</w:t>
      </w:r>
      <w:r w:rsidRPr="00B85BD0">
        <w:rPr>
          <w:rFonts w:ascii="Miriam" w:hAnsi="Miriam"/>
          <w:rtl/>
          <w:lang w:eastAsia="he-IL"/>
        </w:rPr>
        <w:t xml:space="preserve"> </w:t>
      </w:r>
      <w:r w:rsidRPr="00B85BD0">
        <w:rPr>
          <w:rFonts w:ascii="Miriam" w:hAnsi="Miriam" w:hint="eastAsia"/>
          <w:rtl/>
          <w:lang w:eastAsia="he-IL"/>
        </w:rPr>
        <w:t>שיקומי</w:t>
      </w:r>
      <w:r w:rsidRPr="00B85BD0">
        <w:rPr>
          <w:rFonts w:ascii="Miriam" w:hAnsi="Miriam"/>
          <w:rtl/>
          <w:lang w:eastAsia="he-IL"/>
        </w:rPr>
        <w:t xml:space="preserve"> </w:t>
      </w:r>
      <w:r w:rsidRPr="00B85BD0">
        <w:rPr>
          <w:rFonts w:ascii="Miriam" w:hAnsi="Miriam" w:hint="eastAsia"/>
          <w:rtl/>
          <w:lang w:eastAsia="he-IL"/>
        </w:rPr>
        <w:t>כלפי</w:t>
      </w:r>
      <w:r w:rsidRPr="00B85BD0">
        <w:rPr>
          <w:rFonts w:ascii="Miriam" w:hAnsi="Miriam"/>
          <w:rtl/>
          <w:lang w:eastAsia="he-IL"/>
        </w:rPr>
        <w:t xml:space="preserve"> </w:t>
      </w:r>
      <w:r w:rsidRPr="00B85BD0">
        <w:rPr>
          <w:rFonts w:ascii="Miriam" w:hAnsi="Miriam" w:hint="eastAsia"/>
          <w:rtl/>
          <w:lang w:eastAsia="he-IL"/>
        </w:rPr>
        <w:t>הנאשם</w:t>
      </w:r>
      <w:r w:rsidRPr="00B85BD0">
        <w:rPr>
          <w:rFonts w:ascii="Miriam" w:hAnsi="Miriam"/>
          <w:rtl/>
          <w:lang w:eastAsia="he-IL"/>
        </w:rPr>
        <w:t xml:space="preserve">, </w:t>
      </w:r>
      <w:r w:rsidRPr="00B85BD0">
        <w:rPr>
          <w:rFonts w:ascii="Miriam" w:hAnsi="Miriam" w:hint="eastAsia"/>
          <w:rtl/>
          <w:lang w:eastAsia="he-IL"/>
        </w:rPr>
        <w:t>לרבות</w:t>
      </w:r>
      <w:r w:rsidRPr="00B85BD0">
        <w:rPr>
          <w:rFonts w:ascii="Miriam" w:hAnsi="Miriam"/>
          <w:rtl/>
          <w:lang w:eastAsia="he-IL"/>
        </w:rPr>
        <w:t xml:space="preserve"> </w:t>
      </w:r>
      <w:r w:rsidRPr="00B85BD0">
        <w:rPr>
          <w:rFonts w:ascii="Miriam" w:hAnsi="Miriam" w:hint="eastAsia"/>
          <w:rtl/>
          <w:lang w:eastAsia="he-IL"/>
        </w:rPr>
        <w:t>העמדתו</w:t>
      </w:r>
      <w:r w:rsidRPr="00B85BD0">
        <w:rPr>
          <w:rFonts w:ascii="Miriam" w:hAnsi="Miriam"/>
          <w:rtl/>
          <w:lang w:eastAsia="he-IL"/>
        </w:rPr>
        <w:t xml:space="preserve"> </w:t>
      </w:r>
      <w:r w:rsidRPr="00B85BD0">
        <w:rPr>
          <w:rFonts w:ascii="Miriam" w:hAnsi="Miriam" w:hint="eastAsia"/>
          <w:rtl/>
          <w:lang w:eastAsia="he-IL"/>
        </w:rPr>
        <w:t>במבחן</w:t>
      </w:r>
      <w:r w:rsidRPr="00B85BD0">
        <w:rPr>
          <w:rFonts w:ascii="Miriam" w:hAnsi="Miriam"/>
          <w:rtl/>
          <w:lang w:eastAsia="he-IL"/>
        </w:rPr>
        <w:t>...".</w:t>
      </w:r>
    </w:p>
    <w:p w14:paraId="4B2C3380" w14:textId="77777777" w:rsidR="00477ADD" w:rsidRPr="00B85BD0" w:rsidRDefault="00477ADD" w:rsidP="00477ADD">
      <w:pPr>
        <w:snapToGrid w:val="0"/>
        <w:spacing w:line="360" w:lineRule="auto"/>
        <w:ind w:left="360"/>
        <w:contextualSpacing/>
        <w:jc w:val="both"/>
        <w:rPr>
          <w:lang w:eastAsia="he-IL"/>
        </w:rPr>
      </w:pPr>
    </w:p>
    <w:p w14:paraId="79C0A344"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 xml:space="preserve">סעיף זה מנחה את בית המשפט לבחון שיקולים פרטניים המצדיקים, במקרה קונקרטי, לפעול מתוך חריג לכלל ולא להטיל על נאשם את העונש ההולם את מעשיו. להעדיף את השיקום על פני ההרתעה והגמול. </w:t>
      </w:r>
    </w:p>
    <w:p w14:paraId="6E446BE0" w14:textId="77777777" w:rsidR="00477ADD" w:rsidRPr="00B85BD0" w:rsidRDefault="00477ADD" w:rsidP="00477ADD">
      <w:pPr>
        <w:snapToGrid w:val="0"/>
        <w:spacing w:line="360" w:lineRule="auto"/>
        <w:ind w:left="360"/>
        <w:contextualSpacing/>
        <w:jc w:val="both"/>
        <w:rPr>
          <w:lang w:eastAsia="he-IL"/>
        </w:rPr>
      </w:pPr>
    </w:p>
    <w:p w14:paraId="51EB5A19"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לעניין זה, אני מקבלת את הערת ב"כ הנאשם, כי לא מדובר בהעדפת טובתו של היחיד על פני טובתו של הכלל אלא במקרה שבו העדפת שיקולי השיקום משתלבת גם עם טובת הציבור. ואולם, מדובר בחריג וככזה יש לבחון את אפשרות קיומו בדקדקנות. על בית המשפט לבחון את התהליך אותו עבר הנאשם ולהידרש לפרטי מצבו של הנאשם עובר לביצוע העבירות ועד ליום מתן גזר הדין ולהשתכנע כי אכן מדובר במי שהשתקם, או שצפוי להשתקם.</w:t>
      </w:r>
    </w:p>
    <w:p w14:paraId="4CEC564F" w14:textId="77777777" w:rsidR="00477ADD" w:rsidRPr="00B85BD0" w:rsidRDefault="00477ADD" w:rsidP="00477ADD">
      <w:pPr>
        <w:snapToGrid w:val="0"/>
        <w:spacing w:line="360" w:lineRule="auto"/>
        <w:ind w:left="360"/>
        <w:contextualSpacing/>
        <w:jc w:val="both"/>
        <w:rPr>
          <w:lang w:eastAsia="he-IL"/>
        </w:rPr>
      </w:pPr>
    </w:p>
    <w:p w14:paraId="21B7FDC0"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לא יכול להיות חולק אמיתי, נוכח האמור בתסקירי שירות המבחן בעניינו של הנאשם, כי קיימים במקרה זה שיקולי שיקום שבית המשפט צריך לקחת בחשבון. השאלה לגביה חלוקים הצדדים היא, האם מדובר בשיקולי שיקום המצדיקים סטייה ממתחם העונש ההולם לקולא, או שמדובר בשיקולים אותם יש לשקול בתוככי המתחם</w:t>
      </w:r>
      <w:r>
        <w:rPr>
          <w:rFonts w:hint="cs"/>
          <w:rtl/>
          <w:lang w:eastAsia="he-IL"/>
        </w:rPr>
        <w:t xml:space="preserve"> בלבד</w:t>
      </w:r>
      <w:r w:rsidRPr="00B85BD0">
        <w:rPr>
          <w:rtl/>
          <w:lang w:eastAsia="he-IL"/>
        </w:rPr>
        <w:t xml:space="preserve">. </w:t>
      </w:r>
    </w:p>
    <w:p w14:paraId="2A8E7B8E"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במקרה זה השתכנעתי, כי הנאשם מצוי בעיצומו של תהליך שיקומי אמיתי ומעמיק, המניב תוצאות בהיבטי חייו השונים של הנאשם ובפרט, ב</w:t>
      </w:r>
      <w:r>
        <w:rPr>
          <w:rFonts w:hint="cs"/>
          <w:rtl/>
          <w:lang w:eastAsia="he-IL"/>
        </w:rPr>
        <w:t xml:space="preserve">עצם </w:t>
      </w:r>
      <w:r w:rsidRPr="00B85BD0">
        <w:rPr>
          <w:rtl/>
          <w:lang w:eastAsia="he-IL"/>
        </w:rPr>
        <w:t xml:space="preserve">הפסקת השימוש </w:t>
      </w:r>
      <w:r>
        <w:rPr>
          <w:rFonts w:hint="cs"/>
          <w:rtl/>
          <w:lang w:eastAsia="he-IL"/>
        </w:rPr>
        <w:t xml:space="preserve">ההתמכרותי </w:t>
      </w:r>
      <w:r w:rsidRPr="00B85BD0">
        <w:rPr>
          <w:rtl/>
          <w:lang w:eastAsia="he-IL"/>
        </w:rPr>
        <w:t>בסמים. הנאשם מרוכז כיום בתהליך הטיפולי הגובה ממנו וממשפחתו – הגרעיני</w:t>
      </w:r>
      <w:r>
        <w:rPr>
          <w:rFonts w:hint="cs"/>
          <w:rtl/>
          <w:lang w:eastAsia="he-IL"/>
        </w:rPr>
        <w:t>ת</w:t>
      </w:r>
      <w:r w:rsidRPr="00B85BD0">
        <w:rPr>
          <w:rtl/>
          <w:lang w:eastAsia="he-IL"/>
        </w:rPr>
        <w:t xml:space="preserve"> והמורחבת – מחירים לא מבוטלים</w:t>
      </w:r>
      <w:r>
        <w:rPr>
          <w:rFonts w:hint="cs"/>
          <w:rtl/>
          <w:lang w:eastAsia="he-IL"/>
        </w:rPr>
        <w:t>.</w:t>
      </w:r>
      <w:r w:rsidRPr="00B85BD0">
        <w:rPr>
          <w:rtl/>
          <w:lang w:eastAsia="he-IL"/>
        </w:rPr>
        <w:t xml:space="preserve"> אך התהליך לא הסתיים והנאשם לא הצליח עדיין, ב</w:t>
      </w:r>
      <w:r>
        <w:rPr>
          <w:rtl/>
          <w:lang w:eastAsia="he-IL"/>
        </w:rPr>
        <w:t>נקודת הזמן הזו, לחזור גם לתיפקו</w:t>
      </w:r>
      <w:r>
        <w:rPr>
          <w:rFonts w:hint="cs"/>
          <w:rtl/>
          <w:lang w:eastAsia="he-IL"/>
        </w:rPr>
        <w:t>ד</w:t>
      </w:r>
      <w:r w:rsidRPr="00B85BD0">
        <w:rPr>
          <w:rtl/>
          <w:lang w:eastAsia="he-IL"/>
        </w:rPr>
        <w:t xml:space="preserve"> תעסוקתי התומך בפרנסת משפחתו, במקביל לטיפול. בד בבד, נמסר, כי עם ביטול התנאים המגבילים בני הזוג שכרו דירה משל עצמם בירושלים על מנת לקדם את עצמאותם המשפחתית וכן נמסר על ידי אשתו של הנאשם, כי משפחתה המורחבת מסייעת להם מבחינה כלכלית בצרכי תינוקות וכן במימון גנים פרטיים. אלה נתונים שבית המשפט איננו יכול להתעלם מהם נוכח ההמלצה להימנע מהטלת מאסר כלשהו המנומקת במצבה הכלכלי של המשפחה, וודאי שאינם תומכים בטיעון ב"כ הנאשם כי מדובר במצוקה כלכלית קיומית.</w:t>
      </w:r>
    </w:p>
    <w:p w14:paraId="3726B108" w14:textId="77777777" w:rsidR="00477ADD" w:rsidRPr="00B85BD0" w:rsidRDefault="00477ADD" w:rsidP="00477ADD">
      <w:pPr>
        <w:snapToGrid w:val="0"/>
        <w:spacing w:line="360" w:lineRule="auto"/>
        <w:ind w:left="360"/>
        <w:contextualSpacing/>
        <w:jc w:val="both"/>
        <w:rPr>
          <w:lang w:eastAsia="he-IL"/>
        </w:rPr>
      </w:pPr>
    </w:p>
    <w:p w14:paraId="62624D75"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בסופו של יום ניתן לגזור מתסקיר שירות המבחן כי סיכויי הנאשם להשתקם משמעותיים, בפרט בתחום השימוש בחומרים ממכרים ובהישנות התנהגות עוברת חוק. סיכויי שיקום אלה מצדיקים שלא להטיל על הנאשם מאסר לריצוי בפועל ולסטות ממתחם העונש ההולם במידה שתאפשר ריצוי מאסר בעבודות שירות.</w:t>
      </w:r>
    </w:p>
    <w:p w14:paraId="70425B44" w14:textId="77777777" w:rsidR="00477ADD" w:rsidRPr="00B85BD0" w:rsidRDefault="00477ADD" w:rsidP="00477ADD">
      <w:pPr>
        <w:snapToGrid w:val="0"/>
        <w:spacing w:line="360" w:lineRule="auto"/>
        <w:ind w:left="360"/>
        <w:contextualSpacing/>
        <w:jc w:val="both"/>
        <w:rPr>
          <w:lang w:eastAsia="he-IL"/>
        </w:rPr>
      </w:pPr>
    </w:p>
    <w:p w14:paraId="3CB430C5"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באיזון שבין שיקולי הענישה הכלליים שפורטו לעיל, ובין שיקולי שיקומו של הנאשם כמידתם הנכונה, ולאחר שבמסגרת האיזון בין אלה נלקחה בחשבון גם העובדה, שבשיקום עוברי חוק טמון גם פוטנציאל המיטיב עם הציבור כולו, וכן לאחר שנ</w:t>
      </w:r>
      <w:r>
        <w:rPr>
          <w:rtl/>
          <w:lang w:eastAsia="he-IL"/>
        </w:rPr>
        <w:t>לקחו בחשבון השיקולים הפרטניים,</w:t>
      </w:r>
      <w:r w:rsidRPr="00B85BD0">
        <w:rPr>
          <w:rtl/>
          <w:lang w:eastAsia="he-IL"/>
        </w:rPr>
        <w:t xml:space="preserve"> לא ניתן במקרה זה לסטות סטייה כה נרחבת ממתחם העונש ההולם עד כדי הימנעות מהטלת מאסר כלשהו והסתפקות במבחן, בשירות לתועלת הציבור ובמאסר מותנה. </w:t>
      </w:r>
    </w:p>
    <w:p w14:paraId="67BFD326" w14:textId="77777777" w:rsidR="00477ADD" w:rsidRPr="00B85BD0" w:rsidRDefault="00477ADD" w:rsidP="00477ADD">
      <w:pPr>
        <w:snapToGrid w:val="0"/>
        <w:spacing w:line="360" w:lineRule="auto"/>
        <w:ind w:left="360"/>
        <w:contextualSpacing/>
        <w:jc w:val="both"/>
        <w:rPr>
          <w:lang w:eastAsia="he-IL"/>
        </w:rPr>
      </w:pPr>
    </w:p>
    <w:p w14:paraId="451453FD"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 xml:space="preserve">העובדה כי הנאשם נעדר הרשעות קודמות, הפסיק את השימוש הממכר בסמים לאחר שנות תלות רבות, משקיע בתפקודו המשפחתי כבן זוג וכאב לילדים קטנים ועודנו זקוק להמשך ליווי וטיפול, מחייבים עריכת איזון הולם בין מכלול השיקולים אך גם העברת המסר, כי מצופה מהנאשם להתמיד בדרך הישר בכל הרבדים, בד בבד עם השתלבות במסגרת יצרנית ופעילה וכי עליו גם להחזיר לחברה ולא רק "לצרוך" ממנה שירותי טיפול ומבני משפחתו תמיכה והכלה. משכך, עונש מאסר לריצוי בעבודות שירות מתאים גם מבחינת העברת המסר הרצוי לנאשם בהמשך דרכו השיקומית. </w:t>
      </w:r>
    </w:p>
    <w:p w14:paraId="37E6DC10" w14:textId="77777777" w:rsidR="00477ADD" w:rsidRPr="00B85BD0" w:rsidRDefault="00477ADD" w:rsidP="00477ADD">
      <w:pPr>
        <w:snapToGrid w:val="0"/>
        <w:spacing w:line="360" w:lineRule="auto"/>
        <w:ind w:left="360"/>
        <w:contextualSpacing/>
        <w:jc w:val="both"/>
        <w:rPr>
          <w:lang w:eastAsia="he-IL"/>
        </w:rPr>
      </w:pPr>
    </w:p>
    <w:p w14:paraId="2E9532C5" w14:textId="77777777" w:rsidR="00477ADD" w:rsidRDefault="00477ADD" w:rsidP="00477ADD">
      <w:pPr>
        <w:numPr>
          <w:ilvl w:val="0"/>
          <w:numId w:val="1"/>
        </w:numPr>
        <w:snapToGrid w:val="0"/>
        <w:spacing w:line="360" w:lineRule="auto"/>
        <w:contextualSpacing/>
        <w:jc w:val="both"/>
        <w:rPr>
          <w:lang w:eastAsia="he-IL"/>
        </w:rPr>
      </w:pPr>
      <w:r w:rsidRPr="00B85BD0">
        <w:rPr>
          <w:rtl/>
          <w:lang w:eastAsia="he-IL"/>
        </w:rPr>
        <w:t xml:space="preserve">עם זאת, מתוך התחשבות במצב הכלכלי של המשפחה ובדרך השיקומית העתידית החלטתי להימנע במקרה זה מהטלת קנס כספי וכן החלטתי להימנע מפסילת רישיון בפועל גם בשים לב לכך שהנאשם כעת "נקי" מסמים, שלא הורשע בביצוע עבירה תוך שימוש ברכב ולאור עבודות השירות שאותן עליו לבצע. </w:t>
      </w:r>
    </w:p>
    <w:p w14:paraId="2CC98B0E" w14:textId="77777777" w:rsidR="00477ADD" w:rsidRPr="00B85BD0" w:rsidRDefault="00477ADD" w:rsidP="00477ADD">
      <w:pPr>
        <w:snapToGrid w:val="0"/>
        <w:spacing w:line="360" w:lineRule="auto"/>
        <w:ind w:left="360"/>
        <w:contextualSpacing/>
        <w:jc w:val="both"/>
        <w:rPr>
          <w:lang w:eastAsia="he-IL"/>
        </w:rPr>
      </w:pPr>
    </w:p>
    <w:p w14:paraId="4AE8699C"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לקחתי בחשבון את הקושי הלוגיסטי והמעשי הכרוך בהטלת מבחן בצד מאסר בעבודות שירות, אף שהחוק מאפשר זאת. אני סבורה, עם זאת, כי במקרה זה הדבר נחוץ. לעניין זה אפנה גם לכך שמועד תחילת עבודות השירות כהמלצת הממונה הוא רק בתאריך 22.6.21. מדובר בפרק זמן משמעותי של חודשיים ימים בהם יוכל הנאשם להמשיך לבקר במרכז היום, להיערך ולהתארגן לקראת המשך תהליך שיקומו במקביל לריצוי עונשו בדרך של עבודה במסגרת.</w:t>
      </w:r>
    </w:p>
    <w:p w14:paraId="51285120" w14:textId="77777777" w:rsidR="00477ADD" w:rsidRPr="00B85BD0" w:rsidRDefault="00477ADD" w:rsidP="00477ADD">
      <w:pPr>
        <w:snapToGrid w:val="0"/>
        <w:spacing w:line="360" w:lineRule="auto"/>
        <w:ind w:left="360"/>
        <w:contextualSpacing/>
        <w:jc w:val="both"/>
        <w:rPr>
          <w:lang w:eastAsia="he-IL"/>
        </w:rPr>
      </w:pPr>
    </w:p>
    <w:p w14:paraId="12BD0F18" w14:textId="77777777" w:rsidR="00477ADD" w:rsidRPr="00B85BD0" w:rsidRDefault="00477ADD" w:rsidP="00477ADD">
      <w:pPr>
        <w:spacing w:after="160" w:line="360" w:lineRule="auto"/>
        <w:jc w:val="both"/>
        <w:rPr>
          <w:rFonts w:ascii="David" w:hAnsi="David"/>
          <w:b/>
          <w:bCs/>
          <w:u w:val="single"/>
          <w:rtl/>
        </w:rPr>
      </w:pPr>
      <w:r w:rsidRPr="00B85BD0">
        <w:rPr>
          <w:rFonts w:ascii="David" w:hAnsi="David"/>
          <w:b/>
          <w:bCs/>
          <w:u w:val="single"/>
          <w:rtl/>
        </w:rPr>
        <w:t>סוף דבר:</w:t>
      </w:r>
    </w:p>
    <w:p w14:paraId="79F8D6B8" w14:textId="77777777" w:rsidR="00477ADD" w:rsidRPr="00B85BD0" w:rsidRDefault="00477ADD" w:rsidP="00477ADD">
      <w:pPr>
        <w:numPr>
          <w:ilvl w:val="0"/>
          <w:numId w:val="1"/>
        </w:numPr>
        <w:snapToGrid w:val="0"/>
        <w:spacing w:line="360" w:lineRule="auto"/>
        <w:contextualSpacing/>
        <w:jc w:val="both"/>
        <w:rPr>
          <w:lang w:eastAsia="he-IL"/>
        </w:rPr>
      </w:pPr>
      <w:r w:rsidRPr="00B85BD0">
        <w:rPr>
          <w:rtl/>
          <w:lang w:eastAsia="he-IL"/>
        </w:rPr>
        <w:t>לאחר ששקלתי את מכלול השיקולים כמפורט לעיל אני מטילה על הנאשם את העונשים הבאים:</w:t>
      </w:r>
    </w:p>
    <w:p w14:paraId="5A524A3A" w14:textId="77777777" w:rsidR="00477ADD" w:rsidRPr="00B85BD0" w:rsidRDefault="00477ADD" w:rsidP="00477ADD">
      <w:pPr>
        <w:numPr>
          <w:ilvl w:val="0"/>
          <w:numId w:val="2"/>
        </w:numPr>
        <w:snapToGrid w:val="0"/>
        <w:spacing w:line="360" w:lineRule="auto"/>
        <w:contextualSpacing/>
        <w:jc w:val="both"/>
        <w:rPr>
          <w:rFonts w:ascii="Arial" w:hAnsi="Arial"/>
          <w:lang w:eastAsia="he-IL"/>
        </w:rPr>
      </w:pPr>
      <w:r w:rsidRPr="00B85BD0">
        <w:rPr>
          <w:rtl/>
          <w:lang w:eastAsia="he-IL"/>
        </w:rPr>
        <w:t xml:space="preserve">8 חודשי מאסר לריצוי בדרך של עבודות שירות. </w:t>
      </w:r>
    </w:p>
    <w:p w14:paraId="21F676CD" w14:textId="77777777" w:rsidR="00477ADD" w:rsidRPr="00B85BD0" w:rsidRDefault="00477ADD" w:rsidP="00477ADD">
      <w:pPr>
        <w:snapToGrid w:val="0"/>
        <w:spacing w:line="360" w:lineRule="auto"/>
        <w:ind w:left="720"/>
        <w:contextualSpacing/>
        <w:jc w:val="both"/>
        <w:rPr>
          <w:rFonts w:ascii="Arial" w:hAnsi="Arial"/>
          <w:rtl/>
          <w:lang w:eastAsia="he-IL"/>
        </w:rPr>
      </w:pPr>
      <w:r w:rsidRPr="00B85BD0">
        <w:rPr>
          <w:rFonts w:ascii="Arial" w:hAnsi="Arial"/>
          <w:rtl/>
          <w:lang w:eastAsia="he-IL"/>
        </w:rPr>
        <w:t>בהתאם לחוות דעת הממונה, הנאשם יבצע את עבודות השירות ב"עין יעל", ימים א'-ה' במשך 8.5 שעות עבודה יומיות.</w:t>
      </w:r>
      <w:r w:rsidR="00C428A7">
        <w:rPr>
          <w:rFonts w:ascii="Arial" w:hAnsi="Arial"/>
          <w:rtl/>
          <w:lang w:eastAsia="he-IL"/>
        </w:rPr>
        <w:t xml:space="preserve"> </w:t>
      </w:r>
      <w:r w:rsidRPr="00B85BD0">
        <w:rPr>
          <w:rFonts w:ascii="Arial" w:hAnsi="Arial"/>
          <w:rtl/>
          <w:lang w:eastAsia="he-IL"/>
        </w:rPr>
        <w:t xml:space="preserve"> </w:t>
      </w:r>
    </w:p>
    <w:p w14:paraId="07386740" w14:textId="77777777" w:rsidR="00477ADD" w:rsidRPr="00B85BD0" w:rsidRDefault="00477ADD" w:rsidP="00477ADD">
      <w:pPr>
        <w:snapToGrid w:val="0"/>
        <w:spacing w:line="360" w:lineRule="auto"/>
        <w:ind w:left="720"/>
        <w:contextualSpacing/>
        <w:jc w:val="both"/>
        <w:rPr>
          <w:rFonts w:ascii="Arial" w:hAnsi="Arial"/>
          <w:rtl/>
          <w:lang w:eastAsia="he-IL"/>
        </w:rPr>
      </w:pPr>
      <w:r w:rsidRPr="00B85BD0">
        <w:rPr>
          <w:rFonts w:ascii="Arial" w:hAnsi="Arial"/>
          <w:rtl/>
          <w:lang w:eastAsia="he-IL"/>
        </w:rPr>
        <w:t>הנאשם יתייצב לריצוי המאסר ביום 22.6.21 בשעה 08:00 במפקדת גוש מרכז של שב"ס ביחידה לעבודות השירות, אלא אם הממונה על עבודות השירות יודיע לו אחרת.</w:t>
      </w:r>
    </w:p>
    <w:p w14:paraId="19DDAE63" w14:textId="77777777" w:rsidR="00477ADD" w:rsidRPr="00B85BD0" w:rsidRDefault="00477ADD" w:rsidP="00477ADD">
      <w:pPr>
        <w:snapToGrid w:val="0"/>
        <w:spacing w:line="360" w:lineRule="auto"/>
        <w:ind w:left="720"/>
        <w:contextualSpacing/>
        <w:jc w:val="both"/>
        <w:rPr>
          <w:rtl/>
          <w:lang w:eastAsia="he-IL"/>
        </w:rPr>
      </w:pPr>
      <w:r w:rsidRPr="00B85BD0">
        <w:rPr>
          <w:rFonts w:ascii="Arial" w:hAnsi="Arial"/>
          <w:rtl/>
          <w:lang w:eastAsia="he-I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6877BEEA" w14:textId="77777777" w:rsidR="00477ADD" w:rsidRPr="00B85BD0" w:rsidRDefault="00477ADD" w:rsidP="00477ADD">
      <w:pPr>
        <w:snapToGrid w:val="0"/>
        <w:spacing w:line="360" w:lineRule="auto"/>
        <w:ind w:left="720"/>
        <w:contextualSpacing/>
        <w:jc w:val="both"/>
        <w:rPr>
          <w:lang w:eastAsia="he-IL"/>
        </w:rPr>
      </w:pPr>
    </w:p>
    <w:p w14:paraId="54E404A0" w14:textId="77777777" w:rsidR="00477ADD" w:rsidRPr="00B85BD0" w:rsidRDefault="00477ADD" w:rsidP="00477ADD">
      <w:pPr>
        <w:numPr>
          <w:ilvl w:val="0"/>
          <w:numId w:val="2"/>
        </w:numPr>
        <w:snapToGrid w:val="0"/>
        <w:spacing w:line="360" w:lineRule="auto"/>
        <w:contextualSpacing/>
        <w:jc w:val="both"/>
        <w:rPr>
          <w:lang w:eastAsia="he-IL"/>
        </w:rPr>
      </w:pPr>
      <w:r w:rsidRPr="00B85BD0">
        <w:rPr>
          <w:rFonts w:ascii="Arial" w:hAnsi="Arial"/>
          <w:rtl/>
          <w:lang w:eastAsia="he-IL"/>
        </w:rPr>
        <w:t xml:space="preserve">מאסר על תנאי לתקופה של 3 חודשים. </w:t>
      </w:r>
      <w:r w:rsidRPr="00B85BD0">
        <w:rPr>
          <w:rFonts w:ascii="Arial" w:hAnsi="Arial"/>
          <w:sz w:val="28"/>
          <w:rtl/>
          <w:lang w:eastAsia="he-IL"/>
        </w:rPr>
        <w:t>המאסר המותנה יופעל אם תוך תקופה של 3 שנים מהיום, יעבור הנאשם עבירת סמים מסוג עוון.</w:t>
      </w:r>
    </w:p>
    <w:p w14:paraId="4A92645D" w14:textId="77777777" w:rsidR="00477ADD" w:rsidRPr="00B85BD0" w:rsidRDefault="00477ADD" w:rsidP="00477ADD">
      <w:pPr>
        <w:snapToGrid w:val="0"/>
        <w:spacing w:line="360" w:lineRule="auto"/>
        <w:ind w:left="720"/>
        <w:contextualSpacing/>
        <w:jc w:val="both"/>
        <w:rPr>
          <w:rtl/>
          <w:lang w:eastAsia="he-IL"/>
        </w:rPr>
      </w:pPr>
    </w:p>
    <w:p w14:paraId="6D210F63" w14:textId="77777777" w:rsidR="00477ADD" w:rsidRPr="00B85BD0" w:rsidRDefault="00477ADD" w:rsidP="00477ADD">
      <w:pPr>
        <w:numPr>
          <w:ilvl w:val="0"/>
          <w:numId w:val="2"/>
        </w:numPr>
        <w:spacing w:after="160" w:line="360" w:lineRule="auto"/>
        <w:contextualSpacing/>
        <w:jc w:val="both"/>
        <w:rPr>
          <w:rFonts w:ascii="Arial" w:hAnsi="Arial"/>
        </w:rPr>
      </w:pPr>
      <w:r w:rsidRPr="00B85BD0">
        <w:rPr>
          <w:rFonts w:ascii="Arial" w:hAnsi="Arial"/>
          <w:rtl/>
        </w:rPr>
        <w:t>מאסר על תנאי לתקופה של 6 חודשים המאסר המותנה יופעל אם תוך תקופה של 3 שנים מהיום, יעבור הנאשם  עבירת סמים מסוג פשע.</w:t>
      </w:r>
    </w:p>
    <w:p w14:paraId="28582D5F" w14:textId="77777777" w:rsidR="00477ADD" w:rsidRPr="00B85BD0" w:rsidRDefault="00477ADD" w:rsidP="00477ADD">
      <w:pPr>
        <w:snapToGrid w:val="0"/>
        <w:ind w:left="720"/>
        <w:contextualSpacing/>
        <w:rPr>
          <w:rFonts w:ascii="Arial" w:hAnsi="Arial"/>
          <w:rtl/>
          <w:lang w:eastAsia="he-IL"/>
        </w:rPr>
      </w:pPr>
    </w:p>
    <w:p w14:paraId="59D15846" w14:textId="77777777" w:rsidR="00477ADD" w:rsidRPr="00B85BD0" w:rsidRDefault="00477ADD" w:rsidP="00477ADD">
      <w:pPr>
        <w:numPr>
          <w:ilvl w:val="0"/>
          <w:numId w:val="2"/>
        </w:numPr>
        <w:spacing w:after="160" w:line="360" w:lineRule="auto"/>
        <w:contextualSpacing/>
        <w:jc w:val="both"/>
        <w:rPr>
          <w:lang w:eastAsia="he-IL"/>
        </w:rPr>
      </w:pPr>
      <w:r w:rsidRPr="00B85BD0">
        <w:rPr>
          <w:rFonts w:ascii="Arial" w:hAnsi="Arial"/>
          <w:rtl/>
          <w:lang w:eastAsia="he-IL"/>
        </w:rPr>
        <w:t>פסילה מלקבל או להחזיק רישיון נהיגה על תנאי למשך 6 חודשים.</w:t>
      </w:r>
    </w:p>
    <w:p w14:paraId="4F344933" w14:textId="77777777" w:rsidR="00477ADD" w:rsidRPr="00B85BD0" w:rsidRDefault="00477ADD" w:rsidP="00477ADD">
      <w:pPr>
        <w:snapToGrid w:val="0"/>
        <w:spacing w:line="360" w:lineRule="auto"/>
        <w:ind w:left="720"/>
        <w:contextualSpacing/>
        <w:rPr>
          <w:rFonts w:ascii="Arial" w:hAnsi="Arial"/>
          <w:rtl/>
          <w:lang w:eastAsia="he-IL"/>
        </w:rPr>
      </w:pPr>
    </w:p>
    <w:p w14:paraId="23E90637" w14:textId="77777777" w:rsidR="00477ADD" w:rsidRPr="00B85BD0" w:rsidRDefault="00477ADD" w:rsidP="00477ADD">
      <w:pPr>
        <w:snapToGrid w:val="0"/>
        <w:spacing w:line="360" w:lineRule="auto"/>
        <w:ind w:left="720"/>
        <w:contextualSpacing/>
        <w:jc w:val="both"/>
        <w:rPr>
          <w:rFonts w:ascii="Arial" w:hAnsi="Arial"/>
          <w:rtl/>
          <w:lang w:eastAsia="he-IL"/>
        </w:rPr>
      </w:pPr>
      <w:r w:rsidRPr="00B85BD0">
        <w:rPr>
          <w:rFonts w:ascii="Arial" w:hAnsi="Arial"/>
          <w:rtl/>
          <w:lang w:eastAsia="he-IL"/>
        </w:rPr>
        <w:t>הפסילה תופעל אם תוך תקופה של שלוש שנים מהיום, יעבור הנאשם עבירת סמים .</w:t>
      </w:r>
    </w:p>
    <w:p w14:paraId="3DA039E8" w14:textId="77777777" w:rsidR="00477ADD" w:rsidRPr="00B85BD0" w:rsidRDefault="00477ADD" w:rsidP="00477ADD">
      <w:pPr>
        <w:snapToGrid w:val="0"/>
        <w:spacing w:line="360" w:lineRule="auto"/>
        <w:ind w:left="720"/>
        <w:contextualSpacing/>
        <w:jc w:val="both"/>
        <w:rPr>
          <w:rFonts w:ascii="Arial" w:hAnsi="Arial"/>
          <w:rtl/>
          <w:lang w:eastAsia="he-IL"/>
        </w:rPr>
      </w:pPr>
    </w:p>
    <w:p w14:paraId="46DA4F86" w14:textId="77777777" w:rsidR="00477ADD" w:rsidRPr="00B85BD0" w:rsidRDefault="00477ADD" w:rsidP="00477ADD">
      <w:pPr>
        <w:numPr>
          <w:ilvl w:val="0"/>
          <w:numId w:val="2"/>
        </w:numPr>
        <w:spacing w:after="160" w:line="360" w:lineRule="auto"/>
        <w:contextualSpacing/>
        <w:jc w:val="both"/>
        <w:rPr>
          <w:rFonts w:ascii="David" w:hAnsi="David"/>
        </w:rPr>
      </w:pPr>
      <w:r w:rsidRPr="00B85BD0">
        <w:rPr>
          <w:rFonts w:ascii="David" w:hAnsi="David"/>
          <w:rtl/>
        </w:rPr>
        <w:t xml:space="preserve">ניתן בזאת צו מבחן בפיקוח שירות המבחן למשך 6 חודשים מהיום. </w:t>
      </w:r>
    </w:p>
    <w:p w14:paraId="4029A424" w14:textId="77777777" w:rsidR="00477ADD" w:rsidRPr="00B85BD0" w:rsidRDefault="00477ADD" w:rsidP="00477ADD">
      <w:pPr>
        <w:snapToGrid w:val="0"/>
        <w:spacing w:line="360" w:lineRule="auto"/>
        <w:ind w:left="720"/>
        <w:contextualSpacing/>
        <w:jc w:val="both"/>
        <w:rPr>
          <w:rFonts w:ascii="Arial" w:hAnsi="Arial"/>
          <w:rtl/>
          <w:lang w:eastAsia="he-IL"/>
        </w:rPr>
      </w:pPr>
      <w:r w:rsidRPr="00B85BD0">
        <w:rPr>
          <w:rFonts w:ascii="Arial" w:hAnsi="Arial"/>
          <w:rtl/>
          <w:lang w:eastAsia="he-IL"/>
        </w:rPr>
        <w:t xml:space="preserve">הובהרה לנאשם חובת שיתוף הפעולה עם שירות המבחן. הובהר לנאשם, כי אם לא ישתף פעולה עם שירות המבחן ניתן יהיה להפקיע את הצו ולגזור עונשו מחדש. </w:t>
      </w:r>
    </w:p>
    <w:p w14:paraId="188AD877" w14:textId="77777777" w:rsidR="00477ADD" w:rsidRPr="00B85BD0" w:rsidRDefault="00477ADD" w:rsidP="00477ADD">
      <w:pPr>
        <w:spacing w:after="160" w:line="360" w:lineRule="auto"/>
        <w:ind w:left="1440"/>
        <w:jc w:val="both"/>
        <w:rPr>
          <w:rtl/>
        </w:rPr>
      </w:pPr>
    </w:p>
    <w:p w14:paraId="219F097A" w14:textId="77777777" w:rsidR="00477ADD" w:rsidRPr="00477ADD" w:rsidRDefault="00477ADD" w:rsidP="00477ADD">
      <w:pPr>
        <w:spacing w:after="160" w:line="360" w:lineRule="auto"/>
        <w:jc w:val="both"/>
        <w:rPr>
          <w:rFonts w:ascii="Calibri" w:hAnsi="Calibri"/>
          <w:rtl/>
        </w:rPr>
      </w:pPr>
      <w:r w:rsidRPr="00477ADD">
        <w:rPr>
          <w:rFonts w:ascii="Calibri" w:hAnsi="Calibri" w:hint="eastAsia"/>
          <w:rtl/>
        </w:rPr>
        <w:t>ניתן</w:t>
      </w:r>
      <w:r w:rsidRPr="00477ADD">
        <w:rPr>
          <w:rFonts w:ascii="Calibri" w:hAnsi="Calibri"/>
          <w:rtl/>
        </w:rPr>
        <w:t xml:space="preserve"> </w:t>
      </w:r>
      <w:r w:rsidRPr="00477ADD">
        <w:rPr>
          <w:rFonts w:ascii="Calibri" w:hAnsi="Calibri" w:hint="eastAsia"/>
          <w:rtl/>
        </w:rPr>
        <w:t>בזאת</w:t>
      </w:r>
      <w:r w:rsidRPr="00477ADD">
        <w:rPr>
          <w:rFonts w:ascii="Calibri" w:hAnsi="Calibri"/>
          <w:rtl/>
        </w:rPr>
        <w:t xml:space="preserve"> </w:t>
      </w:r>
      <w:r w:rsidRPr="00477ADD">
        <w:rPr>
          <w:rFonts w:ascii="Calibri" w:hAnsi="Calibri" w:hint="eastAsia"/>
          <w:rtl/>
        </w:rPr>
        <w:t>צו</w:t>
      </w:r>
      <w:r w:rsidRPr="00477ADD">
        <w:rPr>
          <w:rFonts w:ascii="Calibri" w:hAnsi="Calibri"/>
          <w:rtl/>
        </w:rPr>
        <w:t xml:space="preserve"> </w:t>
      </w:r>
      <w:r w:rsidRPr="00477ADD">
        <w:rPr>
          <w:rFonts w:ascii="Calibri" w:hAnsi="Calibri" w:hint="eastAsia"/>
          <w:rtl/>
        </w:rPr>
        <w:t>להשמדת</w:t>
      </w:r>
      <w:r w:rsidRPr="00477ADD">
        <w:rPr>
          <w:rFonts w:ascii="Calibri" w:hAnsi="Calibri"/>
          <w:rtl/>
        </w:rPr>
        <w:t xml:space="preserve"> </w:t>
      </w:r>
      <w:r w:rsidRPr="00477ADD">
        <w:rPr>
          <w:rFonts w:ascii="Calibri" w:hAnsi="Calibri" w:hint="eastAsia"/>
          <w:rtl/>
        </w:rPr>
        <w:t>מוצג</w:t>
      </w:r>
      <w:r w:rsidRPr="00477ADD">
        <w:rPr>
          <w:rFonts w:ascii="Calibri" w:hAnsi="Calibri"/>
          <w:rtl/>
        </w:rPr>
        <w:t xml:space="preserve"> – </w:t>
      </w:r>
      <w:r w:rsidRPr="00477ADD">
        <w:rPr>
          <w:rFonts w:ascii="Calibri" w:hAnsi="Calibri" w:hint="eastAsia"/>
          <w:rtl/>
        </w:rPr>
        <w:t>סמים</w:t>
      </w:r>
      <w:r w:rsidRPr="00477ADD">
        <w:rPr>
          <w:rFonts w:ascii="Calibri" w:hAnsi="Calibri"/>
          <w:rtl/>
        </w:rPr>
        <w:t xml:space="preserve"> </w:t>
      </w:r>
      <w:r w:rsidRPr="00477ADD">
        <w:rPr>
          <w:rFonts w:ascii="Calibri" w:hAnsi="Calibri" w:hint="eastAsia"/>
          <w:rtl/>
        </w:rPr>
        <w:t>בכפוף</w:t>
      </w:r>
      <w:r w:rsidRPr="00477ADD">
        <w:rPr>
          <w:rFonts w:ascii="Calibri" w:hAnsi="Calibri"/>
          <w:rtl/>
        </w:rPr>
        <w:t xml:space="preserve"> </w:t>
      </w:r>
      <w:r w:rsidRPr="00477ADD">
        <w:rPr>
          <w:rFonts w:ascii="Calibri" w:hAnsi="Calibri" w:hint="eastAsia"/>
          <w:rtl/>
        </w:rPr>
        <w:t>לחלוף</w:t>
      </w:r>
      <w:r w:rsidRPr="00477ADD">
        <w:rPr>
          <w:rFonts w:ascii="Calibri" w:hAnsi="Calibri"/>
          <w:rtl/>
        </w:rPr>
        <w:t xml:space="preserve"> </w:t>
      </w:r>
      <w:r w:rsidRPr="00477ADD">
        <w:rPr>
          <w:rFonts w:ascii="Calibri" w:hAnsi="Calibri" w:hint="eastAsia"/>
          <w:rtl/>
        </w:rPr>
        <w:t>תקופת</w:t>
      </w:r>
      <w:r w:rsidRPr="00477ADD">
        <w:rPr>
          <w:rFonts w:ascii="Calibri" w:hAnsi="Calibri"/>
          <w:rtl/>
        </w:rPr>
        <w:t xml:space="preserve"> </w:t>
      </w:r>
      <w:r w:rsidRPr="00477ADD">
        <w:rPr>
          <w:rFonts w:ascii="Calibri" w:hAnsi="Calibri" w:hint="eastAsia"/>
          <w:rtl/>
        </w:rPr>
        <w:t>הערעור</w:t>
      </w:r>
      <w:r w:rsidRPr="00477ADD">
        <w:rPr>
          <w:rFonts w:ascii="Calibri" w:hAnsi="Calibri"/>
          <w:rtl/>
        </w:rPr>
        <w:t>.</w:t>
      </w:r>
    </w:p>
    <w:p w14:paraId="6D3B424B" w14:textId="77777777" w:rsidR="00477ADD" w:rsidRPr="00477ADD" w:rsidRDefault="00477ADD" w:rsidP="00477ADD">
      <w:pPr>
        <w:spacing w:after="160" w:line="360" w:lineRule="auto"/>
        <w:jc w:val="both"/>
        <w:rPr>
          <w:rFonts w:ascii="Calibri" w:hAnsi="Calibri"/>
          <w:rtl/>
        </w:rPr>
      </w:pPr>
      <w:r w:rsidRPr="00477ADD">
        <w:rPr>
          <w:rFonts w:ascii="Calibri" w:hAnsi="Calibri" w:hint="eastAsia"/>
          <w:rtl/>
        </w:rPr>
        <w:t>המזכירות</w:t>
      </w:r>
      <w:r w:rsidRPr="00477ADD">
        <w:rPr>
          <w:rFonts w:ascii="Calibri" w:hAnsi="Calibri"/>
          <w:rtl/>
        </w:rPr>
        <w:t xml:space="preserve"> </w:t>
      </w:r>
      <w:r w:rsidRPr="00477ADD">
        <w:rPr>
          <w:rFonts w:ascii="Calibri" w:hAnsi="Calibri" w:hint="eastAsia"/>
          <w:rtl/>
        </w:rPr>
        <w:t>תעביר</w:t>
      </w:r>
      <w:r w:rsidRPr="00477ADD">
        <w:rPr>
          <w:rFonts w:ascii="Calibri" w:hAnsi="Calibri"/>
          <w:rtl/>
        </w:rPr>
        <w:t xml:space="preserve"> </w:t>
      </w:r>
      <w:r w:rsidRPr="00477ADD">
        <w:rPr>
          <w:rFonts w:ascii="Calibri" w:hAnsi="Calibri" w:hint="eastAsia"/>
          <w:rtl/>
        </w:rPr>
        <w:t>העתק</w:t>
      </w:r>
      <w:r w:rsidRPr="00477ADD">
        <w:rPr>
          <w:rFonts w:ascii="Calibri" w:hAnsi="Calibri"/>
          <w:rtl/>
        </w:rPr>
        <w:t xml:space="preserve"> </w:t>
      </w:r>
      <w:r w:rsidRPr="00477ADD">
        <w:rPr>
          <w:rFonts w:ascii="Calibri" w:hAnsi="Calibri" w:hint="eastAsia"/>
          <w:rtl/>
        </w:rPr>
        <w:t>גזר</w:t>
      </w:r>
      <w:r w:rsidRPr="00477ADD">
        <w:rPr>
          <w:rFonts w:ascii="Calibri" w:hAnsi="Calibri"/>
          <w:rtl/>
        </w:rPr>
        <w:t xml:space="preserve"> </w:t>
      </w:r>
      <w:r w:rsidRPr="00477ADD">
        <w:rPr>
          <w:rFonts w:ascii="Calibri" w:hAnsi="Calibri" w:hint="eastAsia"/>
          <w:rtl/>
        </w:rPr>
        <w:t>הדין</w:t>
      </w:r>
      <w:r w:rsidRPr="00477ADD">
        <w:rPr>
          <w:rFonts w:ascii="Calibri" w:hAnsi="Calibri"/>
          <w:rtl/>
        </w:rPr>
        <w:t xml:space="preserve"> </w:t>
      </w:r>
      <w:r w:rsidRPr="00477ADD">
        <w:rPr>
          <w:rFonts w:ascii="Calibri" w:hAnsi="Calibri" w:hint="eastAsia"/>
          <w:rtl/>
        </w:rPr>
        <w:t>לשירות</w:t>
      </w:r>
      <w:r w:rsidRPr="00477ADD">
        <w:rPr>
          <w:rFonts w:ascii="Calibri" w:hAnsi="Calibri"/>
          <w:rtl/>
        </w:rPr>
        <w:t xml:space="preserve"> </w:t>
      </w:r>
      <w:r w:rsidRPr="00477ADD">
        <w:rPr>
          <w:rFonts w:ascii="Calibri" w:hAnsi="Calibri" w:hint="eastAsia"/>
          <w:rtl/>
        </w:rPr>
        <w:t>המבחן</w:t>
      </w:r>
      <w:r w:rsidRPr="00477ADD">
        <w:rPr>
          <w:rFonts w:ascii="Calibri" w:hAnsi="Calibri"/>
          <w:rtl/>
        </w:rPr>
        <w:t xml:space="preserve"> </w:t>
      </w:r>
      <w:r w:rsidRPr="00477ADD">
        <w:rPr>
          <w:rFonts w:ascii="Calibri" w:hAnsi="Calibri" w:hint="eastAsia"/>
          <w:rtl/>
        </w:rPr>
        <w:t>ולממונה</w:t>
      </w:r>
      <w:r w:rsidRPr="00477ADD">
        <w:rPr>
          <w:rFonts w:ascii="Calibri" w:hAnsi="Calibri"/>
          <w:rtl/>
        </w:rPr>
        <w:t xml:space="preserve"> </w:t>
      </w:r>
      <w:r w:rsidRPr="00477ADD">
        <w:rPr>
          <w:rFonts w:ascii="Calibri" w:hAnsi="Calibri" w:hint="eastAsia"/>
          <w:rtl/>
        </w:rPr>
        <w:t>על</w:t>
      </w:r>
      <w:r w:rsidRPr="00477ADD">
        <w:rPr>
          <w:rFonts w:ascii="Calibri" w:hAnsi="Calibri"/>
          <w:rtl/>
        </w:rPr>
        <w:t xml:space="preserve"> </w:t>
      </w:r>
      <w:r w:rsidRPr="00477ADD">
        <w:rPr>
          <w:rFonts w:ascii="Calibri" w:hAnsi="Calibri" w:hint="eastAsia"/>
          <w:rtl/>
        </w:rPr>
        <w:t>עבודות</w:t>
      </w:r>
      <w:r w:rsidRPr="00477ADD">
        <w:rPr>
          <w:rFonts w:ascii="Calibri" w:hAnsi="Calibri"/>
          <w:rtl/>
        </w:rPr>
        <w:t xml:space="preserve"> </w:t>
      </w:r>
      <w:r w:rsidRPr="00477ADD">
        <w:rPr>
          <w:rFonts w:ascii="Calibri" w:hAnsi="Calibri" w:hint="eastAsia"/>
          <w:rtl/>
        </w:rPr>
        <w:t>השירות</w:t>
      </w:r>
      <w:r w:rsidRPr="00477ADD">
        <w:rPr>
          <w:rFonts w:ascii="Calibri" w:hAnsi="Calibri"/>
          <w:rtl/>
        </w:rPr>
        <w:t>.</w:t>
      </w:r>
    </w:p>
    <w:p w14:paraId="156B2133" w14:textId="77777777" w:rsidR="00477ADD" w:rsidRPr="00477ADD" w:rsidRDefault="00477ADD" w:rsidP="00477ADD">
      <w:pPr>
        <w:spacing w:after="160" w:line="360" w:lineRule="auto"/>
        <w:jc w:val="both"/>
        <w:rPr>
          <w:rFonts w:ascii="Calibri" w:hAnsi="Calibri"/>
          <w:rtl/>
        </w:rPr>
      </w:pPr>
      <w:r w:rsidRPr="00477ADD">
        <w:rPr>
          <w:rFonts w:ascii="Calibri" w:hAnsi="Calibri" w:hint="eastAsia"/>
          <w:rtl/>
        </w:rPr>
        <w:t>ערבויות</w:t>
      </w:r>
      <w:r w:rsidRPr="00477ADD">
        <w:rPr>
          <w:rFonts w:ascii="Calibri" w:hAnsi="Calibri"/>
          <w:rtl/>
        </w:rPr>
        <w:t xml:space="preserve"> </w:t>
      </w:r>
      <w:r w:rsidRPr="00477ADD">
        <w:rPr>
          <w:rFonts w:ascii="Calibri" w:hAnsi="Calibri" w:hint="eastAsia"/>
          <w:rtl/>
        </w:rPr>
        <w:t>כספיות</w:t>
      </w:r>
      <w:r w:rsidRPr="00477ADD">
        <w:rPr>
          <w:rFonts w:ascii="Calibri" w:hAnsi="Calibri"/>
          <w:rtl/>
        </w:rPr>
        <w:t xml:space="preserve"> </w:t>
      </w:r>
      <w:r w:rsidRPr="00477ADD">
        <w:rPr>
          <w:rFonts w:ascii="Calibri" w:hAnsi="Calibri" w:hint="eastAsia"/>
          <w:rtl/>
        </w:rPr>
        <w:t>שבתיק</w:t>
      </w:r>
      <w:r w:rsidRPr="00477ADD">
        <w:rPr>
          <w:rFonts w:ascii="Calibri" w:hAnsi="Calibri"/>
          <w:rtl/>
        </w:rPr>
        <w:t xml:space="preserve"> </w:t>
      </w:r>
      <w:r w:rsidRPr="00477ADD">
        <w:rPr>
          <w:rFonts w:ascii="Calibri" w:hAnsi="Calibri" w:hint="eastAsia"/>
          <w:rtl/>
        </w:rPr>
        <w:t>יעמדו</w:t>
      </w:r>
      <w:r w:rsidRPr="00477ADD">
        <w:rPr>
          <w:rFonts w:ascii="Calibri" w:hAnsi="Calibri"/>
          <w:rtl/>
        </w:rPr>
        <w:t xml:space="preserve"> </w:t>
      </w:r>
      <w:r w:rsidRPr="00477ADD">
        <w:rPr>
          <w:rFonts w:ascii="Calibri" w:hAnsi="Calibri" w:hint="eastAsia"/>
          <w:rtl/>
        </w:rPr>
        <w:t>בתוקפן</w:t>
      </w:r>
      <w:r w:rsidRPr="00477ADD">
        <w:rPr>
          <w:rFonts w:ascii="Calibri" w:hAnsi="Calibri"/>
          <w:rtl/>
        </w:rPr>
        <w:t xml:space="preserve"> </w:t>
      </w:r>
      <w:r w:rsidRPr="00477ADD">
        <w:rPr>
          <w:rFonts w:ascii="Calibri" w:hAnsi="Calibri" w:hint="eastAsia"/>
          <w:rtl/>
        </w:rPr>
        <w:t>עד</w:t>
      </w:r>
      <w:r w:rsidRPr="00477ADD">
        <w:rPr>
          <w:rFonts w:ascii="Calibri" w:hAnsi="Calibri"/>
          <w:rtl/>
        </w:rPr>
        <w:t xml:space="preserve"> </w:t>
      </w:r>
      <w:r w:rsidRPr="00477ADD">
        <w:rPr>
          <w:rFonts w:ascii="Calibri" w:hAnsi="Calibri" w:hint="eastAsia"/>
          <w:rtl/>
        </w:rPr>
        <w:t>לתום</w:t>
      </w:r>
      <w:r w:rsidRPr="00477ADD">
        <w:rPr>
          <w:rFonts w:ascii="Calibri" w:hAnsi="Calibri"/>
          <w:rtl/>
        </w:rPr>
        <w:t xml:space="preserve"> </w:t>
      </w:r>
      <w:r w:rsidRPr="00477ADD">
        <w:rPr>
          <w:rFonts w:ascii="Calibri" w:hAnsi="Calibri" w:hint="eastAsia"/>
          <w:rtl/>
        </w:rPr>
        <w:t>ריצוי</w:t>
      </w:r>
      <w:r w:rsidRPr="00477ADD">
        <w:rPr>
          <w:rFonts w:ascii="Calibri" w:hAnsi="Calibri"/>
          <w:rtl/>
        </w:rPr>
        <w:t xml:space="preserve"> </w:t>
      </w:r>
      <w:r w:rsidRPr="00477ADD">
        <w:rPr>
          <w:rFonts w:ascii="Calibri" w:hAnsi="Calibri" w:hint="eastAsia"/>
          <w:rtl/>
        </w:rPr>
        <w:t>העונש</w:t>
      </w:r>
      <w:r w:rsidRPr="00477ADD">
        <w:rPr>
          <w:rFonts w:ascii="Calibri" w:hAnsi="Calibri"/>
          <w:rtl/>
        </w:rPr>
        <w:t>.</w:t>
      </w:r>
    </w:p>
    <w:p w14:paraId="49E54F02" w14:textId="77777777" w:rsidR="00477ADD" w:rsidRPr="00477ADD" w:rsidRDefault="00477ADD" w:rsidP="00477ADD">
      <w:pPr>
        <w:spacing w:after="160" w:line="360" w:lineRule="auto"/>
        <w:jc w:val="both"/>
        <w:rPr>
          <w:rFonts w:ascii="Calibri" w:hAnsi="Calibri"/>
          <w:rtl/>
        </w:rPr>
      </w:pPr>
    </w:p>
    <w:p w14:paraId="7D14E361" w14:textId="77777777" w:rsidR="00477ADD" w:rsidRPr="00477ADD" w:rsidRDefault="00477ADD" w:rsidP="00477ADD">
      <w:pPr>
        <w:spacing w:after="160" w:line="360" w:lineRule="auto"/>
        <w:jc w:val="both"/>
        <w:rPr>
          <w:rFonts w:ascii="Calibri" w:hAnsi="Calibri"/>
        </w:rPr>
      </w:pPr>
      <w:r w:rsidRPr="00477ADD">
        <w:rPr>
          <w:rFonts w:ascii="Calibri" w:hAnsi="Calibri" w:hint="eastAsia"/>
          <w:rtl/>
        </w:rPr>
        <w:t>זכות</w:t>
      </w:r>
      <w:r w:rsidRPr="00477ADD">
        <w:rPr>
          <w:rFonts w:ascii="Calibri" w:hAnsi="Calibri"/>
          <w:rtl/>
        </w:rPr>
        <w:t xml:space="preserve"> </w:t>
      </w:r>
      <w:r w:rsidRPr="00477ADD">
        <w:rPr>
          <w:rFonts w:ascii="Calibri" w:hAnsi="Calibri" w:hint="eastAsia"/>
          <w:rtl/>
        </w:rPr>
        <w:t>ערעור</w:t>
      </w:r>
      <w:r w:rsidRPr="00477ADD">
        <w:rPr>
          <w:rFonts w:ascii="Calibri" w:hAnsi="Calibri"/>
          <w:rtl/>
        </w:rPr>
        <w:t xml:space="preserve"> </w:t>
      </w:r>
      <w:r w:rsidRPr="00477ADD">
        <w:rPr>
          <w:rFonts w:ascii="Calibri" w:hAnsi="Calibri" w:hint="eastAsia"/>
          <w:rtl/>
        </w:rPr>
        <w:t>כחוק</w:t>
      </w:r>
      <w:r w:rsidRPr="00477ADD">
        <w:rPr>
          <w:rFonts w:ascii="Calibri" w:hAnsi="Calibri"/>
          <w:rtl/>
        </w:rPr>
        <w:t>.</w:t>
      </w:r>
    </w:p>
    <w:p w14:paraId="2563F068" w14:textId="77777777" w:rsidR="00477ADD" w:rsidRPr="000454A8" w:rsidRDefault="00477ADD" w:rsidP="00477ADD">
      <w:pPr>
        <w:rPr>
          <w:sz w:val="26"/>
          <w:szCs w:val="26"/>
          <w:rtl/>
        </w:rPr>
      </w:pPr>
    </w:p>
    <w:p w14:paraId="060A9C7A" w14:textId="77777777" w:rsidR="00477ADD" w:rsidRPr="000454A8" w:rsidRDefault="00477ADD" w:rsidP="00477ADD">
      <w:pPr>
        <w:rPr>
          <w:sz w:val="26"/>
          <w:szCs w:val="26"/>
          <w:rtl/>
        </w:rPr>
      </w:pPr>
    </w:p>
    <w:p w14:paraId="6021ADDD" w14:textId="77777777" w:rsidR="00477ADD" w:rsidRPr="000454A8" w:rsidRDefault="00477ADD" w:rsidP="00477ADD">
      <w:pPr>
        <w:rPr>
          <w:sz w:val="26"/>
          <w:szCs w:val="26"/>
          <w:rtl/>
        </w:rPr>
      </w:pPr>
    </w:p>
    <w:p w14:paraId="0717E44F" w14:textId="77777777" w:rsidR="00477ADD" w:rsidRPr="000454A8" w:rsidRDefault="00477ADD" w:rsidP="00477ADD">
      <w:pPr>
        <w:rPr>
          <w:sz w:val="26"/>
          <w:szCs w:val="26"/>
          <w:rtl/>
        </w:rPr>
      </w:pPr>
    </w:p>
    <w:p w14:paraId="3A9E6931" w14:textId="77777777" w:rsidR="00477ADD" w:rsidRPr="000454A8" w:rsidRDefault="00477ADD" w:rsidP="00477ADD">
      <w:pPr>
        <w:rPr>
          <w:sz w:val="26"/>
          <w:szCs w:val="26"/>
          <w:rtl/>
        </w:rPr>
      </w:pPr>
    </w:p>
    <w:p w14:paraId="6A364302" w14:textId="77777777" w:rsidR="00477ADD" w:rsidRPr="00C428A7" w:rsidRDefault="00C428A7" w:rsidP="00477ADD">
      <w:pPr>
        <w:rPr>
          <w:color w:val="FFFFFF"/>
          <w:sz w:val="2"/>
          <w:szCs w:val="2"/>
          <w:rtl/>
        </w:rPr>
      </w:pPr>
      <w:r w:rsidRPr="00C428A7">
        <w:rPr>
          <w:color w:val="FFFFFF"/>
          <w:sz w:val="2"/>
          <w:szCs w:val="2"/>
          <w:rtl/>
        </w:rPr>
        <w:t>5129371</w:t>
      </w:r>
    </w:p>
    <w:p w14:paraId="3EB58522" w14:textId="77777777" w:rsidR="00477ADD" w:rsidRDefault="00C428A7" w:rsidP="00477ADD">
      <w:pPr>
        <w:rPr>
          <w:rFonts w:cs="FrankRuehl"/>
          <w:sz w:val="28"/>
          <w:szCs w:val="28"/>
          <w:rtl/>
        </w:rPr>
      </w:pPr>
      <w:bookmarkStart w:id="7" w:name="Nitan"/>
      <w:r w:rsidRPr="00C428A7">
        <w:rPr>
          <w:rFonts w:ascii="Arial" w:hAnsi="Arial"/>
          <w:color w:val="FFFFFF"/>
          <w:sz w:val="2"/>
          <w:szCs w:val="2"/>
          <w:rtl/>
        </w:rPr>
        <w:t>54678313</w:t>
      </w:r>
      <w:r>
        <w:rPr>
          <w:rFonts w:ascii="Arial" w:hAnsi="Arial"/>
          <w:rtl/>
        </w:rPr>
        <w:t xml:space="preserve">ניתן היום,  ו' אייר תשפ"א, 18 אפריל 2021, בהעדר הצדדים. </w:t>
      </w:r>
      <w:bookmarkEnd w:id="7"/>
    </w:p>
    <w:p w14:paraId="54C14849" w14:textId="77777777" w:rsidR="00477ADD" w:rsidRDefault="00477ADD" w:rsidP="00C428A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5FEF7AE" w14:textId="77777777" w:rsidR="00477ADD" w:rsidRDefault="00477ADD" w:rsidP="00477ADD">
      <w:pPr>
        <w:jc w:val="center"/>
        <w:rPr>
          <w:rFonts w:ascii="Arial" w:hAnsi="Arial" w:cs="FrankRuehl"/>
          <w:sz w:val="28"/>
          <w:szCs w:val="28"/>
          <w:rtl/>
        </w:rPr>
      </w:pPr>
    </w:p>
    <w:p w14:paraId="71709BE9" w14:textId="77777777" w:rsidR="00477ADD" w:rsidRDefault="00477ADD" w:rsidP="00477ADD">
      <w:pPr>
        <w:rPr>
          <w:rFonts w:cs="FrankRuehl"/>
          <w:sz w:val="28"/>
          <w:szCs w:val="28"/>
          <w:rtl/>
        </w:rPr>
      </w:pPr>
    </w:p>
    <w:p w14:paraId="081A2159" w14:textId="77777777" w:rsidR="00477ADD" w:rsidRDefault="00477ADD" w:rsidP="00477ADD">
      <w:pPr>
        <w:pStyle w:val="a3"/>
        <w:jc w:val="center"/>
        <w:rPr>
          <w:rtl/>
        </w:rPr>
      </w:pPr>
    </w:p>
    <w:p w14:paraId="6D7E15CA" w14:textId="77777777" w:rsidR="00D3435C" w:rsidRPr="00C428A7" w:rsidRDefault="00D3435C" w:rsidP="00C428A7">
      <w:pPr>
        <w:keepNext/>
        <w:rPr>
          <w:rFonts w:ascii="David" w:hAnsi="David"/>
          <w:color w:val="000000"/>
          <w:sz w:val="22"/>
          <w:szCs w:val="22"/>
          <w:rtl/>
        </w:rPr>
      </w:pPr>
    </w:p>
    <w:p w14:paraId="1916EB02" w14:textId="77777777" w:rsidR="00C428A7" w:rsidRPr="00C428A7" w:rsidRDefault="00C428A7" w:rsidP="00C428A7">
      <w:pPr>
        <w:keepNext/>
        <w:rPr>
          <w:rFonts w:ascii="David" w:hAnsi="David"/>
          <w:color w:val="000000"/>
          <w:sz w:val="22"/>
          <w:szCs w:val="22"/>
          <w:rtl/>
        </w:rPr>
      </w:pPr>
      <w:r w:rsidRPr="00C428A7">
        <w:rPr>
          <w:rFonts w:ascii="David" w:hAnsi="David"/>
          <w:color w:val="000000"/>
          <w:sz w:val="22"/>
          <w:szCs w:val="22"/>
          <w:rtl/>
        </w:rPr>
        <w:t>ענת חולתא 54678313</w:t>
      </w:r>
    </w:p>
    <w:p w14:paraId="1F4272B0" w14:textId="77777777" w:rsidR="00C428A7" w:rsidRDefault="00C428A7" w:rsidP="00C428A7">
      <w:r w:rsidRPr="00C428A7">
        <w:rPr>
          <w:color w:val="000000"/>
          <w:rtl/>
        </w:rPr>
        <w:t>נוסח מסמך זה כפוף לשינויי ניסוח ועריכה</w:t>
      </w:r>
    </w:p>
    <w:p w14:paraId="53367DF0" w14:textId="77777777" w:rsidR="00C428A7" w:rsidRDefault="00C428A7" w:rsidP="00C428A7">
      <w:pPr>
        <w:rPr>
          <w:rtl/>
        </w:rPr>
      </w:pPr>
    </w:p>
    <w:p w14:paraId="6C8A3C46" w14:textId="77777777" w:rsidR="00C428A7" w:rsidRDefault="00C428A7" w:rsidP="00C428A7">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E372C57" w14:textId="77777777" w:rsidR="00C428A7" w:rsidRPr="00C428A7" w:rsidRDefault="00C428A7" w:rsidP="00C428A7">
      <w:pPr>
        <w:jc w:val="center"/>
        <w:rPr>
          <w:color w:val="0000FF"/>
          <w:u w:val="single"/>
        </w:rPr>
      </w:pPr>
    </w:p>
    <w:sectPr w:rsidR="00C428A7" w:rsidRPr="00C428A7" w:rsidSect="00C428A7">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466F8" w14:textId="77777777" w:rsidR="00B70E21" w:rsidRDefault="00B70E21" w:rsidP="009849AB">
      <w:r>
        <w:separator/>
      </w:r>
    </w:p>
  </w:endnote>
  <w:endnote w:type="continuationSeparator" w:id="0">
    <w:p w14:paraId="1DCD258A" w14:textId="77777777" w:rsidR="00B70E21" w:rsidRDefault="00B70E21" w:rsidP="0098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C6A3E" w14:textId="77777777" w:rsidR="00C428A7" w:rsidRDefault="00C428A7" w:rsidP="00C428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7491E9" w14:textId="77777777" w:rsidR="0027401A" w:rsidRPr="00C428A7" w:rsidRDefault="00C428A7" w:rsidP="00C428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9E8BF" w14:textId="77777777" w:rsidR="00C428A7" w:rsidRDefault="00C428A7" w:rsidP="00C428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5657">
      <w:rPr>
        <w:rFonts w:ascii="FrankRuehl" w:hAnsi="FrankRuehl" w:cs="FrankRuehl"/>
        <w:noProof/>
        <w:rtl/>
      </w:rPr>
      <w:t>1</w:t>
    </w:r>
    <w:r>
      <w:rPr>
        <w:rFonts w:ascii="FrankRuehl" w:hAnsi="FrankRuehl" w:cs="FrankRuehl"/>
        <w:rtl/>
      </w:rPr>
      <w:fldChar w:fldCharType="end"/>
    </w:r>
  </w:p>
  <w:p w14:paraId="42B29C10" w14:textId="77777777" w:rsidR="0027401A" w:rsidRPr="00C428A7" w:rsidRDefault="00C428A7" w:rsidP="00C428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92E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C3BD1" w14:textId="77777777" w:rsidR="00B70E21" w:rsidRDefault="00B70E21" w:rsidP="009849AB">
      <w:r>
        <w:separator/>
      </w:r>
    </w:p>
  </w:footnote>
  <w:footnote w:type="continuationSeparator" w:id="0">
    <w:p w14:paraId="0FB4687F" w14:textId="77777777" w:rsidR="00B70E21" w:rsidRDefault="00B70E21" w:rsidP="00984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C6CE1" w14:textId="77777777" w:rsidR="00C428A7" w:rsidRPr="00C428A7" w:rsidRDefault="00C428A7" w:rsidP="00C428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38680-05-20</w:t>
    </w:r>
    <w:r>
      <w:rPr>
        <w:rFonts w:ascii="David" w:hAnsi="David"/>
        <w:color w:val="000000"/>
        <w:sz w:val="22"/>
        <w:szCs w:val="22"/>
        <w:rtl/>
      </w:rPr>
      <w:tab/>
      <w:t xml:space="preserve"> מדינת ישראל נ' אברהם גבאי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F330F" w14:textId="77777777" w:rsidR="00C428A7" w:rsidRPr="00C428A7" w:rsidRDefault="00C428A7" w:rsidP="00C428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38680-05-20</w:t>
    </w:r>
    <w:r>
      <w:rPr>
        <w:rFonts w:ascii="David" w:hAnsi="David"/>
        <w:color w:val="000000"/>
        <w:sz w:val="22"/>
        <w:szCs w:val="22"/>
        <w:rtl/>
      </w:rPr>
      <w:tab/>
      <w:t xml:space="preserve"> מדינת ישראל נ' אברהם גבאי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68D1"/>
    <w:multiLevelType w:val="hybridMultilevel"/>
    <w:tmpl w:val="CAD25E9E"/>
    <w:lvl w:ilvl="0" w:tplc="85F0B12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A21E58"/>
    <w:multiLevelType w:val="hybridMultilevel"/>
    <w:tmpl w:val="3B86053A"/>
    <w:lvl w:ilvl="0" w:tplc="D4D69AF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9B3242C"/>
    <w:multiLevelType w:val="hybridMultilevel"/>
    <w:tmpl w:val="AE30E6E2"/>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2047AD2"/>
    <w:multiLevelType w:val="hybridMultilevel"/>
    <w:tmpl w:val="E3B2AA3A"/>
    <w:lvl w:ilvl="0" w:tplc="F400628E">
      <w:start w:val="1"/>
      <w:numFmt w:val="decimal"/>
      <w:lvlText w:val="%1."/>
      <w:lvlJc w:val="left"/>
      <w:pPr>
        <w:ind w:left="36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88679764">
    <w:abstractNumId w:val="4"/>
  </w:num>
  <w:num w:numId="2" w16cid:durableId="1384057516">
    <w:abstractNumId w:val="2"/>
  </w:num>
  <w:num w:numId="3" w16cid:durableId="340938988">
    <w:abstractNumId w:val="3"/>
  </w:num>
  <w:num w:numId="4" w16cid:durableId="683241209">
    <w:abstractNumId w:val="0"/>
  </w:num>
  <w:num w:numId="5" w16cid:durableId="39462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7ADD"/>
    <w:rsid w:val="001B5A3B"/>
    <w:rsid w:val="00222305"/>
    <w:rsid w:val="0027401A"/>
    <w:rsid w:val="00462E81"/>
    <w:rsid w:val="00477ADD"/>
    <w:rsid w:val="00552CE5"/>
    <w:rsid w:val="0055616C"/>
    <w:rsid w:val="005E5FCA"/>
    <w:rsid w:val="006F5F83"/>
    <w:rsid w:val="009849AB"/>
    <w:rsid w:val="00B30960"/>
    <w:rsid w:val="00B70E21"/>
    <w:rsid w:val="00C428A7"/>
    <w:rsid w:val="00CA502A"/>
    <w:rsid w:val="00D3435C"/>
    <w:rsid w:val="00E15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09CE1B"/>
  <w15:chartTrackingRefBased/>
  <w15:docId w15:val="{BDFFA740-1B7A-4DCD-B576-E1035283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7A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7ADD"/>
    <w:pPr>
      <w:tabs>
        <w:tab w:val="center" w:pos="4153"/>
        <w:tab w:val="right" w:pos="8306"/>
      </w:tabs>
    </w:pPr>
  </w:style>
  <w:style w:type="character" w:customStyle="1" w:styleId="a4">
    <w:name w:val="כותרת עליונה תו"/>
    <w:link w:val="a3"/>
    <w:rsid w:val="00477ADD"/>
    <w:rPr>
      <w:rFonts w:ascii="Times New Roman" w:eastAsia="Times New Roman" w:hAnsi="Times New Roman" w:cs="David"/>
      <w:sz w:val="24"/>
      <w:szCs w:val="24"/>
    </w:rPr>
  </w:style>
  <w:style w:type="paragraph" w:styleId="a5">
    <w:name w:val="footer"/>
    <w:basedOn w:val="a"/>
    <w:link w:val="a6"/>
    <w:rsid w:val="00477ADD"/>
    <w:pPr>
      <w:tabs>
        <w:tab w:val="center" w:pos="4153"/>
        <w:tab w:val="right" w:pos="8306"/>
      </w:tabs>
    </w:pPr>
  </w:style>
  <w:style w:type="character" w:customStyle="1" w:styleId="a6">
    <w:name w:val="כותרת תחתונה תו"/>
    <w:link w:val="a5"/>
    <w:rsid w:val="00477ADD"/>
    <w:rPr>
      <w:rFonts w:ascii="Times New Roman" w:eastAsia="Times New Roman" w:hAnsi="Times New Roman" w:cs="David"/>
      <w:sz w:val="24"/>
      <w:szCs w:val="24"/>
    </w:rPr>
  </w:style>
  <w:style w:type="table" w:styleId="a7">
    <w:name w:val="Table Grid"/>
    <w:basedOn w:val="a1"/>
    <w:rsid w:val="00477A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77ADD"/>
  </w:style>
  <w:style w:type="character" w:styleId="Hyperlink">
    <w:name w:val="Hyperlink"/>
    <w:rsid w:val="00C42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881083" TargetMode="External"/><Relationship Id="rId26" Type="http://schemas.openxmlformats.org/officeDocument/2006/relationships/hyperlink" Target="http://www.nevo.co.il/case/26450812" TargetMode="External"/><Relationship Id="rId21" Type="http://schemas.openxmlformats.org/officeDocument/2006/relationships/hyperlink" Target="http://www.nevo.co.il/case/22695050" TargetMode="External"/><Relationship Id="rId34" Type="http://schemas.openxmlformats.org/officeDocument/2006/relationships/header" Target="header2.xml"/><Relationship Id="rId7" Type="http://schemas.openxmlformats.org/officeDocument/2006/relationships/hyperlink" Target="http://www.nevo.co.il/case/26678297"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2656269" TargetMode="External"/><Relationship Id="rId25" Type="http://schemas.openxmlformats.org/officeDocument/2006/relationships/hyperlink" Target="http://www.nevo.co.il/case/27274743"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159091" TargetMode="External"/><Relationship Id="rId20" Type="http://schemas.openxmlformats.org/officeDocument/2006/relationships/hyperlink" Target="http://www.nevo.co.il/case/25946245" TargetMode="External"/><Relationship Id="rId29" Type="http://schemas.openxmlformats.org/officeDocument/2006/relationships/hyperlink" Target="http://www.nevo.co.il/case/249651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1811916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231498" TargetMode="External"/><Relationship Id="rId23" Type="http://schemas.openxmlformats.org/officeDocument/2006/relationships/hyperlink" Target="http://www.nevo.co.il/case/18045843" TargetMode="External"/><Relationship Id="rId28" Type="http://schemas.openxmlformats.org/officeDocument/2006/relationships/hyperlink" Target="http://www.nevo.co.il/case/25231460"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420209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2275587" TargetMode="External"/><Relationship Id="rId22" Type="http://schemas.openxmlformats.org/officeDocument/2006/relationships/hyperlink" Target="http://www.nevo.co.il/case/27229615" TargetMode="External"/><Relationship Id="rId27" Type="http://schemas.openxmlformats.org/officeDocument/2006/relationships/hyperlink" Target="http://www.nevo.co.il/case/25202760" TargetMode="External"/><Relationship Id="rId30" Type="http://schemas.openxmlformats.org/officeDocument/2006/relationships/hyperlink" Target="http://www.nevo.co.il/law/70301/40d.a" TargetMode="External"/><Relationship Id="rId35"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4409</Words>
  <Characters>22049</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26406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4915205</vt:i4>
      </vt:variant>
      <vt:variant>
        <vt:i4>69</vt:i4>
      </vt:variant>
      <vt:variant>
        <vt:i4>0</vt:i4>
      </vt:variant>
      <vt:variant>
        <vt:i4>5</vt:i4>
      </vt:variant>
      <vt:variant>
        <vt:lpwstr>http://www.nevo.co.il/law/70301/40d.a</vt:lpwstr>
      </vt:variant>
      <vt:variant>
        <vt:lpwstr/>
      </vt:variant>
      <vt:variant>
        <vt:i4>3801207</vt:i4>
      </vt:variant>
      <vt:variant>
        <vt:i4>66</vt:i4>
      </vt:variant>
      <vt:variant>
        <vt:i4>0</vt:i4>
      </vt:variant>
      <vt:variant>
        <vt:i4>5</vt:i4>
      </vt:variant>
      <vt:variant>
        <vt:lpwstr>http://www.nevo.co.il/case/24965143</vt:lpwstr>
      </vt:variant>
      <vt:variant>
        <vt:lpwstr/>
      </vt:variant>
      <vt:variant>
        <vt:i4>3604598</vt:i4>
      </vt:variant>
      <vt:variant>
        <vt:i4>63</vt:i4>
      </vt:variant>
      <vt:variant>
        <vt:i4>0</vt:i4>
      </vt:variant>
      <vt:variant>
        <vt:i4>5</vt:i4>
      </vt:variant>
      <vt:variant>
        <vt:lpwstr>http://www.nevo.co.il/case/25231460</vt:lpwstr>
      </vt:variant>
      <vt:variant>
        <vt:lpwstr/>
      </vt:variant>
      <vt:variant>
        <vt:i4>3407990</vt:i4>
      </vt:variant>
      <vt:variant>
        <vt:i4>60</vt:i4>
      </vt:variant>
      <vt:variant>
        <vt:i4>0</vt:i4>
      </vt:variant>
      <vt:variant>
        <vt:i4>5</vt:i4>
      </vt:variant>
      <vt:variant>
        <vt:lpwstr>http://www.nevo.co.il/case/25202760</vt:lpwstr>
      </vt:variant>
      <vt:variant>
        <vt:lpwstr/>
      </vt:variant>
      <vt:variant>
        <vt:i4>3604607</vt:i4>
      </vt:variant>
      <vt:variant>
        <vt:i4>57</vt:i4>
      </vt:variant>
      <vt:variant>
        <vt:i4>0</vt:i4>
      </vt:variant>
      <vt:variant>
        <vt:i4>5</vt:i4>
      </vt:variant>
      <vt:variant>
        <vt:lpwstr>http://www.nevo.co.il/case/26450812</vt:lpwstr>
      </vt:variant>
      <vt:variant>
        <vt:lpwstr/>
      </vt:variant>
      <vt:variant>
        <vt:i4>3145843</vt:i4>
      </vt:variant>
      <vt:variant>
        <vt:i4>54</vt:i4>
      </vt:variant>
      <vt:variant>
        <vt:i4>0</vt:i4>
      </vt:variant>
      <vt:variant>
        <vt:i4>5</vt:i4>
      </vt:variant>
      <vt:variant>
        <vt:lpwstr>http://www.nevo.co.il/case/27274743</vt:lpwstr>
      </vt:variant>
      <vt:variant>
        <vt:lpwstr/>
      </vt:variant>
      <vt:variant>
        <vt:i4>4128892</vt:i4>
      </vt:variant>
      <vt:variant>
        <vt:i4>51</vt:i4>
      </vt:variant>
      <vt:variant>
        <vt:i4>0</vt:i4>
      </vt:variant>
      <vt:variant>
        <vt:i4>5</vt:i4>
      </vt:variant>
      <vt:variant>
        <vt:lpwstr>http://www.nevo.co.il/case/18119161</vt:lpwstr>
      </vt:variant>
      <vt:variant>
        <vt:lpwstr/>
      </vt:variant>
      <vt:variant>
        <vt:i4>3145840</vt:i4>
      </vt:variant>
      <vt:variant>
        <vt:i4>48</vt:i4>
      </vt:variant>
      <vt:variant>
        <vt:i4>0</vt:i4>
      </vt:variant>
      <vt:variant>
        <vt:i4>5</vt:i4>
      </vt:variant>
      <vt:variant>
        <vt:lpwstr>http://www.nevo.co.il/case/18045843</vt:lpwstr>
      </vt:variant>
      <vt:variant>
        <vt:lpwstr/>
      </vt:variant>
      <vt:variant>
        <vt:i4>3670135</vt:i4>
      </vt:variant>
      <vt:variant>
        <vt:i4>45</vt:i4>
      </vt:variant>
      <vt:variant>
        <vt:i4>0</vt:i4>
      </vt:variant>
      <vt:variant>
        <vt:i4>5</vt:i4>
      </vt:variant>
      <vt:variant>
        <vt:lpwstr>http://www.nevo.co.il/case/27229615</vt:lpwstr>
      </vt:variant>
      <vt:variant>
        <vt:lpwstr/>
      </vt:variant>
      <vt:variant>
        <vt:i4>3407999</vt:i4>
      </vt:variant>
      <vt:variant>
        <vt:i4>42</vt:i4>
      </vt:variant>
      <vt:variant>
        <vt:i4>0</vt:i4>
      </vt:variant>
      <vt:variant>
        <vt:i4>5</vt:i4>
      </vt:variant>
      <vt:variant>
        <vt:lpwstr>http://www.nevo.co.il/case/22695050</vt:lpwstr>
      </vt:variant>
      <vt:variant>
        <vt:lpwstr/>
      </vt:variant>
      <vt:variant>
        <vt:i4>3735671</vt:i4>
      </vt:variant>
      <vt:variant>
        <vt:i4>39</vt:i4>
      </vt:variant>
      <vt:variant>
        <vt:i4>0</vt:i4>
      </vt:variant>
      <vt:variant>
        <vt:i4>5</vt:i4>
      </vt:variant>
      <vt:variant>
        <vt:lpwstr>http://www.nevo.co.il/case/25946245</vt:lpwstr>
      </vt:variant>
      <vt:variant>
        <vt:lpwstr/>
      </vt:variant>
      <vt:variant>
        <vt:i4>3866736</vt:i4>
      </vt:variant>
      <vt:variant>
        <vt:i4>36</vt:i4>
      </vt:variant>
      <vt:variant>
        <vt:i4>0</vt:i4>
      </vt:variant>
      <vt:variant>
        <vt:i4>5</vt:i4>
      </vt:variant>
      <vt:variant>
        <vt:lpwstr>http://www.nevo.co.il/case/24202093</vt:lpwstr>
      </vt:variant>
      <vt:variant>
        <vt:lpwstr/>
      </vt:variant>
      <vt:variant>
        <vt:i4>3342460</vt:i4>
      </vt:variant>
      <vt:variant>
        <vt:i4>33</vt:i4>
      </vt:variant>
      <vt:variant>
        <vt:i4>0</vt:i4>
      </vt:variant>
      <vt:variant>
        <vt:i4>5</vt:i4>
      </vt:variant>
      <vt:variant>
        <vt:lpwstr>http://www.nevo.co.il/case/20881083</vt:lpwstr>
      </vt:variant>
      <vt:variant>
        <vt:lpwstr/>
      </vt:variant>
      <vt:variant>
        <vt:i4>3407985</vt:i4>
      </vt:variant>
      <vt:variant>
        <vt:i4>30</vt:i4>
      </vt:variant>
      <vt:variant>
        <vt:i4>0</vt:i4>
      </vt:variant>
      <vt:variant>
        <vt:i4>5</vt:i4>
      </vt:variant>
      <vt:variant>
        <vt:lpwstr>http://www.nevo.co.il/case/22656269</vt:lpwstr>
      </vt:variant>
      <vt:variant>
        <vt:lpwstr/>
      </vt:variant>
      <vt:variant>
        <vt:i4>3342449</vt:i4>
      </vt:variant>
      <vt:variant>
        <vt:i4>27</vt:i4>
      </vt:variant>
      <vt:variant>
        <vt:i4>0</vt:i4>
      </vt:variant>
      <vt:variant>
        <vt:i4>5</vt:i4>
      </vt:variant>
      <vt:variant>
        <vt:lpwstr>http://www.nevo.co.il/case/20159091</vt:lpwstr>
      </vt:variant>
      <vt:variant>
        <vt:lpwstr/>
      </vt:variant>
      <vt:variant>
        <vt:i4>3670134</vt:i4>
      </vt:variant>
      <vt:variant>
        <vt:i4>24</vt:i4>
      </vt:variant>
      <vt:variant>
        <vt:i4>0</vt:i4>
      </vt:variant>
      <vt:variant>
        <vt:i4>5</vt:i4>
      </vt:variant>
      <vt:variant>
        <vt:lpwstr>http://www.nevo.co.il/case/25231498</vt:lpwstr>
      </vt:variant>
      <vt:variant>
        <vt:lpwstr/>
      </vt:variant>
      <vt:variant>
        <vt:i4>3997812</vt:i4>
      </vt:variant>
      <vt:variant>
        <vt:i4>21</vt:i4>
      </vt:variant>
      <vt:variant>
        <vt:i4>0</vt:i4>
      </vt:variant>
      <vt:variant>
        <vt:i4>5</vt:i4>
      </vt:variant>
      <vt:variant>
        <vt:lpwstr>http://www.nevo.co.il/case/22275587</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3473527</vt:i4>
      </vt:variant>
      <vt:variant>
        <vt:i4>0</vt:i4>
      </vt:variant>
      <vt:variant>
        <vt:i4>0</vt:i4>
      </vt:variant>
      <vt:variant>
        <vt:i4>5</vt:i4>
      </vt:variant>
      <vt:variant>
        <vt:lpwstr>http://www.nevo.co.il/case/26678297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38680</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אברהם גבאי</vt:lpwstr>
  </property>
  <property fmtid="{D5CDD505-2E9C-101B-9397-08002B2CF9AE}" pid="10" name="JUDGE">
    <vt:lpwstr>ענת חולתא</vt:lpwstr>
  </property>
  <property fmtid="{D5CDD505-2E9C-101B-9397-08002B2CF9AE}" pid="11" name="CITY">
    <vt:lpwstr>ב"ש</vt:lpwstr>
  </property>
  <property fmtid="{D5CDD505-2E9C-101B-9397-08002B2CF9AE}" pid="12" name="DATE">
    <vt:lpwstr>20210418</vt:lpwstr>
  </property>
  <property fmtid="{D5CDD505-2E9C-101B-9397-08002B2CF9AE}" pid="13" name="TYPE_N_DATE">
    <vt:lpwstr>38020210418</vt:lpwstr>
  </property>
  <property fmtid="{D5CDD505-2E9C-101B-9397-08002B2CF9AE}" pid="14" name="WORDNUMPAGES">
    <vt:lpwstr>14</vt:lpwstr>
  </property>
  <property fmtid="{D5CDD505-2E9C-101B-9397-08002B2CF9AE}" pid="15" name="TYPE_ABS_DATE">
    <vt:lpwstr>380020210418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26678297;22275587;25231498;20159091;22656269;20881083;24202093;25946245;22695050;27229615;18045843;18119161;27274743;26450812;25202760;25231460;24965143</vt:lpwstr>
  </property>
  <property fmtid="{D5CDD505-2E9C-101B-9397-08002B2CF9AE}" pid="36" name="LAWLISTTMP1">
    <vt:lpwstr>4216/006</vt:lpwstr>
  </property>
  <property fmtid="{D5CDD505-2E9C-101B-9397-08002B2CF9AE}" pid="37" name="LAWLISTTMP2">
    <vt:lpwstr>70301/040d.a</vt:lpwstr>
  </property>
</Properties>
</file>