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A62D7" w:rsidRPr="00EE322A" w14:paraId="6C56AF33" w14:textId="77777777" w:rsidTr="00E7045F">
        <w:trPr>
          <w:trHeight w:hRule="exact" w:val="418"/>
          <w:jc w:val="center"/>
        </w:trPr>
        <w:tc>
          <w:tcPr>
            <w:tcW w:w="8721" w:type="dxa"/>
            <w:gridSpan w:val="2"/>
          </w:tcPr>
          <w:p w14:paraId="6C1B3F42" w14:textId="77777777" w:rsidR="005A62D7" w:rsidRPr="00EE322A" w:rsidRDefault="005A62D7" w:rsidP="0019542D">
            <w:pPr>
              <w:pStyle w:val="a3"/>
              <w:jc w:val="center"/>
              <w:rPr>
                <w:rFonts w:ascii="Tahoma" w:hAnsi="Tahoma" w:cs="Tahoma"/>
                <w:color w:val="000080"/>
                <w:rtl/>
              </w:rPr>
            </w:pPr>
            <w:bookmarkStart w:id="0" w:name="LastJudge"/>
            <w:r w:rsidRPr="00EE322A">
              <w:rPr>
                <w:rFonts w:ascii="Tahoma" w:hAnsi="Tahoma" w:cs="Tahoma"/>
                <w:b/>
                <w:bCs/>
                <w:color w:val="000080"/>
                <w:rtl/>
              </w:rPr>
              <w:t>בית משפט השלום בפתח תקווה</w:t>
            </w:r>
          </w:p>
        </w:tc>
      </w:tr>
      <w:tr w:rsidR="005A62D7" w:rsidRPr="00EE322A" w14:paraId="7295F144" w14:textId="77777777" w:rsidTr="00E7045F">
        <w:trPr>
          <w:trHeight w:val="337"/>
          <w:jc w:val="center"/>
        </w:trPr>
        <w:tc>
          <w:tcPr>
            <w:tcW w:w="5054" w:type="dxa"/>
          </w:tcPr>
          <w:p w14:paraId="548C2AD7" w14:textId="77777777" w:rsidR="005A62D7" w:rsidRPr="00EE322A" w:rsidRDefault="005A62D7" w:rsidP="0019542D">
            <w:pPr>
              <w:rPr>
                <w:rFonts w:cs="FrankRuehl"/>
                <w:sz w:val="28"/>
                <w:szCs w:val="28"/>
                <w:rtl/>
              </w:rPr>
            </w:pPr>
            <w:r w:rsidRPr="00EE322A">
              <w:rPr>
                <w:rFonts w:cs="FrankRuehl"/>
                <w:sz w:val="28"/>
                <w:szCs w:val="28"/>
                <w:rtl/>
              </w:rPr>
              <w:t>ת"פ</w:t>
            </w:r>
            <w:r w:rsidRPr="00EE322A">
              <w:rPr>
                <w:rFonts w:cs="FrankRuehl" w:hint="cs"/>
                <w:sz w:val="28"/>
                <w:szCs w:val="28"/>
                <w:rtl/>
              </w:rPr>
              <w:t xml:space="preserve"> </w:t>
            </w:r>
            <w:r w:rsidRPr="00EE322A">
              <w:rPr>
                <w:rFonts w:cs="FrankRuehl"/>
                <w:sz w:val="28"/>
                <w:szCs w:val="28"/>
                <w:rtl/>
              </w:rPr>
              <w:t>54257-05-20</w:t>
            </w:r>
            <w:r w:rsidRPr="00EE322A">
              <w:rPr>
                <w:rFonts w:cs="FrankRuehl" w:hint="cs"/>
                <w:sz w:val="28"/>
                <w:szCs w:val="28"/>
                <w:rtl/>
              </w:rPr>
              <w:t xml:space="preserve"> </w:t>
            </w:r>
            <w:r w:rsidRPr="00EE322A">
              <w:rPr>
                <w:rFonts w:cs="FrankRuehl"/>
                <w:sz w:val="28"/>
                <w:szCs w:val="28"/>
                <w:rtl/>
              </w:rPr>
              <w:t>מדינת ישראל נ' שקד</w:t>
            </w:r>
          </w:p>
          <w:p w14:paraId="205468ED" w14:textId="77777777" w:rsidR="005A62D7" w:rsidRPr="00EE322A" w:rsidRDefault="005A62D7" w:rsidP="0019542D">
            <w:pPr>
              <w:pStyle w:val="a3"/>
              <w:rPr>
                <w:rFonts w:cs="FrankRuehl"/>
                <w:sz w:val="28"/>
                <w:szCs w:val="28"/>
                <w:rtl/>
              </w:rPr>
            </w:pPr>
          </w:p>
        </w:tc>
        <w:tc>
          <w:tcPr>
            <w:tcW w:w="3667" w:type="dxa"/>
          </w:tcPr>
          <w:p w14:paraId="614A185F" w14:textId="77777777" w:rsidR="005A62D7" w:rsidRPr="00EE322A" w:rsidRDefault="005A62D7" w:rsidP="0019542D">
            <w:pPr>
              <w:pStyle w:val="a3"/>
              <w:jc w:val="right"/>
              <w:rPr>
                <w:rFonts w:cs="FrankRuehl"/>
                <w:sz w:val="28"/>
                <w:szCs w:val="28"/>
                <w:rtl/>
              </w:rPr>
            </w:pPr>
          </w:p>
        </w:tc>
      </w:tr>
    </w:tbl>
    <w:p w14:paraId="7D55A819" w14:textId="77777777" w:rsidR="005A62D7" w:rsidRPr="00EE322A" w:rsidRDefault="005A62D7" w:rsidP="00E7045F">
      <w:pPr>
        <w:pStyle w:val="a3"/>
        <w:rPr>
          <w:rtl/>
        </w:rPr>
      </w:pPr>
      <w:r w:rsidRPr="00EE322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A62D7" w:rsidRPr="00EE322A" w14:paraId="0FF1674B" w14:textId="77777777" w:rsidTr="005A62D7">
        <w:trPr>
          <w:trHeight w:val="295"/>
          <w:jc w:val="center"/>
        </w:trPr>
        <w:tc>
          <w:tcPr>
            <w:tcW w:w="923" w:type="dxa"/>
            <w:tcBorders>
              <w:top w:val="nil"/>
              <w:left w:val="nil"/>
              <w:bottom w:val="nil"/>
              <w:right w:val="nil"/>
            </w:tcBorders>
            <w:shd w:val="clear" w:color="auto" w:fill="auto"/>
          </w:tcPr>
          <w:p w14:paraId="5A1EC496" w14:textId="77777777" w:rsidR="005A62D7" w:rsidRPr="00EE322A" w:rsidRDefault="005A62D7" w:rsidP="005A62D7">
            <w:pPr>
              <w:jc w:val="both"/>
              <w:rPr>
                <w:rFonts w:ascii="David" w:hAnsi="David"/>
                <w:sz w:val="26"/>
                <w:szCs w:val="26"/>
              </w:rPr>
            </w:pPr>
            <w:r w:rsidRPr="00EE322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96891EB" w14:textId="77777777" w:rsidR="005A62D7" w:rsidRPr="00EE322A" w:rsidRDefault="005A62D7" w:rsidP="0019542D">
            <w:pPr>
              <w:rPr>
                <w:rFonts w:ascii="David" w:hAnsi="David"/>
                <w:b/>
                <w:bCs/>
                <w:sz w:val="26"/>
                <w:szCs w:val="26"/>
                <w:rtl/>
              </w:rPr>
            </w:pPr>
            <w:r w:rsidRPr="00EE322A">
              <w:rPr>
                <w:rFonts w:ascii="David" w:hAnsi="David"/>
                <w:b/>
                <w:bCs/>
                <w:sz w:val="26"/>
                <w:szCs w:val="26"/>
                <w:rtl/>
              </w:rPr>
              <w:t>כבוד השופט  דרור קלייטמן</w:t>
            </w:r>
          </w:p>
          <w:p w14:paraId="6BB2E5FF" w14:textId="77777777" w:rsidR="005A62D7" w:rsidRPr="00EE322A" w:rsidRDefault="005A62D7" w:rsidP="0019542D">
            <w:pPr>
              <w:rPr>
                <w:rFonts w:ascii="David" w:hAnsi="David"/>
                <w:sz w:val="26"/>
                <w:szCs w:val="26"/>
                <w:rtl/>
              </w:rPr>
            </w:pPr>
          </w:p>
          <w:p w14:paraId="492E4A9E" w14:textId="77777777" w:rsidR="005A62D7" w:rsidRPr="00EE322A" w:rsidRDefault="005A62D7" w:rsidP="005A62D7">
            <w:pPr>
              <w:jc w:val="both"/>
              <w:rPr>
                <w:rFonts w:ascii="David" w:hAnsi="David"/>
                <w:sz w:val="26"/>
                <w:szCs w:val="26"/>
              </w:rPr>
            </w:pPr>
          </w:p>
        </w:tc>
      </w:tr>
      <w:tr w:rsidR="005A62D7" w:rsidRPr="00EE322A" w14:paraId="6C201268" w14:textId="77777777" w:rsidTr="005A62D7">
        <w:trPr>
          <w:trHeight w:val="355"/>
          <w:jc w:val="center"/>
        </w:trPr>
        <w:tc>
          <w:tcPr>
            <w:tcW w:w="923" w:type="dxa"/>
            <w:tcBorders>
              <w:top w:val="nil"/>
              <w:left w:val="nil"/>
              <w:bottom w:val="nil"/>
              <w:right w:val="nil"/>
            </w:tcBorders>
            <w:shd w:val="clear" w:color="auto" w:fill="auto"/>
          </w:tcPr>
          <w:p w14:paraId="3B145E32" w14:textId="77777777" w:rsidR="005A62D7" w:rsidRPr="00EE322A" w:rsidRDefault="005A62D7" w:rsidP="005A62D7">
            <w:pPr>
              <w:jc w:val="both"/>
              <w:rPr>
                <w:rFonts w:ascii="David" w:hAnsi="David"/>
                <w:sz w:val="26"/>
                <w:szCs w:val="26"/>
              </w:rPr>
            </w:pPr>
            <w:bookmarkStart w:id="1" w:name="FirstAppellant"/>
            <w:bookmarkStart w:id="2" w:name="FirstLawyer"/>
            <w:r w:rsidRPr="00EE322A">
              <w:rPr>
                <w:rFonts w:ascii="David" w:hAnsi="David"/>
                <w:sz w:val="26"/>
                <w:szCs w:val="26"/>
                <w:rtl/>
              </w:rPr>
              <w:t>בעניין:</w:t>
            </w:r>
          </w:p>
        </w:tc>
        <w:tc>
          <w:tcPr>
            <w:tcW w:w="3219" w:type="dxa"/>
            <w:tcBorders>
              <w:top w:val="nil"/>
              <w:left w:val="nil"/>
              <w:bottom w:val="nil"/>
              <w:right w:val="nil"/>
            </w:tcBorders>
            <w:shd w:val="clear" w:color="auto" w:fill="auto"/>
          </w:tcPr>
          <w:p w14:paraId="176E759D" w14:textId="77777777" w:rsidR="005A62D7" w:rsidRPr="00EE322A" w:rsidRDefault="005A62D7" w:rsidP="005A62D7">
            <w:pPr>
              <w:suppressLineNumbers/>
            </w:pPr>
            <w:r w:rsidRPr="00EE322A">
              <w:rPr>
                <w:rFonts w:ascii="Arial" w:hAnsi="Arial" w:hint="cs"/>
                <w:b/>
                <w:bCs/>
                <w:sz w:val="26"/>
                <w:szCs w:val="26"/>
                <w:rtl/>
              </w:rPr>
              <w:t>ה</w:t>
            </w:r>
            <w:r w:rsidRPr="00EE322A">
              <w:rPr>
                <w:rFonts w:ascii="Arial" w:hAnsi="Arial"/>
                <w:b/>
                <w:bCs/>
                <w:sz w:val="26"/>
                <w:szCs w:val="26"/>
                <w:rtl/>
              </w:rPr>
              <w:t>מאשימה</w:t>
            </w:r>
          </w:p>
          <w:p w14:paraId="03A2CC86" w14:textId="77777777" w:rsidR="005A62D7" w:rsidRPr="00EE322A" w:rsidRDefault="005A62D7" w:rsidP="0019542D">
            <w:pPr>
              <w:rPr>
                <w:rFonts w:ascii="David" w:hAnsi="David"/>
                <w:sz w:val="26"/>
                <w:szCs w:val="26"/>
              </w:rPr>
            </w:pPr>
          </w:p>
        </w:tc>
        <w:tc>
          <w:tcPr>
            <w:tcW w:w="4678" w:type="dxa"/>
            <w:tcBorders>
              <w:top w:val="nil"/>
              <w:left w:val="nil"/>
              <w:bottom w:val="nil"/>
              <w:right w:val="nil"/>
            </w:tcBorders>
            <w:shd w:val="clear" w:color="auto" w:fill="auto"/>
            <w:vAlign w:val="center"/>
          </w:tcPr>
          <w:p w14:paraId="178CE4E8" w14:textId="77777777" w:rsidR="005A62D7" w:rsidRPr="00EE322A" w:rsidRDefault="005A62D7" w:rsidP="005A62D7">
            <w:pPr>
              <w:suppressLineNumbers/>
              <w:rPr>
                <w:rFonts w:ascii="Arial" w:hAnsi="Arial"/>
                <w:b/>
                <w:bCs/>
                <w:sz w:val="26"/>
                <w:szCs w:val="26"/>
                <w:rtl/>
              </w:rPr>
            </w:pPr>
            <w:r w:rsidRPr="00EE322A">
              <w:rPr>
                <w:rFonts w:ascii="Arial" w:hAnsi="Arial"/>
                <w:b/>
                <w:bCs/>
                <w:sz w:val="26"/>
                <w:szCs w:val="26"/>
                <w:rtl/>
              </w:rPr>
              <w:t>מדינת ישראל</w:t>
            </w:r>
            <w:r w:rsidRPr="00EE322A">
              <w:rPr>
                <w:rFonts w:ascii="Arial" w:hAnsi="Arial" w:hint="cs"/>
                <w:b/>
                <w:bCs/>
                <w:sz w:val="26"/>
                <w:szCs w:val="26"/>
                <w:rtl/>
              </w:rPr>
              <w:t xml:space="preserve"> </w:t>
            </w:r>
          </w:p>
          <w:p w14:paraId="133662EA" w14:textId="77777777" w:rsidR="005A62D7" w:rsidRPr="00EE322A" w:rsidRDefault="005A62D7" w:rsidP="005A62D7">
            <w:pPr>
              <w:suppressLineNumbers/>
            </w:pPr>
            <w:r w:rsidRPr="00EE322A">
              <w:rPr>
                <w:rFonts w:ascii="Arial" w:hAnsi="Arial"/>
                <w:rtl/>
              </w:rPr>
              <w:t>ע"י ב"כ עוה"ד</w:t>
            </w:r>
            <w:r w:rsidRPr="00EE322A">
              <w:rPr>
                <w:rFonts w:hint="cs"/>
                <w:rtl/>
              </w:rPr>
              <w:t xml:space="preserve"> קרין שטרית- לשכת תביעות פתח תקווה</w:t>
            </w:r>
          </w:p>
          <w:p w14:paraId="287D5B30" w14:textId="77777777" w:rsidR="005A62D7" w:rsidRPr="00EE322A" w:rsidRDefault="005A62D7" w:rsidP="0019542D">
            <w:pPr>
              <w:rPr>
                <w:rFonts w:ascii="David" w:hAnsi="David"/>
                <w:sz w:val="26"/>
                <w:szCs w:val="26"/>
              </w:rPr>
            </w:pPr>
          </w:p>
        </w:tc>
      </w:tr>
      <w:bookmarkEnd w:id="1"/>
      <w:bookmarkEnd w:id="2"/>
      <w:tr w:rsidR="005A62D7" w:rsidRPr="00EE322A" w14:paraId="3EFD4BC3" w14:textId="77777777" w:rsidTr="005A62D7">
        <w:trPr>
          <w:trHeight w:val="355"/>
          <w:jc w:val="center"/>
        </w:trPr>
        <w:tc>
          <w:tcPr>
            <w:tcW w:w="923" w:type="dxa"/>
            <w:tcBorders>
              <w:top w:val="nil"/>
              <w:left w:val="nil"/>
              <w:bottom w:val="nil"/>
              <w:right w:val="nil"/>
            </w:tcBorders>
            <w:shd w:val="clear" w:color="auto" w:fill="auto"/>
          </w:tcPr>
          <w:p w14:paraId="256F150C" w14:textId="77777777" w:rsidR="005A62D7" w:rsidRPr="00EE322A" w:rsidRDefault="005A62D7" w:rsidP="005A62D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1872B2D" w14:textId="77777777" w:rsidR="005A62D7" w:rsidRPr="00EE322A" w:rsidRDefault="005A62D7" w:rsidP="005A62D7">
            <w:pPr>
              <w:jc w:val="center"/>
              <w:rPr>
                <w:rFonts w:ascii="David" w:hAnsi="David"/>
                <w:b/>
                <w:bCs/>
                <w:sz w:val="26"/>
                <w:szCs w:val="26"/>
                <w:rtl/>
              </w:rPr>
            </w:pPr>
          </w:p>
          <w:p w14:paraId="29903192" w14:textId="77777777" w:rsidR="005A62D7" w:rsidRPr="00EE322A" w:rsidRDefault="005A62D7" w:rsidP="005A62D7">
            <w:pPr>
              <w:jc w:val="center"/>
              <w:rPr>
                <w:rFonts w:ascii="David" w:hAnsi="David"/>
                <w:b/>
                <w:bCs/>
                <w:sz w:val="26"/>
                <w:szCs w:val="26"/>
                <w:rtl/>
              </w:rPr>
            </w:pPr>
            <w:r w:rsidRPr="00EE322A">
              <w:rPr>
                <w:rFonts w:ascii="David" w:hAnsi="David"/>
                <w:b/>
                <w:bCs/>
                <w:sz w:val="26"/>
                <w:szCs w:val="26"/>
                <w:rtl/>
              </w:rPr>
              <w:t>נגד</w:t>
            </w:r>
          </w:p>
          <w:p w14:paraId="1BCA67D0" w14:textId="77777777" w:rsidR="005A62D7" w:rsidRPr="00EE322A" w:rsidRDefault="005A62D7" w:rsidP="005A62D7">
            <w:pPr>
              <w:jc w:val="both"/>
              <w:rPr>
                <w:rFonts w:ascii="David" w:hAnsi="David"/>
                <w:sz w:val="26"/>
                <w:szCs w:val="26"/>
              </w:rPr>
            </w:pPr>
          </w:p>
        </w:tc>
      </w:tr>
      <w:tr w:rsidR="005A62D7" w:rsidRPr="00EE322A" w14:paraId="1CC6A6C7" w14:textId="77777777" w:rsidTr="005A62D7">
        <w:trPr>
          <w:trHeight w:val="355"/>
          <w:jc w:val="center"/>
        </w:trPr>
        <w:tc>
          <w:tcPr>
            <w:tcW w:w="923" w:type="dxa"/>
            <w:tcBorders>
              <w:top w:val="nil"/>
              <w:left w:val="nil"/>
              <w:bottom w:val="nil"/>
              <w:right w:val="nil"/>
            </w:tcBorders>
            <w:shd w:val="clear" w:color="auto" w:fill="auto"/>
          </w:tcPr>
          <w:p w14:paraId="16505055" w14:textId="77777777" w:rsidR="005A62D7" w:rsidRPr="00EE322A" w:rsidRDefault="005A62D7" w:rsidP="0019542D">
            <w:pPr>
              <w:rPr>
                <w:rFonts w:ascii="David" w:hAnsi="David"/>
                <w:sz w:val="26"/>
                <w:szCs w:val="26"/>
                <w:rtl/>
              </w:rPr>
            </w:pPr>
          </w:p>
        </w:tc>
        <w:tc>
          <w:tcPr>
            <w:tcW w:w="3219" w:type="dxa"/>
            <w:tcBorders>
              <w:top w:val="nil"/>
              <w:left w:val="nil"/>
              <w:bottom w:val="nil"/>
              <w:right w:val="nil"/>
            </w:tcBorders>
            <w:shd w:val="clear" w:color="auto" w:fill="auto"/>
          </w:tcPr>
          <w:p w14:paraId="22269436" w14:textId="77777777" w:rsidR="005A62D7" w:rsidRPr="00EE322A" w:rsidRDefault="005A62D7" w:rsidP="0019542D">
            <w:pPr>
              <w:rPr>
                <w:rFonts w:ascii="Arial" w:hAnsi="Arial"/>
                <w:b/>
                <w:bCs/>
                <w:sz w:val="26"/>
                <w:szCs w:val="26"/>
                <w:rtl/>
              </w:rPr>
            </w:pPr>
            <w:r w:rsidRPr="00EE322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D10B276" w14:textId="77777777" w:rsidR="005A62D7" w:rsidRPr="00EE322A" w:rsidRDefault="005A62D7" w:rsidP="005A62D7">
            <w:pPr>
              <w:suppressLineNumbers/>
              <w:rPr>
                <w:rFonts w:ascii="Arial" w:hAnsi="Arial"/>
                <w:b/>
                <w:bCs/>
                <w:sz w:val="26"/>
                <w:szCs w:val="26"/>
                <w:rtl/>
              </w:rPr>
            </w:pPr>
            <w:r w:rsidRPr="00EE322A">
              <w:rPr>
                <w:rFonts w:ascii="Arial" w:hAnsi="Arial"/>
                <w:b/>
                <w:bCs/>
                <w:sz w:val="26"/>
                <w:szCs w:val="26"/>
                <w:rtl/>
              </w:rPr>
              <w:t>שמואל שקד</w:t>
            </w:r>
            <w:r w:rsidRPr="00EE322A">
              <w:rPr>
                <w:rFonts w:ascii="Arial" w:hAnsi="Arial" w:hint="cs"/>
                <w:b/>
                <w:bCs/>
                <w:sz w:val="26"/>
                <w:szCs w:val="26"/>
                <w:rtl/>
              </w:rPr>
              <w:t xml:space="preserve"> </w:t>
            </w:r>
          </w:p>
          <w:p w14:paraId="449B2059" w14:textId="77777777" w:rsidR="005A62D7" w:rsidRPr="00EE322A" w:rsidRDefault="005A62D7" w:rsidP="005A62D7">
            <w:pPr>
              <w:suppressLineNumbers/>
            </w:pPr>
            <w:r w:rsidRPr="00EE322A">
              <w:rPr>
                <w:rFonts w:ascii="Arial" w:hAnsi="Arial"/>
                <w:rtl/>
              </w:rPr>
              <w:t>ע"י ב"כ עוה"ד</w:t>
            </w:r>
            <w:r w:rsidRPr="00EE322A">
              <w:rPr>
                <w:rFonts w:hint="cs"/>
                <w:rtl/>
              </w:rPr>
              <w:t xml:space="preserve"> ירון פורר</w:t>
            </w:r>
          </w:p>
          <w:p w14:paraId="0E34DB1D" w14:textId="77777777" w:rsidR="005A62D7" w:rsidRPr="00EE322A" w:rsidRDefault="005A62D7" w:rsidP="0019542D">
            <w:pPr>
              <w:rPr>
                <w:rFonts w:ascii="David" w:hAnsi="David"/>
                <w:sz w:val="26"/>
                <w:szCs w:val="26"/>
              </w:rPr>
            </w:pPr>
          </w:p>
        </w:tc>
      </w:tr>
    </w:tbl>
    <w:p w14:paraId="0BF8DF76" w14:textId="77777777" w:rsidR="00E7045F" w:rsidRDefault="00E7045F" w:rsidP="00EE322A">
      <w:pPr>
        <w:rPr>
          <w:sz w:val="26"/>
          <w:szCs w:val="26"/>
          <w:rtl/>
        </w:rPr>
      </w:pPr>
    </w:p>
    <w:p w14:paraId="65A16A10" w14:textId="77777777" w:rsidR="00E7045F" w:rsidRPr="00E7045F" w:rsidRDefault="00E7045F" w:rsidP="00E7045F">
      <w:pPr>
        <w:spacing w:after="120" w:line="240" w:lineRule="exact"/>
        <w:ind w:left="283" w:hanging="283"/>
        <w:jc w:val="both"/>
        <w:rPr>
          <w:rFonts w:ascii="FrankRuehl" w:hAnsi="FrankRuehl" w:cs="FrankRuehl"/>
          <w:rtl/>
        </w:rPr>
      </w:pPr>
    </w:p>
    <w:p w14:paraId="7C6ECA7D" w14:textId="77777777" w:rsidR="00E300F9" w:rsidRPr="00E300F9" w:rsidRDefault="00E300F9" w:rsidP="00E300F9">
      <w:pPr>
        <w:spacing w:before="120" w:after="120" w:line="240" w:lineRule="exact"/>
        <w:ind w:left="283" w:hanging="283"/>
        <w:jc w:val="both"/>
        <w:rPr>
          <w:rFonts w:ascii="FrankRuehl" w:hAnsi="FrankRuehl" w:cs="FrankRuehl"/>
          <w:rtl/>
        </w:rPr>
      </w:pPr>
    </w:p>
    <w:p w14:paraId="415B2614" w14:textId="77777777" w:rsidR="003278E6" w:rsidRDefault="003278E6" w:rsidP="003278E6">
      <w:pPr>
        <w:rPr>
          <w:sz w:val="26"/>
          <w:szCs w:val="26"/>
          <w:rtl/>
        </w:rPr>
      </w:pPr>
      <w:bookmarkStart w:id="3" w:name="LawTable"/>
      <w:bookmarkEnd w:id="3"/>
    </w:p>
    <w:p w14:paraId="60D0B317" w14:textId="77777777" w:rsidR="003278E6" w:rsidRPr="003278E6" w:rsidRDefault="003278E6" w:rsidP="003278E6">
      <w:pPr>
        <w:spacing w:before="120" w:after="120" w:line="240" w:lineRule="exact"/>
        <w:ind w:left="283" w:hanging="283"/>
        <w:jc w:val="both"/>
        <w:rPr>
          <w:rFonts w:ascii="FrankRuehl" w:hAnsi="FrankRuehl" w:cs="FrankRuehl"/>
          <w:rtl/>
        </w:rPr>
      </w:pPr>
    </w:p>
    <w:p w14:paraId="417373CA" w14:textId="77777777" w:rsidR="003278E6" w:rsidRPr="003278E6" w:rsidRDefault="003278E6" w:rsidP="003278E6">
      <w:pPr>
        <w:spacing w:before="120" w:after="120" w:line="240" w:lineRule="exact"/>
        <w:ind w:left="283" w:hanging="283"/>
        <w:jc w:val="both"/>
        <w:rPr>
          <w:rFonts w:ascii="FrankRuehl" w:hAnsi="FrankRuehl" w:cs="FrankRuehl"/>
          <w:rtl/>
        </w:rPr>
      </w:pPr>
    </w:p>
    <w:p w14:paraId="052DDE95" w14:textId="77777777" w:rsidR="003278E6" w:rsidRPr="003278E6" w:rsidRDefault="003278E6" w:rsidP="003278E6">
      <w:pPr>
        <w:spacing w:before="120" w:after="120" w:line="240" w:lineRule="exact"/>
        <w:ind w:left="283" w:hanging="283"/>
        <w:jc w:val="both"/>
        <w:rPr>
          <w:rFonts w:ascii="FrankRuehl" w:hAnsi="FrankRuehl" w:cs="FrankRuehl"/>
          <w:rtl/>
        </w:rPr>
      </w:pPr>
      <w:r w:rsidRPr="003278E6">
        <w:rPr>
          <w:rFonts w:ascii="FrankRuehl" w:hAnsi="FrankRuehl" w:cs="FrankRuehl"/>
          <w:rtl/>
        </w:rPr>
        <w:t xml:space="preserve">חקיקה שאוזכרה: </w:t>
      </w:r>
    </w:p>
    <w:p w14:paraId="4BC0B792" w14:textId="77777777" w:rsidR="003278E6" w:rsidRPr="003278E6" w:rsidRDefault="003278E6" w:rsidP="003278E6">
      <w:pPr>
        <w:spacing w:before="120" w:after="120" w:line="240" w:lineRule="exact"/>
        <w:ind w:left="283" w:hanging="283"/>
        <w:jc w:val="both"/>
        <w:rPr>
          <w:rFonts w:ascii="FrankRuehl" w:hAnsi="FrankRuehl" w:cs="FrankRuehl"/>
          <w:rtl/>
        </w:rPr>
      </w:pPr>
      <w:hyperlink r:id="rId7" w:history="1">
        <w:r w:rsidRPr="003278E6">
          <w:rPr>
            <w:rFonts w:ascii="FrankRuehl" w:hAnsi="FrankRuehl" w:cs="FrankRuehl"/>
            <w:color w:val="0000FF"/>
            <w:rtl/>
          </w:rPr>
          <w:t>חוק העונשין, תשל"ז-1977</w:t>
        </w:r>
      </w:hyperlink>
      <w:r w:rsidRPr="003278E6">
        <w:rPr>
          <w:rFonts w:ascii="FrankRuehl" w:hAnsi="FrankRuehl" w:cs="FrankRuehl"/>
          <w:rtl/>
        </w:rPr>
        <w:t xml:space="preserve">: סע'  </w:t>
      </w:r>
      <w:hyperlink r:id="rId8" w:history="1">
        <w:r w:rsidRPr="003278E6">
          <w:rPr>
            <w:rFonts w:ascii="FrankRuehl" w:hAnsi="FrankRuehl" w:cs="FrankRuehl"/>
            <w:color w:val="0000FF"/>
            <w:rtl/>
          </w:rPr>
          <w:t>29.א</w:t>
        </w:r>
      </w:hyperlink>
      <w:r w:rsidRPr="003278E6">
        <w:rPr>
          <w:rFonts w:ascii="FrankRuehl" w:hAnsi="FrankRuehl" w:cs="FrankRuehl"/>
          <w:rtl/>
        </w:rPr>
        <w:t xml:space="preserve">, </w:t>
      </w:r>
      <w:hyperlink r:id="rId9" w:history="1">
        <w:r w:rsidRPr="003278E6">
          <w:rPr>
            <w:rFonts w:ascii="FrankRuehl" w:hAnsi="FrankRuehl" w:cs="FrankRuehl"/>
            <w:color w:val="0000FF"/>
            <w:rtl/>
          </w:rPr>
          <w:t>31</w:t>
        </w:r>
      </w:hyperlink>
      <w:r w:rsidRPr="003278E6">
        <w:rPr>
          <w:rFonts w:ascii="FrankRuehl" w:hAnsi="FrankRuehl" w:cs="FrankRuehl"/>
          <w:rtl/>
        </w:rPr>
        <w:t xml:space="preserve">, </w:t>
      </w:r>
      <w:hyperlink r:id="rId10" w:history="1">
        <w:r w:rsidRPr="003278E6">
          <w:rPr>
            <w:rFonts w:ascii="FrankRuehl" w:hAnsi="FrankRuehl" w:cs="FrankRuehl"/>
            <w:color w:val="0000FF"/>
            <w:rtl/>
          </w:rPr>
          <w:t>40 ד (א)</w:t>
        </w:r>
      </w:hyperlink>
      <w:r w:rsidRPr="003278E6">
        <w:rPr>
          <w:rFonts w:ascii="FrankRuehl" w:hAnsi="FrankRuehl" w:cs="FrankRuehl"/>
          <w:rtl/>
        </w:rPr>
        <w:t xml:space="preserve">, </w:t>
      </w:r>
      <w:hyperlink r:id="rId11" w:history="1">
        <w:r w:rsidRPr="003278E6">
          <w:rPr>
            <w:rFonts w:ascii="FrankRuehl" w:hAnsi="FrankRuehl" w:cs="FrankRuehl"/>
            <w:color w:val="0000FF"/>
            <w:rtl/>
          </w:rPr>
          <w:t>384</w:t>
        </w:r>
      </w:hyperlink>
      <w:r w:rsidRPr="003278E6">
        <w:rPr>
          <w:rFonts w:ascii="FrankRuehl" w:hAnsi="FrankRuehl" w:cs="FrankRuehl"/>
          <w:rtl/>
        </w:rPr>
        <w:t xml:space="preserve">, </w:t>
      </w:r>
      <w:hyperlink r:id="rId12" w:history="1">
        <w:r w:rsidRPr="003278E6">
          <w:rPr>
            <w:rFonts w:ascii="FrankRuehl" w:hAnsi="FrankRuehl" w:cs="FrankRuehl"/>
            <w:color w:val="0000FF"/>
            <w:rtl/>
          </w:rPr>
          <w:t>384.א.</w:t>
        </w:r>
      </w:hyperlink>
      <w:r w:rsidRPr="003278E6">
        <w:rPr>
          <w:rFonts w:ascii="FrankRuehl" w:hAnsi="FrankRuehl" w:cs="FrankRuehl"/>
          <w:rtl/>
        </w:rPr>
        <w:t xml:space="preserve">, </w:t>
      </w:r>
      <w:hyperlink r:id="rId13" w:history="1">
        <w:r w:rsidRPr="003278E6">
          <w:rPr>
            <w:rFonts w:ascii="FrankRuehl" w:hAnsi="FrankRuehl" w:cs="FrankRuehl"/>
            <w:color w:val="0000FF"/>
            <w:rtl/>
          </w:rPr>
          <w:t>406.ב.</w:t>
        </w:r>
      </w:hyperlink>
      <w:r w:rsidRPr="003278E6">
        <w:rPr>
          <w:rFonts w:ascii="FrankRuehl" w:hAnsi="FrankRuehl" w:cs="FrankRuehl"/>
          <w:rtl/>
        </w:rPr>
        <w:t xml:space="preserve">, </w:t>
      </w:r>
      <w:hyperlink r:id="rId14" w:history="1">
        <w:r w:rsidRPr="003278E6">
          <w:rPr>
            <w:rFonts w:ascii="FrankRuehl" w:hAnsi="FrankRuehl" w:cs="FrankRuehl"/>
            <w:color w:val="0000FF"/>
            <w:rtl/>
          </w:rPr>
          <w:t>409</w:t>
        </w:r>
      </w:hyperlink>
      <w:r w:rsidRPr="003278E6">
        <w:rPr>
          <w:rFonts w:ascii="FrankRuehl" w:hAnsi="FrankRuehl" w:cs="FrankRuehl"/>
          <w:rtl/>
        </w:rPr>
        <w:t xml:space="preserve">, </w:t>
      </w:r>
      <w:hyperlink r:id="rId15" w:history="1">
        <w:r w:rsidRPr="003278E6">
          <w:rPr>
            <w:rFonts w:ascii="FrankRuehl" w:hAnsi="FrankRuehl" w:cs="FrankRuehl"/>
            <w:color w:val="0000FF"/>
            <w:rtl/>
          </w:rPr>
          <w:t>413</w:t>
        </w:r>
      </w:hyperlink>
      <w:r w:rsidRPr="003278E6">
        <w:rPr>
          <w:rFonts w:ascii="FrankRuehl" w:hAnsi="FrankRuehl" w:cs="FrankRuehl"/>
          <w:rtl/>
        </w:rPr>
        <w:t xml:space="preserve">, </w:t>
      </w:r>
      <w:hyperlink r:id="rId16" w:history="1">
        <w:r w:rsidRPr="003278E6">
          <w:rPr>
            <w:rFonts w:ascii="FrankRuehl" w:hAnsi="FrankRuehl" w:cs="FrankRuehl"/>
            <w:color w:val="0000FF"/>
            <w:rtl/>
          </w:rPr>
          <w:t>452</w:t>
        </w:r>
      </w:hyperlink>
      <w:r w:rsidRPr="003278E6">
        <w:rPr>
          <w:rFonts w:ascii="FrankRuehl" w:hAnsi="FrankRuehl" w:cs="FrankRuehl"/>
          <w:rtl/>
        </w:rPr>
        <w:t xml:space="preserve">, </w:t>
      </w:r>
      <w:hyperlink r:id="rId17" w:history="1">
        <w:r w:rsidRPr="003278E6">
          <w:rPr>
            <w:rFonts w:ascii="FrankRuehl" w:hAnsi="FrankRuehl" w:cs="FrankRuehl"/>
            <w:color w:val="0000FF"/>
            <w:rtl/>
          </w:rPr>
          <w:t>499(א)(1)</w:t>
        </w:r>
      </w:hyperlink>
    </w:p>
    <w:p w14:paraId="3B4F33C8" w14:textId="77777777" w:rsidR="003278E6" w:rsidRPr="003278E6" w:rsidRDefault="003278E6" w:rsidP="003278E6">
      <w:pPr>
        <w:spacing w:before="120" w:after="120" w:line="240" w:lineRule="exact"/>
        <w:ind w:left="283" w:hanging="283"/>
        <w:jc w:val="both"/>
        <w:rPr>
          <w:rFonts w:ascii="FrankRuehl" w:hAnsi="FrankRuehl" w:cs="FrankRuehl"/>
          <w:rtl/>
        </w:rPr>
      </w:pPr>
      <w:hyperlink r:id="rId18" w:history="1">
        <w:r w:rsidRPr="003278E6">
          <w:rPr>
            <w:rFonts w:ascii="FrankRuehl" w:hAnsi="FrankRuehl" w:cs="FrankRuehl"/>
            <w:color w:val="0000FF"/>
            <w:rtl/>
          </w:rPr>
          <w:t>פקודת הסמים המסוכנים [נוסח חדש], תשל"ג-1973</w:t>
        </w:r>
      </w:hyperlink>
      <w:r w:rsidRPr="003278E6">
        <w:rPr>
          <w:rFonts w:ascii="FrankRuehl" w:hAnsi="FrankRuehl" w:cs="FrankRuehl"/>
          <w:rtl/>
        </w:rPr>
        <w:t xml:space="preserve">: סע'  </w:t>
      </w:r>
      <w:hyperlink r:id="rId19" w:history="1">
        <w:r w:rsidRPr="003278E6">
          <w:rPr>
            <w:rFonts w:ascii="FrankRuehl" w:hAnsi="FrankRuehl" w:cs="FrankRuehl"/>
            <w:color w:val="0000FF"/>
            <w:rtl/>
          </w:rPr>
          <w:t>7.א.</w:t>
        </w:r>
      </w:hyperlink>
      <w:r w:rsidRPr="003278E6">
        <w:rPr>
          <w:rFonts w:ascii="FrankRuehl" w:hAnsi="FrankRuehl" w:cs="FrankRuehl"/>
          <w:rtl/>
        </w:rPr>
        <w:t xml:space="preserve">, </w:t>
      </w:r>
      <w:hyperlink r:id="rId20" w:history="1">
        <w:r w:rsidRPr="003278E6">
          <w:rPr>
            <w:rFonts w:ascii="FrankRuehl" w:hAnsi="FrankRuehl" w:cs="FrankRuehl"/>
            <w:color w:val="0000FF"/>
            <w:rtl/>
          </w:rPr>
          <w:t>7.ג</w:t>
        </w:r>
      </w:hyperlink>
    </w:p>
    <w:p w14:paraId="68824E07" w14:textId="77777777" w:rsidR="003278E6" w:rsidRPr="003278E6" w:rsidRDefault="003278E6" w:rsidP="003278E6">
      <w:pPr>
        <w:spacing w:before="120" w:after="120" w:line="240" w:lineRule="exact"/>
        <w:ind w:left="283" w:hanging="283"/>
        <w:jc w:val="both"/>
        <w:rPr>
          <w:rFonts w:ascii="FrankRuehl" w:hAnsi="FrankRuehl" w:cs="FrankRuehl"/>
          <w:rtl/>
        </w:rPr>
      </w:pPr>
      <w:hyperlink r:id="rId21" w:history="1">
        <w:r w:rsidRPr="003278E6">
          <w:rPr>
            <w:rFonts w:ascii="FrankRuehl" w:hAnsi="FrankRuehl" w:cs="FrankRuehl"/>
            <w:color w:val="0000FF"/>
            <w:rtl/>
          </w:rPr>
          <w:t>פקודת המבחן [נוסח חדש], תשכ"ט-1969</w:t>
        </w:r>
      </w:hyperlink>
    </w:p>
    <w:p w14:paraId="69F86298" w14:textId="77777777" w:rsidR="003278E6" w:rsidRPr="003278E6" w:rsidRDefault="003278E6" w:rsidP="003278E6">
      <w:pPr>
        <w:rPr>
          <w:sz w:val="26"/>
          <w:szCs w:val="26"/>
          <w:rtl/>
        </w:rPr>
      </w:pPr>
      <w:bookmarkStart w:id="4" w:name="LawTable_End"/>
      <w:bookmarkEnd w:id="4"/>
    </w:p>
    <w:p w14:paraId="78EB4B50" w14:textId="77777777" w:rsidR="005A62D7" w:rsidRPr="00E300F9" w:rsidRDefault="005A62D7" w:rsidP="00E300F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62D7" w14:paraId="25F8F6D7" w14:textId="77777777" w:rsidTr="005A62D7">
        <w:trPr>
          <w:trHeight w:val="355"/>
          <w:jc w:val="center"/>
        </w:trPr>
        <w:tc>
          <w:tcPr>
            <w:tcW w:w="8820" w:type="dxa"/>
            <w:tcBorders>
              <w:top w:val="nil"/>
              <w:left w:val="nil"/>
              <w:bottom w:val="nil"/>
              <w:right w:val="nil"/>
            </w:tcBorders>
            <w:shd w:val="clear" w:color="auto" w:fill="auto"/>
          </w:tcPr>
          <w:p w14:paraId="75B5440E" w14:textId="77777777" w:rsidR="00EE322A" w:rsidRPr="00EE322A" w:rsidRDefault="00EE322A" w:rsidP="00EE322A">
            <w:pPr>
              <w:jc w:val="center"/>
              <w:rPr>
                <w:rFonts w:ascii="David" w:hAnsi="David"/>
                <w:b/>
                <w:bCs/>
                <w:sz w:val="32"/>
                <w:szCs w:val="32"/>
                <w:u w:val="single"/>
                <w:rtl/>
              </w:rPr>
            </w:pPr>
            <w:bookmarkStart w:id="5" w:name="PsakDin" w:colFirst="0" w:colLast="0"/>
            <w:bookmarkEnd w:id="0"/>
            <w:r w:rsidRPr="00EE322A">
              <w:rPr>
                <w:rFonts w:ascii="David" w:hAnsi="David"/>
                <w:b/>
                <w:bCs/>
                <w:sz w:val="32"/>
                <w:szCs w:val="32"/>
                <w:u w:val="single"/>
                <w:rtl/>
              </w:rPr>
              <w:t>גזר דין</w:t>
            </w:r>
          </w:p>
          <w:p w14:paraId="4600C100" w14:textId="77777777" w:rsidR="005A62D7" w:rsidRPr="00EE322A" w:rsidRDefault="005A62D7" w:rsidP="00EE322A">
            <w:pPr>
              <w:jc w:val="center"/>
              <w:rPr>
                <w:rFonts w:ascii="David" w:hAnsi="David"/>
                <w:bCs/>
                <w:sz w:val="32"/>
                <w:szCs w:val="32"/>
                <w:u w:val="single"/>
                <w:rtl/>
              </w:rPr>
            </w:pPr>
          </w:p>
        </w:tc>
      </w:tr>
      <w:bookmarkEnd w:id="5"/>
    </w:tbl>
    <w:p w14:paraId="5B2267C7" w14:textId="77777777" w:rsidR="005A62D7" w:rsidRPr="000F2247" w:rsidRDefault="005A62D7" w:rsidP="005A62D7">
      <w:pPr>
        <w:rPr>
          <w:rFonts w:ascii="Arial" w:hAnsi="Arial"/>
          <w:b/>
          <w:bCs/>
          <w:sz w:val="26"/>
          <w:szCs w:val="26"/>
          <w:rtl/>
        </w:rPr>
      </w:pPr>
    </w:p>
    <w:p w14:paraId="51F416AF" w14:textId="77777777" w:rsidR="005A62D7" w:rsidRPr="00445BD1" w:rsidRDefault="005A62D7" w:rsidP="005A62D7">
      <w:pPr>
        <w:spacing w:after="160" w:line="480" w:lineRule="auto"/>
        <w:jc w:val="both"/>
        <w:rPr>
          <w:rFonts w:ascii="David" w:eastAsia="Calibri" w:hAnsi="David"/>
          <w:b/>
          <w:bCs/>
          <w:u w:val="single"/>
        </w:rPr>
      </w:pPr>
      <w:r w:rsidRPr="00445BD1">
        <w:rPr>
          <w:rFonts w:ascii="David" w:eastAsia="Calibri" w:hAnsi="David"/>
          <w:b/>
          <w:bCs/>
          <w:u w:val="single"/>
          <w:rtl/>
        </w:rPr>
        <w:t>רקע</w:t>
      </w:r>
    </w:p>
    <w:p w14:paraId="1C1705CD" w14:textId="77777777" w:rsidR="005A62D7" w:rsidRPr="00445BD1" w:rsidRDefault="005A62D7" w:rsidP="005A62D7">
      <w:pPr>
        <w:numPr>
          <w:ilvl w:val="0"/>
          <w:numId w:val="1"/>
        </w:numPr>
        <w:spacing w:after="160" w:line="480" w:lineRule="auto"/>
        <w:contextualSpacing/>
        <w:jc w:val="both"/>
        <w:rPr>
          <w:rFonts w:ascii="David" w:eastAsia="Calibri" w:hAnsi="David"/>
          <w:rtl/>
        </w:rPr>
      </w:pPr>
      <w:bookmarkStart w:id="6" w:name="ABSTRACT_START"/>
      <w:bookmarkEnd w:id="6"/>
      <w:r w:rsidRPr="00445BD1">
        <w:rPr>
          <w:rFonts w:ascii="David" w:eastAsia="Calibri" w:hAnsi="David"/>
          <w:rtl/>
        </w:rPr>
        <w:t xml:space="preserve">בהתאם להודאתו בעובדות כתב האישום המתוקן, הורשע הנאשם בביצוע עבירות של קשירת קשר לביצוע פשע בהתאם </w:t>
      </w:r>
      <w:hyperlink r:id="rId22" w:history="1">
        <w:r w:rsidR="00E7045F" w:rsidRPr="00E7045F">
          <w:rPr>
            <w:rStyle w:val="Hyperlink"/>
            <w:rFonts w:ascii="David" w:eastAsia="Calibri" w:hAnsi="David"/>
            <w:rtl/>
          </w:rPr>
          <w:t>לסעיף 499(א)(1)</w:t>
        </w:r>
      </w:hyperlink>
      <w:r w:rsidRPr="00445BD1">
        <w:rPr>
          <w:rFonts w:ascii="David" w:eastAsia="Calibri" w:hAnsi="David"/>
          <w:rtl/>
        </w:rPr>
        <w:t xml:space="preserve"> ל</w:t>
      </w:r>
      <w:hyperlink r:id="rId23" w:history="1">
        <w:r w:rsidR="00EE322A" w:rsidRPr="00EE322A">
          <w:rPr>
            <w:rFonts w:ascii="David" w:eastAsia="Calibri" w:hAnsi="David"/>
            <w:color w:val="0000FF"/>
            <w:u w:val="single"/>
            <w:rtl/>
          </w:rPr>
          <w:t>חוק העונשין</w:t>
        </w:r>
      </w:hyperlink>
      <w:r w:rsidRPr="00445BD1">
        <w:rPr>
          <w:rFonts w:ascii="David" w:eastAsia="Calibri" w:hAnsi="David"/>
          <w:rtl/>
        </w:rPr>
        <w:t xml:space="preserve">, התשל"ז -1977 (להלן </w:t>
      </w:r>
      <w:r w:rsidRPr="00445BD1">
        <w:rPr>
          <w:rFonts w:ascii="David" w:eastAsia="Calibri" w:hAnsi="David"/>
          <w:b/>
          <w:bCs/>
          <w:rtl/>
        </w:rPr>
        <w:t>החוק</w:t>
      </w:r>
      <w:r w:rsidRPr="00445BD1">
        <w:rPr>
          <w:rFonts w:ascii="David" w:eastAsia="Calibri" w:hAnsi="David"/>
          <w:rtl/>
        </w:rPr>
        <w:t xml:space="preserve">), החזקת נכס חשוד כגנוב בהתאם </w:t>
      </w:r>
      <w:hyperlink r:id="rId24" w:history="1">
        <w:r w:rsidR="00E7045F" w:rsidRPr="00E7045F">
          <w:rPr>
            <w:rStyle w:val="Hyperlink"/>
            <w:rFonts w:ascii="David" w:eastAsia="Calibri" w:hAnsi="David"/>
            <w:rtl/>
          </w:rPr>
          <w:t>לסעיף 413</w:t>
        </w:r>
      </w:hyperlink>
      <w:r w:rsidRPr="00445BD1">
        <w:rPr>
          <w:rFonts w:ascii="David" w:eastAsia="Calibri" w:hAnsi="David"/>
          <w:rtl/>
        </w:rPr>
        <w:t xml:space="preserve"> לחוק, החזקת מכשירי פריצה בהתאם </w:t>
      </w:r>
      <w:hyperlink r:id="rId25" w:history="1">
        <w:r w:rsidR="00E7045F" w:rsidRPr="00E7045F">
          <w:rPr>
            <w:rStyle w:val="Hyperlink"/>
            <w:rFonts w:ascii="David" w:eastAsia="Calibri" w:hAnsi="David"/>
            <w:rtl/>
          </w:rPr>
          <w:t>לסעיף 409</w:t>
        </w:r>
      </w:hyperlink>
      <w:r w:rsidRPr="00445BD1">
        <w:rPr>
          <w:rFonts w:ascii="David" w:eastAsia="Calibri" w:hAnsi="David"/>
          <w:rtl/>
        </w:rPr>
        <w:t xml:space="preserve"> לחוק (שתי עבירות), החזקת סמים לצריכה עצמית בהתאם </w:t>
      </w:r>
      <w:hyperlink r:id="rId26" w:history="1">
        <w:r w:rsidR="00E7045F" w:rsidRPr="00E7045F">
          <w:rPr>
            <w:rStyle w:val="Hyperlink"/>
            <w:rFonts w:ascii="David" w:eastAsia="Calibri" w:hAnsi="David"/>
            <w:rtl/>
          </w:rPr>
          <w:t>לסעיף 7(א)+7(ג)</w:t>
        </w:r>
      </w:hyperlink>
      <w:r w:rsidRPr="00445BD1">
        <w:rPr>
          <w:rFonts w:ascii="David" w:eastAsia="Calibri" w:hAnsi="David"/>
          <w:rtl/>
        </w:rPr>
        <w:t xml:space="preserve"> סיפא ל</w:t>
      </w:r>
      <w:hyperlink r:id="rId27" w:history="1">
        <w:r w:rsidR="00EE322A" w:rsidRPr="00EE322A">
          <w:rPr>
            <w:rFonts w:ascii="David" w:eastAsia="Calibri" w:hAnsi="David"/>
            <w:color w:val="0000FF"/>
            <w:u w:val="single"/>
            <w:rtl/>
          </w:rPr>
          <w:t>פקודת הסמים המסוכנים</w:t>
        </w:r>
      </w:hyperlink>
      <w:r w:rsidRPr="00445BD1">
        <w:rPr>
          <w:rFonts w:ascii="David" w:eastAsia="Calibri" w:hAnsi="David"/>
          <w:rtl/>
        </w:rPr>
        <w:t xml:space="preserve"> (נוסח חדש), תשל"ג-1973, התפרצות למגורים במטרה </w:t>
      </w:r>
      <w:r w:rsidRPr="00445BD1">
        <w:rPr>
          <w:rFonts w:ascii="David" w:eastAsia="Calibri" w:hAnsi="David"/>
          <w:rtl/>
        </w:rPr>
        <w:lastRenderedPageBreak/>
        <w:t xml:space="preserve">לבצע עבירה בצוותא בהתאם לסעיפים </w:t>
      </w:r>
      <w:hyperlink r:id="rId28" w:history="1">
        <w:r w:rsidR="00E7045F" w:rsidRPr="00E7045F">
          <w:rPr>
            <w:rStyle w:val="Hyperlink"/>
            <w:rFonts w:ascii="David" w:eastAsia="Calibri" w:hAnsi="David"/>
            <w:rtl/>
          </w:rPr>
          <w:t>406(ב)+29(א)</w:t>
        </w:r>
      </w:hyperlink>
      <w:r w:rsidRPr="00445BD1">
        <w:rPr>
          <w:rFonts w:ascii="David" w:eastAsia="Calibri" w:hAnsi="David"/>
          <w:rtl/>
        </w:rPr>
        <w:t xml:space="preserve"> לחוק (שתי עבירות), גניבה בצוותא בהתאם לסעיפים </w:t>
      </w:r>
      <w:hyperlink r:id="rId29" w:history="1">
        <w:r w:rsidR="00E7045F" w:rsidRPr="00E7045F">
          <w:rPr>
            <w:rStyle w:val="Hyperlink"/>
            <w:rFonts w:ascii="David" w:eastAsia="Calibri" w:hAnsi="David"/>
            <w:rtl/>
          </w:rPr>
          <w:t>384(א)+29(א)</w:t>
        </w:r>
      </w:hyperlink>
      <w:r w:rsidRPr="00445BD1">
        <w:rPr>
          <w:rFonts w:ascii="David" w:eastAsia="Calibri" w:hAnsi="David"/>
          <w:rtl/>
        </w:rPr>
        <w:t xml:space="preserve"> לחוק</w:t>
      </w:r>
      <w:bookmarkStart w:id="7" w:name="ABSTRACT_END"/>
      <w:bookmarkEnd w:id="7"/>
      <w:r w:rsidRPr="00445BD1">
        <w:rPr>
          <w:rFonts w:ascii="David" w:eastAsia="Calibri" w:hAnsi="David"/>
          <w:rtl/>
        </w:rPr>
        <w:t xml:space="preserve">, סיוע להתפרצות למגורים לבצע עבירה בהתאם לסעיפים </w:t>
      </w:r>
      <w:hyperlink r:id="rId30" w:history="1">
        <w:r w:rsidR="00E7045F" w:rsidRPr="00E7045F">
          <w:rPr>
            <w:rStyle w:val="Hyperlink"/>
            <w:rFonts w:ascii="David" w:eastAsia="Calibri" w:hAnsi="David"/>
            <w:rtl/>
          </w:rPr>
          <w:t>406(ב)+31</w:t>
        </w:r>
      </w:hyperlink>
      <w:r w:rsidRPr="00445BD1">
        <w:rPr>
          <w:rFonts w:ascii="David" w:eastAsia="Calibri" w:hAnsi="David"/>
          <w:rtl/>
        </w:rPr>
        <w:t xml:space="preserve"> לחוק, סיוע לגניבה בהתאם לסעיפים </w:t>
      </w:r>
      <w:hyperlink r:id="rId31" w:history="1">
        <w:r w:rsidR="00E7045F" w:rsidRPr="00E7045F">
          <w:rPr>
            <w:rStyle w:val="Hyperlink"/>
            <w:rFonts w:ascii="David" w:eastAsia="Calibri" w:hAnsi="David"/>
            <w:rtl/>
          </w:rPr>
          <w:t>384 +31</w:t>
        </w:r>
      </w:hyperlink>
      <w:r w:rsidRPr="00445BD1">
        <w:rPr>
          <w:rFonts w:ascii="David" w:eastAsia="Calibri" w:hAnsi="David"/>
          <w:rtl/>
        </w:rPr>
        <w:t xml:space="preserve"> לחוק וסיוע להיזק לרכוש במזיד בהתאם </w:t>
      </w:r>
      <w:hyperlink r:id="rId32" w:history="1">
        <w:r w:rsidR="00E7045F" w:rsidRPr="00E7045F">
          <w:rPr>
            <w:rStyle w:val="Hyperlink"/>
            <w:rFonts w:ascii="David" w:eastAsia="Calibri" w:hAnsi="David"/>
            <w:rtl/>
          </w:rPr>
          <w:t>לסעיפים 452</w:t>
        </w:r>
      </w:hyperlink>
      <w:r w:rsidRPr="00445BD1">
        <w:rPr>
          <w:rFonts w:ascii="David" w:eastAsia="Calibri" w:hAnsi="David"/>
          <w:rtl/>
        </w:rPr>
        <w:t xml:space="preserve"> + </w:t>
      </w:r>
      <w:hyperlink r:id="rId33" w:history="1">
        <w:r w:rsidR="00E7045F" w:rsidRPr="00E7045F">
          <w:rPr>
            <w:rStyle w:val="Hyperlink"/>
            <w:rFonts w:ascii="David" w:eastAsia="Calibri" w:hAnsi="David"/>
            <w:rtl/>
          </w:rPr>
          <w:t>31</w:t>
        </w:r>
      </w:hyperlink>
      <w:r w:rsidRPr="00445BD1">
        <w:rPr>
          <w:rFonts w:ascii="David" w:eastAsia="Calibri" w:hAnsi="David"/>
          <w:rtl/>
        </w:rPr>
        <w:t xml:space="preserve"> לחוק. </w:t>
      </w:r>
    </w:p>
    <w:p w14:paraId="3A46553A"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 xml:space="preserve">על פי החלק הכללי בכתב האישום המתוקן, עובר לאירועים המתוארים בכתב האישום קשר הנאשם קשר עם אחר, שזהותו אינה ידועה למאשימה במטרה לפרוץ לדירות בצוותא חדא ולגנוב רכוש והכל כמפורט בכתב האישום. במסגרת הקשר, הסיע הנאשם את האחר לדירות שונות, ברכבו מסוג פג'ו, בתמורה ל-1,000 ₪ עבור כל נסיעה. בהמשך נהג האחר להתפרץ לדירות בעוד הנאשם ממתין לו ברכב, בקרבת מקום ובהמשך נתן האחר לנאשם מהרכוש הגנוב ואמר לו לזרוק אותו אך הנאשם שמר אותו. </w:t>
      </w:r>
    </w:p>
    <w:p w14:paraId="37405E0C"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u w:val="single"/>
          <w:rtl/>
        </w:rPr>
        <w:t>עובדות האישום הראשון</w:t>
      </w:r>
      <w:r w:rsidRPr="00445BD1">
        <w:rPr>
          <w:rFonts w:ascii="David" w:eastAsia="Calibri" w:hAnsi="David"/>
          <w:rtl/>
        </w:rPr>
        <w:t xml:space="preserve"> - כמתואר בחלק הכללי, עובר לאירוע המתואר לעיל, קשר הנאשם קשר עם אחר בכוונה לבצע התפרצויות לדירות וגניבה. ביום 14.5.20 בשעה 12:30 או בסמוך לכך הגיעו שוטרים לביתו של הנאשם אשר ברחוב חנקין 72 בחולון על מנת לבצע חיפוש מכוח צו אשר ניתן על ידי כבוד השופטת ניצה מימון שעשוע. באותן נסיבות החזיק הנאשם בסם מסוכן מסוג קנבוס במשקל נטו נבדק של 21.11 גרם, במגירה בחדר השינה במקום וזאת מבלי שהחזיק ברישיון כדין מאת המנהל. כמו כן, החזיק הנאשם במקום בתיק גב ובו פלייר, שלוש מברגים, פטיש ושני לומים מברזל המשמשים לשם פריצה לבניין ללא הסבר סביר לכך. כמו כן,  החזיק הנאשם במקום בכסף ורכוש רב שיש עליהם חשד סביר שהם גנובים ובהם: תכשיטים רבים ובהם שרשראות צמידים, טבעות ועגילים, 39 שעוני יד מסוגים שונים. </w:t>
      </w:r>
    </w:p>
    <w:p w14:paraId="3B64D33E"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u w:val="single"/>
          <w:rtl/>
        </w:rPr>
        <w:t>עובדות האישום השני</w:t>
      </w:r>
      <w:r w:rsidRPr="00445BD1">
        <w:rPr>
          <w:rFonts w:ascii="David" w:eastAsia="Calibri" w:hAnsi="David"/>
          <w:rtl/>
        </w:rPr>
        <w:t xml:space="preserve"> - במועד הרלוונטי לאירוע, התגורר מר אייל כוכב פלנט בבית ברחוב דרך השדות 26 בכפר סירקין. ביום 12.5.20 בסמוך לשעה 09:43 הגיעו הנאשם והאחר ברכב ועצרו בסמוך לבית. באותן נסיבות יצא האחר מהרכב, בעוד הנאשם ממתין ברכב. מיד ובסמוך לכך פתח האחר את חלונות חדר הילדים והסלון ונכנס אל הבית. בהמשך, פרץ האחר כספת שהייתה מחוברת לקיר בתוך ארון במסדרון הבית ונטל מתוכה אקדח מסוג יריחו ו-11,000 ₪ במזומן. עוד באותן נסיבות נטל האחר 5 שעוני יד השייכים למתלונן ותכשיטים ובהם שרשראות וצמידים מזהב אשר שייכים לאשתו של המתלונן. </w:t>
      </w:r>
    </w:p>
    <w:p w14:paraId="2608C60B"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u w:val="single"/>
          <w:rtl/>
        </w:rPr>
        <w:lastRenderedPageBreak/>
        <w:t>עובדות האישום השלישי</w:t>
      </w:r>
      <w:r w:rsidRPr="00445BD1">
        <w:rPr>
          <w:rFonts w:ascii="David" w:eastAsia="Calibri" w:hAnsi="David"/>
          <w:rtl/>
        </w:rPr>
        <w:t xml:space="preserve"> - במועד הרלוונטי לאירוע, התגוררה גברת ענת שלמון בבית ברחוב שניר 24 ברמת השרון. ביום 7.5.20 בסמוך לשעה 11:43 הגיעו הנאשם והאחר ברכב ועצרו בסמוך לבית. באותן נסיבות יצא האחר מהרכב כשהוא מצויד בתיק ובו כלי פריצה, בעוד הנאשם ממתין ברכב. מיד ובסמוך לכך שבר האחר את צילינדר דלת הכניסה האחורית של הבית ונכנס לתוכו. באותן נסיבות פעלה אזעקה במקום והאחר עזב את הבית וכעבור זמן מה שב אליו ועקר את האזעקה ממקומה. בהמשך לכך, פתח האחר קופסת תכשיטים ריקה שהייתה בחדר השינה וכן ניסה לפתוח בכוח שתי כספות שהיו במקום, ללא הצלחה. </w:t>
      </w:r>
    </w:p>
    <w:p w14:paraId="39A269A4"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u w:val="single"/>
          <w:rtl/>
        </w:rPr>
        <w:t>עובדות האישום הרביעי</w:t>
      </w:r>
      <w:r w:rsidRPr="00445BD1">
        <w:rPr>
          <w:rFonts w:ascii="David" w:eastAsia="Calibri" w:hAnsi="David"/>
          <w:rtl/>
        </w:rPr>
        <w:t xml:space="preserve"> – במועד הרלוונטי לאירוע, התגורר מאיר בניטה בבית ברחוב עמיקם 5 בפתח תקווה. ביום 2.2.20 בסמוך לשעה 11:30 הגיעו הנאשם והאחר ברכב ועצרו בסמוך לבית. באותן נסיבות יצא האחר מהרכב, בעוד הנאשם ממתין ברכב. מיד ובסמוך לכך פתח האחר את חלון חדר השינה, נכנס אל הבית חתך את הכבלים של האזעקה ושבר אותה. עוד באותן נסיבות נטל האחר שעוני יד השייכים למתלונן, תכשיטים השייכים לאשתו של המתלונן וכסף מזומן.  </w:t>
      </w:r>
    </w:p>
    <w:p w14:paraId="26BB83A8"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 xml:space="preserve">במסגרת הסדר הטיעון הוסכם כי הנאשם יופנה לשירות המבחן לצורך קבלת תסקיר בעניינו, ולעניין העונש המאשימה הצהירה כי עמדתה היא מאסר בפועל אך הצדדים ישובו לשוחח לאחר קבלת התסקיר.  </w:t>
      </w:r>
    </w:p>
    <w:p w14:paraId="02B69E06" w14:textId="77777777" w:rsidR="005A62D7" w:rsidRPr="00445BD1" w:rsidRDefault="005A62D7" w:rsidP="005A62D7">
      <w:pPr>
        <w:spacing w:after="160" w:line="480" w:lineRule="auto"/>
        <w:jc w:val="both"/>
        <w:rPr>
          <w:rFonts w:ascii="David" w:eastAsia="Calibri" w:hAnsi="David"/>
          <w:b/>
          <w:bCs/>
          <w:u w:val="single"/>
        </w:rPr>
      </w:pPr>
      <w:r w:rsidRPr="00445BD1">
        <w:rPr>
          <w:rFonts w:ascii="David" w:eastAsia="Calibri" w:hAnsi="David"/>
          <w:b/>
          <w:bCs/>
          <w:u w:val="single"/>
          <w:rtl/>
        </w:rPr>
        <w:t xml:space="preserve">תסקירי שירות המבחן </w:t>
      </w:r>
    </w:p>
    <w:p w14:paraId="32D9056D"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 xml:space="preserve">בעניינו של הנאשם הוגשו ארבעה תסקירים. </w:t>
      </w:r>
    </w:p>
    <w:p w14:paraId="4AB1F7BF"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 xml:space="preserve">בתסקיר הראשון שהוגש מיום 28.2.22, מתואר כי הנאשם בן 41, גרוש ואב לשני ילדים, מתפרנס מניהול חנות לחומרי בניין. אין לחובתו הרשעות קודמות ולא תלויים נגדו תיקי מב"ד נוספים. בהתייחסותו לביצוע העבירות, מתאר תקופה משברית בזוגיות וחובות כלכליים. הוא מביע חרטה על התנהלותו השולית אולם ניכר כי מתקשה להעמיק ולבחון את גורמי הסיכון במצבו. שירות המבחן מעריך כי הסיכון לביצוע עבירות נוספות פחת, אך יש צורך במעורבות טיפולית על מנת שתשמר רמת הסיכון הנמוכה. לנוכח כך, העריך שירות המבחן כי יש מקום לאמץ את האפיק הטיפולי כך שיושת עליו צו מבחן, ועל מנת להימנע מרגרסיה במצבו, הומלץ להימנע מהטלת מאסר מאחורי סורג ובריח ולהטיל מאסר אשר ירוצה בדרך של עבודות שירות.   </w:t>
      </w:r>
    </w:p>
    <w:p w14:paraId="287A405E"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 xml:space="preserve">בתסקיר השני שהוגש מיום 23.6.22, עולה כי הנאשם שולב בטיפול קבוצתי, והוא מצוי בשלב ראשוני בטיפול. ניכר כי גם בעיתוי הנוכחי ממשיך לשתף פעולה ומגלה נכונות להמשיך ולבחון את משמעות התנהלותו בעת ביצוע העבירות במסגרת ההליך הטיפולי. לבסוף, שירות המבחן חזר על המלצתו מהתסקיר הקודם. </w:t>
      </w:r>
    </w:p>
    <w:p w14:paraId="750411CA"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 xml:space="preserve">בתסקיר השלישי שהוגש מיום 15.11.22, נמסר כי הנאשם המשיך להגיע לטיפול כנדרש, השלים השתתפותו בקבוצה ושב והביע בושה וחרטה על התנהלותו. במהלך תקופת הדחייה ביצע בדיקת שתן לאיתור סמים, בה נמצאו שרידים לסם מסוג קנביס. מאחר והבדיקה העידה על שימוש בסמים, המליץ שירות המבחן לדחות את מועד הדיון על מנת לאפשר לנאשם לבצע בדיקות שתן מעקביות לאיתור שרידי סמים. </w:t>
      </w:r>
    </w:p>
    <w:p w14:paraId="382B62B3"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בתסקיר הרביעי והאחרון מיום 21.12.22, מתואר כי הנאשם הוזמן לבצע 6 בדיקות שתן, לאחת מהן לא הגיע בעקבות מעורבות בתאונת דרכים וביחס ליתר נבדק כנדרש ולא נמצאו בהן שרידי סמים. לאור כך, שירות המבחן סבור כי לא קיימת נזקקות טיפולית במצבו בתחום ההתמכרויות, ושימושו האחרון בקנאביס היה חד פעמי. שירות המבחן חזר על התרשמותו, ולהערכתו מיצה את האפיק הטיפולי באופן המהווה גורם מפחית סיכון ולפיכך אין הוא רואה צורך בהמשך מעורבות טיפולית ולא בא בהמלצה טיפולית בעניינו.</w:t>
      </w:r>
    </w:p>
    <w:p w14:paraId="737651A7" w14:textId="77777777" w:rsidR="005A62D7" w:rsidRPr="00445BD1" w:rsidRDefault="005A62D7" w:rsidP="005A62D7">
      <w:pPr>
        <w:spacing w:after="160" w:line="480" w:lineRule="auto"/>
        <w:jc w:val="both"/>
        <w:rPr>
          <w:rFonts w:ascii="David" w:eastAsia="Calibri" w:hAnsi="David"/>
          <w:b/>
          <w:bCs/>
          <w:u w:val="single"/>
        </w:rPr>
      </w:pPr>
      <w:r w:rsidRPr="00445BD1">
        <w:rPr>
          <w:rFonts w:ascii="David" w:eastAsia="Calibri" w:hAnsi="David"/>
          <w:b/>
          <w:bCs/>
          <w:u w:val="single"/>
          <w:rtl/>
        </w:rPr>
        <w:t xml:space="preserve">הראיות לעונש וטיעוני הצדדים </w:t>
      </w:r>
    </w:p>
    <w:p w14:paraId="1D2771B3"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ב"כ המאשימה, עו"ד קרין שטרית, טענה לעונש, הצביעה על הערכים המוגנים שנפגעו כתוצאה ממעשיו של הנאשם וביקשה לקבוע מתחמי ענישה נפרדים לכל אירוע. בגין האירוע הראשון – ביקשה לקבוע מתחם שנע, בנסיבות, בין מאסר קצר בדרך של עבודות שירות ל- 10 חודשי מאסר. בגין האירוע השני והאירוע השלישי – ביקשה לקבוע מתחם נפרד שנע בין 12 ל-24 חודשי מאסר. בכל הנוגע לאישום הרביעי - עתרה לקבוע מתחם שנע בין 8 ל-14 חודשי מאסר. באשר לנסיבות שאינן קשורות לביצוע העבירה, טענה המאשימה כי הנאשם יליד 1987, נעדר עבר פלילי והפנתה לאמור בתסקירי שירות המבחן בעניינו. היא סבורה כי המלצת שירות המבחן לא עולה בקנה אחד עם הפסיקה הנוהגת ועם נסיבותיו של התיק. לבסוף, עתרה לעונש מאסר אשר לא יפחת מ-30 חודשים, לצד מאסר מותנה, קנס, ופיצוי. כמו כן, ביקשה לחלט את השעונים, התכשיטים והכסף שנתפס.</w:t>
      </w:r>
    </w:p>
    <w:p w14:paraId="0D41A796"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 xml:space="preserve">מנגד, ב"כ הנאשם, עו"ד ירון פורר, טען כי אין מחלוקת ביחס לחלקו של הנאשם בביצוע העבירות. הדגיש כי במעשיו הנאשם הסיע את האחר תמורת 1,000 ₪, הוא לא זה שפרץ לדירות והוא לא זה שגנב את השלל. טען כי האישומים 1,2 ו-3 נעברו בסמיכות זמנים, במסגרת מסכת עבריינית אחת, ולפיכך יש לקבוע מתחם ענישה אחד בעניינם. הוא תיאר את הרקע למעשיו של הנאשם והמשבר שחווה בתחום הזוגי והכלכלי. הנאשם נעדר עבר פלילי, נטל אחריות, הביע חרטה, מעצרו היווה גורם מרתיע ומטלטל ומאז ביצוע העבירות לא נפתחו נגדו תיקים נוספים. הוא הפנה לאמור בתסקירים, להשלכות עונש של מאסר על חייו והשיקום שעבר. ביקש להעניק לנאשם הזדמנות ושתבחן התאמתו לביצוע עונש בדרך של עבודות שירות. </w:t>
      </w:r>
    </w:p>
    <w:p w14:paraId="2AC6EAE1"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 xml:space="preserve">הנאשם ניצל את זכות המילה האחרונה, טרם נגזר דינו, באומרו: </w:t>
      </w:r>
      <w:r w:rsidRPr="00445BD1">
        <w:rPr>
          <w:rFonts w:ascii="David" w:eastAsia="Calibri" w:hAnsi="David"/>
          <w:i/>
          <w:iCs/>
          <w:rtl/>
        </w:rPr>
        <w:t xml:space="preserve">"כבוד השופט אני מודה שעשיתי טעות אני מצטער, מתחרט, הייתי במצוקה נפשית וכלכלית, עברתי תקופה ארוכה עברתי קבוצות למדתי את הטעות, אני נמצא במקום אחר בחיים שלי, אני ממש מצטער ומתחרט ובאמת מביע חרטה על מה שעשיתי". </w:t>
      </w:r>
      <w:r w:rsidRPr="00445BD1">
        <w:rPr>
          <w:rFonts w:ascii="David" w:eastAsia="Calibri" w:hAnsi="David"/>
          <w:rtl/>
        </w:rPr>
        <w:t xml:space="preserve"> </w:t>
      </w:r>
    </w:p>
    <w:p w14:paraId="2C2D74DC" w14:textId="77777777" w:rsidR="005A62D7" w:rsidRPr="00445BD1" w:rsidRDefault="005A62D7" w:rsidP="005A62D7">
      <w:pPr>
        <w:spacing w:after="160" w:line="480" w:lineRule="auto"/>
        <w:jc w:val="both"/>
        <w:rPr>
          <w:rFonts w:ascii="Arial" w:eastAsia="Calibri" w:hAnsi="Arial"/>
          <w:b/>
          <w:bCs/>
          <w:u w:val="single"/>
        </w:rPr>
      </w:pPr>
      <w:r w:rsidRPr="00445BD1">
        <w:rPr>
          <w:rFonts w:ascii="Arial" w:eastAsia="Calibri" w:hAnsi="Arial"/>
          <w:b/>
          <w:bCs/>
          <w:u w:val="single"/>
          <w:rtl/>
        </w:rPr>
        <w:t>דיון והכרעה</w:t>
      </w:r>
    </w:p>
    <w:p w14:paraId="66E8DB76" w14:textId="77777777" w:rsidR="005A62D7" w:rsidRPr="00445BD1" w:rsidRDefault="005A62D7" w:rsidP="005A62D7">
      <w:pPr>
        <w:spacing w:after="160" w:line="480" w:lineRule="auto"/>
        <w:jc w:val="both"/>
        <w:rPr>
          <w:rFonts w:ascii="DaunPenh" w:eastAsia="Calibri" w:hAnsi="DaunPenh"/>
          <w:u w:val="single"/>
          <w:rtl/>
        </w:rPr>
      </w:pPr>
      <w:r w:rsidRPr="00445BD1">
        <w:rPr>
          <w:rFonts w:ascii="Arial" w:eastAsia="Calibri" w:hAnsi="Arial"/>
          <w:u w:val="single"/>
          <w:rtl/>
        </w:rPr>
        <w:t>מתחם</w:t>
      </w:r>
      <w:r w:rsidRPr="00445BD1">
        <w:rPr>
          <w:rFonts w:ascii="DaunPenh" w:eastAsia="Calibri" w:hAnsi="DaunPenh"/>
          <w:u w:val="single"/>
          <w:rtl/>
        </w:rPr>
        <w:t xml:space="preserve"> </w:t>
      </w:r>
      <w:r w:rsidRPr="00445BD1">
        <w:rPr>
          <w:rFonts w:ascii="Arial" w:eastAsia="Calibri" w:hAnsi="Arial"/>
          <w:u w:val="single"/>
          <w:rtl/>
        </w:rPr>
        <w:t>העונש</w:t>
      </w:r>
    </w:p>
    <w:p w14:paraId="0E3818E9"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Arial" w:eastAsia="Calibri" w:hAnsi="Arial"/>
          <w:rtl/>
        </w:rPr>
        <w:t>הערך</w:t>
      </w:r>
      <w:r w:rsidRPr="00445BD1">
        <w:rPr>
          <w:rFonts w:ascii="DaunPenh" w:eastAsia="Calibri" w:hAnsi="DaunPenh"/>
          <w:rtl/>
        </w:rPr>
        <w:t xml:space="preserve"> </w:t>
      </w:r>
      <w:r w:rsidRPr="00445BD1">
        <w:rPr>
          <w:rFonts w:ascii="Arial" w:eastAsia="Calibri" w:hAnsi="Arial"/>
          <w:rtl/>
        </w:rPr>
        <w:t>החברתי</w:t>
      </w:r>
      <w:r w:rsidRPr="00445BD1">
        <w:rPr>
          <w:rFonts w:ascii="DaunPenh" w:eastAsia="Calibri" w:hAnsi="DaunPenh"/>
          <w:rtl/>
        </w:rPr>
        <w:t xml:space="preserve"> </w:t>
      </w:r>
      <w:r w:rsidRPr="00445BD1">
        <w:rPr>
          <w:rFonts w:ascii="Arial" w:eastAsia="Calibri" w:hAnsi="Arial"/>
          <w:rtl/>
        </w:rPr>
        <w:t>אשר</w:t>
      </w:r>
      <w:r w:rsidRPr="00445BD1">
        <w:rPr>
          <w:rFonts w:ascii="DaunPenh" w:eastAsia="Calibri" w:hAnsi="DaunPenh"/>
          <w:rtl/>
        </w:rPr>
        <w:t xml:space="preserve"> </w:t>
      </w:r>
      <w:r w:rsidRPr="00445BD1">
        <w:rPr>
          <w:rFonts w:ascii="Arial" w:eastAsia="Calibri" w:hAnsi="Arial"/>
          <w:rtl/>
        </w:rPr>
        <w:t>נפגע</w:t>
      </w:r>
      <w:r w:rsidRPr="00445BD1">
        <w:rPr>
          <w:rFonts w:ascii="DaunPenh" w:eastAsia="Calibri" w:hAnsi="DaunPenh"/>
          <w:rtl/>
        </w:rPr>
        <w:t xml:space="preserve"> </w:t>
      </w:r>
      <w:r w:rsidRPr="00445BD1">
        <w:rPr>
          <w:rFonts w:ascii="Arial" w:eastAsia="Calibri" w:hAnsi="Arial"/>
          <w:rtl/>
        </w:rPr>
        <w:t>כתוצאה מהעבירות</w:t>
      </w:r>
      <w:r w:rsidRPr="00445BD1">
        <w:rPr>
          <w:rFonts w:ascii="DaunPenh" w:eastAsia="Calibri" w:hAnsi="DaunPenh"/>
          <w:rtl/>
        </w:rPr>
        <w:t xml:space="preserve"> </w:t>
      </w:r>
      <w:r w:rsidRPr="00445BD1">
        <w:rPr>
          <w:rFonts w:ascii="Arial" w:eastAsia="Calibri" w:hAnsi="Arial"/>
          <w:rtl/>
        </w:rPr>
        <w:t>שבוצעו</w:t>
      </w:r>
      <w:r w:rsidRPr="00445BD1">
        <w:rPr>
          <w:rFonts w:ascii="DaunPenh" w:eastAsia="Calibri" w:hAnsi="DaunPenh"/>
          <w:rtl/>
        </w:rPr>
        <w:t xml:space="preserve"> </w:t>
      </w:r>
      <w:r w:rsidRPr="00445BD1">
        <w:rPr>
          <w:rFonts w:ascii="Arial" w:eastAsia="Calibri" w:hAnsi="Arial"/>
          <w:rtl/>
        </w:rPr>
        <w:t>על</w:t>
      </w:r>
      <w:r w:rsidRPr="00445BD1">
        <w:rPr>
          <w:rFonts w:ascii="DaunPenh" w:eastAsia="Calibri" w:hAnsi="DaunPenh"/>
          <w:rtl/>
        </w:rPr>
        <w:t xml:space="preserve"> </w:t>
      </w:r>
      <w:r w:rsidRPr="00445BD1">
        <w:rPr>
          <w:rFonts w:ascii="Arial" w:eastAsia="Calibri" w:hAnsi="Arial"/>
          <w:rtl/>
        </w:rPr>
        <w:t>ידי</w:t>
      </w:r>
      <w:r w:rsidRPr="00445BD1">
        <w:rPr>
          <w:rFonts w:ascii="DaunPenh" w:eastAsia="Calibri" w:hAnsi="DaunPenh"/>
          <w:rtl/>
        </w:rPr>
        <w:t xml:space="preserve"> </w:t>
      </w:r>
      <w:r w:rsidRPr="00445BD1">
        <w:rPr>
          <w:rFonts w:ascii="Arial" w:eastAsia="Calibri" w:hAnsi="Arial"/>
          <w:rtl/>
        </w:rPr>
        <w:t>הנאשם</w:t>
      </w:r>
      <w:r w:rsidRPr="00445BD1">
        <w:rPr>
          <w:rFonts w:ascii="DaunPenh" w:eastAsia="Calibri" w:hAnsi="DaunPenh"/>
          <w:rtl/>
        </w:rPr>
        <w:t xml:space="preserve"> </w:t>
      </w:r>
      <w:r w:rsidRPr="00445BD1">
        <w:rPr>
          <w:rFonts w:ascii="Arial" w:eastAsia="Calibri" w:hAnsi="Arial"/>
          <w:rtl/>
        </w:rPr>
        <w:t>הינו</w:t>
      </w:r>
      <w:r w:rsidRPr="00445BD1">
        <w:rPr>
          <w:rFonts w:ascii="DaunPenh" w:eastAsia="Calibri" w:hAnsi="DaunPenh"/>
          <w:rtl/>
        </w:rPr>
        <w:t xml:space="preserve"> </w:t>
      </w:r>
      <w:r w:rsidRPr="00445BD1">
        <w:rPr>
          <w:rFonts w:ascii="Arial" w:eastAsia="Calibri" w:hAnsi="Arial"/>
          <w:rtl/>
        </w:rPr>
        <w:t>השמירה על זכות קניינו של הזולת וכן זכותו של הזולת לשמירה על המרחב הפרטי שאינו חשוף לאחרים.</w:t>
      </w:r>
      <w:r w:rsidRPr="00445BD1">
        <w:rPr>
          <w:rFonts w:ascii="DaunPenh" w:eastAsia="Calibri" w:hAnsi="DaunPenh"/>
          <w:rtl/>
        </w:rPr>
        <w:t xml:space="preserve"> נפגע אף הערך של השמירה על הציבור מפני משתמשים בסמים והנזק הנלווה לכך.</w:t>
      </w:r>
    </w:p>
    <w:p w14:paraId="19204A5C"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unPenh" w:eastAsia="Calibri" w:hAnsi="DaunPenh"/>
          <w:rtl/>
        </w:rPr>
        <w:t>בכלל הנסיבות הקשורות לביצוע העבירה, שקלתי את העובדה כי לביצוע העבירות קדם תכנון מוקדם וקשירת קשר עם אדם אחר. נשקלה העובדה כי אין מדובר באירוע חד פעמי, אלא ביצוע חוזר ונשנה של עבירות דומות. עוד נשקל הנזק שנגרם לבעלי הדירות שנפרצו, אשר אינו מסתכם בנזק כספי בלבד, אלא בנזק ממשי לתחושת ביטחונו של אדם שאחר חדר ללא רשותו לביתו ונחשף למרחביו הפרטיים. ברכוש שנגנב ישנם גם תכשיטים, אשר גניבתם מהווה פוטנציאל לנזק רגשי מעבר לזה הכספי .וכן יש בה על מנת לגרום טרחה לנוכח הצורך ברכישת תכשיטים חדשים חלף אלו שנגנבו. באחד המקרים נגנב אף אקדח על ידי שותפו של הנאשם, גניבה אשר לה משמעויות נרחבות מעבר לנזק הכלכלי.</w:t>
      </w:r>
    </w:p>
    <w:p w14:paraId="06D1693E"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vid" w:eastAsia="Calibri" w:hAnsi="David"/>
          <w:rtl/>
        </w:rPr>
        <w:t>יפים לעניין זה דבריו של בית המשפט העליון</w:t>
      </w:r>
      <w:r w:rsidRPr="00445BD1">
        <w:rPr>
          <w:rFonts w:ascii="David" w:eastAsia="Calibri" w:hAnsi="David"/>
          <w:b/>
          <w:bCs/>
          <w:rtl/>
        </w:rPr>
        <w:t xml:space="preserve"> </w:t>
      </w:r>
      <w:r w:rsidRPr="00445BD1">
        <w:rPr>
          <w:rFonts w:ascii="David" w:eastAsia="Calibri" w:hAnsi="David"/>
          <w:rtl/>
        </w:rPr>
        <w:t>ב</w:t>
      </w:r>
      <w:hyperlink r:id="rId34" w:history="1">
        <w:r w:rsidR="00EE322A" w:rsidRPr="00EE322A">
          <w:rPr>
            <w:rFonts w:ascii="David" w:eastAsia="Calibri" w:hAnsi="David"/>
            <w:color w:val="0000FF"/>
            <w:u w:val="single"/>
            <w:rtl/>
          </w:rPr>
          <w:t>ע"פ 3297/10</w:t>
        </w:r>
      </w:hyperlink>
      <w:r w:rsidRPr="00445BD1">
        <w:rPr>
          <w:rFonts w:ascii="David" w:eastAsia="Calibri" w:hAnsi="David"/>
          <w:b/>
          <w:bCs/>
          <w:u w:val="single"/>
          <w:rtl/>
        </w:rPr>
        <w:t xml:space="preserve"> </w:t>
      </w:r>
      <w:r w:rsidRPr="00445BD1">
        <w:rPr>
          <w:rFonts w:ascii="David" w:eastAsia="Calibri" w:hAnsi="David"/>
          <w:b/>
          <w:bCs/>
          <w:rtl/>
        </w:rPr>
        <w:t xml:space="preserve">איליה וולקוב נ' מדינת ישראל </w:t>
      </w:r>
      <w:r w:rsidRPr="00445BD1">
        <w:rPr>
          <w:rFonts w:ascii="David" w:eastAsia="Calibri" w:hAnsi="David"/>
          <w:rtl/>
        </w:rPr>
        <w:t>(24.05.12):</w:t>
      </w:r>
      <w:r w:rsidRPr="00445BD1">
        <w:rPr>
          <w:rFonts w:ascii="David" w:eastAsia="Calibri" w:hAnsi="David"/>
          <w:b/>
          <w:bCs/>
          <w:rtl/>
        </w:rPr>
        <w:t xml:space="preserve"> "בעבירות ההתפרצות יש כדי לערער את הביטחון האישי של הציבור ואת התחושה של "ביתי הוא מבצרי". קם אדם בבוקרו של יום וכשחוזר לביתו בסוף עמל יומו הוא מוצא כי חדרו לפרטיותו ונטלו את רכושו ואת חפציו שאותם צבר בזיעת אפו ומיטב כספו. מי יאמוד את עוגמת הנפש, הרוגז וחסרון הכיס הנגרמים לציבור שנפגע מאותן עבירות גניבה והתפרצות."</w:t>
      </w:r>
    </w:p>
    <w:p w14:paraId="2ABF1D62"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DaunPenh" w:eastAsia="Calibri" w:hAnsi="DaunPenh"/>
          <w:rtl/>
        </w:rPr>
        <w:t>בקביעת המתחם אתחשב במסגרת הנסיבות הקשורות בביצוע העבירה בחלקו של הנאשם בתכנית העבריינית, ובכך שלא הוא זה שפרץ לדירות בפועל, אלא הסיע את האחר שפרץ וקיבל עבור כך תשלום קבוע בסך של 1,000 ₪ לנסיעה.</w:t>
      </w:r>
    </w:p>
    <w:p w14:paraId="00D6F260" w14:textId="77777777" w:rsidR="005A62D7" w:rsidRPr="00445BD1" w:rsidRDefault="005A62D7" w:rsidP="005A62D7">
      <w:pPr>
        <w:numPr>
          <w:ilvl w:val="0"/>
          <w:numId w:val="1"/>
        </w:numPr>
        <w:spacing w:after="160" w:line="480" w:lineRule="auto"/>
        <w:contextualSpacing/>
        <w:jc w:val="both"/>
        <w:rPr>
          <w:rFonts w:ascii="David" w:eastAsia="Calibri" w:hAnsi="David"/>
        </w:rPr>
      </w:pPr>
      <w:r w:rsidRPr="00445BD1">
        <w:rPr>
          <w:rFonts w:ascii="Calibri" w:hAnsi="Calibri"/>
          <w:rtl/>
        </w:rPr>
        <w:t xml:space="preserve">בבחינת מדיניות הענישה הנוהגת בעבירות מעין אלו, </w:t>
      </w:r>
      <w:r w:rsidRPr="00445BD1">
        <w:rPr>
          <w:rFonts w:ascii="David" w:hAnsi="David"/>
          <w:rtl/>
          <w:lang w:eastAsia="he-IL"/>
        </w:rPr>
        <w:t>הרי שהמתחם הנוגע להתפרצות לדירה וגניבה מתוכה, ידוע ועומד כדרך כלל, ובכפוף לנסיבותיו הספציפיות של כל אירוע, על 12-24 חודשי מאסר בפועל. כפי שניתן ללמוד מהחלק הכללי לכתב האישום, הרי שכלל האישומים הם חלק מתכנית עבריינית אחת ויש דמיון בין האישומים ולכן אקבע מתחם כולל אחד שיתחשב כאמור, גם בחלקו של נאשם זה בביצוע העבירות ובכך שהורשע בשני אישומים בהתפרצות לדירה ובאישום נוסף בסיוע להתפרצות, לגניבה ולהיזק לרכוש במזיד, בנוסף לעבירות המפורטות באישום הראשון.</w:t>
      </w:r>
    </w:p>
    <w:p w14:paraId="511D0213" w14:textId="77777777" w:rsidR="005A62D7" w:rsidRPr="00445BD1" w:rsidRDefault="005A62D7" w:rsidP="005A62D7">
      <w:pPr>
        <w:numPr>
          <w:ilvl w:val="0"/>
          <w:numId w:val="1"/>
        </w:numPr>
        <w:spacing w:after="160" w:line="480" w:lineRule="auto"/>
        <w:contextualSpacing/>
        <w:jc w:val="both"/>
        <w:rPr>
          <w:rFonts w:ascii="David" w:eastAsia="Calibri" w:hAnsi="David"/>
          <w:b/>
          <w:bCs/>
        </w:rPr>
      </w:pPr>
      <w:r w:rsidRPr="00445BD1">
        <w:rPr>
          <w:rFonts w:ascii="David" w:hAnsi="David"/>
          <w:b/>
          <w:bCs/>
          <w:rtl/>
          <w:lang w:eastAsia="he-IL"/>
        </w:rPr>
        <w:t>לנוכח האמור לעיל, אני קובע מתחם ענישה הנע בין 24-48 חודשי מאסר בפועל, לצד ענישה נלווית.</w:t>
      </w:r>
    </w:p>
    <w:p w14:paraId="60E56B64" w14:textId="77777777" w:rsidR="005A62D7" w:rsidRPr="00445BD1" w:rsidRDefault="005A62D7" w:rsidP="005A62D7">
      <w:pPr>
        <w:spacing w:after="160" w:line="480" w:lineRule="auto"/>
        <w:ind w:left="360"/>
        <w:jc w:val="both"/>
        <w:rPr>
          <w:rFonts w:ascii="DaunPenh" w:eastAsia="Calibri" w:hAnsi="DaunPenh"/>
        </w:rPr>
      </w:pPr>
      <w:r w:rsidRPr="00445BD1">
        <w:rPr>
          <w:rFonts w:ascii="Arial" w:eastAsia="Calibri" w:hAnsi="Arial"/>
          <w:u w:val="single"/>
          <w:rtl/>
        </w:rPr>
        <w:t>גזירת</w:t>
      </w:r>
      <w:r w:rsidRPr="00445BD1">
        <w:rPr>
          <w:rFonts w:ascii="DaunPenh" w:eastAsia="Calibri" w:hAnsi="DaunPenh"/>
          <w:u w:val="single"/>
          <w:rtl/>
        </w:rPr>
        <w:t xml:space="preserve"> </w:t>
      </w:r>
      <w:r w:rsidRPr="00445BD1">
        <w:rPr>
          <w:rFonts w:ascii="Arial" w:eastAsia="Calibri" w:hAnsi="Arial"/>
          <w:u w:val="single"/>
          <w:rtl/>
        </w:rPr>
        <w:t>העונש</w:t>
      </w:r>
      <w:r w:rsidRPr="00445BD1">
        <w:rPr>
          <w:rFonts w:ascii="DaunPenh" w:eastAsia="Calibri" w:hAnsi="DaunPenh"/>
          <w:rtl/>
        </w:rPr>
        <w:t xml:space="preserve"> </w:t>
      </w:r>
    </w:p>
    <w:p w14:paraId="5C55D47C" w14:textId="77777777" w:rsidR="005A62D7" w:rsidRPr="00445BD1" w:rsidRDefault="005A62D7" w:rsidP="005A62D7">
      <w:pPr>
        <w:numPr>
          <w:ilvl w:val="0"/>
          <w:numId w:val="1"/>
        </w:numPr>
        <w:spacing w:after="160" w:line="480" w:lineRule="auto"/>
        <w:contextualSpacing/>
        <w:jc w:val="both"/>
        <w:rPr>
          <w:rFonts w:ascii="David" w:eastAsia="Calibri" w:hAnsi="David"/>
          <w:b/>
          <w:bCs/>
        </w:rPr>
      </w:pPr>
      <w:r w:rsidRPr="00445BD1">
        <w:rPr>
          <w:rFonts w:ascii="DaunPenh" w:eastAsia="Calibri" w:hAnsi="DaunPenh"/>
          <w:rtl/>
        </w:rPr>
        <w:t>בכלל הנסיבות אשר אינן קשורות בביצוע העבירה, התחשבתי בהודאתו של הנאשם, נטילת האחריות, הבעת חרטה וחיסכון בזמן שיפוטי ובצורך בעדות המתלוננים ועדים נוספים. כך גם בהיעדר עבר פלילי ובכך שלא נפתחו נגד הנאשם תיקים נוספים. עוד נתתי משקל למעצר בו היה מצוי הנאשם למשך שבועיים, לראשונה בחייו, וחווה זאת כחוויה קשה ומטלטלת.</w:t>
      </w:r>
    </w:p>
    <w:p w14:paraId="63C58E3C" w14:textId="77777777" w:rsidR="005A62D7" w:rsidRPr="00445BD1" w:rsidRDefault="005A62D7" w:rsidP="005A62D7">
      <w:pPr>
        <w:numPr>
          <w:ilvl w:val="0"/>
          <w:numId w:val="1"/>
        </w:numPr>
        <w:spacing w:after="160" w:line="480" w:lineRule="auto"/>
        <w:contextualSpacing/>
        <w:jc w:val="both"/>
        <w:rPr>
          <w:rFonts w:ascii="David" w:eastAsia="Calibri" w:hAnsi="David"/>
          <w:b/>
          <w:bCs/>
        </w:rPr>
      </w:pPr>
      <w:r w:rsidRPr="00445BD1">
        <w:rPr>
          <w:rFonts w:ascii="DaunPenh" w:eastAsia="Calibri" w:hAnsi="DaunPenh"/>
          <w:rtl/>
        </w:rPr>
        <w:t>כפי שעולה מארבעה תסקירים שהוגשו בעניינו של הנאשם על ידי שירות המבחן, הנאשם שמר לאורך מרבית חייו על יציבות תעסוקתית, אולם בשל פרוץ משבר הקורונה, פוטר מעבודתו והדבר גרם ללחצים כלכליים העומדים ברקע לתקופה משברית שהביאה את הנאשם לביצוע העבירות המתוארות בכתב האישום. שירות המבחן התרשם כי להליך המשפטי השפעה מרתיעה על הנאשם. עוד מתארים התסקירים את ההליך הטיפולי אותו עבר הנאשם ובו השלים השתתפות בקבוצה שעסקה בטיפול ייעודי לעוברי חוק אשר מעורבותם הינה הראשונה והיחידה בפלילים. דווח כי הנאשם שיתף פעולה ומיצה את האפיק הטיפולי באופן חיובי ואין צורך בהמשך מעורבות טיפולית.</w:t>
      </w:r>
    </w:p>
    <w:p w14:paraId="2CEE70EF" w14:textId="77777777" w:rsidR="005A62D7" w:rsidRPr="00445BD1" w:rsidRDefault="005A62D7" w:rsidP="005A62D7">
      <w:pPr>
        <w:numPr>
          <w:ilvl w:val="0"/>
          <w:numId w:val="1"/>
        </w:numPr>
        <w:spacing w:after="160" w:line="480" w:lineRule="auto"/>
        <w:contextualSpacing/>
        <w:jc w:val="both"/>
        <w:rPr>
          <w:rFonts w:ascii="David" w:eastAsia="Calibri" w:hAnsi="David"/>
          <w:b/>
          <w:bCs/>
        </w:rPr>
      </w:pPr>
      <w:r w:rsidRPr="00445BD1">
        <w:rPr>
          <w:rFonts w:ascii="DaunPenh" w:eastAsia="Calibri" w:hAnsi="DaunPenh"/>
          <w:rtl/>
        </w:rPr>
        <w:t>שירות המבחן המליץ כאמור על כך שבית המשפט יימנע מהטלת ענישה הכוללת מאסר מאחורי סורג ובריח, על מנת להימנע מרגרסיה במצבו של הנאשם ועל מנת לעודד את חלקיו המתפקדים. צוין כי ההליך הטיפולי היווה עבור הנאשם גורם מפחית סיכון ואף הומלץ כי בית המשפט יתחשב בשיתוף הפעולה ובהיעדר עבר פלילי בקביעת אורך הענישה בעבודות שירות.</w:t>
      </w:r>
    </w:p>
    <w:p w14:paraId="526F5232" w14:textId="77777777" w:rsidR="005A62D7" w:rsidRPr="00445BD1" w:rsidRDefault="005A62D7" w:rsidP="005A62D7">
      <w:pPr>
        <w:numPr>
          <w:ilvl w:val="0"/>
          <w:numId w:val="1"/>
        </w:numPr>
        <w:spacing w:after="160" w:line="480" w:lineRule="auto"/>
        <w:contextualSpacing/>
        <w:jc w:val="both"/>
        <w:rPr>
          <w:rFonts w:ascii="David" w:eastAsia="Calibri" w:hAnsi="David"/>
          <w:b/>
          <w:bCs/>
        </w:rPr>
      </w:pPr>
      <w:r w:rsidRPr="00445BD1">
        <w:rPr>
          <w:rFonts w:ascii="Calibri" w:eastAsia="Calibri" w:hAnsi="Calibri"/>
          <w:rtl/>
        </w:rPr>
        <w:t xml:space="preserve">סעיף </w:t>
      </w:r>
      <w:hyperlink r:id="rId35" w:history="1">
        <w:r w:rsidR="00E7045F" w:rsidRPr="00E7045F">
          <w:rPr>
            <w:rStyle w:val="Hyperlink"/>
            <w:rFonts w:ascii="Calibri" w:eastAsia="Calibri" w:hAnsi="Calibri"/>
            <w:rtl/>
          </w:rPr>
          <w:t xml:space="preserve">40 </w:t>
        </w:r>
        <w:r w:rsidR="00E7045F" w:rsidRPr="00E7045F">
          <w:rPr>
            <w:rStyle w:val="Hyperlink"/>
            <w:rFonts w:ascii="Calibri" w:eastAsia="Calibri" w:hAnsi="Calibri" w:hint="cs"/>
            <w:rtl/>
          </w:rPr>
          <w:t>ד</w:t>
        </w:r>
        <w:r w:rsidR="00E7045F" w:rsidRPr="00E7045F">
          <w:rPr>
            <w:rStyle w:val="Hyperlink"/>
            <w:rFonts w:ascii="Calibri" w:eastAsia="Calibri" w:hAnsi="Calibri"/>
            <w:rtl/>
          </w:rPr>
          <w:t xml:space="preserve"> (</w:t>
        </w:r>
        <w:r w:rsidR="00E7045F" w:rsidRPr="00E7045F">
          <w:rPr>
            <w:rStyle w:val="Hyperlink"/>
            <w:rFonts w:ascii="Calibri" w:eastAsia="Calibri" w:hAnsi="Calibri" w:hint="cs"/>
            <w:rtl/>
          </w:rPr>
          <w:t>א</w:t>
        </w:r>
        <w:r w:rsidR="00E7045F" w:rsidRPr="00E7045F">
          <w:rPr>
            <w:rStyle w:val="Hyperlink"/>
            <w:rFonts w:ascii="Calibri" w:eastAsia="Calibri" w:hAnsi="Calibri"/>
            <w:rtl/>
          </w:rPr>
          <w:t>)</w:t>
        </w:r>
      </w:hyperlink>
      <w:r w:rsidRPr="00445BD1">
        <w:rPr>
          <w:rFonts w:ascii="Calibri" w:eastAsia="Calibri" w:hAnsi="Calibri"/>
          <w:rtl/>
        </w:rPr>
        <w:t xml:space="preserve"> לחוק קובע כי: "</w:t>
      </w:r>
      <w:r w:rsidRPr="00445BD1">
        <w:rPr>
          <w:rFonts w:cs="FrankRuehl"/>
          <w:sz w:val="26"/>
          <w:szCs w:val="26"/>
          <w:rtl/>
          <w:lang w:eastAsia="he-I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6" w:history="1">
        <w:r w:rsidR="00EE322A" w:rsidRPr="00EE322A">
          <w:rPr>
            <w:rFonts w:cs="FrankRuehl"/>
            <w:color w:val="0000FF"/>
            <w:sz w:val="26"/>
            <w:szCs w:val="26"/>
            <w:u w:val="single"/>
            <w:rtl/>
            <w:lang w:eastAsia="he-IL"/>
          </w:rPr>
          <w:t>פקודת המבחן</w:t>
        </w:r>
      </w:hyperlink>
      <w:r w:rsidRPr="00445BD1">
        <w:rPr>
          <w:rFonts w:cs="FrankRuehl"/>
          <w:sz w:val="26"/>
          <w:szCs w:val="26"/>
          <w:rtl/>
          <w:lang w:eastAsia="he-IL"/>
        </w:rPr>
        <w:t xml:space="preserve"> [נוסח חדש], התשכ"ט-1969".</w:t>
      </w:r>
    </w:p>
    <w:p w14:paraId="13B12C0C" w14:textId="77777777" w:rsidR="005A62D7" w:rsidRPr="00445BD1" w:rsidRDefault="005A62D7" w:rsidP="005A62D7">
      <w:pPr>
        <w:numPr>
          <w:ilvl w:val="0"/>
          <w:numId w:val="1"/>
        </w:numPr>
        <w:spacing w:after="160" w:line="480" w:lineRule="auto"/>
        <w:contextualSpacing/>
        <w:jc w:val="both"/>
        <w:rPr>
          <w:rFonts w:ascii="David" w:eastAsia="Calibri" w:hAnsi="David"/>
          <w:b/>
          <w:bCs/>
        </w:rPr>
      </w:pPr>
      <w:r w:rsidRPr="00445BD1">
        <w:rPr>
          <w:rFonts w:ascii="DaunPenh" w:eastAsia="Calibri" w:hAnsi="DaunPenh"/>
          <w:rtl/>
        </w:rPr>
        <w:t>ההליך הטיפולי אותו עבר הנאשם, מצדיק חריגה ממתחם הענישה. אולם, לא ניתן להתעלם מהיקף העבירות אותן עבר הנאשם והנזק שנגרם בעטיין למספר מתלוננים. עקרון ההלימה אינו נסוג לחלוטין מפני עקרון השיקום. העבירות אותן עבר הנאשם הינן עבירות שפגיעתן בציבור משמעותית ביותר ומחובתו של בית המשפט לנקוט בדרך שיש בה משום גמול הולם לעבירות אלו. יש כאמור לתת משקל להליך הטיפולי ואף להתחשב בו במסגרת שיקולי השיקום עד כדי חריגה ממתחם הענישה, אולם לא במידה כזאת שתפטור אותו מעונש של מאסר מאחורי סורג ובריח, אלא בדרך של הפחתה משמעותית מאורכו של מאסר זה.</w:t>
      </w:r>
    </w:p>
    <w:p w14:paraId="0EF380B5" w14:textId="77777777" w:rsidR="005A62D7" w:rsidRPr="00445BD1" w:rsidRDefault="005A62D7" w:rsidP="005A62D7">
      <w:pPr>
        <w:spacing w:after="160" w:line="480" w:lineRule="auto"/>
        <w:ind w:left="720"/>
        <w:contextualSpacing/>
        <w:jc w:val="both"/>
        <w:rPr>
          <w:rFonts w:ascii="DaunPenh" w:eastAsia="Calibri" w:hAnsi="DaunPenh"/>
        </w:rPr>
      </w:pPr>
      <w:r w:rsidRPr="00445BD1">
        <w:rPr>
          <w:rFonts w:ascii="Arial" w:eastAsia="Calibri" w:hAnsi="Arial"/>
          <w:b/>
          <w:bCs/>
          <w:rtl/>
        </w:rPr>
        <w:t>לאחר</w:t>
      </w:r>
      <w:r w:rsidRPr="00445BD1">
        <w:rPr>
          <w:rFonts w:ascii="DaunPenh" w:eastAsia="Calibri" w:hAnsi="DaunPenh"/>
          <w:b/>
          <w:bCs/>
          <w:rtl/>
        </w:rPr>
        <w:t xml:space="preserve"> </w:t>
      </w:r>
      <w:r w:rsidRPr="00445BD1">
        <w:rPr>
          <w:rFonts w:ascii="Arial" w:eastAsia="Calibri" w:hAnsi="Arial"/>
          <w:b/>
          <w:bCs/>
          <w:rtl/>
        </w:rPr>
        <w:t>ששקלתי</w:t>
      </w:r>
      <w:r w:rsidRPr="00445BD1">
        <w:rPr>
          <w:rFonts w:ascii="DaunPenh" w:eastAsia="Calibri" w:hAnsi="DaunPenh"/>
          <w:b/>
          <w:bCs/>
          <w:rtl/>
        </w:rPr>
        <w:t xml:space="preserve"> </w:t>
      </w:r>
      <w:r w:rsidRPr="00445BD1">
        <w:rPr>
          <w:rFonts w:ascii="Arial" w:eastAsia="Calibri" w:hAnsi="Arial"/>
          <w:b/>
          <w:bCs/>
          <w:rtl/>
        </w:rPr>
        <w:t>את</w:t>
      </w:r>
      <w:r w:rsidRPr="00445BD1">
        <w:rPr>
          <w:rFonts w:ascii="DaunPenh" w:eastAsia="Calibri" w:hAnsi="DaunPenh"/>
          <w:b/>
          <w:bCs/>
          <w:rtl/>
        </w:rPr>
        <w:t xml:space="preserve"> </w:t>
      </w:r>
      <w:r w:rsidRPr="00445BD1">
        <w:rPr>
          <w:rFonts w:ascii="Arial" w:eastAsia="Calibri" w:hAnsi="Arial"/>
          <w:b/>
          <w:bCs/>
          <w:rtl/>
        </w:rPr>
        <w:t>כל</w:t>
      </w:r>
      <w:r w:rsidRPr="00445BD1">
        <w:rPr>
          <w:rFonts w:ascii="DaunPenh" w:eastAsia="Calibri" w:hAnsi="DaunPenh"/>
          <w:b/>
          <w:bCs/>
          <w:rtl/>
        </w:rPr>
        <w:t xml:space="preserve"> </w:t>
      </w:r>
      <w:r w:rsidRPr="00445BD1">
        <w:rPr>
          <w:rFonts w:ascii="Arial" w:eastAsia="Calibri" w:hAnsi="Arial"/>
          <w:b/>
          <w:bCs/>
          <w:rtl/>
        </w:rPr>
        <w:t>האמור</w:t>
      </w:r>
      <w:r w:rsidRPr="00445BD1">
        <w:rPr>
          <w:rFonts w:ascii="DaunPenh" w:eastAsia="Calibri" w:hAnsi="DaunPenh"/>
          <w:b/>
          <w:bCs/>
          <w:rtl/>
        </w:rPr>
        <w:t xml:space="preserve"> </w:t>
      </w:r>
      <w:r w:rsidRPr="00445BD1">
        <w:rPr>
          <w:rFonts w:ascii="Arial" w:eastAsia="Calibri" w:hAnsi="Arial"/>
          <w:b/>
          <w:bCs/>
          <w:rtl/>
        </w:rPr>
        <w:t>לעיל</w:t>
      </w:r>
      <w:r w:rsidRPr="00445BD1">
        <w:rPr>
          <w:rFonts w:ascii="DaunPenh" w:eastAsia="Calibri" w:hAnsi="DaunPenh"/>
          <w:b/>
          <w:bCs/>
          <w:rtl/>
        </w:rPr>
        <w:t xml:space="preserve">, </w:t>
      </w:r>
      <w:r w:rsidRPr="00445BD1">
        <w:rPr>
          <w:rFonts w:ascii="Arial" w:eastAsia="Calibri" w:hAnsi="Arial"/>
          <w:b/>
          <w:bCs/>
          <w:rtl/>
        </w:rPr>
        <w:t>אני</w:t>
      </w:r>
      <w:r w:rsidRPr="00445BD1">
        <w:rPr>
          <w:rFonts w:ascii="DaunPenh" w:eastAsia="Calibri" w:hAnsi="DaunPenh"/>
          <w:b/>
          <w:bCs/>
          <w:rtl/>
        </w:rPr>
        <w:t xml:space="preserve"> </w:t>
      </w:r>
      <w:r w:rsidRPr="00445BD1">
        <w:rPr>
          <w:rFonts w:ascii="Arial" w:eastAsia="Calibri" w:hAnsi="Arial"/>
          <w:b/>
          <w:bCs/>
          <w:rtl/>
        </w:rPr>
        <w:t>גוזר</w:t>
      </w:r>
      <w:r w:rsidRPr="00445BD1">
        <w:rPr>
          <w:rFonts w:ascii="DaunPenh" w:eastAsia="Calibri" w:hAnsi="DaunPenh"/>
          <w:b/>
          <w:bCs/>
          <w:rtl/>
        </w:rPr>
        <w:t xml:space="preserve"> </w:t>
      </w:r>
      <w:r w:rsidRPr="00445BD1">
        <w:rPr>
          <w:rFonts w:ascii="Arial" w:eastAsia="Calibri" w:hAnsi="Arial"/>
          <w:b/>
          <w:bCs/>
          <w:rtl/>
        </w:rPr>
        <w:t>על</w:t>
      </w:r>
      <w:r w:rsidRPr="00445BD1">
        <w:rPr>
          <w:rFonts w:ascii="DaunPenh" w:eastAsia="Calibri" w:hAnsi="DaunPenh"/>
          <w:b/>
          <w:bCs/>
          <w:rtl/>
        </w:rPr>
        <w:t xml:space="preserve"> </w:t>
      </w:r>
      <w:r w:rsidRPr="00445BD1">
        <w:rPr>
          <w:rFonts w:ascii="Arial" w:eastAsia="Calibri" w:hAnsi="Arial"/>
          <w:b/>
          <w:bCs/>
          <w:rtl/>
        </w:rPr>
        <w:t>הנאשם</w:t>
      </w:r>
      <w:r w:rsidRPr="00445BD1">
        <w:rPr>
          <w:rFonts w:ascii="DaunPenh" w:eastAsia="Calibri" w:hAnsi="DaunPenh"/>
          <w:b/>
          <w:bCs/>
          <w:rtl/>
        </w:rPr>
        <w:t xml:space="preserve"> </w:t>
      </w:r>
      <w:r w:rsidRPr="00445BD1">
        <w:rPr>
          <w:rFonts w:ascii="Arial" w:eastAsia="Calibri" w:hAnsi="Arial"/>
          <w:b/>
          <w:bCs/>
          <w:rtl/>
        </w:rPr>
        <w:t>את</w:t>
      </w:r>
      <w:r w:rsidRPr="00445BD1">
        <w:rPr>
          <w:rFonts w:ascii="DaunPenh" w:eastAsia="Calibri" w:hAnsi="DaunPenh"/>
          <w:b/>
          <w:bCs/>
          <w:rtl/>
        </w:rPr>
        <w:t xml:space="preserve"> </w:t>
      </w:r>
      <w:r w:rsidRPr="00445BD1">
        <w:rPr>
          <w:rFonts w:ascii="Arial" w:eastAsia="Calibri" w:hAnsi="Arial"/>
          <w:b/>
          <w:bCs/>
          <w:rtl/>
        </w:rPr>
        <w:t>העונשים</w:t>
      </w:r>
      <w:r w:rsidRPr="00445BD1">
        <w:rPr>
          <w:rFonts w:ascii="DaunPenh" w:eastAsia="Calibri" w:hAnsi="DaunPenh"/>
          <w:b/>
          <w:bCs/>
          <w:rtl/>
        </w:rPr>
        <w:t xml:space="preserve"> </w:t>
      </w:r>
      <w:r w:rsidRPr="00445BD1">
        <w:rPr>
          <w:rFonts w:ascii="Arial" w:eastAsia="Calibri" w:hAnsi="Arial"/>
          <w:b/>
          <w:bCs/>
          <w:rtl/>
        </w:rPr>
        <w:t>הבאים</w:t>
      </w:r>
      <w:r w:rsidRPr="00445BD1">
        <w:rPr>
          <w:rFonts w:ascii="DaunPenh" w:eastAsia="Calibri" w:hAnsi="DaunPenh"/>
          <w:b/>
          <w:bCs/>
          <w:rtl/>
        </w:rPr>
        <w:t>:</w:t>
      </w:r>
    </w:p>
    <w:p w14:paraId="2E9D6A02" w14:textId="77777777" w:rsidR="005A62D7" w:rsidRPr="00445BD1" w:rsidRDefault="005A62D7" w:rsidP="005A62D7">
      <w:pPr>
        <w:numPr>
          <w:ilvl w:val="0"/>
          <w:numId w:val="2"/>
        </w:numPr>
        <w:spacing w:after="160" w:line="480" w:lineRule="auto"/>
        <w:contextualSpacing/>
        <w:jc w:val="both"/>
        <w:rPr>
          <w:rFonts w:ascii="DaunPenh" w:eastAsia="Calibri" w:hAnsi="DaunPenh"/>
        </w:rPr>
      </w:pPr>
      <w:r>
        <w:rPr>
          <w:rFonts w:ascii="DaunPenh" w:eastAsia="Calibri" w:hAnsi="DaunPenh"/>
          <w:rtl/>
        </w:rPr>
        <w:t>12 חודשי מאסר בפועל</w:t>
      </w:r>
      <w:r>
        <w:rPr>
          <w:rFonts w:ascii="DaunPenh" w:eastAsia="Calibri" w:hAnsi="DaunPenh" w:hint="cs"/>
          <w:rtl/>
        </w:rPr>
        <w:t xml:space="preserve"> בניכוי ימי מעצרו, בין התאריכים 14.5.20-31.5.20.</w:t>
      </w:r>
    </w:p>
    <w:p w14:paraId="67F8A8CA" w14:textId="77777777" w:rsidR="005A62D7" w:rsidRPr="00445BD1" w:rsidRDefault="005A62D7" w:rsidP="005A62D7">
      <w:pPr>
        <w:numPr>
          <w:ilvl w:val="0"/>
          <w:numId w:val="2"/>
        </w:numPr>
        <w:spacing w:after="160" w:line="480" w:lineRule="auto"/>
        <w:contextualSpacing/>
        <w:jc w:val="both"/>
        <w:rPr>
          <w:rFonts w:ascii="DaunPenh" w:eastAsia="Calibri" w:hAnsi="DaunPenh"/>
        </w:rPr>
      </w:pPr>
      <w:r w:rsidRPr="00445BD1">
        <w:rPr>
          <w:rFonts w:ascii="Arial" w:eastAsia="Calibri" w:hAnsi="Arial"/>
          <w:rtl/>
        </w:rPr>
        <w:t>12 חודשי</w:t>
      </w:r>
      <w:r w:rsidRPr="00445BD1">
        <w:rPr>
          <w:rFonts w:ascii="DaunPenh" w:eastAsia="Calibri" w:hAnsi="DaunPenh"/>
          <w:rtl/>
        </w:rPr>
        <w:t xml:space="preserve"> </w:t>
      </w:r>
      <w:r w:rsidRPr="00445BD1">
        <w:rPr>
          <w:rFonts w:ascii="Arial" w:eastAsia="Calibri" w:hAnsi="Arial"/>
          <w:rtl/>
        </w:rPr>
        <w:t>מאסר</w:t>
      </w:r>
      <w:r w:rsidRPr="00445BD1">
        <w:rPr>
          <w:rFonts w:ascii="DaunPenh" w:eastAsia="Calibri" w:hAnsi="DaunPenh"/>
          <w:rtl/>
        </w:rPr>
        <w:t xml:space="preserve"> </w:t>
      </w:r>
      <w:r w:rsidRPr="00445BD1">
        <w:rPr>
          <w:rFonts w:ascii="Arial" w:eastAsia="Calibri" w:hAnsi="Arial"/>
          <w:rtl/>
        </w:rPr>
        <w:t>על</w:t>
      </w:r>
      <w:r w:rsidRPr="00445BD1">
        <w:rPr>
          <w:rFonts w:ascii="DaunPenh" w:eastAsia="Calibri" w:hAnsi="DaunPenh"/>
          <w:rtl/>
        </w:rPr>
        <w:t xml:space="preserve"> </w:t>
      </w:r>
      <w:r w:rsidRPr="00445BD1">
        <w:rPr>
          <w:rFonts w:ascii="Arial" w:eastAsia="Calibri" w:hAnsi="Arial"/>
          <w:rtl/>
        </w:rPr>
        <w:t>תנאי</w:t>
      </w:r>
      <w:r w:rsidRPr="00445BD1">
        <w:rPr>
          <w:rFonts w:ascii="DaunPenh" w:eastAsia="Calibri" w:hAnsi="DaunPenh"/>
          <w:rtl/>
        </w:rPr>
        <w:t xml:space="preserve"> </w:t>
      </w:r>
      <w:r w:rsidRPr="00445BD1">
        <w:rPr>
          <w:rFonts w:ascii="Arial" w:eastAsia="Calibri" w:hAnsi="Arial"/>
          <w:rtl/>
        </w:rPr>
        <w:t>שלא</w:t>
      </w:r>
      <w:r w:rsidRPr="00445BD1">
        <w:rPr>
          <w:rFonts w:ascii="DaunPenh" w:eastAsia="Calibri" w:hAnsi="DaunPenh"/>
          <w:rtl/>
        </w:rPr>
        <w:t xml:space="preserve"> </w:t>
      </w:r>
      <w:r w:rsidRPr="00445BD1">
        <w:rPr>
          <w:rFonts w:ascii="Arial" w:eastAsia="Calibri" w:hAnsi="Arial"/>
          <w:rtl/>
        </w:rPr>
        <w:t>יעבור</w:t>
      </w:r>
      <w:r w:rsidRPr="00445BD1">
        <w:rPr>
          <w:rFonts w:ascii="DaunPenh" w:eastAsia="Calibri" w:hAnsi="DaunPenh"/>
          <w:rtl/>
        </w:rPr>
        <w:t xml:space="preserve"> </w:t>
      </w:r>
      <w:r w:rsidRPr="00445BD1">
        <w:rPr>
          <w:rFonts w:ascii="Arial" w:eastAsia="Calibri" w:hAnsi="Arial"/>
          <w:rtl/>
        </w:rPr>
        <w:t>במשך</w:t>
      </w:r>
      <w:r w:rsidRPr="00445BD1">
        <w:rPr>
          <w:rFonts w:ascii="DaunPenh" w:eastAsia="Calibri" w:hAnsi="DaunPenh"/>
          <w:rtl/>
        </w:rPr>
        <w:t xml:space="preserve"> </w:t>
      </w:r>
      <w:r w:rsidRPr="00445BD1">
        <w:rPr>
          <w:rFonts w:ascii="Arial" w:eastAsia="Calibri" w:hAnsi="Arial"/>
          <w:rtl/>
        </w:rPr>
        <w:t>שלש</w:t>
      </w:r>
      <w:r w:rsidRPr="00445BD1">
        <w:rPr>
          <w:rFonts w:ascii="DaunPenh" w:eastAsia="Calibri" w:hAnsi="DaunPenh"/>
          <w:rtl/>
        </w:rPr>
        <w:t xml:space="preserve"> </w:t>
      </w:r>
      <w:r w:rsidRPr="00445BD1">
        <w:rPr>
          <w:rFonts w:ascii="Arial" w:eastAsia="Calibri" w:hAnsi="Arial"/>
          <w:rtl/>
        </w:rPr>
        <w:t>שנים</w:t>
      </w:r>
      <w:r w:rsidRPr="00445BD1">
        <w:rPr>
          <w:rFonts w:ascii="DaunPenh" w:eastAsia="Calibri" w:hAnsi="DaunPenh"/>
          <w:rtl/>
        </w:rPr>
        <w:t xml:space="preserve"> </w:t>
      </w:r>
      <w:r w:rsidRPr="00445BD1">
        <w:rPr>
          <w:rFonts w:ascii="Arial" w:eastAsia="Calibri" w:hAnsi="Arial"/>
          <w:rtl/>
        </w:rPr>
        <w:t>מהיום עבירת רכוש מסוג פשע.</w:t>
      </w:r>
    </w:p>
    <w:p w14:paraId="497033F6" w14:textId="77777777" w:rsidR="005A62D7" w:rsidRPr="00445BD1" w:rsidRDefault="005A62D7" w:rsidP="005A62D7">
      <w:pPr>
        <w:numPr>
          <w:ilvl w:val="0"/>
          <w:numId w:val="2"/>
        </w:numPr>
        <w:spacing w:after="160" w:line="480" w:lineRule="auto"/>
        <w:contextualSpacing/>
        <w:jc w:val="both"/>
        <w:rPr>
          <w:rFonts w:ascii="DaunPenh" w:eastAsia="Calibri" w:hAnsi="DaunPenh"/>
        </w:rPr>
      </w:pPr>
      <w:r w:rsidRPr="00445BD1">
        <w:rPr>
          <w:rFonts w:ascii="DaunPenh" w:eastAsia="Calibri" w:hAnsi="DaunPenh"/>
          <w:rtl/>
        </w:rPr>
        <w:t>6 חודשי מאסר על תנאי שלא יעבור במשך שלש שנים מהיום עבירת רכוש מסוג עוון או עבירה של קשירת קשר לביצוע פשע או עבירה על פי פקודת הסמים.</w:t>
      </w:r>
    </w:p>
    <w:p w14:paraId="70863164" w14:textId="77777777" w:rsidR="005A62D7" w:rsidRPr="00445BD1" w:rsidRDefault="005A62D7" w:rsidP="005A62D7">
      <w:pPr>
        <w:numPr>
          <w:ilvl w:val="0"/>
          <w:numId w:val="2"/>
        </w:numPr>
        <w:spacing w:after="160" w:line="480" w:lineRule="auto"/>
        <w:contextualSpacing/>
        <w:jc w:val="both"/>
        <w:rPr>
          <w:rFonts w:ascii="DaunPenh" w:eastAsia="Calibri" w:hAnsi="DaunPenh"/>
        </w:rPr>
      </w:pPr>
      <w:r w:rsidRPr="00445BD1">
        <w:rPr>
          <w:rFonts w:ascii="DaunPenh" w:eastAsia="Calibri" w:hAnsi="DaunPenh"/>
          <w:rtl/>
        </w:rPr>
        <w:t>קנס בסך 1,000 ₪ או עשרה ימי מאסר תמורתו. הקנס ישולם בתוך 120 יום מהיום.</w:t>
      </w:r>
    </w:p>
    <w:p w14:paraId="6721BF0A" w14:textId="77777777" w:rsidR="005A62D7" w:rsidRPr="00445BD1" w:rsidRDefault="005A62D7" w:rsidP="005A62D7">
      <w:pPr>
        <w:numPr>
          <w:ilvl w:val="0"/>
          <w:numId w:val="2"/>
        </w:numPr>
        <w:spacing w:after="160" w:line="480" w:lineRule="auto"/>
        <w:contextualSpacing/>
        <w:jc w:val="both"/>
        <w:rPr>
          <w:rFonts w:ascii="DaunPenh" w:eastAsia="Calibri" w:hAnsi="DaunPenh"/>
        </w:rPr>
      </w:pPr>
      <w:r w:rsidRPr="00445BD1">
        <w:rPr>
          <w:rFonts w:ascii="DaunPenh" w:eastAsia="Calibri" w:hAnsi="DaunPenh"/>
          <w:rtl/>
        </w:rPr>
        <w:t>פיצוי למתלונן, ע"ת 1 בסך 5,000 ₪ שישולם בתוך 30 יום מהיום.</w:t>
      </w:r>
    </w:p>
    <w:p w14:paraId="14AACA43" w14:textId="77777777" w:rsidR="005A62D7" w:rsidRPr="00445BD1" w:rsidRDefault="005A62D7" w:rsidP="005A62D7">
      <w:pPr>
        <w:numPr>
          <w:ilvl w:val="0"/>
          <w:numId w:val="2"/>
        </w:numPr>
        <w:spacing w:after="160" w:line="480" w:lineRule="auto"/>
        <w:contextualSpacing/>
        <w:jc w:val="both"/>
        <w:rPr>
          <w:rFonts w:ascii="DaunPenh" w:eastAsia="Calibri" w:hAnsi="DaunPenh"/>
        </w:rPr>
      </w:pPr>
      <w:r w:rsidRPr="00445BD1">
        <w:rPr>
          <w:rFonts w:ascii="DaunPenh" w:eastAsia="Calibri" w:hAnsi="DaunPenh"/>
          <w:rtl/>
        </w:rPr>
        <w:t>פיצוי למתלוננת, ע"ת 4 בסך 1,500 ₪ ₪ שישולם בתוך 60 יום מהיום.</w:t>
      </w:r>
    </w:p>
    <w:p w14:paraId="771E27D4" w14:textId="77777777" w:rsidR="005A62D7" w:rsidRPr="00445BD1" w:rsidRDefault="005A62D7" w:rsidP="005A62D7">
      <w:pPr>
        <w:numPr>
          <w:ilvl w:val="0"/>
          <w:numId w:val="2"/>
        </w:numPr>
        <w:spacing w:after="160" w:line="480" w:lineRule="auto"/>
        <w:contextualSpacing/>
        <w:jc w:val="both"/>
        <w:rPr>
          <w:rFonts w:ascii="DaunPenh" w:eastAsia="Calibri" w:hAnsi="DaunPenh"/>
        </w:rPr>
      </w:pPr>
      <w:r w:rsidRPr="00445BD1">
        <w:rPr>
          <w:rFonts w:ascii="DaunPenh" w:eastAsia="Calibri" w:hAnsi="DaunPenh"/>
          <w:rtl/>
        </w:rPr>
        <w:t>פיצוי למתלונן, ע"ת 5 בסך 2,500 ₪ שישולם בתוך 90 יום מהיום.</w:t>
      </w:r>
    </w:p>
    <w:p w14:paraId="5AEAF8C2" w14:textId="77777777" w:rsidR="005A62D7" w:rsidRPr="00445BD1" w:rsidRDefault="005A62D7" w:rsidP="005A62D7">
      <w:pPr>
        <w:spacing w:after="160" w:line="480" w:lineRule="auto"/>
        <w:ind w:left="720"/>
        <w:jc w:val="both"/>
        <w:rPr>
          <w:rFonts w:ascii="DaunPenh" w:eastAsia="Calibri" w:hAnsi="DaunPenh"/>
          <w:u w:val="single"/>
        </w:rPr>
      </w:pPr>
      <w:r w:rsidRPr="00445BD1">
        <w:rPr>
          <w:rFonts w:ascii="DaunPenh" w:eastAsia="Calibri" w:hAnsi="DaunPenh"/>
          <w:u w:val="single"/>
          <w:rtl/>
        </w:rPr>
        <w:t>צו כללי למוצגים</w:t>
      </w:r>
    </w:p>
    <w:p w14:paraId="0356175A" w14:textId="77777777" w:rsidR="005A62D7" w:rsidRPr="00445BD1" w:rsidRDefault="005A62D7" w:rsidP="005A62D7">
      <w:pPr>
        <w:spacing w:after="160" w:line="480" w:lineRule="auto"/>
        <w:jc w:val="center"/>
        <w:rPr>
          <w:rFonts w:ascii="DaunPenh" w:eastAsia="Calibri" w:hAnsi="DaunPenh"/>
          <w:rtl/>
        </w:rPr>
      </w:pPr>
      <w:r w:rsidRPr="00445BD1">
        <w:rPr>
          <w:rFonts w:ascii="DaunPenh" w:eastAsia="Calibri" w:hAnsi="DaunPenh"/>
          <w:b/>
          <w:bCs/>
          <w:rtl/>
        </w:rPr>
        <w:t>זכות ערעור לבית המשפט המחוזי מרכז –לוד בתוך 45 ימים</w:t>
      </w:r>
    </w:p>
    <w:p w14:paraId="18CA8840" w14:textId="77777777" w:rsidR="005A62D7" w:rsidRPr="009F48A2" w:rsidRDefault="005A62D7" w:rsidP="005A62D7">
      <w:pPr>
        <w:spacing w:after="160" w:line="480" w:lineRule="auto"/>
        <w:jc w:val="both"/>
        <w:rPr>
          <w:rFonts w:ascii="DaunPenh" w:eastAsia="Calibri" w:hAnsi="DaunPenh"/>
          <w:rtl/>
        </w:rPr>
      </w:pPr>
      <w:r w:rsidRPr="009F48A2">
        <w:rPr>
          <w:rFonts w:ascii="DaunPenh" w:eastAsia="Calibri" w:hAnsi="DaunPenh" w:hint="cs"/>
          <w:rtl/>
        </w:rPr>
        <w:t>הנאשם יתייצב לריצוי עונש המאסר בתאריך 26.2.23 בשעה 8:00 בבית הכלא "הדרים"</w:t>
      </w:r>
    </w:p>
    <w:p w14:paraId="2CD9CDB4" w14:textId="77777777" w:rsidR="005A62D7" w:rsidRPr="009F48A2" w:rsidRDefault="005A62D7" w:rsidP="005A62D7">
      <w:pPr>
        <w:spacing w:after="160" w:line="480" w:lineRule="auto"/>
        <w:jc w:val="both"/>
        <w:rPr>
          <w:rFonts w:ascii="DaunPenh" w:eastAsia="Calibri" w:hAnsi="DaunPenh"/>
          <w:rtl/>
        </w:rPr>
      </w:pPr>
      <w:r w:rsidRPr="009F48A2">
        <w:rPr>
          <w:rFonts w:ascii="DaunPenh" w:eastAsia="Calibri" w:hAnsi="DaunPenh" w:hint="cs"/>
          <w:rtl/>
        </w:rPr>
        <w:t>הפקדות וערבויות המצויות בתיק המעצר ישמשו לצורך הבטחת התייצבות הנאשם לריצוי העונש</w:t>
      </w:r>
    </w:p>
    <w:p w14:paraId="3AB52CAF" w14:textId="77777777" w:rsidR="005A62D7" w:rsidRPr="009F48A2" w:rsidRDefault="005A62D7" w:rsidP="005A62D7">
      <w:pPr>
        <w:spacing w:after="160" w:line="480" w:lineRule="auto"/>
        <w:jc w:val="both"/>
        <w:rPr>
          <w:rFonts w:ascii="DaunPenh" w:eastAsia="Calibri" w:hAnsi="DaunPenh"/>
          <w:rtl/>
        </w:rPr>
      </w:pPr>
      <w:r w:rsidRPr="009F48A2">
        <w:rPr>
          <w:rFonts w:ascii="DaunPenh" w:eastAsia="Calibri" w:hAnsi="DaunPenh" w:hint="cs"/>
          <w:rtl/>
        </w:rPr>
        <w:t xml:space="preserve">ניתן צו עיכוב יציאה מהארץ נגד הנאשם, אשר הצהיר כי דרכונו מופקד </w:t>
      </w:r>
      <w:r>
        <w:rPr>
          <w:rFonts w:ascii="DaunPenh" w:eastAsia="Calibri" w:hAnsi="DaunPenh" w:hint="cs"/>
          <w:rtl/>
        </w:rPr>
        <w:t>ב</w:t>
      </w:r>
      <w:r w:rsidRPr="009F48A2">
        <w:rPr>
          <w:rFonts w:ascii="DaunPenh" w:eastAsia="Calibri" w:hAnsi="DaunPenh" w:hint="cs"/>
          <w:rtl/>
        </w:rPr>
        <w:t>משטרה</w:t>
      </w:r>
      <w:r>
        <w:rPr>
          <w:rFonts w:ascii="DaunPenh" w:eastAsia="Calibri" w:hAnsi="DaunPenh" w:hint="cs"/>
          <w:rtl/>
        </w:rPr>
        <w:t>.</w:t>
      </w:r>
    </w:p>
    <w:p w14:paraId="53801B8D" w14:textId="77777777" w:rsidR="005A62D7" w:rsidRPr="00445BD1" w:rsidRDefault="005A62D7" w:rsidP="005A62D7">
      <w:pPr>
        <w:spacing w:after="160" w:line="480" w:lineRule="auto"/>
        <w:jc w:val="both"/>
        <w:rPr>
          <w:rFonts w:ascii="DaunPenh" w:eastAsia="Calibri" w:hAnsi="DaunPenh"/>
          <w:b/>
          <w:bCs/>
        </w:rPr>
      </w:pPr>
    </w:p>
    <w:p w14:paraId="74ADD23A" w14:textId="77777777" w:rsidR="005A62D7" w:rsidRPr="00445BD1" w:rsidRDefault="005A62D7" w:rsidP="005A62D7">
      <w:pPr>
        <w:rPr>
          <w:rFonts w:ascii="Arial" w:hAnsi="Arial"/>
          <w:b/>
          <w:bCs/>
          <w:sz w:val="26"/>
          <w:szCs w:val="26"/>
          <w:rtl/>
        </w:rPr>
      </w:pPr>
    </w:p>
    <w:p w14:paraId="4B66EB63" w14:textId="77777777" w:rsidR="005A62D7" w:rsidRPr="00EE322A" w:rsidRDefault="00EE322A" w:rsidP="005A62D7">
      <w:pPr>
        <w:rPr>
          <w:rFonts w:ascii="Arial" w:hAnsi="Arial"/>
          <w:b/>
          <w:bCs/>
          <w:color w:val="FFFFFF"/>
          <w:sz w:val="2"/>
          <w:szCs w:val="2"/>
          <w:rtl/>
        </w:rPr>
      </w:pPr>
      <w:r w:rsidRPr="00EE322A">
        <w:rPr>
          <w:rFonts w:ascii="Arial" w:hAnsi="Arial"/>
          <w:b/>
          <w:bCs/>
          <w:color w:val="FFFFFF"/>
          <w:sz w:val="2"/>
          <w:szCs w:val="2"/>
          <w:rtl/>
        </w:rPr>
        <w:t>5129371</w:t>
      </w:r>
    </w:p>
    <w:p w14:paraId="46611998" w14:textId="77777777" w:rsidR="005A62D7" w:rsidRPr="00EE322A" w:rsidRDefault="00EE322A" w:rsidP="005A62D7">
      <w:pPr>
        <w:rPr>
          <w:rFonts w:ascii="Arial" w:hAnsi="Arial"/>
          <w:b/>
          <w:bCs/>
          <w:color w:val="FFFFFF"/>
          <w:sz w:val="2"/>
          <w:szCs w:val="2"/>
          <w:rtl/>
        </w:rPr>
      </w:pPr>
      <w:r w:rsidRPr="00EE322A">
        <w:rPr>
          <w:rFonts w:ascii="Arial" w:hAnsi="Arial"/>
          <w:b/>
          <w:bCs/>
          <w:color w:val="FFFFFF"/>
          <w:sz w:val="2"/>
          <w:szCs w:val="2"/>
          <w:rtl/>
        </w:rPr>
        <w:t>54678313</w:t>
      </w:r>
    </w:p>
    <w:p w14:paraId="161FB3E3" w14:textId="77777777" w:rsidR="005A62D7" w:rsidRPr="000F2247" w:rsidRDefault="00EE322A" w:rsidP="005A62D7">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ט"ז טבת תשפ"ג, 09 ינואר 2023, בנוכחות הנאשם וב"כ עו"ד ירון פורר וב"כ </w:t>
      </w:r>
      <w:bookmarkEnd w:id="8"/>
      <w:r w:rsidR="005A62D7">
        <w:rPr>
          <w:rFonts w:ascii="Arial" w:hAnsi="Arial" w:hint="cs"/>
          <w:b/>
          <w:bCs/>
          <w:sz w:val="26"/>
          <w:szCs w:val="26"/>
          <w:rtl/>
        </w:rPr>
        <w:t>המאשימה, עו"ד גל גבאי.</w:t>
      </w:r>
      <w:r w:rsidR="005A62D7" w:rsidRPr="000F2247">
        <w:rPr>
          <w:rFonts w:ascii="Arial" w:hAnsi="Arial"/>
          <w:b/>
          <w:bCs/>
          <w:sz w:val="26"/>
          <w:szCs w:val="26"/>
          <w:rtl/>
        </w:rPr>
        <w:t>.</w:t>
      </w:r>
    </w:p>
    <w:p w14:paraId="5944D2DF" w14:textId="77777777" w:rsidR="005A62D7" w:rsidRPr="000F2247" w:rsidRDefault="005A62D7" w:rsidP="005A62D7">
      <w:pPr>
        <w:rPr>
          <w:rFonts w:ascii="Arial" w:hAnsi="Arial"/>
          <w:b/>
          <w:bCs/>
          <w:sz w:val="26"/>
          <w:szCs w:val="26"/>
          <w:rtl/>
        </w:rPr>
      </w:pPr>
    </w:p>
    <w:p w14:paraId="405A92D2" w14:textId="77777777" w:rsidR="00EE322A" w:rsidRDefault="00EE322A" w:rsidP="00EE322A">
      <w:pPr>
        <w:rPr>
          <w:rtl/>
        </w:rPr>
      </w:pPr>
    </w:p>
    <w:p w14:paraId="6DBF6C03" w14:textId="77777777" w:rsidR="00EE322A" w:rsidRDefault="00EE322A" w:rsidP="00EE322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639F943E" w14:textId="77777777" w:rsidR="00E7045F" w:rsidRPr="00E7045F" w:rsidRDefault="00E7045F" w:rsidP="00E7045F">
      <w:pPr>
        <w:keepNext/>
        <w:rPr>
          <w:rFonts w:ascii="David" w:hAnsi="David"/>
          <w:color w:val="000000"/>
          <w:sz w:val="22"/>
          <w:szCs w:val="22"/>
          <w:rtl/>
        </w:rPr>
      </w:pPr>
    </w:p>
    <w:p w14:paraId="7C06F0C0" w14:textId="77777777" w:rsidR="00E7045F" w:rsidRPr="00E7045F" w:rsidRDefault="00E7045F" w:rsidP="00E7045F">
      <w:pPr>
        <w:keepNext/>
        <w:rPr>
          <w:rFonts w:ascii="David" w:hAnsi="David"/>
          <w:color w:val="000000"/>
          <w:sz w:val="22"/>
          <w:szCs w:val="22"/>
          <w:rtl/>
        </w:rPr>
      </w:pPr>
      <w:r w:rsidRPr="00E7045F">
        <w:rPr>
          <w:rFonts w:ascii="David" w:hAnsi="David"/>
          <w:color w:val="000000"/>
          <w:sz w:val="22"/>
          <w:szCs w:val="22"/>
          <w:rtl/>
        </w:rPr>
        <w:t>דרור קלייטמן 54678313-/</w:t>
      </w:r>
    </w:p>
    <w:p w14:paraId="314EFAF9" w14:textId="77777777" w:rsidR="00EE322A" w:rsidRPr="00EE322A" w:rsidRDefault="00E7045F" w:rsidP="00E7045F">
      <w:pPr>
        <w:rPr>
          <w:color w:val="0000FF"/>
          <w:u w:val="single"/>
        </w:rPr>
      </w:pPr>
      <w:r w:rsidRPr="00E7045F">
        <w:rPr>
          <w:color w:val="000000"/>
          <w:u w:val="single"/>
          <w:rtl/>
        </w:rPr>
        <w:t>נוסח מסמך זה כפוף לשינויי ניסוח ועריכה</w:t>
      </w:r>
    </w:p>
    <w:sectPr w:rsidR="00EE322A" w:rsidRPr="00EE322A" w:rsidSect="00E7045F">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48722" w14:textId="77777777" w:rsidR="002C64CE" w:rsidRDefault="002C64CE" w:rsidP="001A52EA">
      <w:r>
        <w:separator/>
      </w:r>
    </w:p>
  </w:endnote>
  <w:endnote w:type="continuationSeparator" w:id="0">
    <w:p w14:paraId="1E9020D9" w14:textId="77777777" w:rsidR="002C64CE" w:rsidRDefault="002C64CE" w:rsidP="001A5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223EB" w14:textId="77777777" w:rsidR="00E7045F" w:rsidRDefault="00E7045F" w:rsidP="00E7045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98AEF5" w14:textId="77777777" w:rsidR="0019542D" w:rsidRPr="00E7045F" w:rsidRDefault="00E7045F" w:rsidP="00E7045F">
    <w:pPr>
      <w:pStyle w:val="a5"/>
      <w:pBdr>
        <w:top w:val="single" w:sz="4" w:space="1" w:color="auto"/>
        <w:between w:val="single" w:sz="4" w:space="0" w:color="auto"/>
      </w:pBdr>
      <w:spacing w:after="60"/>
      <w:jc w:val="center"/>
      <w:rPr>
        <w:rFonts w:ascii="FrankRuehl" w:hAnsi="FrankRuehl" w:cs="FrankRuehl"/>
        <w:color w:val="000000"/>
      </w:rPr>
    </w:pPr>
    <w:r w:rsidRPr="00E7045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23832" w14:textId="77777777" w:rsidR="00E7045F" w:rsidRDefault="00E7045F" w:rsidP="00E7045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48B3">
      <w:rPr>
        <w:rFonts w:ascii="FrankRuehl" w:hAnsi="FrankRuehl" w:cs="FrankRuehl"/>
        <w:noProof/>
        <w:rtl/>
      </w:rPr>
      <w:t>1</w:t>
    </w:r>
    <w:r>
      <w:rPr>
        <w:rFonts w:ascii="FrankRuehl" w:hAnsi="FrankRuehl" w:cs="FrankRuehl"/>
        <w:rtl/>
      </w:rPr>
      <w:fldChar w:fldCharType="end"/>
    </w:r>
  </w:p>
  <w:p w14:paraId="06A2A032" w14:textId="77777777" w:rsidR="0019542D" w:rsidRPr="00E7045F" w:rsidRDefault="00E7045F" w:rsidP="00E7045F">
    <w:pPr>
      <w:pStyle w:val="a5"/>
      <w:pBdr>
        <w:top w:val="single" w:sz="4" w:space="1" w:color="auto"/>
        <w:between w:val="single" w:sz="4" w:space="0" w:color="auto"/>
      </w:pBdr>
      <w:spacing w:after="60"/>
      <w:jc w:val="center"/>
      <w:rPr>
        <w:rFonts w:ascii="FrankRuehl" w:hAnsi="FrankRuehl" w:cs="FrankRuehl"/>
        <w:color w:val="000000"/>
      </w:rPr>
    </w:pPr>
    <w:r w:rsidRPr="00E7045F">
      <w:rPr>
        <w:rFonts w:ascii="FrankRuehl" w:hAnsi="FrankRuehl" w:cs="FrankRuehl"/>
        <w:color w:val="000000"/>
      </w:rPr>
      <w:pict w14:anchorId="75C85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843DD" w14:textId="77777777" w:rsidR="002C64CE" w:rsidRDefault="002C64CE" w:rsidP="001A52EA">
      <w:r>
        <w:separator/>
      </w:r>
    </w:p>
  </w:footnote>
  <w:footnote w:type="continuationSeparator" w:id="0">
    <w:p w14:paraId="01F1451C" w14:textId="77777777" w:rsidR="002C64CE" w:rsidRDefault="002C64CE" w:rsidP="001A5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D9AAD" w14:textId="77777777" w:rsidR="00EE322A" w:rsidRPr="00E7045F" w:rsidRDefault="00E7045F" w:rsidP="00E704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54257-05-20</w:t>
    </w:r>
    <w:r>
      <w:rPr>
        <w:rFonts w:ascii="David" w:hAnsi="David"/>
        <w:color w:val="000000"/>
        <w:sz w:val="22"/>
        <w:szCs w:val="22"/>
        <w:rtl/>
      </w:rPr>
      <w:tab/>
      <w:t xml:space="preserve"> מדינת ישראל נ' שמואל שקד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1F624" w14:textId="77777777" w:rsidR="00EE322A" w:rsidRPr="00E7045F" w:rsidRDefault="00E7045F" w:rsidP="00E704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54257-05-20</w:t>
    </w:r>
    <w:r>
      <w:rPr>
        <w:rFonts w:ascii="David" w:hAnsi="David"/>
        <w:color w:val="000000"/>
        <w:sz w:val="22"/>
        <w:szCs w:val="22"/>
        <w:rtl/>
      </w:rPr>
      <w:tab/>
      <w:t xml:space="preserve"> מדינת ישראל נ' שמואל שקד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320F4"/>
    <w:multiLevelType w:val="hybridMultilevel"/>
    <w:tmpl w:val="3DB4AFE0"/>
    <w:lvl w:ilvl="0" w:tplc="CFD251D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943526E"/>
    <w:multiLevelType w:val="hybridMultilevel"/>
    <w:tmpl w:val="7B8C1CDE"/>
    <w:lvl w:ilvl="0" w:tplc="0D4A25B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8602462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8792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62D7"/>
    <w:rsid w:val="0019542D"/>
    <w:rsid w:val="001A52EA"/>
    <w:rsid w:val="001B5A3B"/>
    <w:rsid w:val="002C64CE"/>
    <w:rsid w:val="003048B3"/>
    <w:rsid w:val="003278E6"/>
    <w:rsid w:val="003F58FE"/>
    <w:rsid w:val="005A62D7"/>
    <w:rsid w:val="005C1A9B"/>
    <w:rsid w:val="008542A8"/>
    <w:rsid w:val="00860EC1"/>
    <w:rsid w:val="009C7E44"/>
    <w:rsid w:val="00C82D0C"/>
    <w:rsid w:val="00E300F9"/>
    <w:rsid w:val="00E7045F"/>
    <w:rsid w:val="00EE32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9E7CAC"/>
  <w15:chartTrackingRefBased/>
  <w15:docId w15:val="{A9FAADA4-86B6-4693-A6E4-8D2E417D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62D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62D7"/>
    <w:pPr>
      <w:tabs>
        <w:tab w:val="center" w:pos="4153"/>
        <w:tab w:val="right" w:pos="8306"/>
      </w:tabs>
    </w:pPr>
  </w:style>
  <w:style w:type="character" w:customStyle="1" w:styleId="a4">
    <w:name w:val="כותרת עליונה תו"/>
    <w:link w:val="a3"/>
    <w:rsid w:val="005A62D7"/>
    <w:rPr>
      <w:rFonts w:ascii="Times New Roman" w:eastAsia="Times New Roman" w:hAnsi="Times New Roman" w:cs="David"/>
      <w:sz w:val="24"/>
      <w:szCs w:val="24"/>
    </w:rPr>
  </w:style>
  <w:style w:type="paragraph" w:styleId="a5">
    <w:name w:val="footer"/>
    <w:basedOn w:val="a"/>
    <w:link w:val="a6"/>
    <w:rsid w:val="005A62D7"/>
    <w:pPr>
      <w:tabs>
        <w:tab w:val="center" w:pos="4153"/>
        <w:tab w:val="right" w:pos="8306"/>
      </w:tabs>
    </w:pPr>
  </w:style>
  <w:style w:type="character" w:customStyle="1" w:styleId="a6">
    <w:name w:val="כותרת תחתונה תו"/>
    <w:link w:val="a5"/>
    <w:rsid w:val="005A62D7"/>
    <w:rPr>
      <w:rFonts w:ascii="Times New Roman" w:eastAsia="Times New Roman" w:hAnsi="Times New Roman" w:cs="David"/>
      <w:sz w:val="24"/>
      <w:szCs w:val="24"/>
    </w:rPr>
  </w:style>
  <w:style w:type="table" w:styleId="a7">
    <w:name w:val="Table Grid"/>
    <w:basedOn w:val="a1"/>
    <w:rsid w:val="005A62D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62D7"/>
  </w:style>
  <w:style w:type="character" w:styleId="Hyperlink">
    <w:name w:val="Hyperlink"/>
    <w:rsid w:val="00EE3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6.b."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7.a.;7.c" TargetMode="External"/><Relationship Id="rId39" Type="http://schemas.openxmlformats.org/officeDocument/2006/relationships/header" Target="header2.xml"/><Relationship Id="rId21" Type="http://schemas.openxmlformats.org/officeDocument/2006/relationships/hyperlink" Target="http://www.nevo.co.il/law/71553" TargetMode="External"/><Relationship Id="rId34" Type="http://schemas.openxmlformats.org/officeDocument/2006/relationships/hyperlink" Target="http://www.nevo.co.il/case/5887572"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52"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70301/384.a.;29.a"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4" TargetMode="External"/><Relationship Id="rId24" Type="http://schemas.openxmlformats.org/officeDocument/2006/relationships/hyperlink" Target="http://www.nevo.co.il/law/70301/413" TargetMode="External"/><Relationship Id="rId32" Type="http://schemas.openxmlformats.org/officeDocument/2006/relationships/hyperlink" Target="http://www.nevo.co.il/law/70301/45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13"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6.b.;29.a" TargetMode="External"/><Relationship Id="rId36" Type="http://schemas.openxmlformats.org/officeDocument/2006/relationships/hyperlink" Target="http://www.nevo.co.il/law/71553" TargetMode="External"/><Relationship Id="rId10" Type="http://schemas.openxmlformats.org/officeDocument/2006/relationships/hyperlink" Target="http://www.nevo.co.il/law/70301/40d.a"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70301/384;31"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409"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406.b.;31" TargetMode="External"/><Relationship Id="rId35" Type="http://schemas.openxmlformats.org/officeDocument/2006/relationships/hyperlink" Target="http://www.nevo.co.il/law/70301/40d.a" TargetMode="External"/><Relationship Id="rId43" Type="http://schemas.openxmlformats.org/officeDocument/2006/relationships/theme" Target="theme/theme1.xml"/><Relationship Id="rId8" Type="http://schemas.openxmlformats.org/officeDocument/2006/relationships/hyperlink" Target="http://www.nevo.co.il/law/70301/29.a" TargetMode="External"/><Relationship Id="rId3" Type="http://schemas.openxmlformats.org/officeDocument/2006/relationships/settings" Target="settings.xml"/><Relationship Id="rId12" Type="http://schemas.openxmlformats.org/officeDocument/2006/relationships/hyperlink" Target="http://www.nevo.co.il/law/70301/384.a."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409" TargetMode="External"/><Relationship Id="rId33" Type="http://schemas.openxmlformats.org/officeDocument/2006/relationships/hyperlink" Target="http://www.nevo.co.il/law/70301/3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2369</Words>
  <Characters>11846</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14187</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8257634</vt:i4>
      </vt:variant>
      <vt:variant>
        <vt:i4>87</vt:i4>
      </vt:variant>
      <vt:variant>
        <vt:i4>0</vt:i4>
      </vt:variant>
      <vt:variant>
        <vt:i4>5</vt:i4>
      </vt:variant>
      <vt:variant>
        <vt:lpwstr>http://www.nevo.co.il/law/71553</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3801212</vt:i4>
      </vt:variant>
      <vt:variant>
        <vt:i4>81</vt:i4>
      </vt:variant>
      <vt:variant>
        <vt:i4>0</vt:i4>
      </vt:variant>
      <vt:variant>
        <vt:i4>5</vt:i4>
      </vt:variant>
      <vt:variant>
        <vt:lpwstr>http://www.nevo.co.il/case/5887572</vt:lpwstr>
      </vt:variant>
      <vt:variant>
        <vt:lpwstr/>
      </vt:variant>
      <vt:variant>
        <vt:i4>6553702</vt:i4>
      </vt:variant>
      <vt:variant>
        <vt:i4>78</vt:i4>
      </vt:variant>
      <vt:variant>
        <vt:i4>0</vt:i4>
      </vt:variant>
      <vt:variant>
        <vt:i4>5</vt:i4>
      </vt:variant>
      <vt:variant>
        <vt:lpwstr>http://www.nevo.co.il/law/70301/31</vt:lpwstr>
      </vt:variant>
      <vt:variant>
        <vt:lpwstr/>
      </vt:variant>
      <vt:variant>
        <vt:i4>6291553</vt:i4>
      </vt:variant>
      <vt:variant>
        <vt:i4>75</vt:i4>
      </vt:variant>
      <vt:variant>
        <vt:i4>0</vt:i4>
      </vt:variant>
      <vt:variant>
        <vt:i4>5</vt:i4>
      </vt:variant>
      <vt:variant>
        <vt:lpwstr>http://www.nevo.co.il/law/70301/452</vt:lpwstr>
      </vt:variant>
      <vt:variant>
        <vt:lpwstr/>
      </vt:variant>
      <vt:variant>
        <vt:i4>6750305</vt:i4>
      </vt:variant>
      <vt:variant>
        <vt:i4>72</vt:i4>
      </vt:variant>
      <vt:variant>
        <vt:i4>0</vt:i4>
      </vt:variant>
      <vt:variant>
        <vt:i4>5</vt:i4>
      </vt:variant>
      <vt:variant>
        <vt:lpwstr>http://www.nevo.co.il/law/70301/384;31</vt:lpwstr>
      </vt:variant>
      <vt:variant>
        <vt:lpwstr/>
      </vt:variant>
      <vt:variant>
        <vt:i4>5636110</vt:i4>
      </vt:variant>
      <vt:variant>
        <vt:i4>69</vt:i4>
      </vt:variant>
      <vt:variant>
        <vt:i4>0</vt:i4>
      </vt:variant>
      <vt:variant>
        <vt:i4>5</vt:i4>
      </vt:variant>
      <vt:variant>
        <vt:lpwstr>http://www.nevo.co.il/law/70301/406.b.;31</vt:lpwstr>
      </vt:variant>
      <vt:variant>
        <vt:lpwstr/>
      </vt:variant>
      <vt:variant>
        <vt:i4>7405617</vt:i4>
      </vt:variant>
      <vt:variant>
        <vt:i4>66</vt:i4>
      </vt:variant>
      <vt:variant>
        <vt:i4>0</vt:i4>
      </vt:variant>
      <vt:variant>
        <vt:i4>5</vt:i4>
      </vt:variant>
      <vt:variant>
        <vt:lpwstr>http://www.nevo.co.il/law/70301/384.a.;29.a</vt:lpwstr>
      </vt:variant>
      <vt:variant>
        <vt:lpwstr/>
      </vt:variant>
      <vt:variant>
        <vt:i4>7929911</vt:i4>
      </vt:variant>
      <vt:variant>
        <vt:i4>63</vt:i4>
      </vt:variant>
      <vt:variant>
        <vt:i4>0</vt:i4>
      </vt:variant>
      <vt:variant>
        <vt:i4>5</vt:i4>
      </vt:variant>
      <vt:variant>
        <vt:lpwstr>http://www.nevo.co.il/law/70301/406.b.;29.a</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6619233</vt:i4>
      </vt:variant>
      <vt:variant>
        <vt:i4>54</vt:i4>
      </vt:variant>
      <vt:variant>
        <vt:i4>0</vt:i4>
      </vt:variant>
      <vt:variant>
        <vt:i4>5</vt:i4>
      </vt:variant>
      <vt:variant>
        <vt:lpwstr>http://www.nevo.co.il/law/70301/409</vt:lpwstr>
      </vt:variant>
      <vt:variant>
        <vt:lpwstr/>
      </vt:variant>
      <vt:variant>
        <vt:i4>6553697</vt:i4>
      </vt:variant>
      <vt:variant>
        <vt:i4>51</vt:i4>
      </vt:variant>
      <vt:variant>
        <vt:i4>0</vt:i4>
      </vt:variant>
      <vt:variant>
        <vt:i4>5</vt:i4>
      </vt:variant>
      <vt:variant>
        <vt:lpwstr>http://www.nevo.co.il/law/70301/413</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8257634</vt:i4>
      </vt:variant>
      <vt:variant>
        <vt:i4>42</vt:i4>
      </vt:variant>
      <vt:variant>
        <vt:i4>0</vt:i4>
      </vt:variant>
      <vt:variant>
        <vt:i4>5</vt:i4>
      </vt:variant>
      <vt:variant>
        <vt:lpwstr>http://www.nevo.co.il/law/71553</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6553697</vt:i4>
      </vt:variant>
      <vt:variant>
        <vt:i4>24</vt:i4>
      </vt:variant>
      <vt:variant>
        <vt:i4>0</vt:i4>
      </vt:variant>
      <vt:variant>
        <vt:i4>5</vt:i4>
      </vt:variant>
      <vt:variant>
        <vt:lpwstr>http://www.nevo.co.il/law/70301/413</vt:lpwstr>
      </vt:variant>
      <vt:variant>
        <vt:lpwstr/>
      </vt:variant>
      <vt:variant>
        <vt:i4>6619233</vt:i4>
      </vt:variant>
      <vt:variant>
        <vt:i4>21</vt:i4>
      </vt:variant>
      <vt:variant>
        <vt:i4>0</vt:i4>
      </vt:variant>
      <vt:variant>
        <vt:i4>5</vt:i4>
      </vt:variant>
      <vt:variant>
        <vt:lpwstr>http://www.nevo.co.il/law/70301/409</vt:lpwstr>
      </vt:variant>
      <vt:variant>
        <vt:lpwstr/>
      </vt:variant>
      <vt:variant>
        <vt:i4>6619189</vt:i4>
      </vt:variant>
      <vt:variant>
        <vt:i4>18</vt:i4>
      </vt:variant>
      <vt:variant>
        <vt:i4>0</vt:i4>
      </vt:variant>
      <vt:variant>
        <vt:i4>5</vt:i4>
      </vt:variant>
      <vt:variant>
        <vt:lpwstr>http://www.nevo.co.il/law/70301/406.b.</vt:lpwstr>
      </vt:variant>
      <vt:variant>
        <vt:lpwstr/>
      </vt:variant>
      <vt:variant>
        <vt:i4>7143475</vt:i4>
      </vt:variant>
      <vt:variant>
        <vt:i4>15</vt:i4>
      </vt:variant>
      <vt:variant>
        <vt:i4>0</vt:i4>
      </vt:variant>
      <vt:variant>
        <vt:i4>5</vt:i4>
      </vt:variant>
      <vt:variant>
        <vt:lpwstr>http://www.nevo.co.il/law/70301/384.a.</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2025-04-23T00:35:00Z</dcterms:created>
  <dcterms:modified xsi:type="dcterms:W3CDTF">2025-04-23T00:35:00Z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54257</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שמואל שקד</vt:lpwstr>
  </property>
  <property fmtid="{D5CDD505-2E9C-101B-9397-08002B2CF9AE}" pid="10" name="LAWYER">
    <vt:lpwstr>קרין שטרית;ירון פורר</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20230109</vt:lpwstr>
  </property>
  <property fmtid="{D5CDD505-2E9C-101B-9397-08002B2CF9AE}" pid="14" name="TYPE_N_DATE">
    <vt:lpwstr>38020230109</vt:lpwstr>
  </property>
  <property fmtid="{D5CDD505-2E9C-101B-9397-08002B2CF9AE}" pid="15" name="WORDNUMPAGES">
    <vt:lpwstr>8</vt:lpwstr>
  </property>
  <property fmtid="{D5CDD505-2E9C-101B-9397-08002B2CF9AE}" pid="16" name="TYPE_ABS_DATE">
    <vt:lpwstr>380020230109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5887572</vt:lpwstr>
  </property>
  <property fmtid="{D5CDD505-2E9C-101B-9397-08002B2CF9AE}" pid="36" name="LAWLISTTMP1">
    <vt:lpwstr>70301/499.a.1;413;409;406.b:2;029.a:2;384.a;031:3;384;452;040d.a</vt:lpwstr>
  </property>
  <property fmtid="{D5CDD505-2E9C-101B-9397-08002B2CF9AE}" pid="37" name="LAWLISTTMP2">
    <vt:lpwstr>4216/007.a;007.c</vt:lpwstr>
  </property>
  <property fmtid="{D5CDD505-2E9C-101B-9397-08002B2CF9AE}" pid="38" name="LAWLISTTMP3">
    <vt:lpwstr>71553</vt:lpwstr>
  </property>
</Properties>
</file>