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7D1F84" w:rsidRPr="00770144" w14:paraId="05D23D40" w14:textId="77777777" w:rsidTr="00AB1191">
        <w:trPr>
          <w:trHeight w:hRule="exact" w:val="418"/>
          <w:jc w:val="center"/>
        </w:trPr>
        <w:tc>
          <w:tcPr>
            <w:tcW w:w="8523" w:type="dxa"/>
            <w:gridSpan w:val="2"/>
          </w:tcPr>
          <w:p w14:paraId="5FD4E7EC" w14:textId="77777777" w:rsidR="007D1F84" w:rsidRPr="00770144" w:rsidRDefault="007D1F84" w:rsidP="006A0201">
            <w:pPr>
              <w:pStyle w:val="a3"/>
              <w:jc w:val="center"/>
              <w:rPr>
                <w:rFonts w:ascii="Tahoma" w:hAnsi="Tahoma"/>
                <w:color w:val="000080"/>
                <w:sz w:val="32"/>
                <w:szCs w:val="32"/>
                <w:rtl/>
              </w:rPr>
            </w:pPr>
            <w:bookmarkStart w:id="0" w:name="LastJudge"/>
            <w:r w:rsidRPr="00770144">
              <w:rPr>
                <w:rFonts w:ascii="Tahoma" w:hAnsi="Tahoma"/>
                <w:b/>
                <w:bCs/>
                <w:color w:val="000080"/>
                <w:sz w:val="32"/>
                <w:szCs w:val="32"/>
                <w:rtl/>
              </w:rPr>
              <w:t>בית משפט השלום בתל אביב - יפו</w:t>
            </w:r>
          </w:p>
        </w:tc>
      </w:tr>
      <w:tr w:rsidR="007D1F84" w:rsidRPr="00770144" w14:paraId="179348BC" w14:textId="77777777" w:rsidTr="00AB1191">
        <w:trPr>
          <w:trHeight w:val="337"/>
          <w:jc w:val="center"/>
        </w:trPr>
        <w:tc>
          <w:tcPr>
            <w:tcW w:w="4945" w:type="dxa"/>
          </w:tcPr>
          <w:p w14:paraId="6D848508" w14:textId="77777777" w:rsidR="007D1F84" w:rsidRPr="00770144" w:rsidRDefault="007D1F84" w:rsidP="006A0201">
            <w:pPr>
              <w:rPr>
                <w:sz w:val="26"/>
                <w:szCs w:val="26"/>
                <w:rtl/>
              </w:rPr>
            </w:pPr>
            <w:r w:rsidRPr="00770144">
              <w:rPr>
                <w:sz w:val="26"/>
                <w:szCs w:val="26"/>
                <w:rtl/>
              </w:rPr>
              <w:t>ת"פ</w:t>
            </w:r>
            <w:r w:rsidRPr="00770144">
              <w:rPr>
                <w:rFonts w:hint="cs"/>
                <w:sz w:val="26"/>
                <w:szCs w:val="26"/>
                <w:rtl/>
              </w:rPr>
              <w:t xml:space="preserve"> </w:t>
            </w:r>
            <w:r w:rsidRPr="00770144">
              <w:rPr>
                <w:sz w:val="26"/>
                <w:szCs w:val="26"/>
                <w:rtl/>
              </w:rPr>
              <w:t>55185-05-20</w:t>
            </w:r>
            <w:r w:rsidRPr="00770144">
              <w:rPr>
                <w:rFonts w:hint="cs"/>
                <w:sz w:val="26"/>
                <w:szCs w:val="26"/>
                <w:rtl/>
              </w:rPr>
              <w:t xml:space="preserve"> </w:t>
            </w:r>
            <w:r w:rsidRPr="00770144">
              <w:rPr>
                <w:sz w:val="26"/>
                <w:szCs w:val="26"/>
                <w:rtl/>
              </w:rPr>
              <w:t>מדינת ישראל נ' כשכש</w:t>
            </w:r>
          </w:p>
        </w:tc>
        <w:tc>
          <w:tcPr>
            <w:tcW w:w="3578" w:type="dxa"/>
          </w:tcPr>
          <w:p w14:paraId="0FF07A5F" w14:textId="77777777" w:rsidR="007D1F84" w:rsidRPr="00770144" w:rsidRDefault="007D1F84" w:rsidP="006A0201">
            <w:pPr>
              <w:pStyle w:val="a3"/>
              <w:jc w:val="right"/>
              <w:rPr>
                <w:rFonts w:cs="FrankRuehl"/>
                <w:sz w:val="28"/>
                <w:szCs w:val="28"/>
                <w:rtl/>
              </w:rPr>
            </w:pPr>
          </w:p>
        </w:tc>
      </w:tr>
    </w:tbl>
    <w:p w14:paraId="085A0CF2" w14:textId="77777777" w:rsidR="007D1F84" w:rsidRPr="00770144" w:rsidRDefault="007D1F84" w:rsidP="007D1F84">
      <w:pPr>
        <w:pStyle w:val="a3"/>
        <w:rPr>
          <w:rtl/>
        </w:rPr>
      </w:pPr>
      <w:r w:rsidRPr="00770144">
        <w:rPr>
          <w:rFonts w:hint="cs"/>
          <w:rtl/>
        </w:rPr>
        <w:t xml:space="preserve"> </w:t>
      </w:r>
    </w:p>
    <w:p w14:paraId="01AF5FAF" w14:textId="77777777" w:rsidR="007D1F84" w:rsidRPr="00770144" w:rsidRDefault="007D1F84" w:rsidP="007D1F84">
      <w:pPr>
        <w:rPr>
          <w:rtl/>
        </w:rPr>
      </w:pPr>
    </w:p>
    <w:p w14:paraId="3FF65FCA" w14:textId="77777777" w:rsidR="007D1F84" w:rsidRPr="00770144" w:rsidRDefault="007D1F84" w:rsidP="007D1F8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32"/>
        <w:gridCol w:w="3393"/>
      </w:tblGrid>
      <w:tr w:rsidR="007D1F84" w:rsidRPr="00770144" w14:paraId="600F74CF" w14:textId="77777777" w:rsidTr="007D1F84">
        <w:trPr>
          <w:trHeight w:val="295"/>
          <w:jc w:val="center"/>
        </w:trPr>
        <w:tc>
          <w:tcPr>
            <w:tcW w:w="8820" w:type="dxa"/>
            <w:gridSpan w:val="3"/>
            <w:tcBorders>
              <w:top w:val="nil"/>
              <w:left w:val="nil"/>
              <w:bottom w:val="nil"/>
              <w:right w:val="nil"/>
            </w:tcBorders>
            <w:shd w:val="clear" w:color="auto" w:fill="auto"/>
          </w:tcPr>
          <w:p w14:paraId="69C5B075" w14:textId="77777777" w:rsidR="007D1F84" w:rsidRPr="00770144" w:rsidRDefault="007D1F84" w:rsidP="007D1F84">
            <w:pPr>
              <w:jc w:val="both"/>
              <w:rPr>
                <w:rFonts w:ascii="Arial" w:hAnsi="Arial"/>
                <w:b/>
                <w:bCs/>
                <w:sz w:val="26"/>
                <w:szCs w:val="26"/>
              </w:rPr>
            </w:pPr>
            <w:r w:rsidRPr="00770144">
              <w:rPr>
                <w:rFonts w:ascii="Arial" w:hAnsi="Arial" w:hint="cs"/>
                <w:b/>
                <w:bCs/>
                <w:sz w:val="26"/>
                <w:szCs w:val="26"/>
                <w:rtl/>
              </w:rPr>
              <w:t>ל</w:t>
            </w:r>
            <w:r w:rsidRPr="00770144">
              <w:rPr>
                <w:rFonts w:ascii="Arial" w:hAnsi="Arial"/>
                <w:b/>
                <w:bCs/>
                <w:sz w:val="26"/>
                <w:szCs w:val="26"/>
                <w:rtl/>
              </w:rPr>
              <w:t xml:space="preserve">פני </w:t>
            </w:r>
            <w:r w:rsidRPr="00770144">
              <w:rPr>
                <w:rFonts w:ascii="Arial" w:hAnsi="Arial" w:hint="cs"/>
                <w:b/>
                <w:bCs/>
                <w:sz w:val="26"/>
                <w:szCs w:val="26"/>
                <w:rtl/>
              </w:rPr>
              <w:t>כבוד ה</w:t>
            </w:r>
            <w:r w:rsidRPr="00770144">
              <w:rPr>
                <w:rFonts w:ascii="Arial" w:hAnsi="Arial"/>
                <w:b/>
                <w:bCs/>
                <w:sz w:val="26"/>
                <w:szCs w:val="26"/>
                <w:rtl/>
              </w:rPr>
              <w:t>שופט</w:t>
            </w:r>
            <w:r w:rsidRPr="00770144">
              <w:rPr>
                <w:rFonts w:ascii="Arial" w:hAnsi="Arial" w:hint="cs"/>
                <w:b/>
                <w:bCs/>
                <w:sz w:val="26"/>
                <w:szCs w:val="26"/>
                <w:rtl/>
              </w:rPr>
              <w:t xml:space="preserve">  </w:t>
            </w:r>
            <w:r w:rsidRPr="00770144">
              <w:rPr>
                <w:rFonts w:ascii="Arial" w:hAnsi="Arial"/>
                <w:b/>
                <w:bCs/>
                <w:sz w:val="26"/>
                <w:szCs w:val="26"/>
                <w:rtl/>
              </w:rPr>
              <w:t>עלאא מסארווה</w:t>
            </w:r>
          </w:p>
        </w:tc>
      </w:tr>
      <w:tr w:rsidR="007D1F84" w:rsidRPr="00770144" w14:paraId="7394096F" w14:textId="77777777" w:rsidTr="007D1F84">
        <w:trPr>
          <w:trHeight w:val="355"/>
          <w:jc w:val="center"/>
        </w:trPr>
        <w:tc>
          <w:tcPr>
            <w:tcW w:w="885" w:type="dxa"/>
            <w:tcBorders>
              <w:top w:val="nil"/>
              <w:left w:val="nil"/>
              <w:bottom w:val="nil"/>
              <w:right w:val="nil"/>
            </w:tcBorders>
            <w:shd w:val="clear" w:color="auto" w:fill="auto"/>
          </w:tcPr>
          <w:p w14:paraId="4C011026" w14:textId="77777777" w:rsidR="007D1F84" w:rsidRPr="00770144" w:rsidRDefault="007D1F84" w:rsidP="007D1F84">
            <w:pPr>
              <w:jc w:val="both"/>
              <w:rPr>
                <w:rFonts w:ascii="Arial" w:hAnsi="Arial"/>
                <w:b/>
                <w:bCs/>
                <w:sz w:val="26"/>
                <w:szCs w:val="26"/>
              </w:rPr>
            </w:pPr>
            <w:bookmarkStart w:id="1" w:name="FirstAppellant"/>
            <w:bookmarkStart w:id="2" w:name="FirstLawyer"/>
            <w:r w:rsidRPr="00770144">
              <w:rPr>
                <w:rFonts w:ascii="Arial" w:hAnsi="Arial" w:hint="cs"/>
                <w:sz w:val="26"/>
                <w:szCs w:val="26"/>
                <w:rtl/>
              </w:rPr>
              <w:t>ה</w:t>
            </w:r>
            <w:r w:rsidRPr="00770144">
              <w:rPr>
                <w:rFonts w:ascii="Arial" w:hAnsi="Arial"/>
                <w:sz w:val="26"/>
                <w:szCs w:val="26"/>
                <w:rtl/>
              </w:rPr>
              <w:t>מאשימה</w:t>
            </w:r>
          </w:p>
        </w:tc>
        <w:tc>
          <w:tcPr>
            <w:tcW w:w="4384" w:type="dxa"/>
            <w:tcBorders>
              <w:top w:val="nil"/>
              <w:left w:val="nil"/>
              <w:bottom w:val="nil"/>
              <w:right w:val="nil"/>
            </w:tcBorders>
            <w:shd w:val="clear" w:color="auto" w:fill="auto"/>
          </w:tcPr>
          <w:p w14:paraId="5FD571AC" w14:textId="77777777" w:rsidR="007D1F84" w:rsidRPr="00770144" w:rsidRDefault="007D1F84" w:rsidP="006A0201">
            <w:pPr>
              <w:rPr>
                <w:sz w:val="26"/>
                <w:szCs w:val="26"/>
                <w:rtl/>
              </w:rPr>
            </w:pPr>
            <w:r w:rsidRPr="00770144">
              <w:rPr>
                <w:rFonts w:ascii="Arial" w:hAnsi="Arial"/>
                <w:sz w:val="26"/>
                <w:szCs w:val="26"/>
                <w:rtl/>
              </w:rPr>
              <w:t>מדינת ישראל</w:t>
            </w:r>
          </w:p>
          <w:p w14:paraId="1A76B498" w14:textId="77777777" w:rsidR="007D1F84" w:rsidRPr="00770144" w:rsidRDefault="007D1F84" w:rsidP="006A0201">
            <w:pPr>
              <w:rPr>
                <w:sz w:val="26"/>
                <w:szCs w:val="26"/>
              </w:rPr>
            </w:pPr>
            <w:r w:rsidRPr="00770144">
              <w:rPr>
                <w:rFonts w:hint="cs"/>
                <w:sz w:val="26"/>
                <w:szCs w:val="26"/>
                <w:rtl/>
              </w:rPr>
              <w:t>ע"י ב"כ עו"ד לינור מימון והמתמחה ליטל שירי</w:t>
            </w:r>
          </w:p>
        </w:tc>
        <w:tc>
          <w:tcPr>
            <w:tcW w:w="3551" w:type="dxa"/>
            <w:tcBorders>
              <w:top w:val="nil"/>
              <w:left w:val="nil"/>
              <w:bottom w:val="nil"/>
              <w:right w:val="nil"/>
            </w:tcBorders>
            <w:shd w:val="clear" w:color="auto" w:fill="auto"/>
          </w:tcPr>
          <w:p w14:paraId="56FAEE47" w14:textId="77777777" w:rsidR="007D1F84" w:rsidRPr="00770144" w:rsidRDefault="007D1F84" w:rsidP="007D1F84">
            <w:pPr>
              <w:jc w:val="both"/>
              <w:rPr>
                <w:rFonts w:ascii="Arial" w:hAnsi="Arial"/>
                <w:sz w:val="26"/>
                <w:szCs w:val="26"/>
              </w:rPr>
            </w:pPr>
          </w:p>
        </w:tc>
      </w:tr>
      <w:bookmarkEnd w:id="1"/>
      <w:bookmarkEnd w:id="2"/>
      <w:tr w:rsidR="007D1F84" w:rsidRPr="00770144" w14:paraId="0DE5D7F6" w14:textId="77777777" w:rsidTr="007D1F84">
        <w:trPr>
          <w:trHeight w:val="373"/>
          <w:jc w:val="center"/>
        </w:trPr>
        <w:tc>
          <w:tcPr>
            <w:tcW w:w="885" w:type="dxa"/>
            <w:tcBorders>
              <w:top w:val="nil"/>
              <w:left w:val="nil"/>
              <w:bottom w:val="nil"/>
              <w:right w:val="nil"/>
            </w:tcBorders>
            <w:shd w:val="clear" w:color="auto" w:fill="auto"/>
          </w:tcPr>
          <w:p w14:paraId="113AD9E5" w14:textId="77777777" w:rsidR="007D1F84" w:rsidRPr="00770144" w:rsidRDefault="007D1F84" w:rsidP="007D1F84">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19C5CF54" w14:textId="77777777" w:rsidR="007D1F84" w:rsidRPr="00770144" w:rsidRDefault="007D1F84" w:rsidP="007D1F84">
            <w:pPr>
              <w:jc w:val="center"/>
              <w:rPr>
                <w:rFonts w:ascii="Arial" w:hAnsi="Arial"/>
                <w:b/>
                <w:bCs/>
                <w:sz w:val="26"/>
                <w:szCs w:val="26"/>
                <w:rtl/>
              </w:rPr>
            </w:pPr>
          </w:p>
          <w:p w14:paraId="54AF98A4" w14:textId="77777777" w:rsidR="007D1F84" w:rsidRPr="00770144" w:rsidRDefault="007D1F84" w:rsidP="007D1F84">
            <w:pPr>
              <w:jc w:val="center"/>
              <w:rPr>
                <w:rFonts w:ascii="Arial" w:hAnsi="Arial"/>
                <w:b/>
                <w:bCs/>
                <w:sz w:val="26"/>
                <w:szCs w:val="26"/>
                <w:rtl/>
              </w:rPr>
            </w:pPr>
            <w:r w:rsidRPr="00770144">
              <w:rPr>
                <w:rFonts w:ascii="Arial" w:hAnsi="Arial"/>
                <w:b/>
                <w:bCs/>
                <w:sz w:val="26"/>
                <w:szCs w:val="26"/>
                <w:rtl/>
              </w:rPr>
              <w:t>נגד</w:t>
            </w:r>
          </w:p>
          <w:p w14:paraId="6F7F9E39" w14:textId="77777777" w:rsidR="007D1F84" w:rsidRPr="00770144" w:rsidRDefault="007D1F84" w:rsidP="007D1F84">
            <w:pPr>
              <w:jc w:val="both"/>
              <w:rPr>
                <w:rFonts w:ascii="Arial" w:hAnsi="Arial"/>
                <w:sz w:val="26"/>
                <w:szCs w:val="26"/>
              </w:rPr>
            </w:pPr>
          </w:p>
        </w:tc>
      </w:tr>
      <w:tr w:rsidR="007D1F84" w:rsidRPr="00770144" w14:paraId="5FC1BF9A" w14:textId="77777777" w:rsidTr="007D1F84">
        <w:trPr>
          <w:trHeight w:val="355"/>
          <w:jc w:val="center"/>
        </w:trPr>
        <w:tc>
          <w:tcPr>
            <w:tcW w:w="885" w:type="dxa"/>
            <w:tcBorders>
              <w:top w:val="nil"/>
              <w:left w:val="nil"/>
              <w:bottom w:val="nil"/>
              <w:right w:val="nil"/>
            </w:tcBorders>
            <w:shd w:val="clear" w:color="auto" w:fill="auto"/>
          </w:tcPr>
          <w:p w14:paraId="459AB788" w14:textId="77777777" w:rsidR="007D1F84" w:rsidRPr="00770144" w:rsidRDefault="007D1F84" w:rsidP="006A0201">
            <w:pPr>
              <w:rPr>
                <w:rFonts w:ascii="Arial" w:hAnsi="Arial"/>
                <w:sz w:val="26"/>
                <w:szCs w:val="26"/>
                <w:rtl/>
              </w:rPr>
            </w:pPr>
            <w:r w:rsidRPr="00770144">
              <w:rPr>
                <w:rFonts w:ascii="Arial" w:hAnsi="Arial" w:hint="cs"/>
                <w:sz w:val="26"/>
                <w:szCs w:val="26"/>
                <w:rtl/>
              </w:rPr>
              <w:t>ה</w:t>
            </w:r>
            <w:r w:rsidRPr="00770144">
              <w:rPr>
                <w:rFonts w:ascii="Arial" w:hAnsi="Arial"/>
                <w:sz w:val="26"/>
                <w:szCs w:val="26"/>
                <w:rtl/>
              </w:rPr>
              <w:t>נאשמים</w:t>
            </w:r>
          </w:p>
        </w:tc>
        <w:tc>
          <w:tcPr>
            <w:tcW w:w="4384" w:type="dxa"/>
            <w:tcBorders>
              <w:top w:val="nil"/>
              <w:left w:val="nil"/>
              <w:bottom w:val="nil"/>
              <w:right w:val="nil"/>
            </w:tcBorders>
            <w:shd w:val="clear" w:color="auto" w:fill="auto"/>
          </w:tcPr>
          <w:p w14:paraId="5B7FBAF7" w14:textId="77777777" w:rsidR="007D1F84" w:rsidRPr="00770144" w:rsidRDefault="007D1F84" w:rsidP="006A0201">
            <w:pPr>
              <w:rPr>
                <w:sz w:val="26"/>
                <w:szCs w:val="26"/>
                <w:rtl/>
              </w:rPr>
            </w:pPr>
            <w:r w:rsidRPr="00770144">
              <w:rPr>
                <w:rFonts w:ascii="Arial" w:hAnsi="Arial"/>
                <w:sz w:val="26"/>
                <w:szCs w:val="26"/>
                <w:rtl/>
              </w:rPr>
              <w:t>מאיר כשכש</w:t>
            </w:r>
          </w:p>
          <w:p w14:paraId="4E347869" w14:textId="77777777" w:rsidR="007D1F84" w:rsidRPr="00770144" w:rsidRDefault="007D1F84" w:rsidP="006A0201">
            <w:pPr>
              <w:rPr>
                <w:sz w:val="26"/>
                <w:szCs w:val="26"/>
                <w:rtl/>
              </w:rPr>
            </w:pPr>
            <w:r w:rsidRPr="00770144">
              <w:rPr>
                <w:rFonts w:hint="cs"/>
                <w:sz w:val="26"/>
                <w:szCs w:val="26"/>
                <w:rtl/>
              </w:rPr>
              <w:t>ע"י ב"כ עו"ד טלי חזום</w:t>
            </w:r>
          </w:p>
        </w:tc>
        <w:tc>
          <w:tcPr>
            <w:tcW w:w="3551" w:type="dxa"/>
            <w:tcBorders>
              <w:top w:val="nil"/>
              <w:left w:val="nil"/>
              <w:bottom w:val="nil"/>
              <w:right w:val="nil"/>
            </w:tcBorders>
            <w:shd w:val="clear" w:color="auto" w:fill="auto"/>
          </w:tcPr>
          <w:p w14:paraId="4DFC3673" w14:textId="77777777" w:rsidR="007D1F84" w:rsidRPr="00770144" w:rsidRDefault="007D1F84" w:rsidP="007D1F84">
            <w:pPr>
              <w:jc w:val="right"/>
              <w:rPr>
                <w:rFonts w:ascii="Arial" w:hAnsi="Arial"/>
                <w:sz w:val="26"/>
                <w:szCs w:val="26"/>
              </w:rPr>
            </w:pPr>
          </w:p>
        </w:tc>
      </w:tr>
    </w:tbl>
    <w:p w14:paraId="26E07161" w14:textId="77777777" w:rsidR="00AB1191" w:rsidRPr="00AB1191" w:rsidRDefault="00AB1191" w:rsidP="00AB1191">
      <w:pPr>
        <w:spacing w:before="120" w:after="120" w:line="240" w:lineRule="exact"/>
        <w:ind w:left="283" w:hanging="283"/>
        <w:jc w:val="both"/>
        <w:rPr>
          <w:rFonts w:ascii="FrankRuehl" w:hAnsi="FrankRuehl" w:cs="FrankRuehl"/>
          <w:rtl/>
        </w:rPr>
      </w:pPr>
    </w:p>
    <w:p w14:paraId="0B6A6870" w14:textId="77777777" w:rsidR="00C732E9" w:rsidRPr="00C732E9" w:rsidRDefault="00C732E9" w:rsidP="00C732E9">
      <w:pPr>
        <w:spacing w:before="120" w:after="120" w:line="240" w:lineRule="exact"/>
        <w:ind w:left="283" w:hanging="283"/>
        <w:jc w:val="both"/>
        <w:rPr>
          <w:rFonts w:ascii="FrankRuehl" w:hAnsi="FrankRuehl" w:cs="FrankRuehl"/>
          <w:rtl/>
        </w:rPr>
      </w:pPr>
    </w:p>
    <w:p w14:paraId="0C354E22" w14:textId="77777777" w:rsidR="00421448" w:rsidRDefault="00421448" w:rsidP="00421448">
      <w:pPr>
        <w:rPr>
          <w:rtl/>
        </w:rPr>
      </w:pPr>
      <w:bookmarkStart w:id="3" w:name="LawTable"/>
      <w:bookmarkEnd w:id="3"/>
    </w:p>
    <w:p w14:paraId="74031FBA" w14:textId="77777777" w:rsidR="00421448" w:rsidRPr="00421448" w:rsidRDefault="00421448" w:rsidP="00421448">
      <w:pPr>
        <w:spacing w:before="120" w:after="120" w:line="240" w:lineRule="exact"/>
        <w:ind w:left="283" w:hanging="283"/>
        <w:jc w:val="both"/>
        <w:rPr>
          <w:rFonts w:ascii="FrankRuehl" w:hAnsi="FrankRuehl" w:cs="FrankRuehl"/>
          <w:rtl/>
        </w:rPr>
      </w:pPr>
    </w:p>
    <w:p w14:paraId="36E5174F" w14:textId="77777777" w:rsidR="00421448" w:rsidRPr="00421448" w:rsidRDefault="00421448" w:rsidP="00421448">
      <w:pPr>
        <w:spacing w:before="120" w:after="120" w:line="240" w:lineRule="exact"/>
        <w:ind w:left="283" w:hanging="283"/>
        <w:jc w:val="both"/>
        <w:rPr>
          <w:rFonts w:ascii="FrankRuehl" w:hAnsi="FrankRuehl" w:cs="FrankRuehl"/>
          <w:rtl/>
        </w:rPr>
      </w:pPr>
    </w:p>
    <w:p w14:paraId="0DBC0B8B" w14:textId="77777777" w:rsidR="00421448" w:rsidRPr="00421448" w:rsidRDefault="00421448" w:rsidP="00421448">
      <w:pPr>
        <w:spacing w:before="120" w:after="120" w:line="240" w:lineRule="exact"/>
        <w:ind w:left="283" w:hanging="283"/>
        <w:jc w:val="both"/>
        <w:rPr>
          <w:rFonts w:ascii="FrankRuehl" w:hAnsi="FrankRuehl" w:cs="FrankRuehl"/>
          <w:rtl/>
        </w:rPr>
      </w:pPr>
      <w:r w:rsidRPr="00421448">
        <w:rPr>
          <w:rFonts w:ascii="FrankRuehl" w:hAnsi="FrankRuehl" w:cs="FrankRuehl"/>
          <w:rtl/>
        </w:rPr>
        <w:t xml:space="preserve">חקיקה שאוזכרה: </w:t>
      </w:r>
    </w:p>
    <w:p w14:paraId="02137ECF" w14:textId="77777777" w:rsidR="00421448" w:rsidRPr="00421448" w:rsidRDefault="00421448" w:rsidP="00421448">
      <w:pPr>
        <w:spacing w:before="120" w:after="120" w:line="240" w:lineRule="exact"/>
        <w:ind w:left="283" w:hanging="283"/>
        <w:jc w:val="both"/>
        <w:rPr>
          <w:rFonts w:ascii="FrankRuehl" w:hAnsi="FrankRuehl" w:cs="FrankRuehl"/>
          <w:rtl/>
        </w:rPr>
      </w:pPr>
      <w:hyperlink r:id="rId7" w:history="1">
        <w:r w:rsidRPr="00421448">
          <w:rPr>
            <w:rFonts w:ascii="FrankRuehl" w:hAnsi="FrankRuehl" w:cs="FrankRuehl"/>
            <w:color w:val="0000FF"/>
            <w:rtl/>
          </w:rPr>
          <w:t>פקודת הסמים המסוכנים [נוסח חדש], תשל"ג-1973</w:t>
        </w:r>
      </w:hyperlink>
      <w:r w:rsidRPr="00421448">
        <w:rPr>
          <w:rFonts w:ascii="FrankRuehl" w:hAnsi="FrankRuehl" w:cs="FrankRuehl"/>
          <w:rtl/>
        </w:rPr>
        <w:t xml:space="preserve">: סע'  </w:t>
      </w:r>
      <w:hyperlink r:id="rId8" w:history="1">
        <w:r w:rsidRPr="00421448">
          <w:rPr>
            <w:rFonts w:ascii="FrankRuehl" w:hAnsi="FrankRuehl" w:cs="FrankRuehl"/>
            <w:color w:val="0000FF"/>
            <w:rtl/>
          </w:rPr>
          <w:t>7(א)</w:t>
        </w:r>
      </w:hyperlink>
      <w:r w:rsidRPr="00421448">
        <w:rPr>
          <w:rFonts w:ascii="FrankRuehl" w:hAnsi="FrankRuehl" w:cs="FrankRuehl"/>
          <w:rtl/>
        </w:rPr>
        <w:t xml:space="preserve">, </w:t>
      </w:r>
      <w:hyperlink r:id="rId9" w:history="1">
        <w:r w:rsidRPr="00421448">
          <w:rPr>
            <w:rFonts w:ascii="FrankRuehl" w:hAnsi="FrankRuehl" w:cs="FrankRuehl"/>
            <w:color w:val="0000FF"/>
            <w:rtl/>
          </w:rPr>
          <w:t>7(ג)</w:t>
        </w:r>
      </w:hyperlink>
      <w:r w:rsidRPr="00421448">
        <w:rPr>
          <w:rFonts w:ascii="FrankRuehl" w:hAnsi="FrankRuehl" w:cs="FrankRuehl"/>
          <w:rtl/>
        </w:rPr>
        <w:t xml:space="preserve">, </w:t>
      </w:r>
      <w:hyperlink r:id="rId10" w:history="1">
        <w:r w:rsidRPr="00421448">
          <w:rPr>
            <w:rFonts w:ascii="FrankRuehl" w:hAnsi="FrankRuehl" w:cs="FrankRuehl"/>
            <w:color w:val="0000FF"/>
            <w:rtl/>
          </w:rPr>
          <w:t>13</w:t>
        </w:r>
      </w:hyperlink>
      <w:r w:rsidRPr="00421448">
        <w:rPr>
          <w:rFonts w:ascii="FrankRuehl" w:hAnsi="FrankRuehl" w:cs="FrankRuehl"/>
          <w:rtl/>
        </w:rPr>
        <w:t xml:space="preserve">, </w:t>
      </w:r>
      <w:hyperlink r:id="rId11" w:history="1">
        <w:r w:rsidRPr="00421448">
          <w:rPr>
            <w:rFonts w:ascii="FrankRuehl" w:hAnsi="FrankRuehl" w:cs="FrankRuehl"/>
            <w:color w:val="0000FF"/>
            <w:rtl/>
          </w:rPr>
          <w:t>19א</w:t>
        </w:r>
      </w:hyperlink>
    </w:p>
    <w:p w14:paraId="40F47E3A" w14:textId="77777777" w:rsidR="00421448" w:rsidRPr="00421448" w:rsidRDefault="00421448" w:rsidP="00421448">
      <w:pPr>
        <w:spacing w:before="120" w:after="120" w:line="240" w:lineRule="exact"/>
        <w:ind w:left="283" w:hanging="283"/>
        <w:jc w:val="both"/>
        <w:rPr>
          <w:rFonts w:ascii="FrankRuehl" w:hAnsi="FrankRuehl" w:cs="FrankRuehl"/>
          <w:rtl/>
        </w:rPr>
      </w:pPr>
      <w:hyperlink r:id="rId12" w:history="1">
        <w:r w:rsidRPr="00421448">
          <w:rPr>
            <w:rFonts w:ascii="FrankRuehl" w:hAnsi="FrankRuehl" w:cs="FrankRuehl"/>
            <w:color w:val="0000FF"/>
            <w:rtl/>
          </w:rPr>
          <w:t>חוק העונשין, תשל"ז-1977</w:t>
        </w:r>
      </w:hyperlink>
      <w:r w:rsidRPr="00421448">
        <w:rPr>
          <w:rFonts w:ascii="FrankRuehl" w:hAnsi="FrankRuehl" w:cs="FrankRuehl"/>
          <w:rtl/>
        </w:rPr>
        <w:t xml:space="preserve">: סע'  </w:t>
      </w:r>
      <w:hyperlink r:id="rId13" w:history="1">
        <w:r w:rsidRPr="00421448">
          <w:rPr>
            <w:rFonts w:ascii="FrankRuehl" w:hAnsi="FrankRuehl" w:cs="FrankRuehl"/>
            <w:color w:val="0000FF"/>
            <w:rtl/>
          </w:rPr>
          <w:t>40ד</w:t>
        </w:r>
      </w:hyperlink>
      <w:r w:rsidRPr="00421448">
        <w:rPr>
          <w:rFonts w:ascii="FrankRuehl" w:hAnsi="FrankRuehl" w:cs="FrankRuehl"/>
          <w:rtl/>
        </w:rPr>
        <w:t xml:space="preserve">, </w:t>
      </w:r>
      <w:hyperlink r:id="rId14" w:history="1">
        <w:r w:rsidRPr="00421448">
          <w:rPr>
            <w:rFonts w:ascii="FrankRuehl" w:hAnsi="FrankRuehl" w:cs="FrankRuehl"/>
            <w:color w:val="0000FF"/>
            <w:rtl/>
          </w:rPr>
          <w:t>40ד(א)</w:t>
        </w:r>
      </w:hyperlink>
      <w:r w:rsidRPr="00421448">
        <w:rPr>
          <w:rFonts w:ascii="FrankRuehl" w:hAnsi="FrankRuehl" w:cs="FrankRuehl"/>
          <w:rtl/>
        </w:rPr>
        <w:t xml:space="preserve">, </w:t>
      </w:r>
      <w:hyperlink r:id="rId15" w:history="1">
        <w:r w:rsidRPr="00421448">
          <w:rPr>
            <w:rFonts w:ascii="FrankRuehl" w:hAnsi="FrankRuehl" w:cs="FrankRuehl"/>
            <w:color w:val="0000FF"/>
            <w:rtl/>
          </w:rPr>
          <w:t>275</w:t>
        </w:r>
      </w:hyperlink>
      <w:r w:rsidRPr="00421448">
        <w:rPr>
          <w:rFonts w:ascii="FrankRuehl" w:hAnsi="FrankRuehl" w:cs="FrankRuehl"/>
          <w:rtl/>
        </w:rPr>
        <w:t xml:space="preserve">, </w:t>
      </w:r>
      <w:hyperlink r:id="rId16" w:history="1">
        <w:r w:rsidRPr="00421448">
          <w:rPr>
            <w:rFonts w:ascii="FrankRuehl" w:hAnsi="FrankRuehl" w:cs="FrankRuehl"/>
            <w:color w:val="0000FF"/>
            <w:rtl/>
          </w:rPr>
          <w:t>40יא</w:t>
        </w:r>
      </w:hyperlink>
    </w:p>
    <w:p w14:paraId="7E9B454B" w14:textId="77777777" w:rsidR="00421448" w:rsidRPr="00421448" w:rsidRDefault="00421448" w:rsidP="00421448">
      <w:pPr>
        <w:spacing w:before="120" w:after="120" w:line="240" w:lineRule="exact"/>
        <w:ind w:left="283" w:hanging="283"/>
        <w:jc w:val="both"/>
        <w:rPr>
          <w:rFonts w:ascii="FrankRuehl" w:hAnsi="FrankRuehl" w:cs="FrankRuehl"/>
          <w:rtl/>
        </w:rPr>
      </w:pPr>
      <w:hyperlink r:id="rId17" w:history="1">
        <w:r w:rsidRPr="00421448">
          <w:rPr>
            <w:rFonts w:ascii="FrankRuehl" w:hAnsi="FrankRuehl" w:cs="FrankRuehl"/>
            <w:color w:val="0000FF"/>
            <w:rtl/>
          </w:rPr>
          <w:t>פקודת המבחן [נוסח חדש], תשכ"ט-1969</w:t>
        </w:r>
      </w:hyperlink>
    </w:p>
    <w:p w14:paraId="25BE575E" w14:textId="77777777" w:rsidR="00421448" w:rsidRPr="00421448" w:rsidRDefault="00421448" w:rsidP="00421448">
      <w:pPr>
        <w:rPr>
          <w:rtl/>
        </w:rPr>
      </w:pPr>
      <w:bookmarkStart w:id="4" w:name="LawTable_End"/>
      <w:bookmarkEnd w:id="4"/>
    </w:p>
    <w:p w14:paraId="122A7436" w14:textId="77777777" w:rsidR="007D1F84" w:rsidRPr="00C732E9" w:rsidRDefault="007D1F84" w:rsidP="00C732E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D1F84" w14:paraId="6D7F5CE7" w14:textId="77777777" w:rsidTr="007D1F84">
        <w:trPr>
          <w:trHeight w:val="355"/>
          <w:jc w:val="center"/>
        </w:trPr>
        <w:tc>
          <w:tcPr>
            <w:tcW w:w="8820" w:type="dxa"/>
            <w:tcBorders>
              <w:top w:val="nil"/>
              <w:left w:val="nil"/>
              <w:bottom w:val="nil"/>
              <w:right w:val="nil"/>
            </w:tcBorders>
            <w:shd w:val="clear" w:color="auto" w:fill="auto"/>
          </w:tcPr>
          <w:p w14:paraId="01B904E7" w14:textId="77777777" w:rsidR="00770144" w:rsidRPr="00770144" w:rsidRDefault="00770144" w:rsidP="00770144">
            <w:pPr>
              <w:jc w:val="center"/>
              <w:rPr>
                <w:rFonts w:ascii="Arial" w:hAnsi="Arial"/>
                <w:b/>
                <w:bCs/>
                <w:sz w:val="28"/>
                <w:szCs w:val="28"/>
                <w:u w:val="single"/>
                <w:rtl/>
              </w:rPr>
            </w:pPr>
            <w:bookmarkStart w:id="5" w:name="PsakDin" w:colFirst="0" w:colLast="0"/>
            <w:bookmarkEnd w:id="0"/>
            <w:r w:rsidRPr="00770144">
              <w:rPr>
                <w:rFonts w:ascii="Arial" w:hAnsi="Arial"/>
                <w:b/>
                <w:bCs/>
                <w:sz w:val="28"/>
                <w:szCs w:val="28"/>
                <w:u w:val="single"/>
                <w:rtl/>
              </w:rPr>
              <w:t>גזר דין</w:t>
            </w:r>
          </w:p>
          <w:p w14:paraId="31FDB7C2" w14:textId="77777777" w:rsidR="007D1F84" w:rsidRPr="00770144" w:rsidRDefault="007D1F84" w:rsidP="00770144">
            <w:pPr>
              <w:jc w:val="center"/>
              <w:rPr>
                <w:rFonts w:ascii="Arial" w:hAnsi="Arial"/>
                <w:bCs/>
                <w:sz w:val="28"/>
                <w:szCs w:val="28"/>
                <w:u w:val="single"/>
                <w:rtl/>
              </w:rPr>
            </w:pPr>
          </w:p>
        </w:tc>
      </w:tr>
      <w:bookmarkEnd w:id="5"/>
    </w:tbl>
    <w:p w14:paraId="4A1BE914" w14:textId="77777777" w:rsidR="007D1F84" w:rsidRPr="00B05847" w:rsidRDefault="007D1F84" w:rsidP="007D1F84">
      <w:pPr>
        <w:rPr>
          <w:rFonts w:ascii="Arial" w:hAnsi="Arial"/>
          <w:rtl/>
        </w:rPr>
      </w:pPr>
    </w:p>
    <w:p w14:paraId="2BC9721E" w14:textId="77777777" w:rsidR="007D1F84" w:rsidRDefault="007D1F84" w:rsidP="007D1F84">
      <w:pPr>
        <w:pStyle w:val="ab"/>
        <w:autoSpaceDE w:val="0"/>
        <w:autoSpaceDN w:val="0"/>
        <w:adjustRightInd w:val="0"/>
        <w:spacing w:line="360" w:lineRule="auto"/>
        <w:ind w:left="0"/>
        <w:jc w:val="both"/>
        <w:rPr>
          <w:rFonts w:cs="David"/>
          <w:sz w:val="24"/>
          <w:szCs w:val="24"/>
        </w:rPr>
      </w:pPr>
      <w:bookmarkStart w:id="6" w:name="ABSTRACT_START"/>
      <w:bookmarkEnd w:id="6"/>
      <w:r>
        <w:rPr>
          <w:rFonts w:cs="David"/>
          <w:sz w:val="24"/>
          <w:szCs w:val="24"/>
          <w:rtl/>
        </w:rPr>
        <w:t>הנאשם הורשע על פי הודאתו בעובדות כתב האישום מתוקן, בתיק שבכותרת ובתיק אותו ראה לצרף ובמסגרת הסכמה דיונית, כדלקמן:</w:t>
      </w:r>
    </w:p>
    <w:p w14:paraId="6A2BB82C" w14:textId="77777777" w:rsidR="007D1F84" w:rsidRDefault="007D1F84" w:rsidP="007D1F84">
      <w:pPr>
        <w:pStyle w:val="ab"/>
        <w:autoSpaceDE w:val="0"/>
        <w:autoSpaceDN w:val="0"/>
        <w:adjustRightInd w:val="0"/>
        <w:spacing w:line="360" w:lineRule="auto"/>
        <w:ind w:left="0"/>
        <w:jc w:val="both"/>
        <w:rPr>
          <w:rFonts w:cs="David"/>
          <w:b/>
          <w:bCs/>
          <w:sz w:val="24"/>
          <w:szCs w:val="24"/>
          <w:rtl/>
        </w:rPr>
      </w:pPr>
    </w:p>
    <w:p w14:paraId="2A455092" w14:textId="77777777" w:rsidR="007D1F84" w:rsidRDefault="007D1F84" w:rsidP="007D1F84">
      <w:pPr>
        <w:pStyle w:val="ab"/>
        <w:autoSpaceDE w:val="0"/>
        <w:autoSpaceDN w:val="0"/>
        <w:adjustRightInd w:val="0"/>
        <w:spacing w:line="360" w:lineRule="auto"/>
        <w:ind w:left="0"/>
        <w:jc w:val="both"/>
        <w:rPr>
          <w:rFonts w:cs="David"/>
          <w:sz w:val="24"/>
          <w:szCs w:val="24"/>
          <w:rtl/>
        </w:rPr>
      </w:pPr>
      <w:r>
        <w:rPr>
          <w:rFonts w:cs="David"/>
          <w:sz w:val="24"/>
          <w:szCs w:val="24"/>
          <w:rtl/>
        </w:rPr>
        <w:t>בהתאם לעובדות, במשך תקופה של כחודש</w:t>
      </w:r>
      <w:r>
        <w:rPr>
          <w:rFonts w:cs="David" w:hint="cs"/>
          <w:sz w:val="24"/>
          <w:szCs w:val="24"/>
          <w:rtl/>
        </w:rPr>
        <w:t>י</w:t>
      </w:r>
      <w:r>
        <w:rPr>
          <w:rFonts w:cs="David"/>
          <w:sz w:val="24"/>
          <w:szCs w:val="24"/>
          <w:rtl/>
        </w:rPr>
        <w:t xml:space="preserve">ים, סיפק הנאשם סמים מסוכנים מסוג קנבוס וחשיש, באמצעות יישומון ה"טלגרם" מספר רב של מועדים, במשקל כולל של </w:t>
      </w:r>
      <w:r>
        <w:rPr>
          <w:rFonts w:cs="David" w:hint="cs"/>
          <w:sz w:val="24"/>
          <w:szCs w:val="24"/>
          <w:rtl/>
        </w:rPr>
        <w:t>189</w:t>
      </w:r>
      <w:r>
        <w:rPr>
          <w:rFonts w:cs="David"/>
          <w:sz w:val="24"/>
          <w:szCs w:val="24"/>
          <w:rtl/>
        </w:rPr>
        <w:t xml:space="preserve">.95 גרם נטו ובסכום כולל של </w:t>
      </w:r>
      <w:r>
        <w:rPr>
          <w:rFonts w:cs="David" w:hint="cs"/>
          <w:sz w:val="24"/>
          <w:szCs w:val="24"/>
          <w:rtl/>
        </w:rPr>
        <w:t>9</w:t>
      </w:r>
      <w:r>
        <w:rPr>
          <w:rFonts w:cs="David"/>
          <w:sz w:val="24"/>
          <w:szCs w:val="24"/>
          <w:rtl/>
        </w:rPr>
        <w:t>,</w:t>
      </w:r>
      <w:r>
        <w:rPr>
          <w:rFonts w:cs="David" w:hint="cs"/>
          <w:sz w:val="24"/>
          <w:szCs w:val="24"/>
          <w:rtl/>
        </w:rPr>
        <w:t>200</w:t>
      </w:r>
      <w:r>
        <w:rPr>
          <w:rFonts w:cs="David"/>
          <w:sz w:val="24"/>
          <w:szCs w:val="24"/>
          <w:rtl/>
        </w:rPr>
        <w:t xml:space="preserve"> ₪. כמו כן, החזיק הנאשם בתקופה זו סמים מסוכנים מסוג קנבוס וחשיש במשקל כולל של </w:t>
      </w:r>
      <w:r>
        <w:rPr>
          <w:rFonts w:cs="David" w:hint="cs"/>
          <w:sz w:val="24"/>
          <w:szCs w:val="24"/>
          <w:rtl/>
        </w:rPr>
        <w:t>122.5</w:t>
      </w:r>
      <w:r>
        <w:rPr>
          <w:rFonts w:cs="David"/>
          <w:sz w:val="24"/>
          <w:szCs w:val="24"/>
          <w:rtl/>
        </w:rPr>
        <w:t xml:space="preserve"> גרם נטו. באישום נוסף בתיק זה, הנאשם ברח באמצעות רכב מרכב משטרתי, תוך נסיעה כנגד כיוון התנועה.</w:t>
      </w:r>
    </w:p>
    <w:p w14:paraId="4030A9AF" w14:textId="77777777" w:rsidR="007D1F84" w:rsidRDefault="007D1F84" w:rsidP="007D1F84">
      <w:pPr>
        <w:pStyle w:val="ab"/>
        <w:autoSpaceDE w:val="0"/>
        <w:autoSpaceDN w:val="0"/>
        <w:adjustRightInd w:val="0"/>
        <w:spacing w:line="360" w:lineRule="auto"/>
        <w:ind w:left="0"/>
        <w:jc w:val="both"/>
        <w:rPr>
          <w:rFonts w:cs="David"/>
          <w:sz w:val="24"/>
          <w:szCs w:val="24"/>
          <w:rtl/>
        </w:rPr>
      </w:pPr>
      <w:bookmarkStart w:id="7" w:name="ABSTRACT_END"/>
      <w:bookmarkEnd w:id="7"/>
    </w:p>
    <w:p w14:paraId="25EA84B4" w14:textId="77777777" w:rsidR="007D1F84" w:rsidRDefault="007D1F84" w:rsidP="007D1F84">
      <w:pPr>
        <w:pStyle w:val="ab"/>
        <w:autoSpaceDE w:val="0"/>
        <w:autoSpaceDN w:val="0"/>
        <w:adjustRightInd w:val="0"/>
        <w:spacing w:line="360" w:lineRule="auto"/>
        <w:ind w:left="0"/>
        <w:jc w:val="both"/>
        <w:rPr>
          <w:rFonts w:cs="David"/>
          <w:sz w:val="24"/>
          <w:szCs w:val="24"/>
          <w:rtl/>
        </w:rPr>
      </w:pPr>
      <w:r>
        <w:rPr>
          <w:rFonts w:cs="David"/>
          <w:sz w:val="24"/>
          <w:szCs w:val="24"/>
          <w:rtl/>
        </w:rPr>
        <w:t xml:space="preserve">על יסוד האמור, הנאשם הורשע בעבירות של </w:t>
      </w:r>
      <w:r>
        <w:rPr>
          <w:rFonts w:cs="David"/>
          <w:b/>
          <w:bCs/>
          <w:sz w:val="24"/>
          <w:szCs w:val="24"/>
          <w:rtl/>
        </w:rPr>
        <w:t>החזקת סמים לצריכה עצמית</w:t>
      </w:r>
      <w:r>
        <w:rPr>
          <w:rFonts w:cs="David"/>
          <w:sz w:val="24"/>
          <w:szCs w:val="24"/>
          <w:rtl/>
        </w:rPr>
        <w:t xml:space="preserve"> לפי </w:t>
      </w:r>
      <w:hyperlink r:id="rId18" w:history="1">
        <w:r w:rsidR="00AB1191" w:rsidRPr="00AB1191">
          <w:rPr>
            <w:rStyle w:val="Hyperlink"/>
            <w:rFonts w:ascii="Calibri" w:hAnsi="Calibri" w:cs="David" w:hint="cs"/>
            <w:sz w:val="24"/>
            <w:szCs w:val="24"/>
            <w:rtl/>
          </w:rPr>
          <w:t>סעיף</w:t>
        </w:r>
        <w:r w:rsidR="00AB1191" w:rsidRPr="00AB1191">
          <w:rPr>
            <w:rStyle w:val="Hyperlink"/>
            <w:rFonts w:ascii="Calibri" w:hAnsi="Calibri" w:cs="David"/>
            <w:sz w:val="24"/>
            <w:szCs w:val="24"/>
            <w:rtl/>
          </w:rPr>
          <w:t xml:space="preserve"> 7(</w:t>
        </w:r>
        <w:r w:rsidR="00AB1191" w:rsidRPr="00AB1191">
          <w:rPr>
            <w:rStyle w:val="Hyperlink"/>
            <w:rFonts w:ascii="Calibri" w:hAnsi="Calibri" w:cs="David" w:hint="cs"/>
            <w:sz w:val="24"/>
            <w:szCs w:val="24"/>
            <w:rtl/>
          </w:rPr>
          <w:t>א</w:t>
        </w:r>
        <w:r w:rsidR="00AB1191" w:rsidRPr="00AB1191">
          <w:rPr>
            <w:rStyle w:val="Hyperlink"/>
            <w:rFonts w:ascii="Calibri" w:hAnsi="Calibri" w:cs="David"/>
            <w:sz w:val="24"/>
            <w:szCs w:val="24"/>
            <w:rtl/>
          </w:rPr>
          <w:t>)</w:t>
        </w:r>
      </w:hyperlink>
      <w:r>
        <w:rPr>
          <w:rFonts w:cs="David"/>
          <w:sz w:val="24"/>
          <w:szCs w:val="24"/>
          <w:rtl/>
        </w:rPr>
        <w:t xml:space="preserve"> + </w:t>
      </w:r>
      <w:hyperlink r:id="rId19" w:history="1">
        <w:r w:rsidR="00AB1191" w:rsidRPr="00AB1191">
          <w:rPr>
            <w:rStyle w:val="Hyperlink"/>
            <w:rFonts w:ascii="Calibri" w:hAnsi="Calibri" w:cs="David"/>
            <w:sz w:val="24"/>
            <w:szCs w:val="24"/>
            <w:rtl/>
          </w:rPr>
          <w:t>7(</w:t>
        </w:r>
        <w:r w:rsidR="00AB1191" w:rsidRPr="00AB1191">
          <w:rPr>
            <w:rStyle w:val="Hyperlink"/>
            <w:rFonts w:ascii="Calibri" w:hAnsi="Calibri" w:cs="David" w:hint="cs"/>
            <w:sz w:val="24"/>
            <w:szCs w:val="24"/>
            <w:rtl/>
          </w:rPr>
          <w:t>ג</w:t>
        </w:r>
        <w:r w:rsidR="00AB1191" w:rsidRPr="00AB1191">
          <w:rPr>
            <w:rStyle w:val="Hyperlink"/>
            <w:rFonts w:ascii="Calibri" w:hAnsi="Calibri" w:cs="David"/>
            <w:sz w:val="24"/>
            <w:szCs w:val="24"/>
            <w:rtl/>
          </w:rPr>
          <w:t>)</w:t>
        </w:r>
      </w:hyperlink>
      <w:r>
        <w:rPr>
          <w:rFonts w:cs="David"/>
          <w:sz w:val="24"/>
          <w:szCs w:val="24"/>
          <w:rtl/>
        </w:rPr>
        <w:t xml:space="preserve"> סיפא ל</w:t>
      </w:r>
      <w:hyperlink r:id="rId20" w:history="1">
        <w:r w:rsidR="00770144" w:rsidRPr="00770144">
          <w:rPr>
            <w:rFonts w:cs="David" w:hint="cs"/>
            <w:color w:val="0000FF"/>
            <w:sz w:val="24"/>
            <w:szCs w:val="24"/>
            <w:u w:val="single"/>
            <w:rtl/>
          </w:rPr>
          <w:t>פקודת</w:t>
        </w:r>
        <w:r w:rsidR="00770144" w:rsidRPr="00770144">
          <w:rPr>
            <w:rFonts w:cs="David"/>
            <w:color w:val="0000FF"/>
            <w:sz w:val="24"/>
            <w:szCs w:val="24"/>
            <w:u w:val="single"/>
            <w:rtl/>
          </w:rPr>
          <w:t xml:space="preserve"> </w:t>
        </w:r>
        <w:r w:rsidR="00770144" w:rsidRPr="00770144">
          <w:rPr>
            <w:rFonts w:cs="David" w:hint="cs"/>
            <w:color w:val="0000FF"/>
            <w:sz w:val="24"/>
            <w:szCs w:val="24"/>
            <w:u w:val="single"/>
            <w:rtl/>
          </w:rPr>
          <w:t>הסמים</w:t>
        </w:r>
        <w:r w:rsidR="00770144" w:rsidRPr="00770144">
          <w:rPr>
            <w:rFonts w:cs="David"/>
            <w:color w:val="0000FF"/>
            <w:sz w:val="24"/>
            <w:szCs w:val="24"/>
            <w:u w:val="single"/>
            <w:rtl/>
          </w:rPr>
          <w:t xml:space="preserve"> </w:t>
        </w:r>
        <w:r w:rsidR="00770144" w:rsidRPr="00770144">
          <w:rPr>
            <w:rFonts w:cs="David" w:hint="cs"/>
            <w:color w:val="0000FF"/>
            <w:sz w:val="24"/>
            <w:szCs w:val="24"/>
            <w:u w:val="single"/>
            <w:rtl/>
          </w:rPr>
          <w:t>המסוכנים</w:t>
        </w:r>
      </w:hyperlink>
      <w:r>
        <w:rPr>
          <w:rFonts w:cs="David"/>
          <w:sz w:val="24"/>
          <w:szCs w:val="24"/>
          <w:rtl/>
        </w:rPr>
        <w:t xml:space="preserve"> (נ"ח) תשל"ג-1973. </w:t>
      </w:r>
      <w:r>
        <w:rPr>
          <w:rFonts w:cs="David"/>
          <w:b/>
          <w:bCs/>
          <w:sz w:val="24"/>
          <w:szCs w:val="24"/>
          <w:rtl/>
        </w:rPr>
        <w:t xml:space="preserve">סחר והספקה בסמים מסוכנים </w:t>
      </w:r>
      <w:r>
        <w:rPr>
          <w:rFonts w:cs="David"/>
          <w:sz w:val="24"/>
          <w:szCs w:val="24"/>
          <w:rtl/>
        </w:rPr>
        <w:t>(</w:t>
      </w:r>
      <w:r>
        <w:rPr>
          <w:rFonts w:cs="David" w:hint="cs"/>
          <w:sz w:val="24"/>
          <w:szCs w:val="24"/>
          <w:rtl/>
        </w:rPr>
        <w:t>9</w:t>
      </w:r>
      <w:r>
        <w:rPr>
          <w:rFonts w:cs="David"/>
          <w:sz w:val="24"/>
          <w:szCs w:val="24"/>
          <w:rtl/>
        </w:rPr>
        <w:t xml:space="preserve"> עבירות) לפי </w:t>
      </w:r>
      <w:hyperlink r:id="rId21" w:history="1">
        <w:r w:rsidR="00AB1191" w:rsidRPr="00AB1191">
          <w:rPr>
            <w:rStyle w:val="Hyperlink"/>
            <w:rFonts w:ascii="Calibri" w:hAnsi="Calibri" w:cs="David" w:hint="cs"/>
            <w:sz w:val="24"/>
            <w:szCs w:val="24"/>
            <w:rtl/>
          </w:rPr>
          <w:t>סעיף</w:t>
        </w:r>
        <w:r w:rsidR="00AB1191" w:rsidRPr="00AB1191">
          <w:rPr>
            <w:rStyle w:val="Hyperlink"/>
            <w:rFonts w:ascii="Calibri" w:hAnsi="Calibri" w:cs="David"/>
            <w:sz w:val="24"/>
            <w:szCs w:val="24"/>
            <w:rtl/>
          </w:rPr>
          <w:t xml:space="preserve"> 13</w:t>
        </w:r>
      </w:hyperlink>
      <w:r>
        <w:rPr>
          <w:rFonts w:cs="David"/>
          <w:sz w:val="24"/>
          <w:szCs w:val="24"/>
          <w:rtl/>
        </w:rPr>
        <w:t xml:space="preserve"> + </w:t>
      </w:r>
      <w:hyperlink r:id="rId22" w:history="1">
        <w:r w:rsidR="00AB1191" w:rsidRPr="00AB1191">
          <w:rPr>
            <w:rStyle w:val="Hyperlink"/>
            <w:rFonts w:ascii="Calibri" w:hAnsi="Calibri" w:cs="David"/>
            <w:sz w:val="24"/>
            <w:szCs w:val="24"/>
            <w:rtl/>
          </w:rPr>
          <w:t>19</w:t>
        </w:r>
        <w:r w:rsidR="00AB1191" w:rsidRPr="00AB1191">
          <w:rPr>
            <w:rStyle w:val="Hyperlink"/>
            <w:rFonts w:ascii="Calibri" w:hAnsi="Calibri" w:cs="David" w:hint="cs"/>
            <w:sz w:val="24"/>
            <w:szCs w:val="24"/>
            <w:rtl/>
          </w:rPr>
          <w:t>א</w:t>
        </w:r>
      </w:hyperlink>
      <w:r>
        <w:rPr>
          <w:rFonts w:cs="David"/>
          <w:sz w:val="24"/>
          <w:szCs w:val="24"/>
          <w:rtl/>
        </w:rPr>
        <w:t xml:space="preserve"> לחוק, </w:t>
      </w:r>
      <w:r>
        <w:rPr>
          <w:rFonts w:cs="David"/>
          <w:b/>
          <w:bCs/>
          <w:sz w:val="24"/>
          <w:szCs w:val="24"/>
          <w:rtl/>
        </w:rPr>
        <w:t xml:space="preserve">החזקת סמים שלא לצריכה עצמית </w:t>
      </w:r>
      <w:r>
        <w:rPr>
          <w:rFonts w:cs="David"/>
          <w:sz w:val="24"/>
          <w:szCs w:val="24"/>
          <w:rtl/>
        </w:rPr>
        <w:t>(2 עבירות)</w:t>
      </w:r>
      <w:r>
        <w:rPr>
          <w:rFonts w:cs="David"/>
          <w:b/>
          <w:bCs/>
          <w:sz w:val="24"/>
          <w:szCs w:val="24"/>
          <w:rtl/>
        </w:rPr>
        <w:t xml:space="preserve"> </w:t>
      </w:r>
      <w:r>
        <w:rPr>
          <w:rFonts w:cs="David"/>
          <w:sz w:val="24"/>
          <w:szCs w:val="24"/>
          <w:rtl/>
        </w:rPr>
        <w:t xml:space="preserve">לפי </w:t>
      </w:r>
      <w:hyperlink r:id="rId23" w:history="1">
        <w:r w:rsidR="00AB1191" w:rsidRPr="00AB1191">
          <w:rPr>
            <w:rStyle w:val="Hyperlink"/>
            <w:rFonts w:ascii="Calibri" w:hAnsi="Calibri" w:cs="David" w:hint="cs"/>
            <w:sz w:val="24"/>
            <w:szCs w:val="24"/>
            <w:rtl/>
          </w:rPr>
          <w:t>סעיף</w:t>
        </w:r>
        <w:r w:rsidR="00AB1191" w:rsidRPr="00AB1191">
          <w:rPr>
            <w:rStyle w:val="Hyperlink"/>
            <w:rFonts w:ascii="Calibri" w:hAnsi="Calibri" w:cs="David"/>
            <w:sz w:val="24"/>
            <w:szCs w:val="24"/>
            <w:rtl/>
          </w:rPr>
          <w:t xml:space="preserve"> 7(</w:t>
        </w:r>
        <w:r w:rsidR="00AB1191" w:rsidRPr="00AB1191">
          <w:rPr>
            <w:rStyle w:val="Hyperlink"/>
            <w:rFonts w:ascii="Calibri" w:hAnsi="Calibri" w:cs="David" w:hint="cs"/>
            <w:sz w:val="24"/>
            <w:szCs w:val="24"/>
            <w:rtl/>
          </w:rPr>
          <w:t>א</w:t>
        </w:r>
        <w:r w:rsidR="00AB1191" w:rsidRPr="00AB1191">
          <w:rPr>
            <w:rStyle w:val="Hyperlink"/>
            <w:rFonts w:ascii="Calibri" w:hAnsi="Calibri" w:cs="David"/>
            <w:sz w:val="24"/>
            <w:szCs w:val="24"/>
            <w:rtl/>
          </w:rPr>
          <w:t>)</w:t>
        </w:r>
      </w:hyperlink>
      <w:r>
        <w:rPr>
          <w:rFonts w:cs="David"/>
          <w:sz w:val="24"/>
          <w:szCs w:val="24"/>
          <w:rtl/>
        </w:rPr>
        <w:t xml:space="preserve"> + </w:t>
      </w:r>
      <w:hyperlink r:id="rId24" w:history="1">
        <w:r w:rsidR="00AB1191" w:rsidRPr="00AB1191">
          <w:rPr>
            <w:rStyle w:val="Hyperlink"/>
            <w:rFonts w:ascii="Calibri" w:hAnsi="Calibri" w:cs="David"/>
            <w:sz w:val="24"/>
            <w:szCs w:val="24"/>
            <w:rtl/>
          </w:rPr>
          <w:t>7(</w:t>
        </w:r>
        <w:r w:rsidR="00AB1191" w:rsidRPr="00AB1191">
          <w:rPr>
            <w:rStyle w:val="Hyperlink"/>
            <w:rFonts w:ascii="Calibri" w:hAnsi="Calibri" w:cs="David" w:hint="cs"/>
            <w:sz w:val="24"/>
            <w:szCs w:val="24"/>
            <w:rtl/>
          </w:rPr>
          <w:t>ג</w:t>
        </w:r>
        <w:r w:rsidR="00AB1191" w:rsidRPr="00AB1191">
          <w:rPr>
            <w:rStyle w:val="Hyperlink"/>
            <w:rFonts w:ascii="Calibri" w:hAnsi="Calibri" w:cs="David"/>
            <w:sz w:val="24"/>
            <w:szCs w:val="24"/>
            <w:rtl/>
          </w:rPr>
          <w:t>)</w:t>
        </w:r>
      </w:hyperlink>
      <w:r>
        <w:rPr>
          <w:rFonts w:cs="David"/>
          <w:sz w:val="24"/>
          <w:szCs w:val="24"/>
          <w:rtl/>
        </w:rPr>
        <w:t xml:space="preserve"> רישא לחוק, </w:t>
      </w:r>
      <w:r>
        <w:rPr>
          <w:rFonts w:cs="David"/>
          <w:b/>
          <w:bCs/>
          <w:sz w:val="24"/>
          <w:szCs w:val="24"/>
          <w:rtl/>
        </w:rPr>
        <w:t>הפרעה לשוטר במילוי תפקידו</w:t>
      </w:r>
      <w:r>
        <w:rPr>
          <w:rFonts w:cs="David"/>
          <w:sz w:val="24"/>
          <w:szCs w:val="24"/>
          <w:rtl/>
        </w:rPr>
        <w:t xml:space="preserve">, עבירה לפי </w:t>
      </w:r>
      <w:hyperlink r:id="rId25" w:history="1">
        <w:r w:rsidR="00AB1191" w:rsidRPr="00AB1191">
          <w:rPr>
            <w:rStyle w:val="Hyperlink"/>
            <w:rFonts w:ascii="Calibri" w:hAnsi="Calibri" w:cs="David" w:hint="cs"/>
            <w:sz w:val="24"/>
            <w:szCs w:val="24"/>
            <w:rtl/>
          </w:rPr>
          <w:t>סעיף</w:t>
        </w:r>
        <w:r w:rsidR="00AB1191" w:rsidRPr="00AB1191">
          <w:rPr>
            <w:rStyle w:val="Hyperlink"/>
            <w:rFonts w:ascii="Calibri" w:hAnsi="Calibri" w:cs="David"/>
            <w:sz w:val="24"/>
            <w:szCs w:val="24"/>
            <w:rtl/>
          </w:rPr>
          <w:t xml:space="preserve"> 275</w:t>
        </w:r>
      </w:hyperlink>
      <w:r>
        <w:rPr>
          <w:rFonts w:cs="David"/>
          <w:sz w:val="24"/>
          <w:szCs w:val="24"/>
          <w:rtl/>
        </w:rPr>
        <w:t xml:space="preserve"> ל</w:t>
      </w:r>
      <w:hyperlink r:id="rId26" w:history="1">
        <w:r w:rsidR="00770144" w:rsidRPr="00770144">
          <w:rPr>
            <w:rFonts w:cs="David" w:hint="cs"/>
            <w:color w:val="0000FF"/>
            <w:sz w:val="24"/>
            <w:szCs w:val="24"/>
            <w:u w:val="single"/>
            <w:rtl/>
          </w:rPr>
          <w:t>חוק</w:t>
        </w:r>
        <w:r w:rsidR="00770144" w:rsidRPr="00770144">
          <w:rPr>
            <w:rFonts w:cs="David"/>
            <w:color w:val="0000FF"/>
            <w:sz w:val="24"/>
            <w:szCs w:val="24"/>
            <w:u w:val="single"/>
            <w:rtl/>
          </w:rPr>
          <w:t xml:space="preserve"> </w:t>
        </w:r>
        <w:r w:rsidR="00770144" w:rsidRPr="00770144">
          <w:rPr>
            <w:rFonts w:cs="David" w:hint="cs"/>
            <w:color w:val="0000FF"/>
            <w:sz w:val="24"/>
            <w:szCs w:val="24"/>
            <w:u w:val="single"/>
            <w:rtl/>
          </w:rPr>
          <w:t>העונשין</w:t>
        </w:r>
      </w:hyperlink>
      <w:r>
        <w:rPr>
          <w:rFonts w:cs="David"/>
          <w:sz w:val="24"/>
          <w:szCs w:val="24"/>
          <w:rtl/>
        </w:rPr>
        <w:t>.</w:t>
      </w:r>
      <w:r>
        <w:rPr>
          <w:rFonts w:cs="David"/>
          <w:b/>
          <w:bCs/>
          <w:sz w:val="24"/>
          <w:szCs w:val="24"/>
          <w:rtl/>
        </w:rPr>
        <w:t xml:space="preserve"> </w:t>
      </w:r>
    </w:p>
    <w:p w14:paraId="30F1B6F9" w14:textId="77777777" w:rsidR="007D1F84" w:rsidRDefault="007D1F84" w:rsidP="007D1F84">
      <w:pPr>
        <w:spacing w:line="360" w:lineRule="auto"/>
        <w:jc w:val="both"/>
        <w:rPr>
          <w:u w:val="single"/>
          <w:rtl/>
        </w:rPr>
      </w:pPr>
    </w:p>
    <w:p w14:paraId="4405302B" w14:textId="77777777" w:rsidR="007D1F84" w:rsidRDefault="007D1F84" w:rsidP="007D1F84">
      <w:pPr>
        <w:spacing w:line="360" w:lineRule="auto"/>
        <w:jc w:val="both"/>
        <w:rPr>
          <w:b/>
          <w:bCs/>
          <w:u w:val="single"/>
          <w:rtl/>
        </w:rPr>
      </w:pPr>
      <w:r>
        <w:rPr>
          <w:b/>
          <w:bCs/>
          <w:u w:val="single"/>
          <w:rtl/>
        </w:rPr>
        <w:lastRenderedPageBreak/>
        <w:t>תסקירי שירות המבחן</w:t>
      </w:r>
    </w:p>
    <w:p w14:paraId="1615C6ED" w14:textId="77777777" w:rsidR="007D1F84" w:rsidRDefault="007D1F84" w:rsidP="007D1F84">
      <w:pPr>
        <w:spacing w:line="360" w:lineRule="auto"/>
        <w:jc w:val="both"/>
        <w:rPr>
          <w:b/>
          <w:bCs/>
          <w:u w:val="single"/>
          <w:rtl/>
        </w:rPr>
      </w:pPr>
    </w:p>
    <w:p w14:paraId="5C7D3BC0" w14:textId="77777777" w:rsidR="007D1F84" w:rsidRDefault="007D1F84" w:rsidP="007D1F84">
      <w:pPr>
        <w:spacing w:line="360" w:lineRule="auto"/>
        <w:jc w:val="both"/>
        <w:rPr>
          <w:rtl/>
        </w:rPr>
      </w:pPr>
      <w:r>
        <w:rPr>
          <w:u w:val="single"/>
          <w:rtl/>
        </w:rPr>
        <w:t>מתסקיר שירות המבחן מיום 6.12.21,</w:t>
      </w:r>
      <w:r>
        <w:rPr>
          <w:rtl/>
        </w:rPr>
        <w:t xml:space="preserve"> עולה כי הנאשם בן 28, עוסק בתחום המזון כ-12 שנים, בעל עבר פלילי. הנאשם מבטא הבנה ראשונית לבחירותיו ומעוניין בשינוי אורח חייו. כמו כן, מביע חרטה על מעשיו ומבין את השלכותיהם. הנאשם הציג רישיון לשימוש בקנאביס רפואי, ונמנע משימוש באלכוהול. הנאשם התקשה במסירת בדיקת שתן, שלל נזקקות טיפולית בתחום ההתמכרויות אך מביע מוטיבציה להשתתף בהליך טיפולי. על כן, שירות המבחן המליץ על דחייה של 3 חודשים.</w:t>
      </w:r>
    </w:p>
    <w:p w14:paraId="4B6A23CB" w14:textId="77777777" w:rsidR="007D1F84" w:rsidRDefault="007D1F84" w:rsidP="007D1F84">
      <w:pPr>
        <w:spacing w:line="360" w:lineRule="auto"/>
        <w:jc w:val="both"/>
        <w:rPr>
          <w:rtl/>
        </w:rPr>
      </w:pPr>
    </w:p>
    <w:p w14:paraId="41EC03EE" w14:textId="77777777" w:rsidR="007D1F84" w:rsidRDefault="007D1F84" w:rsidP="007D1F84">
      <w:pPr>
        <w:spacing w:line="360" w:lineRule="auto"/>
        <w:jc w:val="both"/>
        <w:rPr>
          <w:rtl/>
        </w:rPr>
      </w:pPr>
      <w:r>
        <w:rPr>
          <w:u w:val="single"/>
          <w:rtl/>
        </w:rPr>
        <w:t>מתסקיר משלים מיום 7.3.22</w:t>
      </w:r>
      <w:r>
        <w:rPr>
          <w:rtl/>
        </w:rPr>
        <w:t xml:space="preserve"> עולה כי הנאשם משתף פעולה באופן מלא עם ההליך הטיפולי ושירות המבחן, וניכר כי נעזר בקבוצה על מנת לבחון את התנהגותו. כנגד הנאשם לא נפתחו תיקי מב"ד נוספים. עם זאת, הנאשם מפגין עמדות אמביוולנטיות באשר לשימוש בסמים. עוד עלה כי חל שיפור ביכולת של הנאשם להבין השלכות מעשיו. הנאשם גילה מחויבות לטיפול בקבוצה בשירות המבחן, מפגין יחס אכפתי כלפי המשתתפים האחרים, משתף ברצונו להתרחק מהחברה השולית, מתעמק בתכנים הקשורים במשפחתו ונעזר בקבוצה על מנת להתבונן באופן ביקורתי על התנהגותו בעבר. על כן, ולמרות חומרת העבירות בהן הורשע, שירות מהבחן ממליץ על מאסר שירוצה בעבודות שירות, לצד הטלת צו מבחן.</w:t>
      </w:r>
    </w:p>
    <w:p w14:paraId="165F8B7E" w14:textId="77777777" w:rsidR="007D1F84" w:rsidRDefault="007D1F84" w:rsidP="007D1F84">
      <w:pPr>
        <w:spacing w:line="360" w:lineRule="auto"/>
        <w:jc w:val="both"/>
        <w:rPr>
          <w:rtl/>
        </w:rPr>
      </w:pPr>
    </w:p>
    <w:p w14:paraId="6A7725EE" w14:textId="77777777" w:rsidR="007D1F84" w:rsidRDefault="007D1F84" w:rsidP="007D1F84">
      <w:pPr>
        <w:spacing w:line="360" w:lineRule="auto"/>
        <w:jc w:val="both"/>
        <w:rPr>
          <w:rtl/>
        </w:rPr>
      </w:pPr>
      <w:r>
        <w:rPr>
          <w:u w:val="single"/>
          <w:rtl/>
        </w:rPr>
        <w:t>מתסקיר משלים מיום 2.10.22</w:t>
      </w:r>
      <w:r>
        <w:rPr>
          <w:rtl/>
        </w:rPr>
        <w:t xml:space="preserve"> עולה כי הנאשם ממשיך לשתף פעולה עם שירות המבחן וההליך הטיפולי, ושומר על יציבות בתחום התעסוקתי והזוגי. בתקופת הדחייה הוגש כנגד הנאשם כתב אישום בגין הפרת הוראה חוקית והחזקה/שימוש בסמים שלא לצריכה עצמית משנת 2021. </w:t>
      </w:r>
    </w:p>
    <w:p w14:paraId="77F70E66" w14:textId="77777777" w:rsidR="007D1F84" w:rsidRDefault="007D1F84" w:rsidP="007D1F84">
      <w:pPr>
        <w:spacing w:line="360" w:lineRule="auto"/>
        <w:jc w:val="both"/>
        <w:rPr>
          <w:rtl/>
        </w:rPr>
      </w:pPr>
      <w:r>
        <w:rPr>
          <w:rtl/>
        </w:rPr>
        <w:t xml:space="preserve">למרות האמור, שירות המבחן חזר והדגיש שהנאשם ממשיך בשיתוף פעולה מלא, משתף בכנות, מגלה יחס אכפתי ורצינות ביחס לטיפול. הנאשם ממשיך להתמקד בעבודה ובחיים הזוגיים, ממעט בבילויים חברתיים ועורך מאמצים לניהול קשרים חברתיים מיטיבים יותר. </w:t>
      </w:r>
    </w:p>
    <w:p w14:paraId="5BF05152" w14:textId="77777777" w:rsidR="007D1F84" w:rsidRDefault="007D1F84" w:rsidP="007D1F84">
      <w:pPr>
        <w:spacing w:line="360" w:lineRule="auto"/>
        <w:jc w:val="both"/>
        <w:rPr>
          <w:rtl/>
        </w:rPr>
      </w:pPr>
      <w:r>
        <w:rPr>
          <w:rtl/>
        </w:rPr>
        <w:t xml:space="preserve">שירות המבחן ציין שהנאשם "מצוי בעיצומו של תהליך שינוי משמעותי..." </w:t>
      </w:r>
    </w:p>
    <w:p w14:paraId="2D6C90C8" w14:textId="77777777" w:rsidR="007D1F84" w:rsidRDefault="007D1F84" w:rsidP="007D1F84">
      <w:pPr>
        <w:spacing w:line="360" w:lineRule="auto"/>
        <w:jc w:val="both"/>
        <w:rPr>
          <w:rtl/>
        </w:rPr>
      </w:pPr>
      <w:r>
        <w:rPr>
          <w:rtl/>
        </w:rPr>
        <w:t xml:space="preserve">על כן, שירות המבחן חוזר על המלצתו לעבודות שירות וצו מבחן למשך שנה. שירות המבחן המליץ להימנע מהטלת עונש מאסר בפועל ממש. </w:t>
      </w:r>
    </w:p>
    <w:p w14:paraId="38FB01E7" w14:textId="77777777" w:rsidR="007D1F84" w:rsidRDefault="007D1F84" w:rsidP="007D1F84">
      <w:pPr>
        <w:spacing w:line="360" w:lineRule="auto"/>
        <w:jc w:val="both"/>
        <w:rPr>
          <w:b/>
          <w:bCs/>
          <w:u w:val="single"/>
          <w:rtl/>
        </w:rPr>
      </w:pPr>
    </w:p>
    <w:p w14:paraId="1084CC12" w14:textId="77777777" w:rsidR="007D1F84" w:rsidRDefault="007D1F84" w:rsidP="007D1F84">
      <w:pPr>
        <w:pStyle w:val="ab"/>
        <w:autoSpaceDE w:val="0"/>
        <w:autoSpaceDN w:val="0"/>
        <w:adjustRightInd w:val="0"/>
        <w:spacing w:line="360" w:lineRule="auto"/>
        <w:ind w:left="0"/>
        <w:jc w:val="both"/>
        <w:rPr>
          <w:rFonts w:cs="David"/>
          <w:b/>
          <w:bCs/>
          <w:sz w:val="24"/>
          <w:szCs w:val="24"/>
          <w:u w:val="single"/>
          <w:rtl/>
        </w:rPr>
      </w:pPr>
      <w:r>
        <w:rPr>
          <w:rFonts w:cs="David"/>
          <w:b/>
          <w:bCs/>
          <w:sz w:val="24"/>
          <w:szCs w:val="24"/>
          <w:u w:val="single"/>
          <w:rtl/>
        </w:rPr>
        <w:t>חוות דעת ממונה</w:t>
      </w:r>
    </w:p>
    <w:p w14:paraId="51957726" w14:textId="77777777" w:rsidR="007D1F84" w:rsidRDefault="007D1F84" w:rsidP="007D1F84">
      <w:pPr>
        <w:pStyle w:val="ab"/>
        <w:spacing w:after="0" w:line="360" w:lineRule="auto"/>
        <w:ind w:left="0"/>
        <w:jc w:val="both"/>
        <w:rPr>
          <w:rFonts w:cs="David"/>
          <w:sz w:val="24"/>
          <w:szCs w:val="24"/>
          <w:rtl/>
        </w:rPr>
      </w:pPr>
      <w:r>
        <w:rPr>
          <w:rFonts w:cs="David"/>
          <w:sz w:val="24"/>
          <w:szCs w:val="24"/>
          <w:rtl/>
        </w:rPr>
        <w:t xml:space="preserve">הנאשם נמצא כשיר לריצוי עונש מסוג מאסר בעבודות שירות (במגבלות). </w:t>
      </w:r>
    </w:p>
    <w:p w14:paraId="6E08D7E0" w14:textId="77777777" w:rsidR="007D1F84" w:rsidRDefault="007D1F84" w:rsidP="007D1F84">
      <w:pPr>
        <w:pStyle w:val="ab"/>
        <w:spacing w:after="0" w:line="360" w:lineRule="auto"/>
        <w:ind w:left="0"/>
        <w:jc w:val="both"/>
        <w:rPr>
          <w:rFonts w:cs="David"/>
          <w:b/>
          <w:bCs/>
          <w:sz w:val="24"/>
          <w:szCs w:val="24"/>
          <w:u w:val="single"/>
          <w:rtl/>
        </w:rPr>
      </w:pPr>
    </w:p>
    <w:p w14:paraId="644E9BDE" w14:textId="77777777" w:rsidR="007D1F84" w:rsidRDefault="007D1F84" w:rsidP="007D1F84">
      <w:pPr>
        <w:pStyle w:val="ab"/>
        <w:spacing w:after="0" w:line="360" w:lineRule="auto"/>
        <w:ind w:left="0"/>
        <w:jc w:val="both"/>
        <w:rPr>
          <w:rFonts w:cs="David"/>
          <w:sz w:val="24"/>
          <w:szCs w:val="24"/>
          <w:rtl/>
        </w:rPr>
      </w:pPr>
      <w:r>
        <w:rPr>
          <w:rFonts w:cs="David"/>
          <w:b/>
          <w:bCs/>
          <w:sz w:val="24"/>
          <w:szCs w:val="24"/>
          <w:u w:val="single"/>
          <w:rtl/>
        </w:rPr>
        <w:t>דיון והכרעה</w:t>
      </w:r>
      <w:r>
        <w:rPr>
          <w:rFonts w:cs="David"/>
          <w:sz w:val="24"/>
          <w:szCs w:val="24"/>
          <w:rtl/>
        </w:rPr>
        <w:t>:</w:t>
      </w:r>
    </w:p>
    <w:p w14:paraId="36BE7847" w14:textId="77777777" w:rsidR="007D1F84" w:rsidRDefault="007D1F84" w:rsidP="007D1F84">
      <w:pPr>
        <w:spacing w:line="360" w:lineRule="auto"/>
        <w:jc w:val="both"/>
        <w:rPr>
          <w:u w:val="single"/>
          <w:rtl/>
        </w:rPr>
      </w:pPr>
      <w:r>
        <w:rPr>
          <w:u w:val="single"/>
          <w:rtl/>
        </w:rPr>
        <w:t>מתחם אחד לאירועים שונים</w:t>
      </w:r>
    </w:p>
    <w:p w14:paraId="44191376" w14:textId="77777777" w:rsidR="007D1F84" w:rsidRDefault="007D1F84" w:rsidP="007D1F84">
      <w:pPr>
        <w:spacing w:line="360" w:lineRule="auto"/>
        <w:jc w:val="both"/>
        <w:rPr>
          <w:rtl/>
        </w:rPr>
      </w:pPr>
      <w:r>
        <w:rPr>
          <w:rtl/>
        </w:rPr>
        <w:t xml:space="preserve"> כתב האישום המתוקן בעניינו של הנאשם כולל מספר רב של "תתי אירועים", אך הפריטים השונים מתנקזים ומתכנסים כולם לתוך סיפור מרכזי אחד והוא פעילות פלילית ענפה לממכר סמים, שסיפק סמים לפי דרישה, ללקוחות מזדמנים. אין הצדקה לפיצול סיפור המעשה לאירועים רבים וזהים, והרי מדובר בפעילות שיטתית המהווה מסכת אחת. אף עבירות ההחזקות קשורות קשר הדוק לעבירות הסחר. לפיכך, אתייחס לכתב האישום על אישומיו השונים כאירוע אחד כולל.</w:t>
      </w:r>
    </w:p>
    <w:p w14:paraId="110C5D47" w14:textId="77777777" w:rsidR="007D1F84" w:rsidRDefault="007D1F84" w:rsidP="007D1F84">
      <w:pPr>
        <w:spacing w:line="360" w:lineRule="auto"/>
        <w:jc w:val="both"/>
        <w:rPr>
          <w:rtl/>
        </w:rPr>
      </w:pPr>
      <w:r>
        <w:rPr>
          <w:rtl/>
        </w:rPr>
        <w:lastRenderedPageBreak/>
        <w:t xml:space="preserve">המתחם הכולל לוקח בחשבון המרכיבים השונים של האישומים השונים, לרבות עבירות הסחר והספקת הסמים, בחלק מהמקרים לקטינים, בצל הכמויות המשמעויות, שיטת הביצוע (באמצעות </w:t>
      </w:r>
      <w:r>
        <w:rPr>
          <w:rFonts w:hint="cs"/>
          <w:rtl/>
        </w:rPr>
        <w:t>אפליקציה</w:t>
      </w:r>
      <w:r>
        <w:rPr>
          <w:rtl/>
        </w:rPr>
        <w:t xml:space="preserve"> ולכל דורש). </w:t>
      </w:r>
    </w:p>
    <w:p w14:paraId="2263243E" w14:textId="77777777" w:rsidR="007D1F84" w:rsidRDefault="007D1F84" w:rsidP="007D1F84">
      <w:pPr>
        <w:spacing w:line="360" w:lineRule="auto"/>
        <w:jc w:val="both"/>
        <w:rPr>
          <w:rtl/>
        </w:rPr>
      </w:pPr>
    </w:p>
    <w:p w14:paraId="507221E2" w14:textId="77777777" w:rsidR="007D1F84" w:rsidRDefault="007D1F84" w:rsidP="007D1F84">
      <w:pPr>
        <w:spacing w:line="360" w:lineRule="auto"/>
        <w:jc w:val="both"/>
        <w:rPr>
          <w:rtl/>
        </w:rPr>
      </w:pPr>
      <w:r>
        <w:rPr>
          <w:u w:val="single"/>
          <w:rtl/>
        </w:rPr>
        <w:t>מתחם העונש ההולם</w:t>
      </w:r>
      <w:r>
        <w:rPr>
          <w:rtl/>
        </w:rPr>
        <w:t>:</w:t>
      </w:r>
    </w:p>
    <w:p w14:paraId="458AC041" w14:textId="77777777" w:rsidR="007D1F84" w:rsidRDefault="007D1F84" w:rsidP="007D1F84">
      <w:pPr>
        <w:spacing w:line="360" w:lineRule="auto"/>
        <w:jc w:val="both"/>
        <w:rPr>
          <w:rtl/>
        </w:rPr>
      </w:pPr>
      <w:r>
        <w:rPr>
          <w:rtl/>
        </w:rPr>
        <w:t>בהתאם לתיקון 113 ל</w:t>
      </w:r>
      <w:hyperlink r:id="rId27" w:history="1">
        <w:r w:rsidR="00770144" w:rsidRPr="00770144">
          <w:rPr>
            <w:color w:val="0000FF"/>
            <w:u w:val="single"/>
            <w:rtl/>
          </w:rPr>
          <w:t>חוק העונשין</w:t>
        </w:r>
      </w:hyperlink>
      <w:r>
        <w:rPr>
          <w:rtl/>
        </w:rPr>
        <w:t xml:space="preserve">, יש לקבוע, בטרם קביעת העונש המתאים,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76FE5FB1" w14:textId="77777777" w:rsidR="007D1F84" w:rsidRDefault="007D1F84" w:rsidP="007D1F84">
      <w:pPr>
        <w:spacing w:line="360" w:lineRule="auto"/>
        <w:jc w:val="both"/>
        <w:rPr>
          <w:rtl/>
        </w:rPr>
      </w:pPr>
      <w:r>
        <w:rPr>
          <w:rtl/>
        </w:rPr>
        <w:t xml:space="preserve">אשר </w:t>
      </w:r>
      <w:r>
        <w:rPr>
          <w:b/>
          <w:bCs/>
          <w:rtl/>
        </w:rPr>
        <w:t>לערכים המוגנים</w:t>
      </w:r>
      <w:r>
        <w:rPr>
          <w:rtl/>
        </w:rPr>
        <w:t xml:space="preserve">, ציינתי, במקרים דומים, שהחזקת סמים בכמות מסחרית וסחר בהם, הן עבירות חמורות. העונש המרבי בצד עבירות אלו מהווה אינדיקציה ברורה לחומרתן. עבירות אלו, המבוצעות לרוב מתוך בצע כסף ורצון לגריפת רווחים קלים, פוגעות בשלום הציבור ובריאותו, לצד פגיעתן בערך שלטון החוק. גם כאשר מדובר בסמים הנחשבים "לסמים קלים", המדובר בחלק מאותו נגע סמים שפשה בחברה וחייב את המערכת המשפטית, כך לפי פסיקת בית המשפט העליון, להתגייס "למלחמת חורמה" בו. המדובר בפעילות בלתי חוקית המתבצעת בסתר ובמחשכים, ומכאן שהיא מהווה כביצה עבריינית השואבת לתוכה עבריינות מסוגים שונים. </w:t>
      </w:r>
    </w:p>
    <w:p w14:paraId="17AA0097" w14:textId="77777777" w:rsidR="007D1F84" w:rsidRDefault="007D1F84" w:rsidP="007D1F84">
      <w:pPr>
        <w:spacing w:line="360" w:lineRule="auto"/>
        <w:jc w:val="both"/>
        <w:rPr>
          <w:rtl/>
        </w:rPr>
      </w:pPr>
      <w:r>
        <w:rPr>
          <w:rtl/>
        </w:rPr>
        <w:t xml:space="preserve">בחינת </w:t>
      </w:r>
      <w:r>
        <w:rPr>
          <w:b/>
          <w:bCs/>
          <w:rtl/>
        </w:rPr>
        <w:t>מדיניות הענישה</w:t>
      </w:r>
      <w:r>
        <w:rPr>
          <w:rtl/>
        </w:rPr>
        <w:t xml:space="preserve"> הנוהגת מעלה כי במקרים דומים הוטלו על נאשמים עונשים, החל מ- 15 חודשי מאסר בפועל ועד 32 חודשי מאסר. בקביעה זו התבססתי על הפסיקה שהגישו לעיוני הצדדים וכן פסיקה נוספת כפי שיפורט מיד. </w:t>
      </w:r>
    </w:p>
    <w:p w14:paraId="6FE55AEC" w14:textId="77777777" w:rsidR="007D1F84" w:rsidRDefault="007D1F84" w:rsidP="007D1F84">
      <w:pPr>
        <w:spacing w:line="360" w:lineRule="auto"/>
        <w:jc w:val="both"/>
        <w:rPr>
          <w:rtl/>
        </w:rPr>
      </w:pPr>
      <w:r>
        <w:rPr>
          <w:rtl/>
        </w:rPr>
        <w:t xml:space="preserve">עוד לקחתי בחשבון בקביעת המתחם את </w:t>
      </w:r>
      <w:r>
        <w:rPr>
          <w:b/>
          <w:bCs/>
          <w:rtl/>
        </w:rPr>
        <w:t>הנסיבות הקשורות בביצוע העבירה</w:t>
      </w:r>
      <w:r>
        <w:rPr>
          <w:rtl/>
        </w:rPr>
        <w:t xml:space="preserve"> לרבות: כמויות הסמים הגדולות, סכומי הכסף המשמעותיים, המכירה לכל דורש, חלקים בגירים, וחלקם אף קטינים, כשהנאשם לא בוחל באמצעים כדי לבצע העבירות ואף פועל בפראות נגד שוטרים (אישום 5) שהבחינו בעסקת סמים שביצע. כל זאת, תוך שיטתיות בדרך של שימוש ביישומון 'טלגרם' לצורך הפצת סמים.   </w:t>
      </w:r>
    </w:p>
    <w:p w14:paraId="4CDE072B" w14:textId="77777777" w:rsidR="007D1F84" w:rsidRDefault="007D1F84" w:rsidP="007D1F84">
      <w:pPr>
        <w:spacing w:line="360" w:lineRule="auto"/>
        <w:jc w:val="both"/>
        <w:rPr>
          <w:u w:val="single"/>
          <w:rtl/>
        </w:rPr>
      </w:pPr>
    </w:p>
    <w:p w14:paraId="7CC5EB23" w14:textId="77777777" w:rsidR="007D1F84" w:rsidRDefault="007D1F84" w:rsidP="007D1F84">
      <w:pPr>
        <w:spacing w:line="360" w:lineRule="auto"/>
        <w:jc w:val="both"/>
        <w:rPr>
          <w:u w:val="single"/>
          <w:rtl/>
        </w:rPr>
      </w:pPr>
      <w:r>
        <w:rPr>
          <w:u w:val="single"/>
          <w:rtl/>
        </w:rPr>
        <w:t>הענישה הנהוגה</w:t>
      </w:r>
    </w:p>
    <w:p w14:paraId="4FDA9AD8" w14:textId="77777777" w:rsidR="007D1F84" w:rsidRDefault="007D1F84" w:rsidP="007D1F84">
      <w:pPr>
        <w:spacing w:line="360" w:lineRule="auto"/>
        <w:jc w:val="both"/>
        <w:rPr>
          <w:rtl/>
        </w:rPr>
      </w:pPr>
    </w:p>
    <w:p w14:paraId="10733780" w14:textId="77777777" w:rsidR="007D1F84" w:rsidRDefault="007D1F84" w:rsidP="007D1F84">
      <w:pPr>
        <w:spacing w:line="360" w:lineRule="auto"/>
        <w:jc w:val="both"/>
        <w:rPr>
          <w:rtl/>
        </w:rPr>
      </w:pPr>
      <w:r>
        <w:rPr>
          <w:rtl/>
        </w:rPr>
        <w:t xml:space="preserve">בתיק </w:t>
      </w:r>
      <w:hyperlink r:id="rId28" w:history="1">
        <w:r w:rsidR="00770144" w:rsidRPr="00770144">
          <w:rPr>
            <w:color w:val="0000FF"/>
            <w:u w:val="single"/>
            <w:rtl/>
          </w:rPr>
          <w:t>ת"פ (רמ') 50774-11-15</w:t>
        </w:r>
      </w:hyperlink>
      <w:r>
        <w:rPr>
          <w:rtl/>
        </w:rPr>
        <w:t xml:space="preserve">‏ </w:t>
      </w:r>
      <w:r>
        <w:rPr>
          <w:b/>
          <w:bCs/>
          <w:rtl/>
        </w:rPr>
        <w:t>משטרת ישראל תביעות- שלוחת רמלה נ' נוי אורסולה</w:t>
      </w:r>
      <w:r>
        <w:rPr>
          <w:rtl/>
        </w:rPr>
        <w:t xml:space="preserve"> (2017), שנסיבותיו דומות, מבחינת ריבוי העבירות וגיוון העבירות (אם כי בכמויות קטנות יותר), לרבות ריבוי עבירות סחר, אף לקטינים, ועבירות של החזקת סמים וכן גידול סמים, נקבע, בגישה מקלה יחסית, מתחם שמתחיל ממאסר בפועל שניתן לריצוי בעבודות שירות, עונש שהוטל על הנאשם בסופו של דבר. בית המשפט השלום (כב' השופט ע' קובו) הוסיף: </w:t>
      </w:r>
    </w:p>
    <w:p w14:paraId="2F24D39C" w14:textId="77777777" w:rsidR="007D1F84" w:rsidRDefault="007D1F84" w:rsidP="007D1F84">
      <w:pPr>
        <w:spacing w:line="360" w:lineRule="auto"/>
        <w:jc w:val="both"/>
        <w:rPr>
          <w:rtl/>
        </w:rPr>
      </w:pPr>
    </w:p>
    <w:p w14:paraId="32D6E4A9" w14:textId="77777777" w:rsidR="007D1F84" w:rsidRDefault="007D1F84" w:rsidP="007D1F84">
      <w:pPr>
        <w:spacing w:line="360" w:lineRule="auto"/>
        <w:jc w:val="both"/>
        <w:rPr>
          <w:b/>
          <w:bCs/>
          <w:rtl/>
        </w:rPr>
      </w:pPr>
      <w:r>
        <w:rPr>
          <w:b/>
          <w:bCs/>
          <w:rtl/>
        </w:rPr>
        <w:t>"במקרה דנן, ככל שהיה נקבע מתחם עונש הולם שהרף התחתון שלו הינו של מאסר בכליאה ממש, ברי שהיה בשיקול השיקומי כדי להצדיק סטייה מן המתחם לקולא. במקרה דנן סבורני כי קיים סיכוי של ממש שהנאשם ישתקם. זאת נוכח גילו הצעיר של הנאשם וכן התלות שפיתח בסמים"</w:t>
      </w:r>
      <w:r>
        <w:rPr>
          <w:b/>
          <w:bCs/>
        </w:rPr>
        <w:t>.</w:t>
      </w:r>
      <w:r w:rsidR="00770144">
        <w:rPr>
          <w:b/>
          <w:bCs/>
        </w:rPr>
        <w:t xml:space="preserve"> </w:t>
      </w:r>
    </w:p>
    <w:p w14:paraId="790EEAD4" w14:textId="77777777" w:rsidR="007D1F84" w:rsidRDefault="007D1F84" w:rsidP="007D1F84">
      <w:pPr>
        <w:spacing w:line="360" w:lineRule="auto"/>
        <w:jc w:val="both"/>
        <w:rPr>
          <w:rtl/>
        </w:rPr>
      </w:pPr>
    </w:p>
    <w:p w14:paraId="4C53B323" w14:textId="77777777" w:rsidR="007D1F84" w:rsidRDefault="007D1F84" w:rsidP="007D1F84">
      <w:pPr>
        <w:spacing w:line="360" w:lineRule="auto"/>
        <w:jc w:val="both"/>
        <w:rPr>
          <w:rtl/>
        </w:rPr>
      </w:pPr>
      <w:r>
        <w:rPr>
          <w:rtl/>
        </w:rPr>
        <w:t>לציין שערעור המדינה על קולת העונש נדחה לאחר שהנאשם התמיד בתהליך השיקומי והתקבל בענייננו תסקיר חיובי גם בבית המשפט המחוזי, ובית המשפט המחוזי הדגיש שאין בדחיית הערעור כדי ללמד על מדיניות הענישה.</w:t>
      </w:r>
    </w:p>
    <w:p w14:paraId="420C23C0" w14:textId="77777777" w:rsidR="007D1F84" w:rsidRDefault="007D1F84" w:rsidP="007D1F84">
      <w:pPr>
        <w:spacing w:line="360" w:lineRule="auto"/>
        <w:jc w:val="both"/>
        <w:rPr>
          <w:rtl/>
        </w:rPr>
      </w:pPr>
      <w:r>
        <w:rPr>
          <w:rtl/>
        </w:rPr>
        <w:t xml:space="preserve"> </w:t>
      </w:r>
    </w:p>
    <w:p w14:paraId="66C45503" w14:textId="77777777" w:rsidR="007D1F84" w:rsidRDefault="007D1F84" w:rsidP="007D1F84">
      <w:pPr>
        <w:spacing w:line="360" w:lineRule="auto"/>
        <w:jc w:val="both"/>
        <w:rPr>
          <w:rtl/>
        </w:rPr>
      </w:pPr>
      <w:r>
        <w:rPr>
          <w:rtl/>
        </w:rPr>
        <w:t>ב</w:t>
      </w:r>
      <w:hyperlink r:id="rId29" w:history="1">
        <w:r w:rsidR="00770144" w:rsidRPr="00770144">
          <w:rPr>
            <w:color w:val="0000FF"/>
            <w:u w:val="single"/>
            <w:rtl/>
          </w:rPr>
          <w:t>רע"פ 1504/10</w:t>
        </w:r>
      </w:hyperlink>
      <w:r>
        <w:rPr>
          <w:rtl/>
        </w:rPr>
        <w:t xml:space="preserve"> </w:t>
      </w:r>
      <w:r>
        <w:rPr>
          <w:b/>
          <w:bCs/>
          <w:rtl/>
        </w:rPr>
        <w:t>פלג נגד מדינת ישראל</w:t>
      </w:r>
      <w:r>
        <w:rPr>
          <w:rtl/>
        </w:rPr>
        <w:t xml:space="preserve"> (2010) נדונה שאלת עונשו של מי שהורשע ב- 16 עבירות סחר בסמים ועבירת החזקת סמים שלא לצריכה עצמית, ובית המשפט גזר עליו </w:t>
      </w:r>
      <w:r>
        <w:rPr>
          <w:u w:val="single"/>
          <w:rtl/>
        </w:rPr>
        <w:t>18 חודשי מאסר</w:t>
      </w:r>
      <w:r>
        <w:rPr>
          <w:rtl/>
        </w:rPr>
        <w:t xml:space="preserve">. הבקשה לרשות ערעור נדחתה תוך שבית המשפט ציין: "...אופיין של העבירות אותן ביצע המבקש ומספרן, והעובדה שהוא נמנה על אלה המפיצים את נגע הסמים על ידי סחר בו, חייבו את כליאתו לתקופה ממושכת תוך העדפת האינטרס הציבורי על זה האישי". </w:t>
      </w:r>
    </w:p>
    <w:p w14:paraId="14FE533F" w14:textId="77777777" w:rsidR="007D1F84" w:rsidRDefault="007D1F84" w:rsidP="007D1F84">
      <w:pPr>
        <w:spacing w:line="360" w:lineRule="auto"/>
        <w:jc w:val="both"/>
        <w:rPr>
          <w:rtl/>
        </w:rPr>
      </w:pPr>
    </w:p>
    <w:p w14:paraId="7BCC54BA" w14:textId="77777777" w:rsidR="007D1F84" w:rsidRDefault="007D1F84" w:rsidP="007D1F84">
      <w:pPr>
        <w:spacing w:line="360" w:lineRule="auto"/>
        <w:jc w:val="both"/>
        <w:rPr>
          <w:rtl/>
        </w:rPr>
      </w:pPr>
      <w:r>
        <w:rPr>
          <w:rtl/>
        </w:rPr>
        <w:t>ב</w:t>
      </w:r>
      <w:hyperlink r:id="rId30" w:history="1">
        <w:r w:rsidR="00770144" w:rsidRPr="00770144">
          <w:rPr>
            <w:color w:val="0000FF"/>
            <w:u w:val="single"/>
            <w:rtl/>
          </w:rPr>
          <w:t>רע"פ 1626/12</w:t>
        </w:r>
      </w:hyperlink>
      <w:r>
        <w:rPr>
          <w:rtl/>
        </w:rPr>
        <w:t xml:space="preserve"> וב</w:t>
      </w:r>
      <w:hyperlink r:id="rId31" w:history="1">
        <w:r w:rsidR="00770144" w:rsidRPr="00770144">
          <w:rPr>
            <w:color w:val="0000FF"/>
            <w:u w:val="single"/>
            <w:rtl/>
          </w:rPr>
          <w:t>רע"פ 5712/16</w:t>
        </w:r>
      </w:hyperlink>
      <w:r>
        <w:rPr>
          <w:rtl/>
        </w:rPr>
        <w:t xml:space="preserve"> וחרף נסיבות אישיות מקלות (גיל צעיר והעדר עבר פלילי) נדחו בקשות לרשות ערעור תוך אישור עונשי מאסר (</w:t>
      </w:r>
      <w:r>
        <w:rPr>
          <w:u w:val="single"/>
          <w:rtl/>
        </w:rPr>
        <w:t>בני 8 ו- 9 חודשים)</w:t>
      </w:r>
      <w:r>
        <w:rPr>
          <w:rtl/>
        </w:rPr>
        <w:t xml:space="preserve"> בגין הרשעה בארבעה אירועי סחר בסמים. </w:t>
      </w:r>
    </w:p>
    <w:p w14:paraId="68DB504A" w14:textId="77777777" w:rsidR="007D1F84" w:rsidRDefault="007D1F84" w:rsidP="007D1F84">
      <w:pPr>
        <w:spacing w:line="360" w:lineRule="auto"/>
        <w:ind w:left="360"/>
        <w:contextualSpacing/>
        <w:jc w:val="both"/>
        <w:rPr>
          <w:rtl/>
        </w:rPr>
      </w:pPr>
    </w:p>
    <w:p w14:paraId="40A4164D" w14:textId="77777777" w:rsidR="007D1F84" w:rsidRDefault="007D1F84" w:rsidP="007D1F84">
      <w:pPr>
        <w:spacing w:line="360" w:lineRule="auto"/>
        <w:jc w:val="both"/>
      </w:pPr>
      <w:r>
        <w:rPr>
          <w:rtl/>
        </w:rPr>
        <w:t>ב</w:t>
      </w:r>
      <w:hyperlink r:id="rId32" w:history="1">
        <w:r w:rsidR="00770144" w:rsidRPr="00770144">
          <w:rPr>
            <w:color w:val="0000FF"/>
            <w:u w:val="single"/>
            <w:rtl/>
          </w:rPr>
          <w:t>רע"פ 5698/17</w:t>
        </w:r>
      </w:hyperlink>
      <w:r>
        <w:rPr>
          <w:rtl/>
        </w:rPr>
        <w:t xml:space="preserve"> </w:t>
      </w:r>
      <w:r>
        <w:rPr>
          <w:b/>
          <w:bCs/>
          <w:rtl/>
        </w:rPr>
        <w:t>ליפצר נגד מדינת ישראל</w:t>
      </w:r>
      <w:r>
        <w:rPr>
          <w:rtl/>
        </w:rPr>
        <w:t xml:space="preserve"> (2017) נדון עניינו של נאשם שהורשע ב- 15 אישומים בגין עבירות סמים ונגזרו עליו </w:t>
      </w:r>
      <w:r>
        <w:rPr>
          <w:u w:val="single"/>
          <w:rtl/>
        </w:rPr>
        <w:t>30 חודשי מאסר</w:t>
      </w:r>
      <w:r>
        <w:rPr>
          <w:rtl/>
        </w:rPr>
        <w:t>. בקשת רשות ערעור נדחתה בעניינו, תוך שבית המשפט העליון ציין: "לא ניתן להקל ראש בחומרת העבירות שביצע המבקש, שעה שסחר בסמים במספר הזדמנויות, עם ציבור לקוחות לא קטן, גם אם אין מדובר בנסיבות העומדות ברף חומרה גבוה במיוחד".</w:t>
      </w:r>
    </w:p>
    <w:p w14:paraId="71F865A1" w14:textId="77777777" w:rsidR="007D1F84" w:rsidRDefault="007D1F84" w:rsidP="007D1F84">
      <w:pPr>
        <w:spacing w:line="360" w:lineRule="auto"/>
        <w:ind w:left="360"/>
        <w:contextualSpacing/>
        <w:jc w:val="both"/>
        <w:rPr>
          <w:rtl/>
        </w:rPr>
      </w:pPr>
    </w:p>
    <w:p w14:paraId="615FD3A3" w14:textId="77777777" w:rsidR="007D1F84" w:rsidRDefault="007D1F84" w:rsidP="007D1F84">
      <w:pPr>
        <w:spacing w:line="360" w:lineRule="auto"/>
        <w:jc w:val="both"/>
      </w:pPr>
      <w:r>
        <w:rPr>
          <w:rtl/>
        </w:rPr>
        <w:t>ב</w:t>
      </w:r>
      <w:hyperlink r:id="rId33" w:history="1">
        <w:r w:rsidR="00770144" w:rsidRPr="00770144">
          <w:rPr>
            <w:color w:val="0000FF"/>
            <w:u w:val="single"/>
            <w:rtl/>
          </w:rPr>
          <w:t>עפ"ג (מחוזי מרכז) 56241-03-19</w:t>
        </w:r>
      </w:hyperlink>
      <w:r>
        <w:rPr>
          <w:rtl/>
        </w:rPr>
        <w:t xml:space="preserve"> </w:t>
      </w:r>
      <w:r>
        <w:rPr>
          <w:b/>
          <w:bCs/>
          <w:rtl/>
        </w:rPr>
        <w:t>בואהרון נגד מדינת ישראל</w:t>
      </w:r>
      <w:r>
        <w:rPr>
          <w:rtl/>
        </w:rPr>
        <w:t xml:space="preserve"> (2019), נדחה ערעור של הנאשם נגד חומרת העונש (</w:t>
      </w:r>
      <w:r>
        <w:rPr>
          <w:u w:val="single"/>
          <w:rtl/>
        </w:rPr>
        <w:t>17 חודשי מאסר בפועל</w:t>
      </w:r>
      <w:r>
        <w:rPr>
          <w:rtl/>
        </w:rPr>
        <w:t xml:space="preserve"> וענישה נלווית) שהוטל עליו בגין הרשעתו ב- 20 אישומים של סחר בסם מסוג קנאביס ב- 32 הזדמנויות ל- 17 קונים. בית המשפט המחוזי קבע כי המדובר בעונש מידתי ומתון שבוודאי אינו מצדיק התערבות ערכאת הערעור. </w:t>
      </w:r>
    </w:p>
    <w:p w14:paraId="344701B0" w14:textId="77777777" w:rsidR="007D1F84" w:rsidRDefault="007D1F84" w:rsidP="007D1F84">
      <w:pPr>
        <w:spacing w:line="360" w:lineRule="auto"/>
        <w:ind w:left="360"/>
        <w:contextualSpacing/>
        <w:jc w:val="both"/>
        <w:rPr>
          <w:rtl/>
        </w:rPr>
      </w:pPr>
    </w:p>
    <w:p w14:paraId="23187EE0" w14:textId="77777777" w:rsidR="007D1F84" w:rsidRDefault="007D1F84" w:rsidP="007D1F84">
      <w:pPr>
        <w:spacing w:line="360" w:lineRule="auto"/>
        <w:jc w:val="both"/>
      </w:pPr>
      <w:r>
        <w:rPr>
          <w:rtl/>
        </w:rPr>
        <w:t>ב</w:t>
      </w:r>
      <w:hyperlink r:id="rId34" w:history="1">
        <w:r w:rsidR="00770144" w:rsidRPr="00770144">
          <w:rPr>
            <w:color w:val="0000FF"/>
            <w:u w:val="single"/>
            <w:rtl/>
          </w:rPr>
          <w:t>עפ"ג (מחוזי מרכז) 8771-01-19</w:t>
        </w:r>
      </w:hyperlink>
      <w:r>
        <w:rPr>
          <w:rtl/>
        </w:rPr>
        <w:t xml:space="preserve"> </w:t>
      </w:r>
      <w:r>
        <w:rPr>
          <w:b/>
          <w:bCs/>
          <w:rtl/>
        </w:rPr>
        <w:t>טל בכרטן נגד מדינת ישראל</w:t>
      </w:r>
      <w:r>
        <w:rPr>
          <w:rtl/>
        </w:rPr>
        <w:t xml:space="preserve"> (2019) נדונה שאלת מתחם העונש ההולם למי שהורשע בתיווך בסמים, ב- 34 מקרים שונים, ל- 11 אנשים, כמות מצטברת של 271 גר' מסוג קנביס, בתמורה מצטברת של 26,580 ₪. בית המשפט המחוזי קיבל את הערעור וקבע כי מתחם העונש ההולם נע בין </w:t>
      </w:r>
      <w:r>
        <w:rPr>
          <w:u w:val="single"/>
          <w:rtl/>
        </w:rPr>
        <w:t>18 ל- 36 חודשי מאסר</w:t>
      </w:r>
      <w:r>
        <w:rPr>
          <w:rtl/>
        </w:rPr>
        <w:t>. באותו עניין מצא בית המשפט לסטות ממתחם העונש משיקולי שיקום וגזר על הנאשם 12 חודשי מאסר בפועל.</w:t>
      </w:r>
    </w:p>
    <w:p w14:paraId="7DC82B37" w14:textId="77777777" w:rsidR="007D1F84" w:rsidRDefault="007D1F84" w:rsidP="007D1F84">
      <w:pPr>
        <w:spacing w:line="360" w:lineRule="auto"/>
        <w:ind w:left="360"/>
        <w:contextualSpacing/>
        <w:jc w:val="both"/>
        <w:rPr>
          <w:rtl/>
        </w:rPr>
      </w:pPr>
    </w:p>
    <w:p w14:paraId="032EE701" w14:textId="77777777" w:rsidR="007D1F84" w:rsidRDefault="007D1F84" w:rsidP="007D1F84">
      <w:pPr>
        <w:spacing w:line="360" w:lineRule="auto"/>
        <w:jc w:val="both"/>
      </w:pPr>
      <w:r>
        <w:rPr>
          <w:rtl/>
        </w:rPr>
        <w:t>ב</w:t>
      </w:r>
      <w:hyperlink r:id="rId35" w:history="1">
        <w:r w:rsidR="00770144" w:rsidRPr="00770144">
          <w:rPr>
            <w:color w:val="0000FF"/>
            <w:u w:val="single"/>
            <w:rtl/>
          </w:rPr>
          <w:t>רע"פ 8695/19</w:t>
        </w:r>
      </w:hyperlink>
      <w:r>
        <w:rPr>
          <w:rtl/>
        </w:rPr>
        <w:t xml:space="preserve"> </w:t>
      </w:r>
      <w:r>
        <w:rPr>
          <w:b/>
          <w:bCs/>
          <w:rtl/>
        </w:rPr>
        <w:t>אריק פסו נגד מדינת ישראל</w:t>
      </w:r>
      <w:r>
        <w:rPr>
          <w:rtl/>
        </w:rPr>
        <w:t xml:space="preserve"> (2020) נדחתה בקשה לרשות ערעור בעניינו של מי שהורשעה ב- 29 אישומים של סחר בסמים וכן בעבירה של החזקת סמים שלא לצריכה עצמית והחזקת כלים להכנת סמים. במשך 3 חודשים בשנת 2018 מכר הנאשם שם ל- 29 אנשים שונים סמים מסוג קנביס. בסך הכל מכר הנאשם בכ- 53 הזדמנויות כ- 178 גר' וקיבל תמורתם כ- 16500 ₪. בית המשפט המחוזי החמיר בעונשו של הנאש וגזר עליו 28 חודשי מאסר (תחת 18 חודשי מאסר שנגזרו בבית משפט השלום). בית המשפט העליון דחה את הבקשה לאחר שקבע שלאור היקף העבירות שבוצעו תוך ניהול מערך אספקה מורכב, העונש אינו סוטה ממדיניות הענישה.   </w:t>
      </w:r>
    </w:p>
    <w:p w14:paraId="3960B4F4" w14:textId="77777777" w:rsidR="007D1F84" w:rsidRDefault="007D1F84" w:rsidP="007D1F84">
      <w:pPr>
        <w:spacing w:line="360" w:lineRule="auto"/>
        <w:jc w:val="both"/>
        <w:rPr>
          <w:rtl/>
        </w:rPr>
      </w:pPr>
    </w:p>
    <w:p w14:paraId="4E0AD932" w14:textId="77777777" w:rsidR="007D1F84" w:rsidRDefault="007D1F84" w:rsidP="007D1F84">
      <w:pPr>
        <w:spacing w:line="360" w:lineRule="auto"/>
        <w:jc w:val="both"/>
        <w:rPr>
          <w:rtl/>
        </w:rPr>
      </w:pPr>
      <w:r>
        <w:rPr>
          <w:rtl/>
        </w:rPr>
        <w:t>ראו גם: (</w:t>
      </w:r>
      <w:r>
        <w:rPr>
          <w:u w:val="single"/>
          <w:rtl/>
        </w:rPr>
        <w:t>הפסיקה שהוגשה על ידי התביעה</w:t>
      </w:r>
      <w:r>
        <w:rPr>
          <w:rtl/>
        </w:rPr>
        <w:t xml:space="preserve">) </w:t>
      </w:r>
      <w:hyperlink r:id="rId36" w:history="1">
        <w:r w:rsidR="00770144" w:rsidRPr="00770144">
          <w:rPr>
            <w:color w:val="0000FF"/>
            <w:u w:val="single"/>
            <w:rtl/>
          </w:rPr>
          <w:t>רע"פ 4687/15</w:t>
        </w:r>
      </w:hyperlink>
      <w:r>
        <w:rPr>
          <w:rtl/>
        </w:rPr>
        <w:t xml:space="preserve"> </w:t>
      </w:r>
      <w:r>
        <w:rPr>
          <w:b/>
          <w:bCs/>
          <w:rtl/>
        </w:rPr>
        <w:t>אייל פלג נגד מדינת ישראל</w:t>
      </w:r>
      <w:r>
        <w:rPr>
          <w:rtl/>
        </w:rPr>
        <w:t xml:space="preserve"> (2015), </w:t>
      </w:r>
      <w:hyperlink r:id="rId37" w:history="1">
        <w:r w:rsidR="00770144" w:rsidRPr="00770144">
          <w:rPr>
            <w:color w:val="0000FF"/>
            <w:u w:val="single"/>
            <w:rtl/>
          </w:rPr>
          <w:t>רע"פ 5712/16</w:t>
        </w:r>
      </w:hyperlink>
      <w:r>
        <w:rPr>
          <w:rtl/>
        </w:rPr>
        <w:t xml:space="preserve"> </w:t>
      </w:r>
      <w:r>
        <w:rPr>
          <w:b/>
          <w:bCs/>
          <w:rtl/>
        </w:rPr>
        <w:t>אייזנבאך נגד מדינת ישראל</w:t>
      </w:r>
      <w:r>
        <w:rPr>
          <w:rtl/>
        </w:rPr>
        <w:t xml:space="preserve"> (2016), </w:t>
      </w:r>
      <w:hyperlink r:id="rId38" w:history="1">
        <w:r w:rsidR="00770144" w:rsidRPr="00770144">
          <w:rPr>
            <w:color w:val="0000FF"/>
            <w:u w:val="single"/>
            <w:rtl/>
          </w:rPr>
          <w:t>רע"פ 6401/18</w:t>
        </w:r>
      </w:hyperlink>
      <w:r>
        <w:rPr>
          <w:rtl/>
        </w:rPr>
        <w:t xml:space="preserve"> </w:t>
      </w:r>
      <w:r>
        <w:rPr>
          <w:b/>
          <w:bCs/>
          <w:rtl/>
        </w:rPr>
        <w:t>אביעד ספיר נגד מדינת ישראל</w:t>
      </w:r>
      <w:r>
        <w:rPr>
          <w:rtl/>
        </w:rPr>
        <w:t xml:space="preserve"> (2018). </w:t>
      </w:r>
    </w:p>
    <w:p w14:paraId="113B3ADE" w14:textId="77777777" w:rsidR="007D1F84" w:rsidRPr="007D1F84" w:rsidRDefault="007D1F84" w:rsidP="007D1F84">
      <w:pPr>
        <w:spacing w:line="360" w:lineRule="auto"/>
        <w:jc w:val="both"/>
        <w:rPr>
          <w:rFonts w:ascii="Calibri" w:eastAsia="Calibri" w:hAnsi="Calibri"/>
          <w:b/>
          <w:bCs/>
          <w:rtl/>
        </w:rPr>
      </w:pPr>
    </w:p>
    <w:p w14:paraId="284E191D" w14:textId="77777777" w:rsidR="007D1F84" w:rsidRDefault="007D1F84" w:rsidP="007D1F84">
      <w:pPr>
        <w:spacing w:line="360" w:lineRule="auto"/>
        <w:jc w:val="both"/>
        <w:rPr>
          <w:b/>
          <w:bCs/>
        </w:rPr>
      </w:pPr>
      <w:r>
        <w:rPr>
          <w:b/>
          <w:bCs/>
          <w:rtl/>
        </w:rPr>
        <w:t xml:space="preserve">לאור כלל האמור לעיל סבורני כי מתחם העונש ההולם נע בין 15-32 חודשי מאסר בפועל. </w:t>
      </w:r>
    </w:p>
    <w:p w14:paraId="5726256E" w14:textId="77777777" w:rsidR="007D1F84" w:rsidRDefault="007D1F84" w:rsidP="007D1F84">
      <w:pPr>
        <w:spacing w:line="360" w:lineRule="auto"/>
        <w:jc w:val="both"/>
        <w:rPr>
          <w:rFonts w:ascii="David" w:eastAsia="David" w:hAnsi="David"/>
          <w:b/>
          <w:bCs/>
          <w:u w:val="single"/>
          <w:rtl/>
        </w:rPr>
      </w:pPr>
    </w:p>
    <w:p w14:paraId="6D76DA21" w14:textId="77777777" w:rsidR="007D1F84" w:rsidRDefault="007D1F84" w:rsidP="007D1F84">
      <w:pPr>
        <w:spacing w:line="360" w:lineRule="auto"/>
        <w:jc w:val="both"/>
        <w:rPr>
          <w:rFonts w:ascii="David" w:eastAsia="David" w:hAnsi="David"/>
          <w:b/>
          <w:bCs/>
          <w:u w:val="single"/>
          <w:rtl/>
        </w:rPr>
      </w:pPr>
      <w:r>
        <w:rPr>
          <w:rFonts w:ascii="David" w:eastAsia="David" w:hAnsi="David"/>
          <w:b/>
          <w:bCs/>
          <w:u w:val="single"/>
          <w:rtl/>
        </w:rPr>
        <w:t>סטייה מהמתחם לקולא משיקולי שיקום</w:t>
      </w:r>
    </w:p>
    <w:p w14:paraId="039B16C8" w14:textId="77777777" w:rsidR="007D1F84" w:rsidRDefault="007D1F84" w:rsidP="007D1F84">
      <w:pPr>
        <w:spacing w:line="360" w:lineRule="auto"/>
        <w:jc w:val="both"/>
        <w:rPr>
          <w:rFonts w:ascii="David" w:eastAsia="David" w:hAnsi="David"/>
          <w:color w:val="000000"/>
          <w:rtl/>
        </w:rPr>
      </w:pPr>
    </w:p>
    <w:p w14:paraId="6FC5B49F" w14:textId="77777777" w:rsidR="007D1F84" w:rsidRDefault="007D1F84" w:rsidP="007D1F84">
      <w:pPr>
        <w:spacing w:line="360" w:lineRule="auto"/>
        <w:jc w:val="both"/>
        <w:rPr>
          <w:rFonts w:ascii="David" w:eastAsia="David" w:hAnsi="David"/>
          <w:color w:val="000000"/>
          <w:rtl/>
        </w:rPr>
      </w:pPr>
      <w:r>
        <w:rPr>
          <w:rFonts w:ascii="David" w:eastAsia="David" w:hAnsi="David"/>
          <w:color w:val="000000"/>
          <w:rtl/>
        </w:rPr>
        <w:t xml:space="preserve">לפי </w:t>
      </w:r>
      <w:hyperlink r:id="rId39" w:history="1">
        <w:r w:rsidR="00AB1191" w:rsidRPr="00AB1191">
          <w:rPr>
            <w:rStyle w:val="Hyperlink"/>
            <w:rFonts w:ascii="David" w:eastAsia="David" w:hAnsi="David"/>
            <w:rtl/>
          </w:rPr>
          <w:t>סעיף 40ד</w:t>
        </w:r>
      </w:hyperlink>
      <w:r>
        <w:rPr>
          <w:rFonts w:ascii="David" w:eastAsia="David" w:hAnsi="David"/>
          <w:color w:val="000000"/>
          <w:rtl/>
        </w:rPr>
        <w:t xml:space="preserve"> ל</w:t>
      </w:r>
      <w:hyperlink r:id="rId40" w:history="1">
        <w:r w:rsidR="00770144" w:rsidRPr="00770144">
          <w:rPr>
            <w:rFonts w:ascii="David" w:eastAsia="David" w:hAnsi="David" w:cs="Times New Roman"/>
            <w:color w:val="0000FF"/>
            <w:u w:val="single"/>
            <w:rtl/>
          </w:rPr>
          <w:t>חוק העונשין</w:t>
        </w:r>
      </w:hyperlink>
      <w:r>
        <w:rPr>
          <w:rFonts w:ascii="David" w:eastAsia="David" w:hAnsi="David"/>
          <w:color w:val="000000"/>
          <w:rtl/>
        </w:rPr>
        <w:t xml:space="preserve"> התשל"ז- 1970: </w:t>
      </w:r>
    </w:p>
    <w:p w14:paraId="0EAF19EC" w14:textId="77777777" w:rsidR="007D1F84" w:rsidRDefault="007D1F84" w:rsidP="007D1F84">
      <w:pPr>
        <w:spacing w:line="360" w:lineRule="auto"/>
        <w:jc w:val="both"/>
        <w:rPr>
          <w:rFonts w:ascii="David" w:eastAsia="David" w:hAnsi="David"/>
          <w:color w:val="000000"/>
          <w:rtl/>
        </w:rPr>
      </w:pPr>
    </w:p>
    <w:p w14:paraId="6E822469" w14:textId="77777777" w:rsidR="007D1F84" w:rsidRDefault="007D1F84" w:rsidP="007D1F84">
      <w:pPr>
        <w:spacing w:line="360" w:lineRule="auto"/>
        <w:ind w:left="720" w:hanging="720"/>
        <w:jc w:val="both"/>
        <w:rPr>
          <w:rFonts w:ascii="Book Antiqua" w:eastAsia="David" w:hAnsi="Book Antiqua" w:cs="Guttman Frank"/>
          <w:color w:val="000000"/>
          <w:sz w:val="20"/>
          <w:szCs w:val="20"/>
          <w:rtl/>
        </w:rPr>
      </w:pPr>
      <w:r>
        <w:rPr>
          <w:rFonts w:ascii="Book Antiqua" w:eastAsia="David" w:hAnsi="Book Antiqua" w:cs="Guttman Frank" w:hint="cs"/>
          <w:color w:val="000000"/>
          <w:sz w:val="20"/>
          <w:szCs w:val="20"/>
          <w:rtl/>
        </w:rPr>
        <w:t>(א)</w:t>
      </w:r>
      <w:r>
        <w:rPr>
          <w:rFonts w:ascii="Book Antiqua" w:eastAsia="David" w:hAnsi="Book Antiqua" w:cs="Guttman Frank" w:hint="cs"/>
          <w:color w:val="000000"/>
          <w:sz w:val="20"/>
          <w:szCs w:val="20"/>
          <w:rtl/>
        </w:rPr>
        <w:tab/>
        <w:t xml:space="preserve">קבע בית המשפט את מתחם העונש ההולם בהתאם לעיקרון המנחה ומצא כי הנאשם </w:t>
      </w:r>
      <w:r>
        <w:rPr>
          <w:rFonts w:ascii="Book Antiqua" w:eastAsia="David" w:hAnsi="Book Antiqua" w:cs="Guttman Frank" w:hint="cs"/>
          <w:b/>
          <w:bCs/>
          <w:color w:val="000000"/>
          <w:sz w:val="20"/>
          <w:szCs w:val="20"/>
          <w:rtl/>
        </w:rPr>
        <w:t>השתקם או כי יש סיכוי של ממש שישתקם</w:t>
      </w:r>
      <w:r>
        <w:rPr>
          <w:rFonts w:ascii="Book Antiqua" w:eastAsia="David" w:hAnsi="Book Antiqua" w:cs="Guttman Frank" w:hint="cs"/>
          <w:color w:val="000000"/>
          <w:sz w:val="20"/>
          <w:szCs w:val="20"/>
          <w:rtl/>
        </w:rPr>
        <w:t xml:space="preserve">, רשאי הוא לחרוג ממתחם העונש ההולם ולקבוע את עונשו של הנאשם </w:t>
      </w:r>
      <w:r>
        <w:rPr>
          <w:rFonts w:ascii="Book Antiqua" w:eastAsia="David" w:hAnsi="Book Antiqua" w:cs="Guttman Frank" w:hint="cs"/>
          <w:b/>
          <w:bCs/>
          <w:color w:val="000000"/>
          <w:sz w:val="20"/>
          <w:szCs w:val="20"/>
          <w:rtl/>
        </w:rPr>
        <w:t>לפי שיקולי שיקומו</w:t>
      </w:r>
      <w:r>
        <w:rPr>
          <w:rFonts w:ascii="Book Antiqua" w:eastAsia="David" w:hAnsi="Book Antiqua" w:cs="Guttman Frank" w:hint="cs"/>
          <w:color w:val="000000"/>
          <w:sz w:val="20"/>
          <w:szCs w:val="20"/>
          <w:rtl/>
        </w:rPr>
        <w:t xml:space="preserve">, וכן להורות על נקיטת אמצעי שיקומי כלפי הנאשם, לרבות העמדתו במבחן לפי סעיפים 82 או 86 או לפי </w:t>
      </w:r>
      <w:hyperlink r:id="rId41" w:history="1">
        <w:r w:rsidR="00770144" w:rsidRPr="00770144">
          <w:rPr>
            <w:rFonts w:ascii="Book Antiqua" w:eastAsia="David" w:hAnsi="Book Antiqua" w:cs="Guttman Frank" w:hint="eastAsia"/>
            <w:color w:val="0000FF"/>
            <w:sz w:val="20"/>
            <w:szCs w:val="20"/>
            <w:u w:val="single"/>
            <w:rtl/>
          </w:rPr>
          <w:t>פקודת</w:t>
        </w:r>
        <w:r w:rsidR="00770144" w:rsidRPr="00770144">
          <w:rPr>
            <w:rFonts w:ascii="Book Antiqua" w:eastAsia="David" w:hAnsi="Book Antiqua" w:cs="Guttman Frank"/>
            <w:color w:val="0000FF"/>
            <w:sz w:val="20"/>
            <w:szCs w:val="20"/>
            <w:u w:val="single"/>
            <w:rtl/>
          </w:rPr>
          <w:t xml:space="preserve"> </w:t>
        </w:r>
        <w:r w:rsidR="00770144" w:rsidRPr="00770144">
          <w:rPr>
            <w:rFonts w:ascii="Book Antiqua" w:eastAsia="David" w:hAnsi="Book Antiqua" w:cs="Guttman Frank" w:hint="eastAsia"/>
            <w:color w:val="0000FF"/>
            <w:sz w:val="20"/>
            <w:szCs w:val="20"/>
            <w:u w:val="single"/>
            <w:rtl/>
          </w:rPr>
          <w:t>המבחן</w:t>
        </w:r>
      </w:hyperlink>
      <w:r>
        <w:rPr>
          <w:rFonts w:ascii="Book Antiqua" w:eastAsia="David" w:hAnsi="Book Antiqua" w:cs="Guttman Frank" w:hint="cs"/>
          <w:color w:val="000000"/>
          <w:sz w:val="20"/>
          <w:szCs w:val="20"/>
          <w:rtl/>
        </w:rPr>
        <w:t xml:space="preserve"> [נוסח חדש], התשכ"ט-1969.</w:t>
      </w:r>
    </w:p>
    <w:p w14:paraId="11BBBA65" w14:textId="77777777" w:rsidR="007D1F84" w:rsidRDefault="007D1F84" w:rsidP="007D1F84">
      <w:pPr>
        <w:spacing w:line="360" w:lineRule="auto"/>
        <w:ind w:left="720" w:hanging="720"/>
        <w:jc w:val="both"/>
        <w:rPr>
          <w:rFonts w:ascii="Book Antiqua" w:eastAsia="David" w:hAnsi="Book Antiqua" w:cs="Guttman Frank"/>
          <w:sz w:val="20"/>
          <w:szCs w:val="20"/>
          <w:rtl/>
        </w:rPr>
      </w:pPr>
      <w:r>
        <w:rPr>
          <w:rFonts w:ascii="Book Antiqua" w:eastAsia="David" w:hAnsi="Book Antiqua" w:cs="Guttman Frank" w:hint="cs"/>
          <w:color w:val="000000"/>
          <w:sz w:val="20"/>
          <w:szCs w:val="20"/>
          <w:rtl/>
        </w:rPr>
        <w:t>(ב)</w:t>
      </w:r>
      <w:r>
        <w:rPr>
          <w:rFonts w:ascii="Book Antiqua" w:eastAsia="David" w:hAnsi="Book Antiqua" w:cs="Guttman Frank" w:hint="cs"/>
          <w:color w:val="000000"/>
          <w:sz w:val="20"/>
          <w:szCs w:val="20"/>
          <w:rtl/>
        </w:rPr>
        <w:tab/>
        <w:t xml:space="preserve">היו מעשה העבירה ומידת אשמו של הנאשם בעלי חומרה יתרה, לא יחרוג בית המשפט ממתחם </w:t>
      </w:r>
      <w:r>
        <w:rPr>
          <w:rFonts w:ascii="Book Antiqua" w:eastAsia="David" w:hAnsi="Book Antiqua" w:cs="Guttman Frank" w:hint="cs"/>
          <w:sz w:val="20"/>
          <w:szCs w:val="20"/>
          <w:rtl/>
        </w:rPr>
        <w:t>העונש ההולם, כאמור בסעיף קטן (א), אף אם הנאשם השתקם או אם יש סיכוי של ממש שישתקם, אלא בנסיבות מיוחדות ויוצאות דופן, לאחר שבית המשפט שוכנע שהן גוברות על הצורך לקבוע את העונש במתחם העונש ההולם בהתאם לעיקרון המנחה, ופירט זאת בגזר הדין.</w:t>
      </w:r>
    </w:p>
    <w:p w14:paraId="69EA7E0B" w14:textId="77777777" w:rsidR="007D1F84" w:rsidRDefault="007D1F84" w:rsidP="007D1F84">
      <w:pPr>
        <w:spacing w:line="360" w:lineRule="auto"/>
        <w:jc w:val="both"/>
        <w:rPr>
          <w:rFonts w:eastAsia="David"/>
        </w:rPr>
      </w:pPr>
    </w:p>
    <w:p w14:paraId="63F26587" w14:textId="77777777" w:rsidR="007D1F84" w:rsidRDefault="007D1F84" w:rsidP="007D1F84">
      <w:pPr>
        <w:spacing w:line="360" w:lineRule="auto"/>
        <w:jc w:val="both"/>
        <w:rPr>
          <w:rFonts w:eastAsia="David"/>
          <w:rtl/>
        </w:rPr>
      </w:pPr>
      <w:r>
        <w:rPr>
          <w:rFonts w:ascii="David" w:hAnsi="David"/>
          <w:rtl/>
        </w:rPr>
        <w:t>ב</w:t>
      </w:r>
      <w:hyperlink r:id="rId42" w:history="1">
        <w:r w:rsidR="00770144" w:rsidRPr="00770144">
          <w:rPr>
            <w:rFonts w:ascii="David" w:hAnsi="David"/>
            <w:color w:val="0000FF"/>
            <w:u w:val="single"/>
            <w:rtl/>
          </w:rPr>
          <w:t>ע"פ 6637/17</w:t>
        </w:r>
      </w:hyperlink>
      <w:r>
        <w:rPr>
          <w:rFonts w:ascii="David" w:hAnsi="David"/>
          <w:rtl/>
        </w:rPr>
        <w:t xml:space="preserve"> </w:t>
      </w:r>
      <w:r>
        <w:rPr>
          <w:rFonts w:ascii="David" w:hAnsi="David"/>
          <w:b/>
          <w:bCs/>
          <w:rtl/>
        </w:rPr>
        <w:t>קרנדל נגד מדינת ישראל</w:t>
      </w:r>
      <w:r>
        <w:rPr>
          <w:rFonts w:ascii="David" w:hAnsi="David"/>
          <w:rtl/>
        </w:rPr>
        <w:t xml:space="preserve"> (להלן: קרנדל)</w:t>
      </w:r>
      <w:r>
        <w:rPr>
          <w:rFonts w:eastAsia="David"/>
          <w:rtl/>
        </w:rPr>
        <w:t xml:space="preserve">, הדגיש בית המשפט העליון את חשיבות שיקול השיקום בענישה. נקבע כי במקרים המתאימים יינתן לשיקול השיקום </w:t>
      </w:r>
      <w:r>
        <w:rPr>
          <w:rFonts w:eastAsia="David"/>
          <w:u w:val="single"/>
          <w:rtl/>
        </w:rPr>
        <w:t>מעמד בכורה</w:t>
      </w:r>
      <w:r>
        <w:rPr>
          <w:rFonts w:eastAsia="David"/>
          <w:rtl/>
        </w:rPr>
        <w:t xml:space="preserve">, וכי על בית המשפט לבחון האם הנאשם השתקם בפועל או שיש סיכוי של ממש לשיקומו. בהתקיים אחת משתי חלופות אלו, ניתן לסטות ממתחם העונש.  </w:t>
      </w:r>
    </w:p>
    <w:p w14:paraId="652DDDB5" w14:textId="77777777" w:rsidR="007D1F84" w:rsidRDefault="007D1F84" w:rsidP="007D1F84">
      <w:pPr>
        <w:spacing w:line="360" w:lineRule="auto"/>
        <w:jc w:val="both"/>
        <w:rPr>
          <w:rFonts w:eastAsia="David"/>
          <w:rtl/>
        </w:rPr>
      </w:pPr>
    </w:p>
    <w:p w14:paraId="2B9F57A6" w14:textId="77777777" w:rsidR="007D1F84" w:rsidRDefault="007D1F84" w:rsidP="00AB1191">
      <w:pPr>
        <w:spacing w:line="360" w:lineRule="auto"/>
        <w:jc w:val="both"/>
        <w:rPr>
          <w:rFonts w:eastAsia="David"/>
        </w:rPr>
      </w:pPr>
      <w:r>
        <w:rPr>
          <w:rFonts w:eastAsia="David"/>
          <w:rtl/>
        </w:rPr>
        <w:t>"במישור</w:t>
      </w:r>
      <w:r>
        <w:rPr>
          <w:rFonts w:eastAsia="David" w:hint="cs"/>
          <w:rtl/>
          <w:lang w:bidi="ar-SA"/>
        </w:rPr>
        <w:t xml:space="preserve"> </w:t>
      </w:r>
      <w:r>
        <w:rPr>
          <w:rFonts w:eastAsia="David"/>
          <w:rtl/>
        </w:rPr>
        <w:t>הפורמאלי</w:t>
      </w:r>
      <w:r>
        <w:rPr>
          <w:rFonts w:eastAsia="David" w:hint="cs"/>
          <w:rtl/>
          <w:lang w:bidi="ar-SA"/>
        </w:rPr>
        <w:t xml:space="preserve">, </w:t>
      </w:r>
      <w:r>
        <w:rPr>
          <w:rFonts w:eastAsia="David"/>
          <w:rtl/>
        </w:rPr>
        <w:t>הבסיס</w:t>
      </w:r>
      <w:r>
        <w:rPr>
          <w:rFonts w:eastAsia="David" w:hint="cs"/>
          <w:rtl/>
          <w:lang w:bidi="ar-SA"/>
        </w:rPr>
        <w:t xml:space="preserve"> </w:t>
      </w:r>
      <w:r>
        <w:rPr>
          <w:rFonts w:eastAsia="David"/>
          <w:rtl/>
        </w:rPr>
        <w:t>לתשובה</w:t>
      </w:r>
      <w:r>
        <w:rPr>
          <w:rFonts w:eastAsia="David" w:hint="cs"/>
          <w:rtl/>
          <w:lang w:bidi="ar-SA"/>
        </w:rPr>
        <w:t xml:space="preserve"> </w:t>
      </w:r>
      <w:r>
        <w:rPr>
          <w:rFonts w:eastAsia="David"/>
          <w:rtl/>
        </w:rPr>
        <w:t>מצוי</w:t>
      </w:r>
      <w:r>
        <w:rPr>
          <w:rFonts w:eastAsia="David" w:hint="cs"/>
          <w:rtl/>
          <w:lang w:bidi="ar-SA"/>
        </w:rPr>
        <w:t xml:space="preserve"> </w:t>
      </w:r>
      <w:hyperlink r:id="rId43" w:history="1">
        <w:r w:rsidR="00AB1191" w:rsidRPr="00AB1191">
          <w:rPr>
            <w:rStyle w:val="Hyperlink"/>
            <w:rFonts w:eastAsia="David" w:cs="David"/>
            <w:rtl/>
          </w:rPr>
          <w:t>בסעיף 40ד(א)</w:t>
        </w:r>
      </w:hyperlink>
      <w:r w:rsidR="00AB1191">
        <w:rPr>
          <w:rFonts w:eastAsia="David"/>
          <w:rtl/>
        </w:rPr>
        <w:t xml:space="preserve"> </w:t>
      </w:r>
      <w:r>
        <w:rPr>
          <w:rFonts w:eastAsia="David"/>
          <w:rtl/>
        </w:rPr>
        <w:t>ל</w:t>
      </w:r>
      <w:hyperlink w:history="1">
        <w:r w:rsidRPr="00770144">
          <w:rPr>
            <w:rStyle w:val="Hyperlink"/>
            <w:rFonts w:eastAsia="David"/>
            <w:color w:val="000000"/>
            <w:u w:val="none"/>
            <w:rtl/>
          </w:rPr>
          <w:t>חוק</w:t>
        </w:r>
        <w:r w:rsidRPr="00770144">
          <w:rPr>
            <w:rStyle w:val="Hyperlink"/>
            <w:rFonts w:eastAsia="David"/>
            <w:color w:val="000000"/>
            <w:u w:val="none"/>
            <w:rtl/>
            <w:lang w:bidi="ar-SA"/>
          </w:rPr>
          <w:t xml:space="preserve"> </w:t>
        </w:r>
        <w:r w:rsidRPr="00770144">
          <w:rPr>
            <w:rStyle w:val="Hyperlink"/>
            <w:rFonts w:eastAsia="David"/>
            <w:color w:val="000000"/>
            <w:u w:val="none"/>
            <w:rtl/>
          </w:rPr>
          <w:t>העונשין</w:t>
        </w:r>
      </w:hyperlink>
      <w:r>
        <w:rPr>
          <w:rFonts w:eastAsia="David" w:hint="cs"/>
          <w:rtl/>
          <w:lang w:bidi="ar-SA"/>
        </w:rPr>
        <w:t xml:space="preserve"> </w:t>
      </w:r>
      <w:r>
        <w:rPr>
          <w:rFonts w:eastAsia="David"/>
          <w:rtl/>
        </w:rPr>
        <w:t>...</w:t>
      </w:r>
      <w:r>
        <w:rPr>
          <w:rFonts w:eastAsia="David"/>
          <w:b/>
          <w:bCs/>
          <w:rtl/>
        </w:rPr>
        <w:t xml:space="preserve"> סעיף</w:t>
      </w:r>
      <w:r>
        <w:rPr>
          <w:rFonts w:eastAsia="David" w:hint="cs"/>
          <w:b/>
          <w:bCs/>
          <w:rtl/>
          <w:lang w:bidi="ar-SA"/>
        </w:rPr>
        <w:t xml:space="preserve"> </w:t>
      </w:r>
      <w:r>
        <w:rPr>
          <w:rFonts w:eastAsia="David"/>
          <w:b/>
          <w:bCs/>
          <w:rtl/>
        </w:rPr>
        <w:t>זה</w:t>
      </w:r>
      <w:r>
        <w:rPr>
          <w:rFonts w:eastAsia="David" w:hint="cs"/>
          <w:b/>
          <w:bCs/>
          <w:rtl/>
          <w:lang w:bidi="ar-SA"/>
        </w:rPr>
        <w:t xml:space="preserve"> </w:t>
      </w:r>
      <w:r>
        <w:rPr>
          <w:rFonts w:eastAsia="David"/>
          <w:b/>
          <w:bCs/>
          <w:rtl/>
        </w:rPr>
        <w:t>נותן</w:t>
      </w:r>
      <w:r>
        <w:rPr>
          <w:rFonts w:eastAsia="David" w:hint="cs"/>
          <w:b/>
          <w:bCs/>
          <w:rtl/>
          <w:lang w:bidi="ar-SA"/>
        </w:rPr>
        <w:t xml:space="preserve"> </w:t>
      </w:r>
      <w:r>
        <w:rPr>
          <w:rFonts w:eastAsia="David"/>
          <w:b/>
          <w:bCs/>
          <w:rtl/>
        </w:rPr>
        <w:t>בכורה</w:t>
      </w:r>
      <w:r>
        <w:rPr>
          <w:rFonts w:eastAsia="David" w:hint="cs"/>
          <w:b/>
          <w:bCs/>
          <w:rtl/>
          <w:lang w:bidi="ar-SA"/>
        </w:rPr>
        <w:t xml:space="preserve">, </w:t>
      </w:r>
      <w:r>
        <w:rPr>
          <w:rFonts w:eastAsia="David"/>
          <w:b/>
          <w:bCs/>
          <w:rtl/>
        </w:rPr>
        <w:t>בהתקיים</w:t>
      </w:r>
      <w:r>
        <w:rPr>
          <w:rFonts w:eastAsia="David" w:hint="cs"/>
          <w:b/>
          <w:bCs/>
          <w:rtl/>
          <w:lang w:bidi="ar-SA"/>
        </w:rPr>
        <w:t xml:space="preserve"> </w:t>
      </w:r>
      <w:r>
        <w:rPr>
          <w:rFonts w:eastAsia="David"/>
          <w:b/>
          <w:bCs/>
          <w:rtl/>
        </w:rPr>
        <w:t>הנסיבות</w:t>
      </w:r>
      <w:r>
        <w:rPr>
          <w:rFonts w:eastAsia="David" w:hint="cs"/>
          <w:b/>
          <w:bCs/>
          <w:rtl/>
          <w:lang w:bidi="ar-SA"/>
        </w:rPr>
        <w:t xml:space="preserve"> </w:t>
      </w:r>
      <w:r>
        <w:rPr>
          <w:rFonts w:eastAsia="David"/>
          <w:b/>
          <w:bCs/>
          <w:rtl/>
        </w:rPr>
        <w:t>הקבועות</w:t>
      </w:r>
      <w:r>
        <w:rPr>
          <w:rFonts w:eastAsia="David" w:hint="cs"/>
          <w:b/>
          <w:bCs/>
          <w:rtl/>
          <w:lang w:bidi="ar-SA"/>
        </w:rPr>
        <w:t xml:space="preserve"> </w:t>
      </w:r>
      <w:r>
        <w:rPr>
          <w:rFonts w:eastAsia="David"/>
          <w:b/>
          <w:bCs/>
          <w:rtl/>
        </w:rPr>
        <w:t>בו</w:t>
      </w:r>
      <w:r>
        <w:rPr>
          <w:rFonts w:eastAsia="David" w:hint="cs"/>
          <w:b/>
          <w:bCs/>
          <w:rtl/>
          <w:lang w:bidi="ar-SA"/>
        </w:rPr>
        <w:t xml:space="preserve">, </w:t>
      </w:r>
      <w:r>
        <w:rPr>
          <w:rFonts w:eastAsia="David"/>
          <w:b/>
          <w:bCs/>
          <w:rtl/>
        </w:rPr>
        <w:t>לשיקולי</w:t>
      </w:r>
      <w:r>
        <w:rPr>
          <w:rFonts w:eastAsia="David" w:hint="cs"/>
          <w:b/>
          <w:bCs/>
          <w:rtl/>
          <w:lang w:bidi="ar-SA"/>
        </w:rPr>
        <w:t xml:space="preserve"> </w:t>
      </w:r>
      <w:r>
        <w:rPr>
          <w:rFonts w:eastAsia="David"/>
          <w:b/>
          <w:bCs/>
          <w:rtl/>
        </w:rPr>
        <w:t>שיקום</w:t>
      </w:r>
      <w:r>
        <w:rPr>
          <w:rFonts w:eastAsia="David" w:hint="cs"/>
          <w:b/>
          <w:bCs/>
          <w:rtl/>
          <w:lang w:bidi="ar-SA"/>
        </w:rPr>
        <w:t xml:space="preserve"> </w:t>
      </w:r>
      <w:r>
        <w:rPr>
          <w:rFonts w:eastAsia="David"/>
          <w:b/>
          <w:bCs/>
          <w:rtl/>
        </w:rPr>
        <w:t>על</w:t>
      </w:r>
      <w:r>
        <w:rPr>
          <w:rFonts w:eastAsia="David" w:hint="cs"/>
          <w:b/>
          <w:bCs/>
          <w:rtl/>
          <w:lang w:bidi="ar-SA"/>
        </w:rPr>
        <w:t xml:space="preserve"> </w:t>
      </w:r>
      <w:r>
        <w:rPr>
          <w:rFonts w:eastAsia="David"/>
          <w:b/>
          <w:bCs/>
          <w:rtl/>
        </w:rPr>
        <w:t>פני</w:t>
      </w:r>
      <w:r>
        <w:rPr>
          <w:rFonts w:eastAsia="David" w:hint="cs"/>
          <w:b/>
          <w:bCs/>
          <w:rtl/>
          <w:lang w:bidi="ar-SA"/>
        </w:rPr>
        <w:t xml:space="preserve"> </w:t>
      </w:r>
      <w:r>
        <w:rPr>
          <w:rFonts w:eastAsia="David"/>
          <w:b/>
          <w:bCs/>
          <w:rtl/>
        </w:rPr>
        <w:t>עקרון</w:t>
      </w:r>
      <w:r>
        <w:rPr>
          <w:rFonts w:eastAsia="David" w:hint="cs"/>
          <w:b/>
          <w:bCs/>
          <w:rtl/>
          <w:lang w:bidi="ar-SA"/>
        </w:rPr>
        <w:t xml:space="preserve"> </w:t>
      </w:r>
      <w:r>
        <w:rPr>
          <w:rFonts w:eastAsia="David"/>
          <w:b/>
          <w:bCs/>
          <w:rtl/>
        </w:rPr>
        <w:t>ההלימה</w:t>
      </w:r>
      <w:r>
        <w:rPr>
          <w:rFonts w:eastAsia="David" w:hint="cs"/>
          <w:b/>
          <w:bCs/>
          <w:rtl/>
          <w:lang w:bidi="ar-SA"/>
        </w:rPr>
        <w:t xml:space="preserve">, </w:t>
      </w:r>
      <w:r>
        <w:rPr>
          <w:rFonts w:eastAsia="David"/>
          <w:b/>
          <w:bCs/>
          <w:rtl/>
        </w:rPr>
        <w:t>שברגיל</w:t>
      </w:r>
      <w:r>
        <w:rPr>
          <w:rFonts w:eastAsia="David" w:hint="cs"/>
          <w:b/>
          <w:bCs/>
          <w:rtl/>
          <w:lang w:bidi="ar-SA"/>
        </w:rPr>
        <w:t xml:space="preserve"> </w:t>
      </w:r>
      <w:r>
        <w:rPr>
          <w:rFonts w:eastAsia="David"/>
          <w:b/>
          <w:bCs/>
          <w:rtl/>
        </w:rPr>
        <w:t>מנחה</w:t>
      </w:r>
      <w:r>
        <w:rPr>
          <w:rFonts w:eastAsia="David" w:hint="cs"/>
          <w:b/>
          <w:bCs/>
          <w:rtl/>
          <w:lang w:bidi="ar-SA"/>
        </w:rPr>
        <w:t xml:space="preserve"> </w:t>
      </w:r>
      <w:r>
        <w:rPr>
          <w:rFonts w:eastAsia="David"/>
          <w:b/>
          <w:bCs/>
          <w:rtl/>
        </w:rPr>
        <w:t>את</w:t>
      </w:r>
      <w:r>
        <w:rPr>
          <w:rFonts w:eastAsia="David" w:hint="cs"/>
          <w:b/>
          <w:bCs/>
          <w:rtl/>
          <w:lang w:bidi="ar-SA"/>
        </w:rPr>
        <w:t xml:space="preserve"> </w:t>
      </w:r>
      <w:r>
        <w:rPr>
          <w:rFonts w:eastAsia="David"/>
          <w:b/>
          <w:bCs/>
          <w:rtl/>
        </w:rPr>
        <w:t>גזירת</w:t>
      </w:r>
      <w:r>
        <w:rPr>
          <w:rFonts w:eastAsia="David" w:hint="cs"/>
          <w:b/>
          <w:bCs/>
          <w:rtl/>
          <w:lang w:bidi="ar-SA"/>
        </w:rPr>
        <w:t xml:space="preserve"> </w:t>
      </w:r>
      <w:r>
        <w:rPr>
          <w:rFonts w:eastAsia="David"/>
          <w:b/>
          <w:bCs/>
          <w:rtl/>
        </w:rPr>
        <w:t>העונש"</w:t>
      </w:r>
      <w:r>
        <w:rPr>
          <w:rFonts w:eastAsia="David" w:hint="cs"/>
          <w:b/>
          <w:bCs/>
          <w:rtl/>
          <w:lang w:bidi="ar-SA"/>
        </w:rPr>
        <w:t xml:space="preserve">. </w:t>
      </w:r>
      <w:r>
        <w:rPr>
          <w:rFonts w:eastAsia="David"/>
          <w:rtl/>
        </w:rPr>
        <w:t xml:space="preserve">[פסקה 19]. </w:t>
      </w:r>
    </w:p>
    <w:p w14:paraId="1AF24E8D" w14:textId="77777777" w:rsidR="007D1F84" w:rsidRDefault="007D1F84" w:rsidP="007D1F84">
      <w:pPr>
        <w:spacing w:line="360" w:lineRule="auto"/>
        <w:jc w:val="both"/>
        <w:rPr>
          <w:rFonts w:eastAsia="David"/>
        </w:rPr>
      </w:pPr>
    </w:p>
    <w:p w14:paraId="5CBC497E" w14:textId="77777777" w:rsidR="007D1F84" w:rsidRDefault="007D1F84" w:rsidP="007D1F84">
      <w:pPr>
        <w:spacing w:line="360" w:lineRule="auto"/>
        <w:jc w:val="both"/>
        <w:rPr>
          <w:rFonts w:eastAsia="David"/>
          <w:rtl/>
        </w:rPr>
      </w:pPr>
      <w:r>
        <w:rPr>
          <w:rFonts w:eastAsia="David"/>
          <w:rtl/>
        </w:rPr>
        <w:t xml:space="preserve">הפסיקה דנה בשאלה באילו נסיבות יכיר בית המשפט בקיומו של שיקום או סיכוי של ממש לשיקום באופן שיצדיק חריגה ממתחם העונש. בע"פ קרנדל הנ"ל ניסה בית המשפט העליון לשרטט בקווים כללים מהם הקריטריונים לשיקום שיצדיק חריגה מהמתחם. נפסק (כב' השופטת ברק-ארז): </w:t>
      </w:r>
    </w:p>
    <w:p w14:paraId="3E5C518C" w14:textId="77777777" w:rsidR="007D1F84" w:rsidRDefault="007D1F84" w:rsidP="007D1F84">
      <w:pPr>
        <w:spacing w:line="360" w:lineRule="auto"/>
        <w:jc w:val="both"/>
        <w:rPr>
          <w:rFonts w:eastAsia="David"/>
          <w:rtl/>
        </w:rPr>
      </w:pPr>
    </w:p>
    <w:p w14:paraId="76B13B7A" w14:textId="77777777" w:rsidR="007D1F84" w:rsidRDefault="007D1F84" w:rsidP="007D1F84">
      <w:pPr>
        <w:spacing w:line="360" w:lineRule="auto"/>
        <w:jc w:val="both"/>
        <w:rPr>
          <w:rFonts w:eastAsia="David"/>
          <w:b/>
          <w:bCs/>
        </w:rPr>
      </w:pPr>
      <w:r>
        <w:rPr>
          <w:rFonts w:eastAsia="David"/>
          <w:rtl/>
        </w:rPr>
        <w:t xml:space="preserve">"בקווים כלליים ניתן להצביע על כך שהפעלת </w:t>
      </w:r>
      <w:r>
        <w:rPr>
          <w:rFonts w:eastAsia="David"/>
          <w:b/>
          <w:bCs/>
          <w:rtl/>
        </w:rPr>
        <w:t>הסמכות בסעיף 40ד אינה מוגבלת לעבירות קלות בלבד</w:t>
      </w:r>
      <w:r>
        <w:rPr>
          <w:rFonts w:eastAsia="David"/>
          <w:rtl/>
        </w:rPr>
        <w:t xml:space="preserve">.... במקרים קודמים שבהם נדרש בית המשפט להעריך את סיכויי השיקום במסגרת </w:t>
      </w:r>
      <w:hyperlink r:id="rId44" w:history="1">
        <w:r w:rsidR="00AB1191" w:rsidRPr="00AB1191">
          <w:rPr>
            <w:rStyle w:val="Hyperlink"/>
            <w:rFonts w:eastAsia="David" w:cs="David"/>
            <w:rtl/>
          </w:rPr>
          <w:t>סעיף 40ד</w:t>
        </w:r>
      </w:hyperlink>
      <w:r>
        <w:rPr>
          <w:rFonts w:eastAsia="David"/>
          <w:rtl/>
        </w:rPr>
        <w:t xml:space="preserve"> ל</w:t>
      </w:r>
      <w:hyperlink r:id="rId45" w:history="1">
        <w:r w:rsidR="00770144" w:rsidRPr="00770144">
          <w:rPr>
            <w:rFonts w:eastAsia="David"/>
            <w:color w:val="0000FF"/>
            <w:u w:val="single"/>
            <w:rtl/>
          </w:rPr>
          <w:t>חוק העונשין</w:t>
        </w:r>
      </w:hyperlink>
      <w:r>
        <w:rPr>
          <w:rFonts w:eastAsia="David"/>
          <w:rtl/>
        </w:rPr>
        <w:t xml:space="preserve"> הובאו בחשבון, בין היתר, השיקולים המרכזיים הבאים: </w:t>
      </w:r>
      <w:r>
        <w:rPr>
          <w:rFonts w:eastAsia="David"/>
          <w:b/>
          <w:bCs/>
          <w:rtl/>
        </w:rPr>
        <w:t>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p>
    <w:p w14:paraId="0843AC70" w14:textId="77777777" w:rsidR="007D1F84" w:rsidRDefault="007D1F84" w:rsidP="007D1F84">
      <w:pPr>
        <w:spacing w:line="360" w:lineRule="auto"/>
        <w:jc w:val="both"/>
        <w:rPr>
          <w:rFonts w:eastAsia="David"/>
          <w:rtl/>
        </w:rPr>
      </w:pPr>
      <w:r>
        <w:rPr>
          <w:rFonts w:eastAsia="David"/>
          <w:rtl/>
        </w:rPr>
        <w:t xml:space="preserve">חשוב להבהיר: אין מדובר ברשימה ממצה של שיקולים, והתקיימותו של שיקול זה או אחר אינה מצדיקה בהכרח חריגה ממתחם העונש משיקולי שיקום. טעם עיקרי לכך הוא שחלק מהשיקולים שהוזכרו לעיל מובאים ברגיל בחשבון במסגרת קביעת העונש בתוך המתחם (ראו: </w:t>
      </w:r>
      <w:hyperlink r:id="rId46" w:history="1">
        <w:r w:rsidR="00AB1191" w:rsidRPr="00AB1191">
          <w:rPr>
            <w:rStyle w:val="Hyperlink"/>
            <w:rFonts w:eastAsia="David" w:cs="David"/>
            <w:rtl/>
          </w:rPr>
          <w:t>סעיף 40יא</w:t>
        </w:r>
      </w:hyperlink>
      <w:r>
        <w:rPr>
          <w:rFonts w:eastAsia="David"/>
          <w:rtl/>
        </w:rPr>
        <w:t xml:space="preserve"> ל</w:t>
      </w:r>
      <w:hyperlink r:id="rId47" w:history="1">
        <w:r w:rsidR="00770144" w:rsidRPr="00770144">
          <w:rPr>
            <w:rFonts w:eastAsia="David"/>
            <w:color w:val="0000FF"/>
            <w:u w:val="single"/>
            <w:rtl/>
          </w:rPr>
          <w:t>חוק העונשין</w:t>
        </w:r>
      </w:hyperlink>
      <w:r>
        <w:rPr>
          <w:rFonts w:eastAsia="David"/>
          <w:rtl/>
        </w:rPr>
        <w:t xml:space="preserve">). עם זאת, ומבלי לקבוע מסמרות, </w:t>
      </w:r>
      <w:r>
        <w:rPr>
          <w:rFonts w:eastAsia="David"/>
          <w:b/>
          <w:bCs/>
          <w:rtl/>
        </w:rPr>
        <w:t>ניתן לציין ששילוב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w:t>
      </w:r>
      <w:r>
        <w:rPr>
          <w:rFonts w:eastAsia="David"/>
          <w:rtl/>
        </w:rPr>
        <w:t xml:space="preserve">, עשוי להצביע על "סיכוי של ממש לשיקום" כלשונו של סעיף 40ד(א)".  </w:t>
      </w:r>
    </w:p>
    <w:p w14:paraId="273AF492" w14:textId="77777777" w:rsidR="007D1F84" w:rsidRDefault="007D1F84" w:rsidP="007D1F84">
      <w:pPr>
        <w:spacing w:line="360" w:lineRule="auto"/>
        <w:jc w:val="both"/>
        <w:rPr>
          <w:rFonts w:eastAsia="David"/>
          <w:rtl/>
          <w:lang w:bidi="ar-SA"/>
        </w:rPr>
      </w:pPr>
      <w:r>
        <w:rPr>
          <w:rFonts w:eastAsia="David"/>
          <w:rtl/>
        </w:rPr>
        <w:t xml:space="preserve">[פסקה 24 ואילך] </w:t>
      </w:r>
    </w:p>
    <w:p w14:paraId="1BC53B24" w14:textId="77777777" w:rsidR="007D1F84" w:rsidRDefault="007D1F84" w:rsidP="007D1F84">
      <w:pPr>
        <w:spacing w:line="360" w:lineRule="auto"/>
        <w:jc w:val="both"/>
        <w:rPr>
          <w:rFonts w:eastAsia="David"/>
          <w:rtl/>
        </w:rPr>
      </w:pPr>
    </w:p>
    <w:p w14:paraId="787A8D18" w14:textId="77777777" w:rsidR="007D1F84" w:rsidRDefault="007D1F84" w:rsidP="007D1F84">
      <w:pPr>
        <w:spacing w:line="360" w:lineRule="auto"/>
        <w:jc w:val="both"/>
        <w:rPr>
          <w:rFonts w:ascii="David" w:eastAsia="David" w:hAnsi="David"/>
          <w:rtl/>
        </w:rPr>
      </w:pPr>
      <w:r>
        <w:rPr>
          <w:rFonts w:ascii="David" w:eastAsia="David" w:hAnsi="David"/>
          <w:rtl/>
        </w:rPr>
        <w:t xml:space="preserve">להבנתי, סטייה ממתחם העונש הראוי וההולם, משיקולי שיקום, תיעשה כאשר השיקום עומד בשני קריטריונים: האחד, </w:t>
      </w:r>
      <w:r>
        <w:rPr>
          <w:rFonts w:ascii="David" w:eastAsia="David" w:hAnsi="David"/>
          <w:b/>
          <w:bCs/>
          <w:rtl/>
        </w:rPr>
        <w:t>עוצמת</w:t>
      </w:r>
      <w:r>
        <w:rPr>
          <w:rFonts w:ascii="David" w:eastAsia="David" w:hAnsi="David"/>
          <w:rtl/>
        </w:rPr>
        <w:t xml:space="preserve"> השיקום - בהיבט הצלחתו או סיכויי הצלחתו הצפויים- היא גבוהה. השני, השיקום </w:t>
      </w:r>
      <w:r>
        <w:rPr>
          <w:rFonts w:ascii="David" w:eastAsia="David" w:hAnsi="David"/>
          <w:b/>
          <w:bCs/>
          <w:rtl/>
        </w:rPr>
        <w:t xml:space="preserve">רלוונטי לעבירות </w:t>
      </w:r>
      <w:r>
        <w:rPr>
          <w:rFonts w:ascii="David" w:eastAsia="David" w:hAnsi="David"/>
          <w:rtl/>
        </w:rPr>
        <w:t xml:space="preserve">בהן הורשע במובן זה שמתקיים קשר ומתאם בין השיקום לבין הסיבות לביצוע העבירה. </w:t>
      </w:r>
    </w:p>
    <w:p w14:paraId="1083DAB1" w14:textId="77777777" w:rsidR="007D1F84" w:rsidRDefault="007D1F84" w:rsidP="007D1F84">
      <w:pPr>
        <w:spacing w:line="360" w:lineRule="auto"/>
        <w:jc w:val="both"/>
        <w:rPr>
          <w:rFonts w:ascii="David" w:eastAsia="David" w:hAnsi="David"/>
        </w:rPr>
      </w:pPr>
    </w:p>
    <w:p w14:paraId="2D696D47" w14:textId="77777777" w:rsidR="007D1F84" w:rsidRDefault="007D1F84" w:rsidP="007D1F84">
      <w:pPr>
        <w:spacing w:line="360" w:lineRule="auto"/>
        <w:jc w:val="both"/>
        <w:rPr>
          <w:rFonts w:ascii="David" w:eastAsia="David" w:hAnsi="David"/>
          <w:rtl/>
        </w:rPr>
      </w:pPr>
      <w:r>
        <w:rPr>
          <w:rFonts w:ascii="David" w:eastAsia="David" w:hAnsi="David"/>
          <w:rtl/>
        </w:rPr>
        <w:t xml:space="preserve">במקרה דנן: </w:t>
      </w:r>
    </w:p>
    <w:p w14:paraId="40920061" w14:textId="77777777" w:rsidR="007D1F84" w:rsidRDefault="007D1F84" w:rsidP="007D1F84">
      <w:pPr>
        <w:spacing w:line="360" w:lineRule="auto"/>
        <w:jc w:val="both"/>
        <w:rPr>
          <w:rFonts w:ascii="David" w:eastAsia="David" w:hAnsi="David"/>
          <w:rtl/>
        </w:rPr>
      </w:pPr>
    </w:p>
    <w:p w14:paraId="3C255CEF" w14:textId="77777777" w:rsidR="007D1F84" w:rsidRDefault="007D1F84" w:rsidP="007D1F84">
      <w:pPr>
        <w:spacing w:line="360" w:lineRule="auto"/>
        <w:jc w:val="both"/>
        <w:rPr>
          <w:rFonts w:ascii="David" w:eastAsia="David" w:hAnsi="David"/>
          <w:rtl/>
        </w:rPr>
      </w:pPr>
      <w:r>
        <w:rPr>
          <w:rFonts w:ascii="David" w:eastAsia="David" w:hAnsi="David"/>
          <w:rtl/>
        </w:rPr>
        <w:t xml:space="preserve">מרכיבי השיקום עליהם התבסס שירות המבחן וההגנה בעקבותיו, רבים ובין השאר:  </w:t>
      </w:r>
    </w:p>
    <w:p w14:paraId="006B128C" w14:textId="77777777" w:rsidR="007D1F84" w:rsidRDefault="007D1F84" w:rsidP="007D1F84">
      <w:pPr>
        <w:spacing w:line="360" w:lineRule="auto"/>
        <w:jc w:val="both"/>
        <w:rPr>
          <w:rFonts w:ascii="David" w:eastAsia="David" w:hAnsi="David"/>
          <w:rtl/>
        </w:rPr>
      </w:pPr>
    </w:p>
    <w:p w14:paraId="26B3308B" w14:textId="77777777" w:rsidR="007D1F84" w:rsidRDefault="007D1F84" w:rsidP="007D1F84">
      <w:pPr>
        <w:spacing w:line="360" w:lineRule="auto"/>
        <w:jc w:val="both"/>
        <w:rPr>
          <w:rFonts w:ascii="David" w:eastAsia="David" w:hAnsi="David"/>
          <w:rtl/>
        </w:rPr>
      </w:pPr>
      <w:r>
        <w:rPr>
          <w:rFonts w:ascii="David" w:eastAsia="David" w:hAnsi="David"/>
          <w:rtl/>
        </w:rPr>
        <w:t>עריכת שינוי לראשונה בחייו והתנתקות מסביבה עבריינית; והשתלבות בתהליך טיפולי במסגרת שירות המבחן; שינוי בעמדותיו, הכרה והפנמה והתבוננות ביקורתית על אורחות חייו בעבר; קבלת רישיון לקנביס רפואי;</w:t>
      </w:r>
      <w:r>
        <w:rPr>
          <w:rFonts w:ascii="David" w:eastAsia="David" w:hAnsi="David"/>
        </w:rPr>
        <w:t xml:space="preserve"> </w:t>
      </w:r>
      <w:r>
        <w:rPr>
          <w:rFonts w:ascii="David" w:eastAsia="David" w:hAnsi="David"/>
          <w:rtl/>
        </w:rPr>
        <w:t xml:space="preserve"> יציבות תעסוקתית;</w:t>
      </w:r>
      <w:r>
        <w:rPr>
          <w:rFonts w:ascii="David" w:eastAsia="David" w:hAnsi="David"/>
        </w:rPr>
        <w:t xml:space="preserve"> </w:t>
      </w:r>
      <w:r>
        <w:rPr>
          <w:rFonts w:ascii="David" w:eastAsia="David" w:hAnsi="David"/>
          <w:rtl/>
        </w:rPr>
        <w:t xml:space="preserve"> מעגל תמיכה משפחתית. </w:t>
      </w:r>
    </w:p>
    <w:p w14:paraId="435A1A5D" w14:textId="77777777" w:rsidR="007D1F84" w:rsidRDefault="007D1F84" w:rsidP="007D1F84">
      <w:pPr>
        <w:spacing w:line="360" w:lineRule="auto"/>
        <w:jc w:val="both"/>
        <w:rPr>
          <w:rFonts w:ascii="David" w:eastAsia="David" w:hAnsi="David"/>
          <w:rtl/>
        </w:rPr>
      </w:pPr>
    </w:p>
    <w:p w14:paraId="72B24D44" w14:textId="77777777" w:rsidR="007D1F84" w:rsidRDefault="007D1F84" w:rsidP="007D1F84">
      <w:pPr>
        <w:spacing w:line="360" w:lineRule="auto"/>
        <w:jc w:val="both"/>
        <w:rPr>
          <w:rFonts w:ascii="David" w:eastAsia="David" w:hAnsi="David"/>
          <w:b/>
          <w:bCs/>
          <w:rtl/>
        </w:rPr>
      </w:pPr>
      <w:r>
        <w:rPr>
          <w:rFonts w:ascii="David" w:eastAsia="David" w:hAnsi="David"/>
          <w:rtl/>
        </w:rPr>
        <w:t xml:space="preserve">לאחר ששמעתי את הנאשם, בני משפחתו, בת זוגו, אמו ובן זוגה, לאחר שעיינתי בתסקירים השונים שהוגשו, לאחר ששמעתי את הנאשם, ואת ב"כ הצדדים, </w:t>
      </w:r>
      <w:r>
        <w:rPr>
          <w:rFonts w:ascii="David" w:eastAsia="David" w:hAnsi="David"/>
          <w:b/>
          <w:bCs/>
          <w:rtl/>
        </w:rPr>
        <w:t xml:space="preserve">הגעתי למסקנה שמדובר במקרה מתאים שמצדיק סטייה מהמתחם משיקולי שיקום. </w:t>
      </w:r>
    </w:p>
    <w:p w14:paraId="3D4B2C61" w14:textId="77777777" w:rsidR="007D1F84" w:rsidRDefault="007D1F84" w:rsidP="007D1F84">
      <w:pPr>
        <w:spacing w:line="360" w:lineRule="auto"/>
        <w:jc w:val="both"/>
        <w:rPr>
          <w:rFonts w:ascii="David" w:eastAsia="David" w:hAnsi="David"/>
          <w:b/>
          <w:bCs/>
          <w:rtl/>
        </w:rPr>
      </w:pPr>
    </w:p>
    <w:p w14:paraId="07F256B0" w14:textId="77777777" w:rsidR="007D1F84" w:rsidRDefault="007D1F84" w:rsidP="007D1F84">
      <w:pPr>
        <w:spacing w:line="360" w:lineRule="auto"/>
        <w:jc w:val="both"/>
        <w:rPr>
          <w:rFonts w:ascii="David" w:eastAsia="David" w:hAnsi="David"/>
          <w:rtl/>
        </w:rPr>
      </w:pPr>
      <w:r>
        <w:rPr>
          <w:rFonts w:ascii="David" w:eastAsia="David" w:hAnsi="David"/>
          <w:rtl/>
        </w:rPr>
        <w:t xml:space="preserve">אפתח בכך שעל רקע חומרת העבירות כפי שהן עולות מכתב האישום המתוקן בתיק המרכזי, בחנתי את הטענה לשיקום בקפדנות ואף בחשדנות. </w:t>
      </w:r>
    </w:p>
    <w:p w14:paraId="76F4626B" w14:textId="77777777" w:rsidR="007D1F84" w:rsidRDefault="007D1F84" w:rsidP="007D1F84">
      <w:pPr>
        <w:spacing w:line="360" w:lineRule="auto"/>
        <w:jc w:val="both"/>
        <w:rPr>
          <w:rFonts w:ascii="David" w:eastAsia="David" w:hAnsi="David"/>
          <w:rtl/>
        </w:rPr>
      </w:pPr>
    </w:p>
    <w:p w14:paraId="1870A3D3" w14:textId="77777777" w:rsidR="007D1F84" w:rsidRDefault="007D1F84" w:rsidP="007D1F84">
      <w:pPr>
        <w:spacing w:line="360" w:lineRule="auto"/>
        <w:jc w:val="both"/>
        <w:rPr>
          <w:rFonts w:ascii="David" w:eastAsia="David" w:hAnsi="David"/>
          <w:rtl/>
        </w:rPr>
      </w:pPr>
      <w:r>
        <w:rPr>
          <w:rFonts w:ascii="David" w:eastAsia="David" w:hAnsi="David"/>
          <w:rtl/>
        </w:rPr>
        <w:t xml:space="preserve">עיון מדוקדק בתסקירים מלמד על השינוי המשמעותי שעבר הנאשם בחייו. מצאתי שמגמת השיפור אצל הנאשם עלתה מתסקיר לתסקיר משלים. </w:t>
      </w:r>
    </w:p>
    <w:p w14:paraId="3449A05B" w14:textId="77777777" w:rsidR="007D1F84" w:rsidRDefault="007D1F84" w:rsidP="007D1F84">
      <w:pPr>
        <w:spacing w:line="360" w:lineRule="auto"/>
        <w:jc w:val="both"/>
        <w:rPr>
          <w:rFonts w:ascii="David" w:eastAsia="David" w:hAnsi="David"/>
          <w:rtl/>
        </w:rPr>
      </w:pPr>
    </w:p>
    <w:p w14:paraId="0799A093" w14:textId="77777777" w:rsidR="007D1F84" w:rsidRDefault="007D1F84" w:rsidP="007D1F84">
      <w:pPr>
        <w:spacing w:line="360" w:lineRule="auto"/>
        <w:jc w:val="both"/>
        <w:rPr>
          <w:rFonts w:ascii="David" w:eastAsia="David" w:hAnsi="David"/>
          <w:rtl/>
        </w:rPr>
      </w:pPr>
      <w:r>
        <w:rPr>
          <w:rFonts w:ascii="David" w:eastAsia="David" w:hAnsi="David"/>
          <w:rtl/>
        </w:rPr>
        <w:t xml:space="preserve">לאחר שהתקבל התסקיר הראשון (שכלל המלצה לדחות את הדיון), "סברתי תחילה שקיים קושי בפתיחה בתהליך של קבלת תסקירים משלימים לנוכח הדיווח הראשוני משירות המבחן", ואולם לנוכח סיבות שונות שפורטו בהחלטה מיום 8.12.21, ובפרט ההתרשמות מקיומה של מוטיבציה ראשונית ושיתוף פעולה חיובי עם שירות המבחן, הוריתי על דחיית מועד הדיון לצורך קבלת תסקיר משלים כמומלץ. </w:t>
      </w:r>
    </w:p>
    <w:p w14:paraId="2BB1CEE4" w14:textId="77777777" w:rsidR="007D1F84" w:rsidRDefault="007D1F84" w:rsidP="007D1F84">
      <w:pPr>
        <w:spacing w:line="360" w:lineRule="auto"/>
        <w:jc w:val="both"/>
        <w:rPr>
          <w:rFonts w:ascii="David" w:eastAsia="David" w:hAnsi="David"/>
          <w:rtl/>
        </w:rPr>
      </w:pPr>
    </w:p>
    <w:p w14:paraId="5F5AD01A" w14:textId="77777777" w:rsidR="007D1F84" w:rsidRDefault="007D1F84" w:rsidP="007D1F84">
      <w:pPr>
        <w:spacing w:line="360" w:lineRule="auto"/>
        <w:jc w:val="both"/>
        <w:rPr>
          <w:rFonts w:ascii="David" w:eastAsia="David" w:hAnsi="David"/>
          <w:rtl/>
        </w:rPr>
      </w:pPr>
      <w:r>
        <w:rPr>
          <w:rFonts w:ascii="David" w:eastAsia="David" w:hAnsi="David"/>
          <w:rtl/>
        </w:rPr>
        <w:t xml:space="preserve">התסקיר השני, הצביע על מגמת שינוי, וכבר בשלב זה שירות המבחן, תוך אימוץ גישה אופטימית בענייננו של הנאשם, המליץ על ענישה שיקומית, לאור השתלבות הנאשם בתהליך טיפולי. </w:t>
      </w:r>
    </w:p>
    <w:p w14:paraId="39EE5607" w14:textId="77777777" w:rsidR="007D1F84" w:rsidRDefault="007D1F84" w:rsidP="007D1F84">
      <w:pPr>
        <w:spacing w:line="360" w:lineRule="auto"/>
        <w:jc w:val="both"/>
        <w:rPr>
          <w:rFonts w:ascii="David" w:eastAsia="David" w:hAnsi="David"/>
          <w:rtl/>
        </w:rPr>
      </w:pPr>
    </w:p>
    <w:p w14:paraId="0767298E" w14:textId="77777777" w:rsidR="007D1F84" w:rsidRDefault="007D1F84" w:rsidP="007D1F84">
      <w:pPr>
        <w:spacing w:line="360" w:lineRule="auto"/>
        <w:jc w:val="both"/>
        <w:rPr>
          <w:rFonts w:ascii="David" w:eastAsia="David" w:hAnsi="David"/>
          <w:rtl/>
        </w:rPr>
      </w:pPr>
      <w:r>
        <w:rPr>
          <w:rFonts w:ascii="David" w:eastAsia="David" w:hAnsi="David"/>
          <w:rtl/>
        </w:rPr>
        <w:t xml:space="preserve">על אף האמור, קיבלתי את עמדת התביעה ונמנעתי מזימון חוות דעת מהממונה על עבודות שירות (כפי שהמליץ השירות), וזאת לנוכח חומרת העבירות, אך ציינתי שלא ניתן להתעלם מהשתלבותו של הנאשם בתהליך טיפולי בשירות המבחן דחיתי את הדיון פעם נוספת תוך שציינתי כבר בשלב זה, שמתחם העונש ההולם מחייב ענישה בדמות מאסר בפועל וכי הסטייה ממנו תיעשה רק בהינתן תהליך שיקום משמעותי וממשי כנדרש בחוק. </w:t>
      </w:r>
    </w:p>
    <w:p w14:paraId="1BB1EC5A" w14:textId="77777777" w:rsidR="007D1F84" w:rsidRDefault="007D1F84" w:rsidP="007D1F84">
      <w:pPr>
        <w:spacing w:line="360" w:lineRule="auto"/>
        <w:jc w:val="both"/>
        <w:rPr>
          <w:rFonts w:ascii="David" w:eastAsia="David" w:hAnsi="David"/>
          <w:rtl/>
        </w:rPr>
      </w:pPr>
    </w:p>
    <w:p w14:paraId="13C50247" w14:textId="77777777" w:rsidR="007D1F84" w:rsidRDefault="007D1F84" w:rsidP="007D1F84">
      <w:pPr>
        <w:spacing w:line="360" w:lineRule="auto"/>
        <w:jc w:val="both"/>
        <w:rPr>
          <w:rFonts w:ascii="David" w:eastAsia="David" w:hAnsi="David"/>
          <w:rtl/>
        </w:rPr>
      </w:pPr>
      <w:r>
        <w:rPr>
          <w:rFonts w:ascii="David" w:eastAsia="David" w:hAnsi="David"/>
          <w:rtl/>
        </w:rPr>
        <w:t xml:space="preserve">מהתסקיר האחרון עולה תמונת המשך לאותו התרשמות, תמונה חיובית של המשך מחויבות להליך הטיפולי, וכי הנאשם נמצא בעיצומו של תהליך התבוננות פנימית מעמיקה וביקורתית לגבי אורחות חייו. </w:t>
      </w:r>
    </w:p>
    <w:p w14:paraId="07F51F82" w14:textId="77777777" w:rsidR="007D1F84" w:rsidRDefault="007D1F84" w:rsidP="007D1F84">
      <w:pPr>
        <w:spacing w:line="360" w:lineRule="auto"/>
        <w:jc w:val="both"/>
        <w:rPr>
          <w:rFonts w:ascii="David" w:eastAsia="David" w:hAnsi="David"/>
          <w:rtl/>
        </w:rPr>
      </w:pPr>
    </w:p>
    <w:p w14:paraId="61C67D2A" w14:textId="77777777" w:rsidR="007D1F84" w:rsidRDefault="007D1F84" w:rsidP="007D1F84">
      <w:pPr>
        <w:spacing w:line="360" w:lineRule="auto"/>
        <w:jc w:val="both"/>
        <w:rPr>
          <w:rFonts w:ascii="David" w:eastAsia="David" w:hAnsi="David"/>
          <w:rtl/>
        </w:rPr>
      </w:pPr>
      <w:r>
        <w:rPr>
          <w:rFonts w:ascii="David" w:eastAsia="David" w:hAnsi="David"/>
          <w:rtl/>
        </w:rPr>
        <w:t>השינויים החיוביים, ועוד ברבדים עמוקים, מקבלים משנה תוקף על רקע עברו הפלילי הלא זניח (בעבירות אלימות ורכוש) של הנאשם וההיסטוריה העבריינית כפי שמפורטת בתסקיר הראשון. השוואת מצבו של הנאשם היום, לעומת מצבו בתקופות מוקדמות של חייו כמשתקף בתסקיר, עת התבוסס בביצה עבריינית מלמדות על שינוי משמעותי בחייו כשהוא נחלץ ממנה בכוחות עצמו, בסיועם המבורך של שירות המבחן ומשפחתו הקרובה, מובילה למסקנה שמדובר במקרה של סיכוי של ממש לשיקום.</w:t>
      </w:r>
    </w:p>
    <w:p w14:paraId="16BCA447" w14:textId="77777777" w:rsidR="007D1F84" w:rsidRDefault="007D1F84" w:rsidP="007D1F84">
      <w:pPr>
        <w:spacing w:line="360" w:lineRule="auto"/>
        <w:jc w:val="both"/>
        <w:rPr>
          <w:rFonts w:ascii="David" w:eastAsia="David" w:hAnsi="David"/>
          <w:rtl/>
        </w:rPr>
      </w:pPr>
    </w:p>
    <w:p w14:paraId="5DF70079" w14:textId="77777777" w:rsidR="007D1F84" w:rsidRDefault="007D1F84" w:rsidP="007D1F84">
      <w:pPr>
        <w:spacing w:line="360" w:lineRule="auto"/>
        <w:jc w:val="both"/>
        <w:rPr>
          <w:rFonts w:ascii="David" w:eastAsia="David" w:hAnsi="David"/>
          <w:rtl/>
        </w:rPr>
      </w:pPr>
      <w:r>
        <w:rPr>
          <w:rFonts w:ascii="David" w:eastAsia="David" w:hAnsi="David"/>
          <w:rtl/>
        </w:rPr>
        <w:t xml:space="preserve">התרשמותו של שירות המבחן המבוססת על אבחון מתמשך על פני תקופה ארוכה, משתלבת יפה עם התרשמותי מהנאשם ובני משפחתו. </w:t>
      </w:r>
    </w:p>
    <w:p w14:paraId="67DA0323" w14:textId="77777777" w:rsidR="007D1F84" w:rsidRDefault="007D1F84" w:rsidP="007D1F84">
      <w:pPr>
        <w:spacing w:line="360" w:lineRule="auto"/>
        <w:jc w:val="both"/>
        <w:rPr>
          <w:rFonts w:ascii="David" w:eastAsia="David" w:hAnsi="David"/>
          <w:rtl/>
        </w:rPr>
      </w:pPr>
    </w:p>
    <w:p w14:paraId="31B7461C" w14:textId="77777777" w:rsidR="007D1F84" w:rsidRDefault="007D1F84" w:rsidP="007D1F84">
      <w:pPr>
        <w:spacing w:line="360" w:lineRule="auto"/>
        <w:jc w:val="both"/>
        <w:rPr>
          <w:rFonts w:ascii="David" w:eastAsia="David" w:hAnsi="David"/>
          <w:rtl/>
        </w:rPr>
      </w:pPr>
      <w:r>
        <w:rPr>
          <w:rFonts w:ascii="David" w:eastAsia="David" w:hAnsi="David"/>
          <w:rtl/>
        </w:rPr>
        <w:t xml:space="preserve">בת זוגו של הנאשם, הגברת ירין מסילתי, תיארה שהנאשם "עבר שינוי מאוד גדול, הוא הבין הכרה, הוא עובד כל היום מהבוקר עד הערב, התחיל סוף סוף להיות </w:t>
      </w:r>
      <w:r>
        <w:rPr>
          <w:rFonts w:ascii="David" w:eastAsia="David" w:hAnsi="David"/>
          <w:b/>
          <w:bCs/>
          <w:rtl/>
        </w:rPr>
        <w:t>בן</w:t>
      </w:r>
      <w:r>
        <w:rPr>
          <w:rFonts w:ascii="David" w:eastAsia="David" w:hAnsi="David"/>
          <w:rtl/>
        </w:rPr>
        <w:t xml:space="preserve"> </w:t>
      </w:r>
      <w:r>
        <w:rPr>
          <w:rFonts w:ascii="David" w:eastAsia="David" w:hAnsi="David"/>
          <w:b/>
          <w:bCs/>
          <w:rtl/>
        </w:rPr>
        <w:t>אדם אחר</w:t>
      </w:r>
      <w:r>
        <w:rPr>
          <w:rFonts w:ascii="David" w:eastAsia="David" w:hAnsi="David"/>
          <w:rtl/>
        </w:rPr>
        <w:t>". היא תיארה בן זוג מקשיב, מכיל, משתף, "מה שפעם לא היה קורה" וחזרה שוב: "</w:t>
      </w:r>
      <w:r>
        <w:rPr>
          <w:rFonts w:ascii="David" w:eastAsia="David" w:hAnsi="David"/>
          <w:b/>
          <w:bCs/>
          <w:rtl/>
        </w:rPr>
        <w:t>היום הוא אדם אחר</w:t>
      </w:r>
      <w:r>
        <w:rPr>
          <w:rFonts w:ascii="David" w:eastAsia="David" w:hAnsi="David"/>
          <w:rtl/>
        </w:rPr>
        <w:t xml:space="preserve">". "הוא כבר לא בקשר עם הסביבה שהוא גדל איתה...". </w:t>
      </w:r>
    </w:p>
    <w:p w14:paraId="5F096554" w14:textId="77777777" w:rsidR="007D1F84" w:rsidRDefault="007D1F84" w:rsidP="007D1F84">
      <w:pPr>
        <w:spacing w:line="360" w:lineRule="auto"/>
        <w:jc w:val="both"/>
        <w:rPr>
          <w:rFonts w:ascii="David" w:eastAsia="David" w:hAnsi="David"/>
          <w:rtl/>
        </w:rPr>
      </w:pPr>
    </w:p>
    <w:p w14:paraId="06813A76" w14:textId="77777777" w:rsidR="007D1F84" w:rsidRDefault="007D1F84" w:rsidP="007D1F84">
      <w:pPr>
        <w:spacing w:line="360" w:lineRule="auto"/>
        <w:jc w:val="both"/>
        <w:rPr>
          <w:rFonts w:ascii="David" w:eastAsia="David" w:hAnsi="David"/>
          <w:rtl/>
        </w:rPr>
      </w:pPr>
      <w:r>
        <w:rPr>
          <w:rFonts w:ascii="David" w:eastAsia="David" w:hAnsi="David"/>
          <w:rtl/>
        </w:rPr>
        <w:t xml:space="preserve">ירין הוסיפה וציינה "בלילה הוא מסתובב עם הכלבה שלנו. אין לי הרבה מה להגיד, חוץ מזה </w:t>
      </w:r>
      <w:r>
        <w:rPr>
          <w:rFonts w:ascii="David" w:eastAsia="David" w:hAnsi="David"/>
          <w:b/>
          <w:bCs/>
          <w:rtl/>
        </w:rPr>
        <w:t>שאנחנו צעירים ורוצים להמשיך בחיים שלנו</w:t>
      </w:r>
      <w:r>
        <w:rPr>
          <w:rFonts w:ascii="David" w:eastAsia="David" w:hAnsi="David"/>
          <w:rtl/>
        </w:rPr>
        <w:t xml:space="preserve">". "אנחנו רוצים להתחתן ולהמשיך לגדול ביחד, אנחנו כמעט 3 שנים ביחד".  </w:t>
      </w:r>
    </w:p>
    <w:p w14:paraId="26AC6668" w14:textId="77777777" w:rsidR="007D1F84" w:rsidRDefault="007D1F84" w:rsidP="007D1F84">
      <w:pPr>
        <w:spacing w:line="360" w:lineRule="auto"/>
        <w:jc w:val="both"/>
        <w:rPr>
          <w:rFonts w:ascii="David" w:eastAsia="David" w:hAnsi="David"/>
          <w:rtl/>
        </w:rPr>
      </w:pPr>
    </w:p>
    <w:p w14:paraId="3EE17DB2" w14:textId="77777777" w:rsidR="007D1F84" w:rsidRDefault="007D1F84" w:rsidP="007D1F84">
      <w:pPr>
        <w:spacing w:line="360" w:lineRule="auto"/>
        <w:jc w:val="both"/>
        <w:rPr>
          <w:rFonts w:ascii="David" w:eastAsia="David" w:hAnsi="David"/>
          <w:rtl/>
        </w:rPr>
      </w:pPr>
      <w:r>
        <w:rPr>
          <w:rFonts w:ascii="David" w:eastAsia="David" w:hAnsi="David"/>
          <w:rtl/>
        </w:rPr>
        <w:t>אשר לטיפול שעובר בשירות המבחן היא הוסיפה: "הוא הולך לקבוצות של שירות המבחן כל השבוע, יותר מזה, הוא גם חוזר ומשתף כמה כיף לו, הוא נהיה בן אדם יותר מכיל, לפני זה זה לא בן אדם שהייתי יכול</w:t>
      </w:r>
      <w:r>
        <w:rPr>
          <w:rFonts w:ascii="David" w:eastAsia="David" w:hAnsi="David" w:hint="cs"/>
          <w:rtl/>
        </w:rPr>
        <w:t>ה</w:t>
      </w:r>
      <w:r>
        <w:rPr>
          <w:rFonts w:ascii="David" w:eastAsia="David" w:hAnsi="David"/>
          <w:rtl/>
        </w:rPr>
        <w:t xml:space="preserve"> לשבת ולדבר איתו".</w:t>
      </w:r>
    </w:p>
    <w:p w14:paraId="6B9FEE4D" w14:textId="77777777" w:rsidR="007D1F84" w:rsidRDefault="007D1F84" w:rsidP="007D1F84">
      <w:pPr>
        <w:spacing w:line="360" w:lineRule="auto"/>
        <w:jc w:val="both"/>
        <w:rPr>
          <w:rFonts w:ascii="David" w:eastAsia="David" w:hAnsi="David"/>
          <w:rtl/>
        </w:rPr>
      </w:pPr>
    </w:p>
    <w:p w14:paraId="7185FB9A" w14:textId="77777777" w:rsidR="007D1F84" w:rsidRDefault="007D1F84" w:rsidP="007D1F84">
      <w:pPr>
        <w:spacing w:line="360" w:lineRule="auto"/>
        <w:jc w:val="both"/>
        <w:rPr>
          <w:rFonts w:ascii="David" w:eastAsia="David" w:hAnsi="David"/>
          <w:rtl/>
        </w:rPr>
      </w:pPr>
      <w:r>
        <w:rPr>
          <w:rFonts w:ascii="David" w:eastAsia="David" w:hAnsi="David"/>
          <w:rtl/>
        </w:rPr>
        <w:t xml:space="preserve">"אני מבינה שהוא עשה טעות וכן הייתי רוצה לבקש ממך כבוד השופט לנסות לבוא לקראתו כי בסופו של דבר זה אדם צעיר שייגמרו לו כל החיים". </w:t>
      </w:r>
    </w:p>
    <w:p w14:paraId="3C12380F" w14:textId="77777777" w:rsidR="007D1F84" w:rsidRDefault="007D1F84" w:rsidP="007D1F84">
      <w:pPr>
        <w:spacing w:line="360" w:lineRule="auto"/>
        <w:jc w:val="both"/>
        <w:rPr>
          <w:rFonts w:ascii="David" w:eastAsia="David" w:hAnsi="David"/>
          <w:rtl/>
        </w:rPr>
      </w:pPr>
    </w:p>
    <w:p w14:paraId="21FD6DB2" w14:textId="77777777" w:rsidR="007D1F84" w:rsidRDefault="007D1F84" w:rsidP="007D1F84">
      <w:pPr>
        <w:spacing w:line="360" w:lineRule="auto"/>
        <w:jc w:val="both"/>
        <w:rPr>
          <w:rFonts w:ascii="David" w:eastAsia="David" w:hAnsi="David"/>
          <w:rtl/>
        </w:rPr>
      </w:pPr>
      <w:r>
        <w:rPr>
          <w:rFonts w:ascii="David" w:eastAsia="David" w:hAnsi="David"/>
          <w:rtl/>
        </w:rPr>
        <w:t>דבריה המרגשים של ירין, תאמו את דברי אמו של הנאשם שבכייה המתמשך הקשה עליה לדבר, ואת דברי בן זוגה, מר אמיר בוקריס. מר בוקריס תיאר שינוי "</w:t>
      </w:r>
      <w:r>
        <w:rPr>
          <w:rFonts w:ascii="David" w:eastAsia="David" w:hAnsi="David"/>
          <w:b/>
          <w:bCs/>
          <w:rtl/>
        </w:rPr>
        <w:t>מקצה לקצה".</w:t>
      </w:r>
      <w:r>
        <w:rPr>
          <w:rFonts w:ascii="David" w:eastAsia="David" w:hAnsi="David"/>
          <w:rtl/>
        </w:rPr>
        <w:t xml:space="preserve">  לפיו: </w:t>
      </w:r>
    </w:p>
    <w:p w14:paraId="1265FBC4" w14:textId="77777777" w:rsidR="007D1F84" w:rsidRDefault="007D1F84" w:rsidP="007D1F84">
      <w:pPr>
        <w:spacing w:line="360" w:lineRule="auto"/>
        <w:jc w:val="both"/>
        <w:rPr>
          <w:rFonts w:ascii="David" w:eastAsia="David" w:hAnsi="David"/>
          <w:rtl/>
        </w:rPr>
      </w:pPr>
      <w:r>
        <w:rPr>
          <w:rFonts w:ascii="David" w:eastAsia="David" w:hAnsi="David"/>
          <w:rtl/>
        </w:rPr>
        <w:t xml:space="preserve">"אני רוצה להגיד שהילד </w:t>
      </w:r>
      <w:r>
        <w:rPr>
          <w:rFonts w:ascii="David" w:eastAsia="David" w:hAnsi="David"/>
          <w:b/>
          <w:bCs/>
          <w:rtl/>
        </w:rPr>
        <w:t>עבר תהליך שאין כמוהו</w:t>
      </w:r>
      <w:r>
        <w:rPr>
          <w:rFonts w:ascii="David" w:eastAsia="David" w:hAnsi="David"/>
          <w:rtl/>
        </w:rPr>
        <w:t xml:space="preserve">". </w:t>
      </w:r>
    </w:p>
    <w:p w14:paraId="6D784739" w14:textId="77777777" w:rsidR="007D1F84" w:rsidRDefault="007D1F84" w:rsidP="007D1F84">
      <w:pPr>
        <w:spacing w:line="360" w:lineRule="auto"/>
        <w:jc w:val="both"/>
        <w:rPr>
          <w:rFonts w:ascii="David" w:eastAsia="David" w:hAnsi="David"/>
          <w:rtl/>
        </w:rPr>
      </w:pPr>
      <w:r>
        <w:rPr>
          <w:rFonts w:ascii="David" w:eastAsia="David" w:hAnsi="David"/>
          <w:rtl/>
        </w:rPr>
        <w:t xml:space="preserve">עוד, לפי מר בוקריס, הנאשם "לוקח ילדי מצוקה בשכונה שלנו ומלמד אותם כדורגל, ומסביר להם שהחיים זה לא כל מה שהם שומעים, שילכו בדרך הטובה". </w:t>
      </w:r>
    </w:p>
    <w:p w14:paraId="3A513850" w14:textId="77777777" w:rsidR="007D1F84" w:rsidRDefault="007D1F84" w:rsidP="007D1F84">
      <w:pPr>
        <w:spacing w:line="360" w:lineRule="auto"/>
        <w:jc w:val="both"/>
        <w:rPr>
          <w:rFonts w:ascii="David" w:eastAsia="David" w:hAnsi="David"/>
          <w:rtl/>
        </w:rPr>
      </w:pPr>
      <w:r>
        <w:rPr>
          <w:rFonts w:ascii="David" w:eastAsia="David" w:hAnsi="David"/>
          <w:rtl/>
        </w:rPr>
        <w:t xml:space="preserve"> </w:t>
      </w:r>
    </w:p>
    <w:p w14:paraId="58EA3066" w14:textId="77777777" w:rsidR="007D1F84" w:rsidRDefault="007D1F84" w:rsidP="007D1F84">
      <w:pPr>
        <w:spacing w:line="360" w:lineRule="auto"/>
        <w:jc w:val="both"/>
        <w:rPr>
          <w:rFonts w:ascii="David" w:eastAsia="David" w:hAnsi="David"/>
          <w:rtl/>
        </w:rPr>
      </w:pPr>
      <w:r>
        <w:rPr>
          <w:rFonts w:ascii="David" w:eastAsia="David" w:hAnsi="David"/>
          <w:rtl/>
        </w:rPr>
        <w:t xml:space="preserve">התביעה טענה ובצדק כי על התמונה החיובית מעיבים שני נתונים. האחד, פתיחת תיק מב"ד בעבירה של החזקת סמים שלא לצריכה עצמית והפרת הוראה חוקית. השני, המלצת שירות המבחן להימנע ממאסר בפועל ניתנה גם בשלב מוקדם (בתסקיר השני), עוד לפני התקדמות הנאשם בהליך הטיפולי, כך שההמלצה הסופית להימנע ממאסר לא הייתה פועל יוצא להליך השיקומי המוצלח. </w:t>
      </w:r>
    </w:p>
    <w:p w14:paraId="2B4FA301" w14:textId="77777777" w:rsidR="007D1F84" w:rsidRDefault="007D1F84" w:rsidP="007D1F84">
      <w:pPr>
        <w:spacing w:line="360" w:lineRule="auto"/>
        <w:jc w:val="both"/>
        <w:rPr>
          <w:rFonts w:ascii="David" w:eastAsia="David" w:hAnsi="David"/>
          <w:rtl/>
        </w:rPr>
      </w:pPr>
    </w:p>
    <w:p w14:paraId="292D310F" w14:textId="77777777" w:rsidR="007D1F84" w:rsidRDefault="007D1F84" w:rsidP="007D1F84">
      <w:pPr>
        <w:spacing w:line="360" w:lineRule="auto"/>
        <w:jc w:val="both"/>
        <w:rPr>
          <w:rFonts w:ascii="David" w:eastAsia="David" w:hAnsi="David"/>
          <w:rtl/>
        </w:rPr>
      </w:pPr>
      <w:r>
        <w:rPr>
          <w:rFonts w:ascii="David" w:eastAsia="David" w:hAnsi="David"/>
          <w:rtl/>
        </w:rPr>
        <w:t xml:space="preserve">אשר לתיק שנפתח, יש לציין שמדובר בעבירות מחודש נובמבר 2021, קרי לפני הטיפול שעבר הנאשם ואף לפני התסקיר הראשון שהוגש בו שלל נזקקות טיפולית. כאמור, השינוי שעבר הנאשם קשור בהשתלבותו בקבוצה הטיפולית בשנת 2022. כמו כן, הנאשם שיתף את המשתתפים בקבוצה בהסתבכות זו. </w:t>
      </w:r>
    </w:p>
    <w:p w14:paraId="45BFE22B" w14:textId="77777777" w:rsidR="007D1F84" w:rsidRDefault="007D1F84" w:rsidP="007D1F84">
      <w:pPr>
        <w:spacing w:line="360" w:lineRule="auto"/>
        <w:jc w:val="both"/>
        <w:rPr>
          <w:rFonts w:ascii="David" w:eastAsia="David" w:hAnsi="David"/>
          <w:rtl/>
        </w:rPr>
      </w:pPr>
    </w:p>
    <w:p w14:paraId="6D545DAA" w14:textId="77777777" w:rsidR="007D1F84" w:rsidRDefault="007D1F84" w:rsidP="007D1F84">
      <w:pPr>
        <w:spacing w:line="360" w:lineRule="auto"/>
        <w:jc w:val="both"/>
        <w:rPr>
          <w:rFonts w:ascii="David" w:eastAsia="David" w:hAnsi="David"/>
          <w:rtl/>
        </w:rPr>
      </w:pPr>
      <w:r>
        <w:rPr>
          <w:rFonts w:ascii="David" w:eastAsia="David" w:hAnsi="David"/>
          <w:rtl/>
        </w:rPr>
        <w:t xml:space="preserve">בעניין ההמלצה בתסקיר השני, ועל אף שאז התהליך הטיפול היה בחיתוליו, שירות המבחן הדגיש שמדובר בהמלצה שהתבססה על תחזית חיובית לגבי צפי להמשך השתלבות הנאשם בטיפול, ובכפוף לכך. מכל מקום, ההמלצה העונשית הקונקרטית אינה מחייבת את בית המשפט באשר מדובר בעניין משפטי, והעיקר בתסקיר שירות המבחן הוא הצגת הנתונים המדויקים לגבי תהליך השיקום שעבר הנאשם. המסקנה המשפטית היא עניין לבית המשפט לענות בו.  </w:t>
      </w:r>
    </w:p>
    <w:p w14:paraId="589A3EFD" w14:textId="77777777" w:rsidR="007D1F84" w:rsidRDefault="007D1F84" w:rsidP="007D1F84">
      <w:pPr>
        <w:spacing w:line="360" w:lineRule="auto"/>
        <w:jc w:val="both"/>
        <w:rPr>
          <w:rFonts w:ascii="David" w:eastAsia="David" w:hAnsi="David"/>
          <w:rtl/>
        </w:rPr>
      </w:pPr>
    </w:p>
    <w:p w14:paraId="306F500B" w14:textId="77777777" w:rsidR="007D1F84" w:rsidRDefault="007D1F84" w:rsidP="007D1F84">
      <w:pPr>
        <w:spacing w:line="360" w:lineRule="auto"/>
        <w:jc w:val="both"/>
        <w:rPr>
          <w:rFonts w:ascii="David" w:eastAsia="David" w:hAnsi="David"/>
          <w:rtl/>
        </w:rPr>
      </w:pPr>
      <w:r>
        <w:rPr>
          <w:rFonts w:ascii="David" w:eastAsia="David" w:hAnsi="David"/>
          <w:rtl/>
        </w:rPr>
        <w:t>סופו של דבר, שהתמונה העכשווית</w:t>
      </w:r>
      <w:r>
        <w:rPr>
          <w:rFonts w:ascii="David" w:eastAsia="David" w:hAnsi="David" w:hint="cs"/>
          <w:rtl/>
        </w:rPr>
        <w:t>,</w:t>
      </w:r>
      <w:r>
        <w:rPr>
          <w:rFonts w:ascii="David" w:eastAsia="David" w:hAnsi="David"/>
          <w:rtl/>
        </w:rPr>
        <w:t xml:space="preserve"> היא חיובית. הנאשם עובר טיפול משמעותי, הוא משתף בו פעולה באופן מלא, הוא נרתם להטיפול </w:t>
      </w:r>
      <w:r>
        <w:rPr>
          <w:rFonts w:ascii="David" w:eastAsia="David" w:hAnsi="David" w:hint="cs"/>
          <w:rtl/>
        </w:rPr>
        <w:t>ונתרם</w:t>
      </w:r>
      <w:r>
        <w:rPr>
          <w:rFonts w:ascii="David" w:eastAsia="David" w:hAnsi="David"/>
          <w:rtl/>
        </w:rPr>
        <w:t xml:space="preserve"> ממנו, כך אליבא דשירות המבחן ובני משפחתו. אשר על כן, מתוך רצון לעודד את הנאשם לדבוק בדרך החדשה שבה בחר, אני סבור כי יש לקבל את המלצת שירות המבחן בעניינו.</w:t>
      </w:r>
    </w:p>
    <w:p w14:paraId="395E918F" w14:textId="77777777" w:rsidR="007D1F84" w:rsidRDefault="007D1F84" w:rsidP="007D1F84">
      <w:pPr>
        <w:spacing w:line="360" w:lineRule="auto"/>
        <w:jc w:val="both"/>
        <w:rPr>
          <w:rFonts w:ascii="David" w:eastAsia="David" w:hAnsi="David"/>
          <w:rtl/>
        </w:rPr>
      </w:pPr>
    </w:p>
    <w:p w14:paraId="7C02F370" w14:textId="77777777" w:rsidR="007D1F84" w:rsidRDefault="007D1F84" w:rsidP="007D1F84">
      <w:pPr>
        <w:spacing w:line="360" w:lineRule="auto"/>
        <w:jc w:val="both"/>
        <w:rPr>
          <w:rFonts w:ascii="David" w:eastAsia="David" w:hAnsi="David"/>
          <w:rtl/>
        </w:rPr>
      </w:pPr>
      <w:r>
        <w:rPr>
          <w:rFonts w:ascii="David" w:eastAsia="David" w:hAnsi="David"/>
          <w:rtl/>
        </w:rPr>
        <w:t>ב</w:t>
      </w:r>
      <w:hyperlink r:id="rId48" w:history="1">
        <w:r w:rsidR="00770144" w:rsidRPr="00770144">
          <w:rPr>
            <w:rFonts w:ascii="David" w:eastAsia="David" w:hAnsi="David"/>
            <w:color w:val="0000FF"/>
            <w:u w:val="single"/>
            <w:rtl/>
          </w:rPr>
          <w:t>ע"פ 2125/18</w:t>
        </w:r>
      </w:hyperlink>
      <w:r>
        <w:rPr>
          <w:rFonts w:ascii="David" w:eastAsia="David" w:hAnsi="David"/>
          <w:rtl/>
        </w:rPr>
        <w:t xml:space="preserve"> </w:t>
      </w:r>
      <w:r>
        <w:rPr>
          <w:rFonts w:ascii="David" w:eastAsia="David" w:hAnsi="David"/>
          <w:b/>
          <w:bCs/>
          <w:rtl/>
        </w:rPr>
        <w:t>אברהם דוד נגד מדינת ישראל</w:t>
      </w:r>
      <w:r>
        <w:rPr>
          <w:rFonts w:ascii="David" w:eastAsia="David" w:hAnsi="David"/>
          <w:rtl/>
        </w:rPr>
        <w:t xml:space="preserve"> (2018), התייחס בית המשפט העליון לדילמה של העדפת שיקול השיקום כאשר מדובר בעבירות חמורות שמצדיקות מאסר בפועל מאחורי סורג ובריח גם ברף התחתון שבמתחם, וכך נפסק בדעת הרוב (כב' השופטת י' וילנר): </w:t>
      </w:r>
    </w:p>
    <w:p w14:paraId="1841FD63" w14:textId="77777777" w:rsidR="007D1F84" w:rsidRDefault="007D1F84" w:rsidP="007D1F84">
      <w:pPr>
        <w:spacing w:line="360" w:lineRule="auto"/>
        <w:jc w:val="both"/>
        <w:rPr>
          <w:rFonts w:ascii="David" w:eastAsia="David" w:hAnsi="David"/>
          <w:rtl/>
        </w:rPr>
      </w:pPr>
    </w:p>
    <w:p w14:paraId="36A26F72" w14:textId="77777777" w:rsidR="007D1F84" w:rsidRDefault="007D1F84" w:rsidP="007D1F84">
      <w:pPr>
        <w:spacing w:line="360" w:lineRule="auto"/>
        <w:jc w:val="both"/>
        <w:rPr>
          <w:rFonts w:ascii="David" w:eastAsia="David" w:hAnsi="David"/>
          <w:b/>
          <w:bCs/>
          <w:rtl/>
        </w:rPr>
      </w:pPr>
      <w:r>
        <w:rPr>
          <w:rFonts w:ascii="David" w:eastAsia="David" w:hAnsi="David"/>
          <w:b/>
          <w:bCs/>
          <w:rtl/>
        </w:rPr>
        <w:t>"בית המשפט המחוזי קבע כאמור כי אין לסטות ממתחם העונש ההולם, תוך שהוא מנמק את החלטתו בכך שהמערער לא היה בעת ההיא "בעיצומם של הליכי שיקום וטיפול". ואולם, בנקודת הזמן שבה אנו מצויים לא ניתן להתעלם מחלוף הזמן והדרך שעשה המערער מאז. תסקיר שירות המבחן העדכני שהונח לפתחנו מחזק את התסקיר הקודם ומצביע על פוטנציאל שיקומי ממשי. המערער השתלב בקבוצה טיפולית לעברייני מרמה זמן קצר לאחר מתן גזר הדין, והוא נתון כיום בעיצומו של ההליך הטיפולי-שיקומי. מהתסקיר העדכני אף נלמד כי השפעתו של הטיפול על המערער חיובית ומשמעותית וכי הקבוצה מסייעת לו בתהליך שינוי דפוסיו המרמתיים ובהגברת המודעות העצמית שלו ביחס למניעים להתנהגותו וזיהוי מצבי סיכון. עוד עולה מן התסקיר כי המערער הצליח, לאחר חיפושים, למצוא עבודה והוא עובד מזה מספר חודשים כמתקין מצלמות אבטחה. הן המערער הן שירות המבחן הביעו חשש שמא עונש מאסר בפועל יקטע את התהליך המשמעותי שהמערער עובר; ויוער כי בשל מאסרו הקצר יחסית של המערער ייתכן שלא ניתן יהיה לשלבו בתוכנית טיפולית מתאימה במסגרת שירות בתי הסוהר. בהינתן כל האמור, דומני כי השמתו של המערער כיום מאחורי סורג ובריח עלולה לכרסם באופן ניכר בהליך השיקומי המשמעותי שהוא נרתם לו, וכי בנסיבות המקרה יש ליתן את הבכורה לשיקול השיקום".</w:t>
      </w:r>
    </w:p>
    <w:p w14:paraId="109A2FE6" w14:textId="77777777" w:rsidR="007D1F84" w:rsidRDefault="007D1F84" w:rsidP="007D1F84">
      <w:pPr>
        <w:spacing w:line="360" w:lineRule="auto"/>
        <w:jc w:val="both"/>
        <w:rPr>
          <w:rFonts w:ascii="David" w:eastAsia="David" w:hAnsi="David"/>
          <w:rtl/>
        </w:rPr>
      </w:pPr>
    </w:p>
    <w:p w14:paraId="062C48F9" w14:textId="77777777" w:rsidR="007D1F84" w:rsidRDefault="007D1F84" w:rsidP="007D1F84">
      <w:pPr>
        <w:spacing w:line="360" w:lineRule="auto"/>
        <w:jc w:val="both"/>
        <w:rPr>
          <w:rFonts w:ascii="David" w:eastAsia="David" w:hAnsi="David"/>
          <w:rtl/>
        </w:rPr>
      </w:pPr>
    </w:p>
    <w:p w14:paraId="6BF837B2" w14:textId="77777777" w:rsidR="007D1F84" w:rsidRDefault="007D1F84" w:rsidP="007D1F84">
      <w:pPr>
        <w:spacing w:line="360" w:lineRule="auto"/>
        <w:jc w:val="both"/>
        <w:rPr>
          <w:rFonts w:ascii="David" w:eastAsia="David" w:hAnsi="David"/>
          <w:rtl/>
        </w:rPr>
      </w:pPr>
      <w:r>
        <w:rPr>
          <w:rFonts w:ascii="David" w:eastAsia="David" w:hAnsi="David"/>
          <w:rtl/>
        </w:rPr>
        <w:t xml:space="preserve"> שליחתו של הנאשם בעיתוי הנוכחי, בחלוף שלוש שנים ממועד ביצוע העבירות, לרצות מאסר בפועל מאחורי סורג ובריח, גם אם לתקופה קצרה, עלולה לקטוע את ההליך הטיפולי שהוא עובר, לפגוע בו תעסוקתית, לפגוע בקשריו החיוביים עם סביבתו, ולדרדר אותו חזרה לעולם הפשיעה שם בילה שנים רבות בחייו הקצרים.</w:t>
      </w:r>
    </w:p>
    <w:p w14:paraId="2C7D8D32" w14:textId="77777777" w:rsidR="007D1F84" w:rsidRDefault="007D1F84" w:rsidP="007D1F84">
      <w:pPr>
        <w:spacing w:line="360" w:lineRule="auto"/>
        <w:jc w:val="both"/>
        <w:rPr>
          <w:rFonts w:ascii="David" w:eastAsia="David" w:hAnsi="David"/>
          <w:rtl/>
        </w:rPr>
      </w:pPr>
      <w:r>
        <w:rPr>
          <w:rFonts w:ascii="David" w:eastAsia="David" w:hAnsi="David"/>
          <w:rtl/>
        </w:rPr>
        <w:t xml:space="preserve">  </w:t>
      </w:r>
    </w:p>
    <w:p w14:paraId="679E6F6F" w14:textId="77777777" w:rsidR="007D1F84" w:rsidRDefault="007D1F84" w:rsidP="007D1F84">
      <w:pPr>
        <w:spacing w:line="360" w:lineRule="auto"/>
        <w:jc w:val="both"/>
        <w:rPr>
          <w:rFonts w:ascii="David" w:eastAsia="David" w:hAnsi="David"/>
          <w:rtl/>
        </w:rPr>
      </w:pPr>
      <w:r>
        <w:rPr>
          <w:rFonts w:ascii="David" w:eastAsia="David" w:hAnsi="David"/>
          <w:rtl/>
        </w:rPr>
        <w:t xml:space="preserve">כמובן, ולנוכח חומרת העבירות, הרי שהסטייה מהמתחם תהיה לפי שיקול השיקום במובן של מניעת חזרתו לכלא, אך האינטרס הציבורי מחייב השתת עונש לפי הרף המקסימלי האפשרי ולא פחות מכך, וזאת גם בהתחשב בתקופת מעצרו בתיק זה (ללא ניכוי ימי המעצר). </w:t>
      </w:r>
    </w:p>
    <w:p w14:paraId="4425DEF9" w14:textId="77777777" w:rsidR="007D1F84" w:rsidRDefault="007D1F84" w:rsidP="007D1F84">
      <w:pPr>
        <w:spacing w:line="360" w:lineRule="auto"/>
        <w:jc w:val="both"/>
        <w:rPr>
          <w:rFonts w:ascii="David" w:eastAsia="David" w:hAnsi="David"/>
          <w:rtl/>
        </w:rPr>
      </w:pPr>
    </w:p>
    <w:p w14:paraId="7BE7D4A3" w14:textId="77777777" w:rsidR="007D1F84" w:rsidRDefault="007D1F84" w:rsidP="007D1F84">
      <w:pPr>
        <w:spacing w:line="360" w:lineRule="auto"/>
        <w:jc w:val="both"/>
        <w:rPr>
          <w:rFonts w:ascii="David" w:eastAsia="David" w:hAnsi="David"/>
          <w:rtl/>
        </w:rPr>
      </w:pPr>
      <w:r>
        <w:rPr>
          <w:rFonts w:ascii="David" w:eastAsia="David" w:hAnsi="David"/>
          <w:rtl/>
        </w:rPr>
        <w:t xml:space="preserve">הערה לפני סיום: </w:t>
      </w:r>
    </w:p>
    <w:p w14:paraId="07D57DC9" w14:textId="77777777" w:rsidR="007D1F84" w:rsidRDefault="007D1F84" w:rsidP="007D1F84">
      <w:pPr>
        <w:spacing w:line="360" w:lineRule="auto"/>
        <w:jc w:val="both"/>
        <w:rPr>
          <w:rFonts w:ascii="David" w:eastAsia="David" w:hAnsi="David"/>
          <w:rtl/>
        </w:rPr>
      </w:pPr>
    </w:p>
    <w:p w14:paraId="24473235" w14:textId="77777777" w:rsidR="007D1F84" w:rsidRDefault="007D1F84" w:rsidP="007D1F84">
      <w:pPr>
        <w:spacing w:line="360" w:lineRule="auto"/>
        <w:jc w:val="both"/>
        <w:rPr>
          <w:rFonts w:ascii="David" w:eastAsia="David" w:hAnsi="David"/>
          <w:rtl/>
        </w:rPr>
      </w:pPr>
      <w:r>
        <w:rPr>
          <w:rFonts w:ascii="David" w:eastAsia="David" w:hAnsi="David"/>
          <w:rtl/>
        </w:rPr>
        <w:t xml:space="preserve">התובע המלומד טען לעונש והתייחס לכך שבעבר הופסק לנאשם עונש בעבודות שירות עקב התנהלות אישית בעייתית בעבודה, דבר שלשיטת התביעה יכול ללמד על קשייו של הנאשם לפעול בתוך מסגרת. ואכן, דבריו של התובע מעוגנים בתסקיר. </w:t>
      </w:r>
    </w:p>
    <w:p w14:paraId="5A5DD8D8" w14:textId="77777777" w:rsidR="007D1F84" w:rsidRDefault="007D1F84" w:rsidP="007D1F84">
      <w:pPr>
        <w:spacing w:line="360" w:lineRule="auto"/>
        <w:jc w:val="both"/>
        <w:rPr>
          <w:rFonts w:ascii="David" w:eastAsia="David" w:hAnsi="David"/>
          <w:rtl/>
        </w:rPr>
      </w:pPr>
      <w:r>
        <w:rPr>
          <w:rFonts w:ascii="David" w:eastAsia="David" w:hAnsi="David"/>
          <w:rtl/>
        </w:rPr>
        <w:t xml:space="preserve">ודווקא על רקע דברים אלה, ניתן לראות בחוות הדעת החיובית של הממונה על עבודות שירות חיזוק למסקנתי, כאשר הממונה על עבודות פירט בחוות דעתו לגבי ניסיון העבר והוסיף שהתרשם משינוי שעבר על הנאשם: </w:t>
      </w:r>
    </w:p>
    <w:p w14:paraId="5D54BC25" w14:textId="77777777" w:rsidR="007D1F84" w:rsidRDefault="007D1F84" w:rsidP="007D1F84">
      <w:pPr>
        <w:spacing w:line="360" w:lineRule="auto"/>
        <w:jc w:val="both"/>
        <w:rPr>
          <w:rFonts w:ascii="David" w:eastAsia="David" w:hAnsi="David"/>
          <w:b/>
          <w:bCs/>
          <w:rtl/>
        </w:rPr>
      </w:pPr>
    </w:p>
    <w:p w14:paraId="16C2C3F1" w14:textId="77777777" w:rsidR="007D1F84" w:rsidRDefault="007D1F84" w:rsidP="007D1F84">
      <w:pPr>
        <w:spacing w:line="360" w:lineRule="auto"/>
        <w:jc w:val="both"/>
        <w:rPr>
          <w:rFonts w:ascii="David" w:eastAsia="David" w:hAnsi="David"/>
          <w:b/>
          <w:bCs/>
          <w:rtl/>
        </w:rPr>
      </w:pPr>
      <w:r>
        <w:rPr>
          <w:rFonts w:ascii="David" w:eastAsia="David" w:hAnsi="David"/>
          <w:b/>
          <w:bCs/>
          <w:rtl/>
        </w:rPr>
        <w:t xml:space="preserve">"התרשמתי מכנות דבריו ומוטיבציה אמיתית לבצע שינוי". </w:t>
      </w:r>
    </w:p>
    <w:p w14:paraId="48E3A8A0" w14:textId="77777777" w:rsidR="007D1F84" w:rsidRDefault="007D1F84" w:rsidP="007D1F84">
      <w:pPr>
        <w:spacing w:line="360" w:lineRule="auto"/>
        <w:jc w:val="both"/>
        <w:rPr>
          <w:rFonts w:ascii="David" w:eastAsia="David" w:hAnsi="David"/>
          <w:rtl/>
        </w:rPr>
      </w:pPr>
    </w:p>
    <w:p w14:paraId="60C8E52E" w14:textId="77777777" w:rsidR="007D1F84" w:rsidRPr="007D1F84" w:rsidRDefault="007D1F84" w:rsidP="007D1F84">
      <w:pPr>
        <w:spacing w:line="360" w:lineRule="auto"/>
        <w:jc w:val="both"/>
        <w:rPr>
          <w:rFonts w:ascii="Calibri" w:eastAsia="Calibri" w:hAnsi="Calibri"/>
          <w:rtl/>
        </w:rPr>
      </w:pPr>
      <w:r>
        <w:rPr>
          <w:rtl/>
        </w:rPr>
        <w:t xml:space="preserve">הנה כי כן, אף הממונה על עבודות שירות הבחין בשינוי.  </w:t>
      </w:r>
    </w:p>
    <w:p w14:paraId="160CF480" w14:textId="77777777" w:rsidR="007D1F84" w:rsidRDefault="007D1F84" w:rsidP="007D1F84">
      <w:pPr>
        <w:spacing w:line="360" w:lineRule="auto"/>
        <w:jc w:val="both"/>
        <w:rPr>
          <w:u w:val="single"/>
          <w:rtl/>
        </w:rPr>
      </w:pPr>
    </w:p>
    <w:p w14:paraId="0A0C7D5D" w14:textId="77777777" w:rsidR="007D1F84" w:rsidRDefault="007D1F84" w:rsidP="007D1F84">
      <w:pPr>
        <w:spacing w:line="360" w:lineRule="auto"/>
        <w:jc w:val="both"/>
        <w:rPr>
          <w:rtl/>
        </w:rPr>
      </w:pPr>
      <w:r>
        <w:rPr>
          <w:u w:val="single"/>
          <w:rtl/>
        </w:rPr>
        <w:t>לאור</w:t>
      </w:r>
      <w:r>
        <w:rPr>
          <w:rtl/>
        </w:rPr>
        <w:t xml:space="preserve"> המקבץ האמור, ולאחר שנתתי דעתי לתיקון 113 ל</w:t>
      </w:r>
      <w:hyperlink r:id="rId49" w:history="1">
        <w:r w:rsidR="00770144" w:rsidRPr="00770144">
          <w:rPr>
            <w:color w:val="0000FF"/>
            <w:u w:val="single"/>
            <w:rtl/>
          </w:rPr>
          <w:t>חוק העונשין</w:t>
        </w:r>
      </w:hyperlink>
      <w:r>
        <w:rPr>
          <w:rtl/>
        </w:rPr>
        <w:t xml:space="preserve"> ולטיעוני הצדדים, החלטתי לגזור על הנאשם את העונשים הבאים:</w:t>
      </w:r>
    </w:p>
    <w:p w14:paraId="1C32085E" w14:textId="77777777" w:rsidR="007D1F84" w:rsidRDefault="007D1F84" w:rsidP="007D1F84">
      <w:pPr>
        <w:pStyle w:val="ab"/>
        <w:numPr>
          <w:ilvl w:val="1"/>
          <w:numId w:val="1"/>
        </w:numPr>
        <w:spacing w:line="360" w:lineRule="auto"/>
        <w:jc w:val="both"/>
        <w:rPr>
          <w:rFonts w:cs="David"/>
          <w:sz w:val="24"/>
          <w:szCs w:val="24"/>
          <w:rtl/>
        </w:rPr>
      </w:pPr>
      <w:r>
        <w:rPr>
          <w:rFonts w:cs="David"/>
          <w:sz w:val="24"/>
          <w:szCs w:val="24"/>
          <w:rtl/>
        </w:rPr>
        <w:t xml:space="preserve">מאסר למשך 9 חודשים, אשר ירוצה בדרך של </w:t>
      </w:r>
      <w:r>
        <w:rPr>
          <w:rFonts w:cs="David"/>
          <w:b/>
          <w:bCs/>
          <w:sz w:val="24"/>
          <w:szCs w:val="24"/>
          <w:u w:val="single"/>
          <w:rtl/>
        </w:rPr>
        <w:t>עבודות שירות</w:t>
      </w:r>
      <w:r>
        <w:rPr>
          <w:rFonts w:cs="David"/>
          <w:sz w:val="24"/>
          <w:szCs w:val="24"/>
          <w:rtl/>
        </w:rPr>
        <w:t xml:space="preserve">, בהתאם לחוות דעת </w:t>
      </w:r>
      <w:r>
        <w:rPr>
          <w:rFonts w:cs="David"/>
          <w:b/>
          <w:bCs/>
          <w:sz w:val="24"/>
          <w:szCs w:val="24"/>
          <w:u w:val="single"/>
          <w:rtl/>
        </w:rPr>
        <w:t>הממונה</w:t>
      </w:r>
      <w:r>
        <w:rPr>
          <w:rFonts w:cs="David"/>
          <w:sz w:val="24"/>
          <w:szCs w:val="24"/>
          <w:rtl/>
        </w:rPr>
        <w:t xml:space="preserve"> מיום 24.1.23 עבודות השירות תבוצענה בקופת הצדקה המרכזית בנתניה, ותחלנה ביום 26.3.23 הנאשם יתייצב במועד זה עד השעה 8:30 בפני הממונה.</w:t>
      </w:r>
      <w:r>
        <w:rPr>
          <w:rFonts w:cs="David" w:hint="cs"/>
          <w:sz w:val="24"/>
          <w:szCs w:val="24"/>
          <w:rtl/>
        </w:rPr>
        <w:t xml:space="preserve"> לנוכח מוגבלויו</w:t>
      </w:r>
      <w:r>
        <w:rPr>
          <w:rFonts w:cs="David" w:hint="eastAsia"/>
          <w:sz w:val="24"/>
          <w:szCs w:val="24"/>
          <w:rtl/>
        </w:rPr>
        <w:t>ת</w:t>
      </w:r>
      <w:r>
        <w:rPr>
          <w:rFonts w:cs="David" w:hint="cs"/>
          <w:sz w:val="24"/>
          <w:szCs w:val="24"/>
          <w:rtl/>
        </w:rPr>
        <w:t xml:space="preserve"> רפואיות הנאשם יבצע עבודות שירות לפי 6 וחצי שעות יומיות, וזאת גם כדי לאפשר לו להמשיך בתהליך הטיפולי.</w:t>
      </w:r>
    </w:p>
    <w:p w14:paraId="4677BEBD" w14:textId="77777777" w:rsidR="007D1F84" w:rsidRDefault="007D1F84" w:rsidP="007D1F84">
      <w:pPr>
        <w:pStyle w:val="ab"/>
        <w:spacing w:line="360" w:lineRule="auto"/>
        <w:ind w:left="1440"/>
        <w:jc w:val="both"/>
        <w:rPr>
          <w:rFonts w:cs="David"/>
          <w:sz w:val="24"/>
          <w:szCs w:val="24"/>
          <w:rtl/>
        </w:rPr>
      </w:pPr>
    </w:p>
    <w:p w14:paraId="7ADD2229" w14:textId="77777777" w:rsidR="007D1F84" w:rsidRDefault="007D1F84" w:rsidP="007D1F84">
      <w:pPr>
        <w:pStyle w:val="ab"/>
        <w:numPr>
          <w:ilvl w:val="1"/>
          <w:numId w:val="1"/>
        </w:numPr>
        <w:spacing w:line="360" w:lineRule="auto"/>
        <w:jc w:val="both"/>
        <w:rPr>
          <w:rFonts w:cs="David"/>
          <w:sz w:val="24"/>
          <w:szCs w:val="24"/>
        </w:rPr>
      </w:pPr>
      <w:r>
        <w:rPr>
          <w:rFonts w:cs="David"/>
          <w:sz w:val="24"/>
          <w:szCs w:val="24"/>
          <w:rtl/>
        </w:rPr>
        <w:t xml:space="preserve">4 חודשי </w:t>
      </w:r>
      <w:r>
        <w:rPr>
          <w:rFonts w:cs="David"/>
          <w:b/>
          <w:bCs/>
          <w:sz w:val="24"/>
          <w:szCs w:val="24"/>
          <w:u w:val="single"/>
          <w:rtl/>
        </w:rPr>
        <w:t>מאסר על תנאי</w:t>
      </w:r>
      <w:r>
        <w:rPr>
          <w:rFonts w:cs="David"/>
          <w:sz w:val="24"/>
          <w:szCs w:val="24"/>
          <w:rtl/>
        </w:rPr>
        <w:t xml:space="preserve"> למשך 3 שנים, שלא יעבור עבירת סמים מסוג פשע. </w:t>
      </w:r>
    </w:p>
    <w:p w14:paraId="1074865E" w14:textId="77777777" w:rsidR="007D1F84" w:rsidRDefault="007D1F84" w:rsidP="007D1F84">
      <w:pPr>
        <w:pStyle w:val="ab"/>
        <w:numPr>
          <w:ilvl w:val="1"/>
          <w:numId w:val="1"/>
        </w:numPr>
        <w:spacing w:line="360" w:lineRule="auto"/>
        <w:jc w:val="both"/>
        <w:rPr>
          <w:rFonts w:cs="David"/>
          <w:sz w:val="24"/>
          <w:szCs w:val="24"/>
          <w:rtl/>
        </w:rPr>
      </w:pPr>
      <w:r>
        <w:rPr>
          <w:rFonts w:cs="David"/>
          <w:b/>
          <w:bCs/>
          <w:sz w:val="24"/>
          <w:szCs w:val="24"/>
          <w:u w:val="single"/>
          <w:rtl/>
        </w:rPr>
        <w:t>קנס</w:t>
      </w:r>
      <w:r>
        <w:rPr>
          <w:rFonts w:cs="David"/>
          <w:sz w:val="24"/>
          <w:szCs w:val="24"/>
          <w:rtl/>
        </w:rPr>
        <w:t xml:space="preserve"> בסך 3000 או 30 ימי מאסר תמורתו. </w:t>
      </w:r>
    </w:p>
    <w:p w14:paraId="61538735" w14:textId="77777777" w:rsidR="007D1F84" w:rsidRDefault="007D1F84" w:rsidP="007D1F84">
      <w:pPr>
        <w:pStyle w:val="ab"/>
        <w:spacing w:line="360" w:lineRule="auto"/>
        <w:ind w:left="1440"/>
        <w:jc w:val="both"/>
        <w:rPr>
          <w:rFonts w:cs="David"/>
          <w:sz w:val="24"/>
          <w:szCs w:val="24"/>
          <w:rtl/>
        </w:rPr>
      </w:pPr>
      <w:r>
        <w:rPr>
          <w:rFonts w:cs="David"/>
          <w:sz w:val="24"/>
          <w:szCs w:val="24"/>
          <w:rtl/>
        </w:rPr>
        <w:t xml:space="preserve">הקנס ישולם עד ליום 1.5.23. </w:t>
      </w:r>
    </w:p>
    <w:p w14:paraId="5C76EBE5" w14:textId="77777777" w:rsidR="007D1F84" w:rsidRDefault="007D1F84" w:rsidP="007D1F84">
      <w:pPr>
        <w:pStyle w:val="ab"/>
        <w:numPr>
          <w:ilvl w:val="1"/>
          <w:numId w:val="1"/>
        </w:numPr>
        <w:spacing w:line="360" w:lineRule="auto"/>
        <w:jc w:val="both"/>
        <w:rPr>
          <w:rFonts w:cs="David"/>
          <w:sz w:val="24"/>
          <w:szCs w:val="24"/>
          <w:rtl/>
        </w:rPr>
      </w:pPr>
      <w:r>
        <w:rPr>
          <w:rFonts w:cs="David"/>
          <w:b/>
          <w:bCs/>
          <w:sz w:val="24"/>
          <w:szCs w:val="24"/>
          <w:u w:val="single"/>
          <w:rtl/>
        </w:rPr>
        <w:t>צו מבחן</w:t>
      </w:r>
      <w:r>
        <w:rPr>
          <w:rFonts w:cs="David"/>
          <w:sz w:val="24"/>
          <w:szCs w:val="24"/>
          <w:rtl/>
        </w:rPr>
        <w:t xml:space="preserve"> שתוקפו למשך שנה מהיום.</w:t>
      </w:r>
    </w:p>
    <w:p w14:paraId="5944A2C1" w14:textId="77777777" w:rsidR="007D1F84" w:rsidRDefault="007D1F84" w:rsidP="007D1F84">
      <w:pPr>
        <w:spacing w:line="360" w:lineRule="auto"/>
        <w:ind w:left="1502"/>
        <w:jc w:val="both"/>
        <w:rPr>
          <w:u w:val="single"/>
          <w:rtl/>
        </w:rPr>
      </w:pPr>
      <w:r>
        <w:rPr>
          <w:u w:val="single"/>
          <w:rtl/>
        </w:rPr>
        <w:t>מובהר לנאשם כי הפרת צו המבחן עלולה להביא להפקעתו ולגזירת עונש חילופי</w:t>
      </w:r>
      <w:r>
        <w:rPr>
          <w:rtl/>
        </w:rPr>
        <w:t>.</w:t>
      </w:r>
    </w:p>
    <w:p w14:paraId="3924BBE7" w14:textId="77777777" w:rsidR="007D1F84" w:rsidRDefault="007D1F84" w:rsidP="007D1F84">
      <w:pPr>
        <w:pStyle w:val="a7"/>
        <w:numPr>
          <w:ilvl w:val="1"/>
          <w:numId w:val="1"/>
        </w:numPr>
        <w:spacing w:line="360" w:lineRule="auto"/>
        <w:jc w:val="both"/>
        <w:rPr>
          <w:rFonts w:cs="David"/>
          <w:sz w:val="24"/>
          <w:szCs w:val="24"/>
          <w:rtl/>
        </w:rPr>
      </w:pPr>
      <w:r>
        <w:rPr>
          <w:rFonts w:cs="David"/>
          <w:b/>
          <w:bCs/>
          <w:sz w:val="24"/>
          <w:szCs w:val="24"/>
          <w:u w:val="single"/>
          <w:rtl/>
        </w:rPr>
        <w:t>התחייבות כספית</w:t>
      </w:r>
      <w:r>
        <w:rPr>
          <w:rFonts w:cs="David"/>
          <w:sz w:val="24"/>
          <w:szCs w:val="24"/>
          <w:rtl/>
        </w:rPr>
        <w:t xml:space="preserve"> על סך 5,000 ₪ להימנע במשך שנתיים מביצוע סמים מסוג פשע. ההתחייבות ניתנה בעל-פה במעמד הדיון כנדרש בתקנות העונשין (התחייבות להימנע מעבירה).</w:t>
      </w:r>
    </w:p>
    <w:p w14:paraId="51495513" w14:textId="77777777" w:rsidR="007D1F84" w:rsidRDefault="007D1F84" w:rsidP="007D1F84">
      <w:pPr>
        <w:pStyle w:val="ab"/>
        <w:spacing w:line="360" w:lineRule="auto"/>
        <w:ind w:left="1440"/>
        <w:jc w:val="both"/>
        <w:rPr>
          <w:rFonts w:cs="David"/>
          <w:sz w:val="24"/>
          <w:szCs w:val="24"/>
          <w:rtl/>
        </w:rPr>
      </w:pPr>
      <w:r>
        <w:rPr>
          <w:rFonts w:cs="David"/>
          <w:b/>
          <w:bCs/>
          <w:sz w:val="24"/>
          <w:szCs w:val="24"/>
          <w:u w:val="single"/>
          <w:rtl/>
        </w:rPr>
        <w:t>פסילת רישיון נהיגה בפועל</w:t>
      </w:r>
      <w:r>
        <w:rPr>
          <w:rFonts w:cs="David"/>
          <w:sz w:val="24"/>
          <w:szCs w:val="24"/>
          <w:rtl/>
        </w:rPr>
        <w:t xml:space="preserve"> למשך שנה</w:t>
      </w:r>
      <w:r>
        <w:rPr>
          <w:rFonts w:cs="David" w:hint="cs"/>
          <w:sz w:val="24"/>
          <w:szCs w:val="24"/>
          <w:rtl/>
        </w:rPr>
        <w:t xml:space="preserve"> מהיום</w:t>
      </w:r>
      <w:r>
        <w:rPr>
          <w:rFonts w:cs="David"/>
          <w:sz w:val="24"/>
          <w:szCs w:val="24"/>
          <w:rtl/>
        </w:rPr>
        <w:t>. הנאשם מצהיר כי אין ברשותו רישיון נהיגה (לרשום את הצהרתו בפרוטוקול).</w:t>
      </w:r>
    </w:p>
    <w:p w14:paraId="055190AC" w14:textId="77777777" w:rsidR="007D1F84" w:rsidRDefault="007D1F84" w:rsidP="007D1F84">
      <w:pPr>
        <w:pStyle w:val="ab"/>
        <w:numPr>
          <w:ilvl w:val="1"/>
          <w:numId w:val="1"/>
        </w:numPr>
        <w:spacing w:line="360" w:lineRule="auto"/>
        <w:jc w:val="both"/>
        <w:rPr>
          <w:rFonts w:cs="David"/>
          <w:sz w:val="24"/>
          <w:szCs w:val="24"/>
          <w:rtl/>
        </w:rPr>
      </w:pPr>
      <w:r>
        <w:rPr>
          <w:rFonts w:cs="David"/>
          <w:sz w:val="24"/>
          <w:szCs w:val="24"/>
          <w:rtl/>
        </w:rPr>
        <w:t xml:space="preserve">אני מכריז על הנאשם כסוחר סמים ומורה על חילוט הרכוש לפי הודעת החילוט שבכתב האישום המתוקן. </w:t>
      </w:r>
    </w:p>
    <w:p w14:paraId="2527D700" w14:textId="77777777" w:rsidR="007D1F84" w:rsidRDefault="007D1F84" w:rsidP="007D1F84">
      <w:pPr>
        <w:spacing w:line="360" w:lineRule="auto"/>
        <w:jc w:val="both"/>
        <w:rPr>
          <w:rFonts w:ascii="David" w:hAnsi="David"/>
          <w:rtl/>
          <w:lang w:eastAsia="he-IL"/>
        </w:rPr>
      </w:pPr>
      <w:r>
        <w:rPr>
          <w:rFonts w:ascii="David" w:hAnsi="David"/>
          <w:rtl/>
          <w:lang w:eastAsia="he-IL"/>
        </w:rPr>
        <w:t>ניתן יהיה לשלם את הקנס/ פיצוי/ ההוצאות כעבור שלושה ימים מיום מתן ההחלטה/</w:t>
      </w:r>
      <w:r w:rsidR="00770144">
        <w:rPr>
          <w:rFonts w:ascii="David" w:hAnsi="David"/>
          <w:rtl/>
          <w:lang w:eastAsia="he-IL"/>
        </w:rPr>
        <w:t xml:space="preserve"> </w:t>
      </w:r>
      <w:r>
        <w:rPr>
          <w:rFonts w:ascii="David" w:hAnsi="David"/>
          <w:rtl/>
          <w:lang w:eastAsia="he-IL"/>
        </w:rPr>
        <w:t xml:space="preserve"> גזר הדין לחשבון המרכז לגביית קנסות, אגרות והוצאות ברשות האכיפה והגבייה באחת מהדרכים הבאות:</w:t>
      </w:r>
    </w:p>
    <w:p w14:paraId="046FDD8A" w14:textId="77777777" w:rsidR="007D1F84" w:rsidRDefault="007D1F84" w:rsidP="007D1F84">
      <w:pPr>
        <w:numPr>
          <w:ilvl w:val="0"/>
          <w:numId w:val="2"/>
        </w:numPr>
        <w:spacing w:line="360" w:lineRule="auto"/>
        <w:jc w:val="both"/>
        <w:rPr>
          <w:rFonts w:ascii="David" w:hAnsi="David"/>
          <w:b/>
          <w:bCs/>
          <w:rtl/>
          <w:lang w:eastAsia="he-IL"/>
        </w:rPr>
      </w:pPr>
      <w:r>
        <w:rPr>
          <w:rFonts w:ascii="David" w:hAnsi="David"/>
          <w:b/>
          <w:bCs/>
          <w:rtl/>
          <w:lang w:eastAsia="he-IL"/>
        </w:rPr>
        <w:t>בכרטיס אשראי</w:t>
      </w:r>
      <w:r>
        <w:rPr>
          <w:rFonts w:ascii="David" w:hAnsi="David"/>
          <w:rtl/>
          <w:lang w:eastAsia="he-IL"/>
        </w:rPr>
        <w:t xml:space="preserve"> – באתר המקוון של רשות האכיפה והגבייה, </w:t>
      </w:r>
      <w:hyperlink r:id="rId50" w:history="1">
        <w:r>
          <w:rPr>
            <w:rStyle w:val="Hyperlink"/>
            <w:rFonts w:ascii="David" w:hAnsi="David"/>
            <w:lang w:eastAsia="he-IL"/>
          </w:rPr>
          <w:t>www.eca.gov.il</w:t>
        </w:r>
      </w:hyperlink>
      <w:r>
        <w:rPr>
          <w:rFonts w:ascii="David" w:hAnsi="David"/>
          <w:lang w:eastAsia="he-IL"/>
        </w:rPr>
        <w:t xml:space="preserve"> </w:t>
      </w:r>
      <w:r w:rsidR="00770144">
        <w:rPr>
          <w:rFonts w:ascii="David" w:hAnsi="David"/>
          <w:rtl/>
          <w:lang w:eastAsia="he-IL"/>
        </w:rPr>
        <w:t xml:space="preserve"> </w:t>
      </w:r>
    </w:p>
    <w:p w14:paraId="5292B5FF" w14:textId="77777777" w:rsidR="007D1F84" w:rsidRDefault="007D1F84" w:rsidP="007D1F84">
      <w:pPr>
        <w:numPr>
          <w:ilvl w:val="0"/>
          <w:numId w:val="2"/>
        </w:numPr>
        <w:spacing w:line="360" w:lineRule="auto"/>
        <w:jc w:val="both"/>
        <w:rPr>
          <w:rFonts w:ascii="David" w:hAnsi="David"/>
          <w:b/>
          <w:bCs/>
          <w:lang w:eastAsia="he-IL"/>
        </w:rPr>
      </w:pPr>
      <w:r>
        <w:rPr>
          <w:rFonts w:ascii="David" w:hAnsi="David"/>
          <w:b/>
          <w:bCs/>
          <w:rtl/>
          <w:lang w:eastAsia="he-IL"/>
        </w:rPr>
        <w:t>מוקד שירות טלפוני בשרות עצמי (מרכז גבייה)</w:t>
      </w:r>
      <w:r w:rsidR="00770144">
        <w:rPr>
          <w:rFonts w:ascii="David" w:hAnsi="David"/>
          <w:b/>
          <w:bCs/>
          <w:rtl/>
          <w:lang w:eastAsia="he-IL"/>
        </w:rPr>
        <w:t xml:space="preserve"> </w:t>
      </w:r>
      <w:r>
        <w:rPr>
          <w:rFonts w:ascii="David" w:hAnsi="David"/>
          <w:b/>
          <w:bCs/>
          <w:rtl/>
          <w:lang w:eastAsia="he-IL"/>
        </w:rPr>
        <w:t xml:space="preserve"> – בטלפון 35592* או בטלפון 073-2055000</w:t>
      </w:r>
    </w:p>
    <w:p w14:paraId="615CE0AF" w14:textId="77777777" w:rsidR="007D1F84" w:rsidRDefault="007D1F84" w:rsidP="007D1F84">
      <w:pPr>
        <w:numPr>
          <w:ilvl w:val="0"/>
          <w:numId w:val="2"/>
        </w:numPr>
        <w:spacing w:line="360" w:lineRule="auto"/>
        <w:jc w:val="both"/>
        <w:rPr>
          <w:rFonts w:ascii="David" w:hAnsi="David"/>
          <w:b/>
          <w:bCs/>
          <w:lang w:eastAsia="he-IL"/>
        </w:rPr>
      </w:pPr>
      <w:r>
        <w:rPr>
          <w:rFonts w:ascii="David" w:hAnsi="David"/>
          <w:b/>
          <w:bCs/>
          <w:rtl/>
          <w:lang w:eastAsia="he-IL"/>
        </w:rPr>
        <w:t>במזומן בכל סניף של בנק הדואר</w:t>
      </w:r>
      <w:r>
        <w:rPr>
          <w:rFonts w:ascii="David" w:hAnsi="David"/>
          <w:rtl/>
          <w:lang w:eastAsia="he-IL"/>
        </w:rPr>
        <w:t xml:space="preserve"> – בהצגת תעודת זהות בלבד (אין צורך בשוברי תשלום).</w:t>
      </w:r>
    </w:p>
    <w:p w14:paraId="43248CBD" w14:textId="77777777" w:rsidR="007D1F84" w:rsidRDefault="007D1F84" w:rsidP="007D1F84">
      <w:pPr>
        <w:rPr>
          <w:rFonts w:ascii="David" w:hAnsi="David"/>
        </w:rPr>
      </w:pPr>
    </w:p>
    <w:p w14:paraId="6C380F77" w14:textId="77777777" w:rsidR="007D1F84" w:rsidRPr="007D1F84" w:rsidRDefault="007D1F84" w:rsidP="007D1F84">
      <w:pPr>
        <w:spacing w:line="360" w:lineRule="auto"/>
        <w:jc w:val="both"/>
        <w:rPr>
          <w:rFonts w:ascii="Calibri" w:hAnsi="Calibri"/>
          <w:u w:val="single"/>
        </w:rPr>
      </w:pPr>
      <w:r>
        <w:rPr>
          <w:u w:val="single"/>
          <w:rtl/>
        </w:rPr>
        <w:t>המזכירות וההגנה ישלחו העתק מפסק הדין לשירות המבחן / לממונה על עבודות השירות</w:t>
      </w:r>
      <w:r>
        <w:rPr>
          <w:rtl/>
        </w:rPr>
        <w:t>.</w:t>
      </w:r>
    </w:p>
    <w:p w14:paraId="3DB63C25" w14:textId="77777777" w:rsidR="007D1F84" w:rsidRDefault="007D1F84" w:rsidP="007D1F84">
      <w:pPr>
        <w:spacing w:line="360" w:lineRule="auto"/>
        <w:jc w:val="both"/>
      </w:pPr>
      <w:r>
        <w:rPr>
          <w:u w:val="single"/>
          <w:rtl/>
        </w:rPr>
        <w:t>ניתן צו כללי למוצגים. המוצגים יחולטו/יושמדו/יושבו לבעליהם על פי החלטת קצין משטרה</w:t>
      </w:r>
      <w:r>
        <w:rPr>
          <w:rtl/>
        </w:rPr>
        <w:t>.</w:t>
      </w:r>
    </w:p>
    <w:p w14:paraId="132E3149" w14:textId="77777777" w:rsidR="007D1F84" w:rsidRDefault="007D1F84" w:rsidP="007D1F84">
      <w:pPr>
        <w:spacing w:line="360" w:lineRule="auto"/>
        <w:jc w:val="both"/>
        <w:rPr>
          <w:u w:val="single"/>
          <w:rtl/>
        </w:rPr>
      </w:pPr>
      <w:r>
        <w:rPr>
          <w:u w:val="single"/>
          <w:rtl/>
        </w:rPr>
        <w:t>הכספים שהופקדו עבור הנאשם בתיק מ"י/מ"ת יועברו לצורך תשלום הקנס ו/או הפיצוי שנפסקו בגזר דין זה, וככל שתיוותר יתרה היא תושב לידי המפקיד, בכפוף לכל עיקול או למגבלה אחרת על פי דין</w:t>
      </w:r>
      <w:r>
        <w:rPr>
          <w:rtl/>
        </w:rPr>
        <w:t>.</w:t>
      </w:r>
    </w:p>
    <w:p w14:paraId="6E2568D3" w14:textId="77777777" w:rsidR="007D1F84" w:rsidRDefault="007D1F84" w:rsidP="007D1F84">
      <w:pPr>
        <w:spacing w:line="360" w:lineRule="auto"/>
        <w:jc w:val="both"/>
        <w:rPr>
          <w:rtl/>
        </w:rPr>
      </w:pPr>
    </w:p>
    <w:p w14:paraId="2C336668" w14:textId="77777777" w:rsidR="007D1F84" w:rsidRDefault="007D1F84" w:rsidP="007D1F84">
      <w:pPr>
        <w:spacing w:line="360" w:lineRule="auto"/>
        <w:jc w:val="both"/>
        <w:rPr>
          <w:rtl/>
        </w:rPr>
      </w:pPr>
      <w:r>
        <w:rPr>
          <w:b/>
          <w:bCs/>
          <w:u w:val="single"/>
          <w:rtl/>
        </w:rPr>
        <w:t>זכות ערעור לבית משפט המחוזי בתוך 45 ימים מהיום</w:t>
      </w:r>
      <w:r>
        <w:rPr>
          <w:rtl/>
        </w:rPr>
        <w:t>.</w:t>
      </w:r>
    </w:p>
    <w:p w14:paraId="4AEC7215" w14:textId="77777777" w:rsidR="007D1F84" w:rsidRDefault="007D1F84" w:rsidP="007D1F84"/>
    <w:p w14:paraId="6BE16259" w14:textId="77777777" w:rsidR="007D1F84" w:rsidRPr="00770144" w:rsidRDefault="00770144" w:rsidP="007D1F84">
      <w:pPr>
        <w:spacing w:line="360" w:lineRule="auto"/>
        <w:rPr>
          <w:rFonts w:ascii="Arial" w:hAnsi="Arial"/>
          <w:color w:val="FFFFFF"/>
          <w:sz w:val="2"/>
          <w:szCs w:val="2"/>
          <w:rtl/>
        </w:rPr>
      </w:pPr>
      <w:r w:rsidRPr="00770144">
        <w:rPr>
          <w:rFonts w:ascii="Arial" w:hAnsi="Arial"/>
          <w:color w:val="FFFFFF"/>
          <w:sz w:val="2"/>
          <w:szCs w:val="2"/>
          <w:rtl/>
        </w:rPr>
        <w:t>5129371</w:t>
      </w:r>
    </w:p>
    <w:p w14:paraId="4086DE8D" w14:textId="77777777" w:rsidR="007D1F84" w:rsidRPr="00250B83" w:rsidRDefault="00770144" w:rsidP="007D1F84">
      <w:pPr>
        <w:rPr>
          <w:rtl/>
        </w:rPr>
      </w:pPr>
      <w:bookmarkStart w:id="8" w:name="Nitan"/>
      <w:r w:rsidRPr="00770144">
        <w:rPr>
          <w:rFonts w:ascii="Arial" w:hAnsi="Arial"/>
          <w:color w:val="FFFFFF"/>
          <w:sz w:val="2"/>
          <w:szCs w:val="2"/>
          <w:rtl/>
        </w:rPr>
        <w:t>54678313</w:t>
      </w:r>
      <w:r>
        <w:rPr>
          <w:rFonts w:ascii="Arial" w:hAnsi="Arial"/>
          <w:rtl/>
        </w:rPr>
        <w:t xml:space="preserve">ניתן היום,  י"ד שבט תשפ"ג, 05 פברואר 2023, בהעדר הצדדים. </w:t>
      </w:r>
      <w:bookmarkEnd w:id="8"/>
    </w:p>
    <w:p w14:paraId="1114A88F" w14:textId="77777777" w:rsidR="007D1F84" w:rsidRPr="00250B83" w:rsidRDefault="007D1F84" w:rsidP="00770144">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6093278D" w14:textId="77777777" w:rsidR="007D1F84" w:rsidRPr="00250B83" w:rsidRDefault="007D1F84" w:rsidP="007D1F84">
      <w:pPr>
        <w:jc w:val="center"/>
        <w:rPr>
          <w:rFonts w:ascii="Arial" w:hAnsi="Arial"/>
          <w:rtl/>
        </w:rPr>
      </w:pPr>
    </w:p>
    <w:p w14:paraId="08612F82" w14:textId="77777777" w:rsidR="007D1F84" w:rsidRPr="00250B83" w:rsidRDefault="007D1F84" w:rsidP="007D1F84">
      <w:pPr>
        <w:rPr>
          <w:rtl/>
        </w:rPr>
      </w:pPr>
    </w:p>
    <w:p w14:paraId="13683531" w14:textId="77777777" w:rsidR="007D1F84" w:rsidRDefault="007D1F84" w:rsidP="007D1F84">
      <w:pPr>
        <w:pStyle w:val="a3"/>
        <w:jc w:val="center"/>
        <w:rPr>
          <w:rtl/>
        </w:rPr>
      </w:pPr>
    </w:p>
    <w:p w14:paraId="1FCD5DAA" w14:textId="77777777" w:rsidR="00292FB3" w:rsidRPr="00770144" w:rsidRDefault="00292FB3" w:rsidP="00770144">
      <w:pPr>
        <w:keepNext/>
        <w:rPr>
          <w:rFonts w:ascii="David" w:hAnsi="David"/>
          <w:color w:val="000000"/>
          <w:sz w:val="22"/>
          <w:szCs w:val="22"/>
          <w:rtl/>
        </w:rPr>
      </w:pPr>
    </w:p>
    <w:p w14:paraId="248EF377" w14:textId="77777777" w:rsidR="00770144" w:rsidRPr="00770144" w:rsidRDefault="00770144" w:rsidP="00770144">
      <w:pPr>
        <w:keepNext/>
        <w:rPr>
          <w:rFonts w:ascii="David" w:hAnsi="David"/>
          <w:color w:val="000000"/>
          <w:sz w:val="22"/>
          <w:szCs w:val="22"/>
          <w:rtl/>
        </w:rPr>
      </w:pPr>
      <w:r w:rsidRPr="00770144">
        <w:rPr>
          <w:rFonts w:ascii="David" w:hAnsi="David"/>
          <w:color w:val="000000"/>
          <w:sz w:val="22"/>
          <w:szCs w:val="22"/>
          <w:rtl/>
        </w:rPr>
        <w:t>עלאא מסארווה 54678313</w:t>
      </w:r>
    </w:p>
    <w:p w14:paraId="1B1ED242" w14:textId="77777777" w:rsidR="00770144" w:rsidRDefault="00770144" w:rsidP="00770144">
      <w:r w:rsidRPr="00770144">
        <w:rPr>
          <w:color w:val="000000"/>
          <w:rtl/>
        </w:rPr>
        <w:t>נוסח מסמך זה כפוף לשינויי ניסוח ועריכה</w:t>
      </w:r>
    </w:p>
    <w:p w14:paraId="0874E008" w14:textId="77777777" w:rsidR="00770144" w:rsidRDefault="00770144" w:rsidP="00770144">
      <w:pPr>
        <w:rPr>
          <w:rtl/>
        </w:rPr>
      </w:pPr>
    </w:p>
    <w:p w14:paraId="06C35346" w14:textId="77777777" w:rsidR="00770144" w:rsidRDefault="00770144" w:rsidP="00770144">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0E5E5908" w14:textId="77777777" w:rsidR="00770144" w:rsidRPr="00770144" w:rsidRDefault="00770144" w:rsidP="00770144">
      <w:pPr>
        <w:jc w:val="center"/>
        <w:rPr>
          <w:color w:val="0000FF"/>
          <w:u w:val="single"/>
        </w:rPr>
      </w:pPr>
    </w:p>
    <w:sectPr w:rsidR="00770144" w:rsidRPr="00770144" w:rsidSect="00770144">
      <w:headerReference w:type="even" r:id="rId52"/>
      <w:headerReference w:type="default" r:id="rId53"/>
      <w:footerReference w:type="even" r:id="rId54"/>
      <w:footerReference w:type="default" r:id="rId55"/>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56037" w14:textId="77777777" w:rsidR="00C467F8" w:rsidRDefault="00C467F8" w:rsidP="001D6597">
      <w:r>
        <w:separator/>
      </w:r>
    </w:p>
  </w:endnote>
  <w:endnote w:type="continuationSeparator" w:id="0">
    <w:p w14:paraId="26A54460" w14:textId="77777777" w:rsidR="00C467F8" w:rsidRDefault="00C467F8" w:rsidP="001D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Guttman Frank">
    <w:panose1 w:val="02010401010101010101"/>
    <w:charset w:val="B1"/>
    <w:family w:val="auto"/>
    <w:pitch w:val="variable"/>
    <w:sig w:usb0="00000801" w:usb1="4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8CD57" w14:textId="77777777" w:rsidR="00770144" w:rsidRDefault="00770144" w:rsidP="0077014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FFA4F55" w14:textId="77777777" w:rsidR="006A0201" w:rsidRPr="00770144" w:rsidRDefault="00770144" w:rsidP="0077014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561D0" w14:textId="77777777" w:rsidR="00770144" w:rsidRDefault="00770144" w:rsidP="0077014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2F7B">
      <w:rPr>
        <w:rFonts w:ascii="FrankRuehl" w:hAnsi="FrankRuehl" w:cs="FrankRuehl"/>
        <w:noProof/>
        <w:rtl/>
      </w:rPr>
      <w:t>1</w:t>
    </w:r>
    <w:r>
      <w:rPr>
        <w:rFonts w:ascii="FrankRuehl" w:hAnsi="FrankRuehl" w:cs="FrankRuehl"/>
        <w:rtl/>
      </w:rPr>
      <w:fldChar w:fldCharType="end"/>
    </w:r>
  </w:p>
  <w:p w14:paraId="058642C8" w14:textId="77777777" w:rsidR="006A0201" w:rsidRPr="00770144" w:rsidRDefault="00770144" w:rsidP="0077014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50F9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60E64" w14:textId="77777777" w:rsidR="00C467F8" w:rsidRDefault="00C467F8" w:rsidP="001D6597">
      <w:r>
        <w:separator/>
      </w:r>
    </w:p>
  </w:footnote>
  <w:footnote w:type="continuationSeparator" w:id="0">
    <w:p w14:paraId="652509A3" w14:textId="77777777" w:rsidR="00C467F8" w:rsidRDefault="00C467F8" w:rsidP="001D6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F31FB" w14:textId="77777777" w:rsidR="00770144" w:rsidRPr="00770144" w:rsidRDefault="00770144" w:rsidP="0077014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55185-05-20</w:t>
    </w:r>
    <w:r>
      <w:rPr>
        <w:rFonts w:ascii="David" w:hAnsi="David"/>
        <w:color w:val="000000"/>
        <w:sz w:val="22"/>
        <w:szCs w:val="22"/>
        <w:rtl/>
      </w:rPr>
      <w:tab/>
      <w:t xml:space="preserve"> מדינת ישראל נ' מאיר כשכש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F1F02" w14:textId="77777777" w:rsidR="00770144" w:rsidRPr="00770144" w:rsidRDefault="00770144" w:rsidP="0077014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55185-05-20</w:t>
    </w:r>
    <w:r>
      <w:rPr>
        <w:rFonts w:ascii="David" w:hAnsi="David"/>
        <w:color w:val="000000"/>
        <w:sz w:val="22"/>
        <w:szCs w:val="22"/>
        <w:rtl/>
      </w:rPr>
      <w:tab/>
      <w:t xml:space="preserve"> מדינת ישראל נ' מאיר כשכש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7D6A16BE"/>
    <w:multiLevelType w:val="hybridMultilevel"/>
    <w:tmpl w:val="EEAE09B6"/>
    <w:lvl w:ilvl="0" w:tplc="CF905CF4">
      <w:start w:val="1"/>
      <w:numFmt w:val="decimal"/>
      <w:lvlText w:val="%1."/>
      <w:lvlJc w:val="left"/>
      <w:pPr>
        <w:ind w:left="720" w:hanging="360"/>
      </w:pPr>
    </w:lvl>
    <w:lvl w:ilvl="1" w:tplc="5E763F56">
      <w:start w:val="1"/>
      <w:numFmt w:val="hebrew1"/>
      <w:lvlText w:val="%2."/>
      <w:lvlJc w:val="left"/>
      <w:pPr>
        <w:ind w:left="1440" w:hanging="360"/>
      </w:pPr>
      <w:rPr>
        <w:b/>
        <w:strike w:val="0"/>
        <w:dstrike w:val="0"/>
        <w:u w:val="none"/>
        <w:effect w:val="none"/>
      </w:rPr>
    </w:lvl>
    <w:lvl w:ilvl="2" w:tplc="2D70B0EA">
      <w:start w:val="1"/>
      <w:numFmt w:val="lowerRoman"/>
      <w:lvlText w:val="%3."/>
      <w:lvlJc w:val="right"/>
      <w:pPr>
        <w:ind w:left="2160" w:hanging="180"/>
      </w:pPr>
    </w:lvl>
    <w:lvl w:ilvl="3" w:tplc="89D4277C">
      <w:start w:val="1"/>
      <w:numFmt w:val="decimal"/>
      <w:lvlText w:val="%4."/>
      <w:lvlJc w:val="left"/>
      <w:pPr>
        <w:ind w:left="2880" w:hanging="360"/>
      </w:pPr>
    </w:lvl>
    <w:lvl w:ilvl="4" w:tplc="355EDD8A">
      <w:start w:val="1"/>
      <w:numFmt w:val="lowerLetter"/>
      <w:lvlText w:val="%5."/>
      <w:lvlJc w:val="left"/>
      <w:pPr>
        <w:ind w:left="3600" w:hanging="360"/>
      </w:pPr>
    </w:lvl>
    <w:lvl w:ilvl="5" w:tplc="87925DBC">
      <w:start w:val="1"/>
      <w:numFmt w:val="lowerRoman"/>
      <w:lvlText w:val="%6."/>
      <w:lvlJc w:val="right"/>
      <w:pPr>
        <w:ind w:left="4320" w:hanging="180"/>
      </w:pPr>
    </w:lvl>
    <w:lvl w:ilvl="6" w:tplc="4EF216AA">
      <w:start w:val="1"/>
      <w:numFmt w:val="decimal"/>
      <w:lvlText w:val="%7."/>
      <w:lvlJc w:val="left"/>
      <w:pPr>
        <w:ind w:left="5040" w:hanging="360"/>
      </w:pPr>
    </w:lvl>
    <w:lvl w:ilvl="7" w:tplc="CA3AC000">
      <w:start w:val="1"/>
      <w:numFmt w:val="lowerLetter"/>
      <w:lvlText w:val="%8."/>
      <w:lvlJc w:val="left"/>
      <w:pPr>
        <w:ind w:left="5760" w:hanging="360"/>
      </w:pPr>
    </w:lvl>
    <w:lvl w:ilvl="8" w:tplc="54220128">
      <w:start w:val="1"/>
      <w:numFmt w:val="lowerRoman"/>
      <w:lvlText w:val="%9."/>
      <w:lvlJc w:val="right"/>
      <w:pPr>
        <w:ind w:left="6480" w:hanging="180"/>
      </w:pPr>
    </w:lvl>
  </w:abstractNum>
  <w:num w:numId="1" w16cid:durableId="17901222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4269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1F84"/>
    <w:rsid w:val="001B5A3B"/>
    <w:rsid w:val="001D6597"/>
    <w:rsid w:val="00252F7B"/>
    <w:rsid w:val="00292FB3"/>
    <w:rsid w:val="00421448"/>
    <w:rsid w:val="004857D3"/>
    <w:rsid w:val="00557151"/>
    <w:rsid w:val="00576249"/>
    <w:rsid w:val="00696B31"/>
    <w:rsid w:val="006A0201"/>
    <w:rsid w:val="00770144"/>
    <w:rsid w:val="007D1F84"/>
    <w:rsid w:val="00AB1191"/>
    <w:rsid w:val="00C467F8"/>
    <w:rsid w:val="00C732E9"/>
    <w:rsid w:val="00CF7BFE"/>
    <w:rsid w:val="00F409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6C6C6E"/>
  <w15:chartTrackingRefBased/>
  <w15:docId w15:val="{82B5B9F2-373C-4504-A1F7-97476C96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1F8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D1F84"/>
    <w:pPr>
      <w:tabs>
        <w:tab w:val="center" w:pos="4153"/>
        <w:tab w:val="right" w:pos="8306"/>
      </w:tabs>
    </w:pPr>
  </w:style>
  <w:style w:type="character" w:customStyle="1" w:styleId="a4">
    <w:name w:val="כותרת עליונה תו"/>
    <w:link w:val="a3"/>
    <w:rsid w:val="007D1F84"/>
    <w:rPr>
      <w:rFonts w:ascii="Times New Roman" w:eastAsia="Times New Roman" w:hAnsi="Times New Roman" w:cs="David"/>
      <w:sz w:val="24"/>
      <w:szCs w:val="24"/>
    </w:rPr>
  </w:style>
  <w:style w:type="paragraph" w:styleId="a5">
    <w:name w:val="footer"/>
    <w:basedOn w:val="a"/>
    <w:link w:val="a6"/>
    <w:rsid w:val="007D1F84"/>
    <w:pPr>
      <w:tabs>
        <w:tab w:val="center" w:pos="4153"/>
        <w:tab w:val="right" w:pos="8306"/>
      </w:tabs>
    </w:pPr>
  </w:style>
  <w:style w:type="character" w:customStyle="1" w:styleId="a6">
    <w:name w:val="כותרת תחתונה תו"/>
    <w:link w:val="a5"/>
    <w:rsid w:val="007D1F84"/>
    <w:rPr>
      <w:rFonts w:ascii="Times New Roman" w:eastAsia="Times New Roman" w:hAnsi="Times New Roman" w:cs="David"/>
      <w:sz w:val="24"/>
      <w:szCs w:val="24"/>
    </w:rPr>
  </w:style>
  <w:style w:type="paragraph" w:styleId="a7">
    <w:name w:val="Balloon Text"/>
    <w:basedOn w:val="a"/>
    <w:link w:val="a8"/>
    <w:rsid w:val="007D1F84"/>
    <w:rPr>
      <w:rFonts w:ascii="Tahoma" w:hAnsi="Tahoma" w:cs="Tahoma"/>
      <w:sz w:val="16"/>
      <w:szCs w:val="16"/>
    </w:rPr>
  </w:style>
  <w:style w:type="character" w:customStyle="1" w:styleId="a8">
    <w:name w:val="טקסט בלונים תו"/>
    <w:link w:val="a7"/>
    <w:rsid w:val="007D1F84"/>
    <w:rPr>
      <w:rFonts w:ascii="Tahoma" w:eastAsia="Times New Roman" w:hAnsi="Tahoma" w:cs="Tahoma"/>
      <w:sz w:val="16"/>
      <w:szCs w:val="16"/>
    </w:rPr>
  </w:style>
  <w:style w:type="table" w:styleId="a9">
    <w:name w:val="Table Grid"/>
    <w:basedOn w:val="a1"/>
    <w:rsid w:val="007D1F8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7D1F84"/>
  </w:style>
  <w:style w:type="character" w:styleId="Hyperlink">
    <w:name w:val="Hyperlink"/>
    <w:rsid w:val="007D1F84"/>
    <w:rPr>
      <w:rFonts w:ascii="Times New Roman" w:hAnsi="Times New Roman" w:cs="Times New Roman" w:hint="default"/>
      <w:color w:val="0000FF"/>
      <w:u w:val="single"/>
    </w:rPr>
  </w:style>
  <w:style w:type="paragraph" w:styleId="ab">
    <w:name w:val="List Paragraph"/>
    <w:basedOn w:val="a"/>
    <w:qFormat/>
    <w:rsid w:val="007D1F84"/>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40d" TargetMode="External"/><Relationship Id="rId21" Type="http://schemas.openxmlformats.org/officeDocument/2006/relationships/hyperlink" Target="http://www.nevo.co.il/law/4216/13" TargetMode="External"/><Relationship Id="rId34" Type="http://schemas.openxmlformats.org/officeDocument/2006/relationships/hyperlink" Target="http://www.nevo.co.il/case/25288956" TargetMode="External"/><Relationship Id="rId42" Type="http://schemas.openxmlformats.org/officeDocument/2006/relationships/hyperlink" Target="http://www.nevo.co.il/case/22938500" TargetMode="External"/><Relationship Id="rId47" Type="http://schemas.openxmlformats.org/officeDocument/2006/relationships/hyperlink" Target="http://www.nevo.co.il/law/70301" TargetMode="External"/><Relationship Id="rId50" Type="http://schemas.openxmlformats.org/officeDocument/2006/relationships/hyperlink" Target="http://www.eca.gov.il"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case/5772999"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22830934" TargetMode="External"/><Relationship Id="rId37" Type="http://schemas.openxmlformats.org/officeDocument/2006/relationships/hyperlink" Target="http://www.nevo.co.il/case/21477472"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4216/7.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law/4216/19a"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5576554" TargetMode="External"/><Relationship Id="rId35" Type="http://schemas.openxmlformats.org/officeDocument/2006/relationships/hyperlink" Target="http://www.nevo.co.il/case/26318040" TargetMode="External"/><Relationship Id="rId43" Type="http://schemas.openxmlformats.org/officeDocument/2006/relationships/hyperlink" Target="http://www.nevo.co.il/law/70301/40d.a" TargetMode="External"/><Relationship Id="rId48" Type="http://schemas.openxmlformats.org/officeDocument/2006/relationships/hyperlink" Target="http://www.nevo.co.il/case/23785604" TargetMode="External"/><Relationship Id="rId56"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1553" TargetMode="External"/><Relationship Id="rId25" Type="http://schemas.openxmlformats.org/officeDocument/2006/relationships/hyperlink" Target="http://www.nevo.co.il/law/70301/275" TargetMode="External"/><Relationship Id="rId33" Type="http://schemas.openxmlformats.org/officeDocument/2006/relationships/hyperlink" Target="http://www.nevo.co.il/case/25566670" TargetMode="External"/><Relationship Id="rId38" Type="http://schemas.openxmlformats.org/officeDocument/2006/relationships/hyperlink" Target="http://www.nevo.co.il/case/24975541" TargetMode="External"/><Relationship Id="rId46" Type="http://schemas.openxmlformats.org/officeDocument/2006/relationships/hyperlink" Target="http://www.nevo.co.il/law/70301/40ja" TargetMode="External"/><Relationship Id="rId20" Type="http://schemas.openxmlformats.org/officeDocument/2006/relationships/hyperlink" Target="http://www.nevo.co.il/law/4216" TargetMode="External"/><Relationship Id="rId41" Type="http://schemas.openxmlformats.org/officeDocument/2006/relationships/hyperlink" Target="http://www.nevo.co.il/law/71553"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75" TargetMode="External"/><Relationship Id="rId23" Type="http://schemas.openxmlformats.org/officeDocument/2006/relationships/hyperlink" Target="http://www.nevo.co.il/law/4216/7.a" TargetMode="External"/><Relationship Id="rId28" Type="http://schemas.openxmlformats.org/officeDocument/2006/relationships/hyperlink" Target="http://www.nevo.co.il/case/20746710" TargetMode="External"/><Relationship Id="rId36" Type="http://schemas.openxmlformats.org/officeDocument/2006/relationships/hyperlink" Target="http://www.nevo.co.il/case/20420496" TargetMode="External"/><Relationship Id="rId49" Type="http://schemas.openxmlformats.org/officeDocument/2006/relationships/hyperlink" Target="http://www.nevo.co.il/law/70301" TargetMode="External"/><Relationship Id="rId57" Type="http://schemas.openxmlformats.org/officeDocument/2006/relationships/theme" Target="theme/theme1.xml"/><Relationship Id="rId10" Type="http://schemas.openxmlformats.org/officeDocument/2006/relationships/hyperlink" Target="http://www.nevo.co.il/law/4216/13" TargetMode="External"/><Relationship Id="rId31" Type="http://schemas.openxmlformats.org/officeDocument/2006/relationships/hyperlink" Target="http://www.nevo.co.il/case/21477472" TargetMode="External"/><Relationship Id="rId44" Type="http://schemas.openxmlformats.org/officeDocument/2006/relationships/hyperlink" Target="http://www.nevo.co.il/law/70301/40d"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3736</Words>
  <Characters>18682</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22374</CharactersWithSpaces>
  <SharedDoc>false</SharedDoc>
  <HLinks>
    <vt:vector size="270" baseType="variant">
      <vt:variant>
        <vt:i4>393283</vt:i4>
      </vt:variant>
      <vt:variant>
        <vt:i4>135</vt:i4>
      </vt:variant>
      <vt:variant>
        <vt:i4>0</vt:i4>
      </vt:variant>
      <vt:variant>
        <vt:i4>5</vt:i4>
      </vt:variant>
      <vt:variant>
        <vt:lpwstr>http://www.nevo.co.il/advertisements/nevo-100.doc</vt:lpwstr>
      </vt:variant>
      <vt:variant>
        <vt:lpwstr/>
      </vt:variant>
      <vt:variant>
        <vt:i4>7864368</vt:i4>
      </vt:variant>
      <vt:variant>
        <vt:i4>132</vt:i4>
      </vt:variant>
      <vt:variant>
        <vt:i4>0</vt:i4>
      </vt:variant>
      <vt:variant>
        <vt:i4>5</vt:i4>
      </vt:variant>
      <vt:variant>
        <vt:lpwstr>http://www.eca.gov.il/</vt:lpwstr>
      </vt:variant>
      <vt:variant>
        <vt:lpwstr/>
      </vt:variant>
      <vt:variant>
        <vt:i4>7995492</vt:i4>
      </vt:variant>
      <vt:variant>
        <vt:i4>129</vt:i4>
      </vt:variant>
      <vt:variant>
        <vt:i4>0</vt:i4>
      </vt:variant>
      <vt:variant>
        <vt:i4>5</vt:i4>
      </vt:variant>
      <vt:variant>
        <vt:lpwstr>http://www.nevo.co.il/law/70301</vt:lpwstr>
      </vt:variant>
      <vt:variant>
        <vt:lpwstr/>
      </vt:variant>
      <vt:variant>
        <vt:i4>3145849</vt:i4>
      </vt:variant>
      <vt:variant>
        <vt:i4>126</vt:i4>
      </vt:variant>
      <vt:variant>
        <vt:i4>0</vt:i4>
      </vt:variant>
      <vt:variant>
        <vt:i4>5</vt:i4>
      </vt:variant>
      <vt:variant>
        <vt:lpwstr>http://www.nevo.co.il/case/23785604</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http://www.nevo.co.il/law/70301/40d</vt:lpwstr>
      </vt:variant>
      <vt:variant>
        <vt:lpwstr/>
      </vt:variant>
      <vt:variant>
        <vt:i4>4915205</vt:i4>
      </vt:variant>
      <vt:variant>
        <vt:i4>108</vt:i4>
      </vt:variant>
      <vt:variant>
        <vt:i4>0</vt:i4>
      </vt:variant>
      <vt:variant>
        <vt:i4>5</vt:i4>
      </vt:variant>
      <vt:variant>
        <vt:lpwstr>http://www.nevo.co.il/law/70301/40d.a</vt:lpwstr>
      </vt:variant>
      <vt:variant>
        <vt:lpwstr/>
      </vt:variant>
      <vt:variant>
        <vt:i4>3342448</vt:i4>
      </vt:variant>
      <vt:variant>
        <vt:i4>105</vt:i4>
      </vt:variant>
      <vt:variant>
        <vt:i4>0</vt:i4>
      </vt:variant>
      <vt:variant>
        <vt:i4>5</vt:i4>
      </vt:variant>
      <vt:variant>
        <vt:lpwstr>http://www.nevo.co.il/case/22938500</vt:lpwstr>
      </vt:variant>
      <vt:variant>
        <vt:lpwstr/>
      </vt:variant>
      <vt:variant>
        <vt:i4>8257634</vt:i4>
      </vt:variant>
      <vt:variant>
        <vt:i4>102</vt:i4>
      </vt:variant>
      <vt:variant>
        <vt:i4>0</vt:i4>
      </vt:variant>
      <vt:variant>
        <vt:i4>5</vt:i4>
      </vt:variant>
      <vt:variant>
        <vt:lpwstr>http://www.nevo.co.il/law/71553</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http://www.nevo.co.il/law/70301/40d</vt:lpwstr>
      </vt:variant>
      <vt:variant>
        <vt:lpwstr/>
      </vt:variant>
      <vt:variant>
        <vt:i4>3801202</vt:i4>
      </vt:variant>
      <vt:variant>
        <vt:i4>93</vt:i4>
      </vt:variant>
      <vt:variant>
        <vt:i4>0</vt:i4>
      </vt:variant>
      <vt:variant>
        <vt:i4>5</vt:i4>
      </vt:variant>
      <vt:variant>
        <vt:lpwstr>http://www.nevo.co.il/case/24975541</vt:lpwstr>
      </vt:variant>
      <vt:variant>
        <vt:lpwstr/>
      </vt:variant>
      <vt:variant>
        <vt:i4>3539062</vt:i4>
      </vt:variant>
      <vt:variant>
        <vt:i4>90</vt:i4>
      </vt:variant>
      <vt:variant>
        <vt:i4>0</vt:i4>
      </vt:variant>
      <vt:variant>
        <vt:i4>5</vt:i4>
      </vt:variant>
      <vt:variant>
        <vt:lpwstr>http://www.nevo.co.il/case/21477472</vt:lpwstr>
      </vt:variant>
      <vt:variant>
        <vt:lpwstr/>
      </vt:variant>
      <vt:variant>
        <vt:i4>4128882</vt:i4>
      </vt:variant>
      <vt:variant>
        <vt:i4>87</vt:i4>
      </vt:variant>
      <vt:variant>
        <vt:i4>0</vt:i4>
      </vt:variant>
      <vt:variant>
        <vt:i4>5</vt:i4>
      </vt:variant>
      <vt:variant>
        <vt:lpwstr>http://www.nevo.co.il/case/20420496</vt:lpwstr>
      </vt:variant>
      <vt:variant>
        <vt:lpwstr/>
      </vt:variant>
      <vt:variant>
        <vt:i4>3997811</vt:i4>
      </vt:variant>
      <vt:variant>
        <vt:i4>84</vt:i4>
      </vt:variant>
      <vt:variant>
        <vt:i4>0</vt:i4>
      </vt:variant>
      <vt:variant>
        <vt:i4>5</vt:i4>
      </vt:variant>
      <vt:variant>
        <vt:lpwstr>http://www.nevo.co.il/case/26318040</vt:lpwstr>
      </vt:variant>
      <vt:variant>
        <vt:lpwstr/>
      </vt:variant>
      <vt:variant>
        <vt:i4>3997808</vt:i4>
      </vt:variant>
      <vt:variant>
        <vt:i4>81</vt:i4>
      </vt:variant>
      <vt:variant>
        <vt:i4>0</vt:i4>
      </vt:variant>
      <vt:variant>
        <vt:i4>5</vt:i4>
      </vt:variant>
      <vt:variant>
        <vt:lpwstr>http://www.nevo.co.il/case/25288956</vt:lpwstr>
      </vt:variant>
      <vt:variant>
        <vt:lpwstr/>
      </vt:variant>
      <vt:variant>
        <vt:i4>3539057</vt:i4>
      </vt:variant>
      <vt:variant>
        <vt:i4>78</vt:i4>
      </vt:variant>
      <vt:variant>
        <vt:i4>0</vt:i4>
      </vt:variant>
      <vt:variant>
        <vt:i4>5</vt:i4>
      </vt:variant>
      <vt:variant>
        <vt:lpwstr>http://www.nevo.co.il/case/25566670</vt:lpwstr>
      </vt:variant>
      <vt:variant>
        <vt:lpwstr/>
      </vt:variant>
      <vt:variant>
        <vt:i4>3735676</vt:i4>
      </vt:variant>
      <vt:variant>
        <vt:i4>75</vt:i4>
      </vt:variant>
      <vt:variant>
        <vt:i4>0</vt:i4>
      </vt:variant>
      <vt:variant>
        <vt:i4>5</vt:i4>
      </vt:variant>
      <vt:variant>
        <vt:lpwstr>http://www.nevo.co.il/case/22830934</vt:lpwstr>
      </vt:variant>
      <vt:variant>
        <vt:lpwstr/>
      </vt:variant>
      <vt:variant>
        <vt:i4>3539062</vt:i4>
      </vt:variant>
      <vt:variant>
        <vt:i4>72</vt:i4>
      </vt:variant>
      <vt:variant>
        <vt:i4>0</vt:i4>
      </vt:variant>
      <vt:variant>
        <vt:i4>5</vt:i4>
      </vt:variant>
      <vt:variant>
        <vt:lpwstr>http://www.nevo.co.il/case/21477472</vt:lpwstr>
      </vt:variant>
      <vt:variant>
        <vt:lpwstr/>
      </vt:variant>
      <vt:variant>
        <vt:i4>3342450</vt:i4>
      </vt:variant>
      <vt:variant>
        <vt:i4>69</vt:i4>
      </vt:variant>
      <vt:variant>
        <vt:i4>0</vt:i4>
      </vt:variant>
      <vt:variant>
        <vt:i4>5</vt:i4>
      </vt:variant>
      <vt:variant>
        <vt:lpwstr>http://www.nevo.co.il/case/5576554</vt:lpwstr>
      </vt:variant>
      <vt:variant>
        <vt:lpwstr/>
      </vt:variant>
      <vt:variant>
        <vt:i4>3276920</vt:i4>
      </vt:variant>
      <vt:variant>
        <vt:i4>66</vt:i4>
      </vt:variant>
      <vt:variant>
        <vt:i4>0</vt:i4>
      </vt:variant>
      <vt:variant>
        <vt:i4>5</vt:i4>
      </vt:variant>
      <vt:variant>
        <vt:lpwstr>http://www.nevo.co.il/case/5772999</vt:lpwstr>
      </vt:variant>
      <vt:variant>
        <vt:lpwstr/>
      </vt:variant>
      <vt:variant>
        <vt:i4>3276919</vt:i4>
      </vt:variant>
      <vt:variant>
        <vt:i4>63</vt:i4>
      </vt:variant>
      <vt:variant>
        <vt:i4>0</vt:i4>
      </vt:variant>
      <vt:variant>
        <vt:i4>5</vt:i4>
      </vt:variant>
      <vt:variant>
        <vt:lpwstr>http://www.nevo.co.il/case/20746710</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6422631</vt:i4>
      </vt:variant>
      <vt:variant>
        <vt:i4>54</vt:i4>
      </vt:variant>
      <vt:variant>
        <vt:i4>0</vt:i4>
      </vt:variant>
      <vt:variant>
        <vt:i4>5</vt:i4>
      </vt:variant>
      <vt:variant>
        <vt:lpwstr>http://www.nevo.co.il/law/70301/275</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8257634</vt:i4>
      </vt:variant>
      <vt:variant>
        <vt:i4>30</vt:i4>
      </vt:variant>
      <vt:variant>
        <vt:i4>0</vt:i4>
      </vt:variant>
      <vt:variant>
        <vt:i4>5</vt:i4>
      </vt:variant>
      <vt:variant>
        <vt:lpwstr>http://www.nevo.co.il/law/71553</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2025-04-23T00:35:00Z</dcterms:created>
  <dcterms:modified xsi:type="dcterms:W3CDTF">2025-04-23T00:35:00Z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55185</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מאיר כשכש</vt:lpwstr>
  </property>
  <property fmtid="{D5CDD505-2E9C-101B-9397-08002B2CF9AE}" pid="10" name="LAWYER">
    <vt:lpwstr>לינור מימון;ליטל שירי;טלי חזום</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20230205</vt:lpwstr>
  </property>
  <property fmtid="{D5CDD505-2E9C-101B-9397-08002B2CF9AE}" pid="14" name="TYPE_N_DATE">
    <vt:lpwstr>38020230205</vt:lpwstr>
  </property>
  <property fmtid="{D5CDD505-2E9C-101B-9397-08002B2CF9AE}" pid="15" name="WORDNUMPAGES">
    <vt:lpwstr>11</vt:lpwstr>
  </property>
  <property fmtid="{D5CDD505-2E9C-101B-9397-08002B2CF9AE}" pid="16" name="TYPE_ABS_DATE">
    <vt:lpwstr>380020230205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20746710;5772999;5576554;21477472:2;22830934;25566670;25288956;26318040;20420496;24975541;22938500;23785604</vt:lpwstr>
  </property>
  <property fmtid="{D5CDD505-2E9C-101B-9397-08002B2CF9AE}" pid="36" name="LAWLISTTMP1">
    <vt:lpwstr>4216/007.a:2;007.c:2;013;019a</vt:lpwstr>
  </property>
  <property fmtid="{D5CDD505-2E9C-101B-9397-08002B2CF9AE}" pid="37" name="LAWLISTTMP2">
    <vt:lpwstr>70301/275;040d:2;040d.a;40ja</vt:lpwstr>
  </property>
  <property fmtid="{D5CDD505-2E9C-101B-9397-08002B2CF9AE}" pid="38" name="LAWLISTTMP3">
    <vt:lpwstr>71553</vt:lpwstr>
  </property>
</Properties>
</file>