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81570D" w:rsidRPr="00874DF1" w14:paraId="38C23A40" w14:textId="77777777" w:rsidTr="009667C8">
        <w:trPr>
          <w:trHeight w:hRule="exact" w:val="418"/>
          <w:jc w:val="center"/>
        </w:trPr>
        <w:tc>
          <w:tcPr>
            <w:tcW w:w="8523" w:type="dxa"/>
            <w:gridSpan w:val="2"/>
          </w:tcPr>
          <w:p w14:paraId="1495253C" w14:textId="77777777" w:rsidR="0081570D" w:rsidRPr="00874DF1" w:rsidRDefault="0081570D" w:rsidP="00911625">
            <w:pPr>
              <w:pStyle w:val="a3"/>
              <w:jc w:val="center"/>
              <w:rPr>
                <w:rFonts w:ascii="Tahoma" w:hAnsi="Tahoma" w:cs="Tahoma"/>
                <w:color w:val="000080"/>
                <w:rtl/>
              </w:rPr>
            </w:pPr>
            <w:bookmarkStart w:id="0" w:name="LastJudge"/>
            <w:r w:rsidRPr="00874DF1">
              <w:rPr>
                <w:rFonts w:ascii="Tahoma" w:hAnsi="Tahoma" w:cs="Tahoma"/>
                <w:b/>
                <w:bCs/>
                <w:color w:val="000080"/>
                <w:rtl/>
              </w:rPr>
              <w:t>בית משפט השלום בנתניה</w:t>
            </w:r>
          </w:p>
        </w:tc>
      </w:tr>
      <w:tr w:rsidR="0081570D" w:rsidRPr="00874DF1" w14:paraId="43D4D7DA" w14:textId="77777777" w:rsidTr="009667C8">
        <w:trPr>
          <w:trHeight w:val="337"/>
          <w:jc w:val="center"/>
        </w:trPr>
        <w:tc>
          <w:tcPr>
            <w:tcW w:w="4946" w:type="dxa"/>
          </w:tcPr>
          <w:p w14:paraId="0E417FB8" w14:textId="77777777" w:rsidR="0081570D" w:rsidRPr="00874DF1" w:rsidRDefault="0081570D" w:rsidP="00911625">
            <w:pPr>
              <w:rPr>
                <w:rFonts w:cs="FrankRuehl"/>
                <w:sz w:val="28"/>
                <w:szCs w:val="28"/>
                <w:rtl/>
              </w:rPr>
            </w:pPr>
            <w:r w:rsidRPr="00874DF1">
              <w:rPr>
                <w:rFonts w:cs="FrankRuehl"/>
                <w:sz w:val="28"/>
                <w:szCs w:val="28"/>
                <w:rtl/>
              </w:rPr>
              <w:t>ת"פ</w:t>
            </w:r>
            <w:r w:rsidRPr="00874DF1">
              <w:rPr>
                <w:rFonts w:cs="FrankRuehl" w:hint="cs"/>
                <w:sz w:val="28"/>
                <w:szCs w:val="28"/>
                <w:rtl/>
              </w:rPr>
              <w:t xml:space="preserve"> </w:t>
            </w:r>
            <w:hyperlink r:id="rId6" w:history="1">
              <w:r w:rsidR="009D2CFC" w:rsidRPr="009D2CFC">
                <w:rPr>
                  <w:rFonts w:cs="FrankRuehl"/>
                  <w:color w:val="0000FF"/>
                  <w:sz w:val="28"/>
                  <w:szCs w:val="28"/>
                  <w:u w:val="single"/>
                  <w:rtl/>
                </w:rPr>
                <w:t xml:space="preserve">62896-05-20 </w:t>
              </w:r>
            </w:hyperlink>
            <w:r w:rsidRPr="00874DF1">
              <w:rPr>
                <w:rFonts w:cs="FrankRuehl" w:hint="cs"/>
                <w:sz w:val="28"/>
                <w:szCs w:val="28"/>
                <w:rtl/>
              </w:rPr>
              <w:t xml:space="preserve"> </w:t>
            </w:r>
            <w:r w:rsidRPr="00874DF1">
              <w:rPr>
                <w:rFonts w:cs="FrankRuehl"/>
                <w:sz w:val="28"/>
                <w:szCs w:val="28"/>
                <w:rtl/>
              </w:rPr>
              <w:t>מדינת ישראל נ' בריגע</w:t>
            </w:r>
          </w:p>
        </w:tc>
        <w:tc>
          <w:tcPr>
            <w:tcW w:w="3577" w:type="dxa"/>
          </w:tcPr>
          <w:p w14:paraId="01CD80DA" w14:textId="77777777" w:rsidR="0081570D" w:rsidRPr="00874DF1" w:rsidRDefault="0081570D" w:rsidP="00911625">
            <w:pPr>
              <w:pStyle w:val="a3"/>
              <w:jc w:val="right"/>
              <w:rPr>
                <w:rFonts w:cs="FrankRuehl"/>
                <w:sz w:val="28"/>
                <w:szCs w:val="28"/>
                <w:rtl/>
              </w:rPr>
            </w:pPr>
          </w:p>
        </w:tc>
      </w:tr>
    </w:tbl>
    <w:p w14:paraId="5769A9ED" w14:textId="77777777" w:rsidR="0081570D" w:rsidRPr="00874DF1" w:rsidRDefault="0081570D" w:rsidP="0081570D">
      <w:pPr>
        <w:pStyle w:val="a3"/>
        <w:rPr>
          <w:rtl/>
        </w:rPr>
      </w:pPr>
      <w:r w:rsidRPr="00874DF1">
        <w:rPr>
          <w:rFonts w:hint="cs"/>
          <w:rtl/>
        </w:rPr>
        <w:t xml:space="preserve"> </w:t>
      </w:r>
    </w:p>
    <w:p w14:paraId="0BA8D0E0" w14:textId="77777777" w:rsidR="0081570D" w:rsidRPr="00874DF1" w:rsidRDefault="0081570D" w:rsidP="0081570D">
      <w:pPr>
        <w:rPr>
          <w:rFonts w:ascii="David" w:hAnsi="David"/>
          <w:bCs/>
          <w:sz w:val="28"/>
          <w:szCs w:val="28"/>
          <w:rtl/>
        </w:rPr>
      </w:pPr>
    </w:p>
    <w:p w14:paraId="6661EACD" w14:textId="77777777" w:rsidR="0081570D" w:rsidRPr="00874DF1" w:rsidRDefault="0081570D" w:rsidP="0081570D">
      <w:pPr>
        <w:rPr>
          <w:rFonts w:ascii="David" w:hAnsi="David"/>
          <w:bCs/>
          <w:sz w:val="28"/>
          <w:szCs w:val="28"/>
        </w:rPr>
      </w:pPr>
      <w:r w:rsidRPr="00874DF1">
        <w:rPr>
          <w:rFonts w:ascii="David" w:hAnsi="David"/>
          <w:bCs/>
          <w:sz w:val="28"/>
          <w:szCs w:val="28"/>
          <w:rtl/>
        </w:rPr>
        <w:softHyphen/>
      </w:r>
      <w:r w:rsidRPr="00874DF1">
        <w:rPr>
          <w:rFonts w:ascii="David" w:hAnsi="David"/>
          <w:bCs/>
          <w:sz w:val="28"/>
          <w:szCs w:val="28"/>
          <w:rtl/>
        </w:rPr>
        <w:softHyphen/>
        <w:t>לפני:</w:t>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t>כבוד השופט גיא אבנון</w:t>
      </w:r>
    </w:p>
    <w:p w14:paraId="5579BAF9" w14:textId="77777777" w:rsidR="0081570D" w:rsidRPr="00874DF1" w:rsidRDefault="0081570D" w:rsidP="0081570D">
      <w:pPr>
        <w:rPr>
          <w:rFonts w:ascii="David" w:hAnsi="David"/>
          <w:bCs/>
          <w:sz w:val="28"/>
          <w:szCs w:val="28"/>
          <w:rtl/>
        </w:rPr>
      </w:pPr>
    </w:p>
    <w:p w14:paraId="3A06D001" w14:textId="77777777" w:rsidR="0081570D" w:rsidRPr="00874DF1" w:rsidRDefault="0081570D" w:rsidP="0081570D">
      <w:pPr>
        <w:rPr>
          <w:rFonts w:ascii="David" w:hAnsi="David"/>
          <w:bCs/>
          <w:sz w:val="28"/>
          <w:szCs w:val="28"/>
          <w:rtl/>
        </w:rPr>
      </w:pPr>
      <w:r w:rsidRPr="00874DF1">
        <w:rPr>
          <w:rFonts w:ascii="David" w:hAnsi="David"/>
          <w:bCs/>
          <w:sz w:val="28"/>
          <w:szCs w:val="28"/>
          <w:rtl/>
        </w:rPr>
        <w:t>ה</w:t>
      </w:r>
      <w:bookmarkStart w:id="1" w:name="FirstAppellant"/>
      <w:r w:rsidRPr="00874DF1">
        <w:rPr>
          <w:rFonts w:ascii="David" w:hAnsi="David"/>
          <w:bCs/>
          <w:sz w:val="28"/>
          <w:szCs w:val="28"/>
          <w:rtl/>
        </w:rPr>
        <w:t>מאשימ</w:t>
      </w:r>
      <w:bookmarkEnd w:id="1"/>
      <w:r w:rsidRPr="00874DF1">
        <w:rPr>
          <w:rFonts w:ascii="David" w:hAnsi="David"/>
          <w:bCs/>
          <w:sz w:val="28"/>
          <w:szCs w:val="28"/>
          <w:rtl/>
        </w:rPr>
        <w:t>ה:</w:t>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t>מדינת ישראל</w:t>
      </w:r>
    </w:p>
    <w:p w14:paraId="32667F45" w14:textId="77777777" w:rsidR="0081570D" w:rsidRPr="00874DF1" w:rsidRDefault="0081570D" w:rsidP="0081570D">
      <w:pPr>
        <w:rPr>
          <w:rFonts w:ascii="David" w:hAnsi="David"/>
          <w:bCs/>
          <w:sz w:val="28"/>
          <w:szCs w:val="28"/>
          <w:rtl/>
        </w:rPr>
      </w:pP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t>באמצעות תביעות מרכז – שלוחת נתניה</w:t>
      </w:r>
    </w:p>
    <w:p w14:paraId="212D49CB" w14:textId="77777777" w:rsidR="0081570D" w:rsidRPr="00874DF1" w:rsidRDefault="0081570D" w:rsidP="0081570D">
      <w:pPr>
        <w:rPr>
          <w:rFonts w:ascii="David" w:hAnsi="David"/>
          <w:bCs/>
          <w:sz w:val="28"/>
          <w:szCs w:val="28"/>
          <w:rtl/>
        </w:rPr>
      </w:pPr>
    </w:p>
    <w:p w14:paraId="6174AE69" w14:textId="77777777" w:rsidR="0081570D" w:rsidRPr="00874DF1" w:rsidRDefault="0081570D" w:rsidP="0081570D">
      <w:pPr>
        <w:rPr>
          <w:rFonts w:ascii="David" w:hAnsi="David"/>
          <w:bCs/>
          <w:sz w:val="28"/>
          <w:szCs w:val="28"/>
          <w:rtl/>
        </w:rPr>
      </w:pP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t>נ ג ד</w:t>
      </w:r>
    </w:p>
    <w:p w14:paraId="5453DECA" w14:textId="77777777" w:rsidR="0081570D" w:rsidRPr="00874DF1" w:rsidRDefault="0081570D" w:rsidP="0081570D">
      <w:pPr>
        <w:rPr>
          <w:rFonts w:ascii="David" w:hAnsi="David"/>
          <w:bCs/>
          <w:sz w:val="28"/>
          <w:szCs w:val="28"/>
          <w:rtl/>
        </w:rPr>
      </w:pPr>
    </w:p>
    <w:p w14:paraId="3096D3C2" w14:textId="77777777" w:rsidR="0081570D" w:rsidRPr="00874DF1" w:rsidRDefault="0081570D" w:rsidP="0081570D">
      <w:pPr>
        <w:rPr>
          <w:rFonts w:ascii="David" w:hAnsi="David"/>
          <w:bCs/>
          <w:sz w:val="28"/>
          <w:szCs w:val="28"/>
          <w:rtl/>
        </w:rPr>
      </w:pPr>
      <w:r w:rsidRPr="00874DF1">
        <w:rPr>
          <w:rFonts w:ascii="David" w:hAnsi="David"/>
          <w:bCs/>
          <w:sz w:val="28"/>
          <w:szCs w:val="28"/>
          <w:rtl/>
        </w:rPr>
        <w:t>הנאשם:</w:t>
      </w:r>
      <w:r w:rsidRPr="00874DF1">
        <w:rPr>
          <w:rFonts w:ascii="David" w:hAnsi="David"/>
          <w:bCs/>
          <w:sz w:val="28"/>
          <w:szCs w:val="28"/>
          <w:rtl/>
        </w:rPr>
        <w:tab/>
      </w:r>
      <w:r w:rsidRPr="00874DF1">
        <w:rPr>
          <w:rFonts w:ascii="David" w:hAnsi="David"/>
          <w:bCs/>
          <w:sz w:val="28"/>
          <w:szCs w:val="28"/>
          <w:rtl/>
        </w:rPr>
        <w:tab/>
      </w:r>
      <w:r w:rsidRPr="00874DF1">
        <w:rPr>
          <w:rFonts w:ascii="David" w:hAnsi="David"/>
          <w:bCs/>
          <w:sz w:val="28"/>
          <w:szCs w:val="28"/>
          <w:rtl/>
        </w:rPr>
        <w:tab/>
        <w:t xml:space="preserve">מנשה בריגע – ת"ז </w:t>
      </w:r>
      <w:r w:rsidR="00874DF1">
        <w:rPr>
          <w:rFonts w:ascii="David" w:hAnsi="David"/>
          <w:bCs/>
          <w:sz w:val="28"/>
          <w:szCs w:val="28"/>
        </w:rPr>
        <w:t>xxxxxxxxx</w:t>
      </w:r>
    </w:p>
    <w:p w14:paraId="2546944B" w14:textId="77777777" w:rsidR="0081570D" w:rsidRPr="00874DF1" w:rsidRDefault="0081570D" w:rsidP="0081570D">
      <w:pPr>
        <w:rPr>
          <w:rFonts w:ascii="David" w:hAnsi="David"/>
          <w:bCs/>
          <w:sz w:val="28"/>
          <w:szCs w:val="28"/>
          <w:rtl/>
        </w:rPr>
      </w:pPr>
    </w:p>
    <w:p w14:paraId="1FB3BA6B" w14:textId="77777777" w:rsidR="0081570D" w:rsidRPr="00874DF1" w:rsidRDefault="0081570D" w:rsidP="0081570D">
      <w:pPr>
        <w:rPr>
          <w:rFonts w:ascii="David" w:hAnsi="David"/>
          <w:b/>
          <w:sz w:val="28"/>
          <w:szCs w:val="28"/>
          <w:rtl/>
        </w:rPr>
      </w:pPr>
      <w:bookmarkStart w:id="2" w:name="FirstLawyer"/>
      <w:r w:rsidRPr="00874DF1">
        <w:rPr>
          <w:rFonts w:ascii="David" w:hAnsi="David"/>
          <w:b/>
          <w:sz w:val="28"/>
          <w:szCs w:val="28"/>
          <w:rtl/>
        </w:rPr>
        <w:t>בשם</w:t>
      </w:r>
      <w:bookmarkEnd w:id="2"/>
      <w:r w:rsidRPr="00874DF1">
        <w:rPr>
          <w:rFonts w:ascii="David" w:hAnsi="David"/>
          <w:b/>
          <w:sz w:val="28"/>
          <w:szCs w:val="28"/>
          <w:rtl/>
        </w:rPr>
        <w:t xml:space="preserve"> המאשימה:</w:t>
      </w:r>
      <w:r w:rsidRPr="00874DF1">
        <w:rPr>
          <w:rFonts w:ascii="David" w:hAnsi="David"/>
          <w:b/>
          <w:sz w:val="28"/>
          <w:szCs w:val="28"/>
          <w:rtl/>
        </w:rPr>
        <w:tab/>
      </w:r>
      <w:r w:rsidRPr="00874DF1">
        <w:rPr>
          <w:rFonts w:ascii="David" w:hAnsi="David"/>
          <w:b/>
          <w:sz w:val="28"/>
          <w:szCs w:val="28"/>
          <w:rtl/>
        </w:rPr>
        <w:tab/>
        <w:t>עו"ד מיכל אפלבוים, עו"ד מור מלכה, עו"ד שני מלול</w:t>
      </w:r>
    </w:p>
    <w:p w14:paraId="4D03650D" w14:textId="77777777" w:rsidR="0081570D" w:rsidRPr="00874DF1" w:rsidRDefault="0081570D" w:rsidP="0081570D">
      <w:pPr>
        <w:rPr>
          <w:rFonts w:ascii="David" w:hAnsi="David"/>
          <w:b/>
          <w:sz w:val="28"/>
          <w:szCs w:val="28"/>
          <w:rtl/>
        </w:rPr>
      </w:pPr>
      <w:r w:rsidRPr="00874DF1">
        <w:rPr>
          <w:rFonts w:ascii="David" w:hAnsi="David"/>
          <w:b/>
          <w:sz w:val="28"/>
          <w:szCs w:val="28"/>
          <w:rtl/>
        </w:rPr>
        <w:t>בשם הנאשם:</w:t>
      </w:r>
      <w:r w:rsidRPr="00874DF1">
        <w:rPr>
          <w:rFonts w:ascii="David" w:hAnsi="David"/>
          <w:b/>
          <w:sz w:val="28"/>
          <w:szCs w:val="28"/>
          <w:rtl/>
        </w:rPr>
        <w:tab/>
      </w:r>
      <w:r w:rsidRPr="00874DF1">
        <w:rPr>
          <w:rFonts w:ascii="David" w:hAnsi="David"/>
          <w:b/>
          <w:sz w:val="28"/>
          <w:szCs w:val="28"/>
          <w:rtl/>
        </w:rPr>
        <w:tab/>
      </w:r>
      <w:r w:rsidRPr="00874DF1">
        <w:rPr>
          <w:rFonts w:ascii="David" w:hAnsi="David"/>
          <w:b/>
          <w:sz w:val="28"/>
          <w:szCs w:val="28"/>
          <w:rtl/>
        </w:rPr>
        <w:tab/>
        <w:t>עו"ד ויקי שמואל</w:t>
      </w:r>
    </w:p>
    <w:p w14:paraId="164876D2" w14:textId="77777777" w:rsidR="009667C8" w:rsidRDefault="009667C8" w:rsidP="0081570D">
      <w:pPr>
        <w:rPr>
          <w:rFonts w:ascii="David" w:hAnsi="David"/>
          <w:sz w:val="28"/>
          <w:szCs w:val="28"/>
          <w:rtl/>
        </w:rPr>
      </w:pPr>
    </w:p>
    <w:p w14:paraId="75031A9F" w14:textId="77777777" w:rsidR="009667C8" w:rsidRPr="009667C8" w:rsidRDefault="009667C8" w:rsidP="009667C8">
      <w:pPr>
        <w:spacing w:after="120" w:line="240" w:lineRule="exact"/>
        <w:ind w:left="283" w:hanging="283"/>
        <w:jc w:val="both"/>
        <w:rPr>
          <w:rFonts w:ascii="FrankRuehl" w:hAnsi="FrankRuehl" w:cs="FrankRuehl"/>
          <w:rtl/>
        </w:rPr>
      </w:pPr>
    </w:p>
    <w:p w14:paraId="132138C8" w14:textId="77777777" w:rsidR="009D2CFC" w:rsidRPr="009D2CFC" w:rsidRDefault="009D2CFC" w:rsidP="009D2CFC">
      <w:pPr>
        <w:spacing w:before="120" w:after="120" w:line="240" w:lineRule="exact"/>
        <w:ind w:left="283" w:hanging="283"/>
        <w:jc w:val="both"/>
        <w:rPr>
          <w:rFonts w:ascii="FrankRuehl" w:hAnsi="FrankRuehl" w:cs="FrankRuehl"/>
          <w:rtl/>
        </w:rPr>
      </w:pPr>
    </w:p>
    <w:p w14:paraId="7C8BFD3C" w14:textId="77777777" w:rsidR="00EE189A" w:rsidRDefault="00EE189A" w:rsidP="00EE189A">
      <w:pPr>
        <w:jc w:val="center"/>
        <w:rPr>
          <w:rFonts w:ascii="David" w:hAnsi="David"/>
          <w:sz w:val="28"/>
          <w:szCs w:val="28"/>
          <w:rtl/>
        </w:rPr>
      </w:pPr>
      <w:bookmarkStart w:id="3" w:name="LawTable"/>
      <w:bookmarkEnd w:id="3"/>
    </w:p>
    <w:p w14:paraId="217EE9EC" w14:textId="77777777" w:rsidR="00EE189A" w:rsidRPr="00EE189A" w:rsidRDefault="00EE189A" w:rsidP="00EE189A">
      <w:pPr>
        <w:spacing w:before="120" w:after="120" w:line="240" w:lineRule="exact"/>
        <w:ind w:left="283" w:hanging="283"/>
        <w:jc w:val="both"/>
        <w:rPr>
          <w:rFonts w:ascii="FrankRuehl" w:hAnsi="FrankRuehl" w:cs="FrankRuehl"/>
          <w:rtl/>
        </w:rPr>
      </w:pPr>
    </w:p>
    <w:p w14:paraId="1CE0D7C8" w14:textId="77777777" w:rsidR="00EE189A" w:rsidRPr="00EE189A" w:rsidRDefault="00EE189A" w:rsidP="00EE189A">
      <w:pPr>
        <w:spacing w:before="120" w:after="120" w:line="240" w:lineRule="exact"/>
        <w:ind w:left="283" w:hanging="283"/>
        <w:jc w:val="both"/>
        <w:rPr>
          <w:rFonts w:ascii="FrankRuehl" w:hAnsi="FrankRuehl" w:cs="FrankRuehl"/>
          <w:rtl/>
        </w:rPr>
      </w:pPr>
    </w:p>
    <w:p w14:paraId="78C2CD59" w14:textId="77777777" w:rsidR="00EE189A" w:rsidRPr="00EE189A" w:rsidRDefault="00EE189A" w:rsidP="00EE189A">
      <w:pPr>
        <w:spacing w:before="120" w:after="120" w:line="240" w:lineRule="exact"/>
        <w:ind w:left="283" w:hanging="283"/>
        <w:jc w:val="both"/>
        <w:rPr>
          <w:rFonts w:ascii="FrankRuehl" w:hAnsi="FrankRuehl" w:cs="FrankRuehl"/>
          <w:rtl/>
        </w:rPr>
      </w:pPr>
      <w:r w:rsidRPr="00EE189A">
        <w:rPr>
          <w:rFonts w:ascii="FrankRuehl" w:hAnsi="FrankRuehl" w:cs="FrankRuehl"/>
          <w:rtl/>
        </w:rPr>
        <w:t xml:space="preserve">חקיקה שאוזכרה: </w:t>
      </w:r>
    </w:p>
    <w:p w14:paraId="644CCA4A" w14:textId="77777777" w:rsidR="00EE189A" w:rsidRPr="00EE189A" w:rsidRDefault="00EE189A" w:rsidP="00EE189A">
      <w:pPr>
        <w:spacing w:before="120" w:after="120" w:line="240" w:lineRule="exact"/>
        <w:ind w:left="283" w:hanging="283"/>
        <w:jc w:val="both"/>
        <w:rPr>
          <w:rFonts w:ascii="FrankRuehl" w:hAnsi="FrankRuehl" w:cs="FrankRuehl"/>
          <w:rtl/>
        </w:rPr>
      </w:pPr>
      <w:hyperlink r:id="rId7" w:history="1">
        <w:r w:rsidRPr="00EE189A">
          <w:rPr>
            <w:rFonts w:ascii="FrankRuehl" w:hAnsi="FrankRuehl" w:cs="FrankRuehl"/>
            <w:color w:val="0000FF"/>
            <w:rtl/>
          </w:rPr>
          <w:t>פקודת הסמים המסוכנים [נוסח חדש], תשל"ג-1973</w:t>
        </w:r>
      </w:hyperlink>
      <w:r w:rsidRPr="00EE189A">
        <w:rPr>
          <w:rFonts w:ascii="FrankRuehl" w:hAnsi="FrankRuehl" w:cs="FrankRuehl"/>
          <w:rtl/>
        </w:rPr>
        <w:t xml:space="preserve">: סע'  </w:t>
      </w:r>
      <w:hyperlink r:id="rId8" w:history="1">
        <w:r w:rsidRPr="00EE189A">
          <w:rPr>
            <w:rFonts w:ascii="FrankRuehl" w:hAnsi="FrankRuehl" w:cs="FrankRuehl"/>
            <w:color w:val="0000FF"/>
            <w:rtl/>
          </w:rPr>
          <w:t>7(א)</w:t>
        </w:r>
      </w:hyperlink>
      <w:r w:rsidRPr="00EE189A">
        <w:rPr>
          <w:rFonts w:ascii="FrankRuehl" w:hAnsi="FrankRuehl" w:cs="FrankRuehl"/>
          <w:rtl/>
        </w:rPr>
        <w:t xml:space="preserve">, </w:t>
      </w:r>
      <w:hyperlink r:id="rId9" w:history="1">
        <w:r w:rsidRPr="00EE189A">
          <w:rPr>
            <w:rFonts w:ascii="FrankRuehl" w:hAnsi="FrankRuehl" w:cs="FrankRuehl"/>
            <w:color w:val="0000FF"/>
            <w:rtl/>
          </w:rPr>
          <w:t>7(ג)</w:t>
        </w:r>
      </w:hyperlink>
      <w:r w:rsidRPr="00EE189A">
        <w:rPr>
          <w:rFonts w:ascii="FrankRuehl" w:hAnsi="FrankRuehl" w:cs="FrankRuehl"/>
          <w:rtl/>
        </w:rPr>
        <w:t xml:space="preserve">, </w:t>
      </w:r>
      <w:hyperlink r:id="rId10" w:history="1">
        <w:r w:rsidRPr="00EE189A">
          <w:rPr>
            <w:rFonts w:ascii="FrankRuehl" w:hAnsi="FrankRuehl" w:cs="FrankRuehl"/>
            <w:color w:val="0000FF"/>
            <w:rtl/>
          </w:rPr>
          <w:t>10</w:t>
        </w:r>
      </w:hyperlink>
      <w:r w:rsidRPr="00EE189A">
        <w:rPr>
          <w:rFonts w:ascii="FrankRuehl" w:hAnsi="FrankRuehl" w:cs="FrankRuehl"/>
          <w:rtl/>
        </w:rPr>
        <w:t xml:space="preserve">, </w:t>
      </w:r>
      <w:hyperlink r:id="rId11" w:history="1">
        <w:r w:rsidRPr="00EE189A">
          <w:rPr>
            <w:rFonts w:ascii="FrankRuehl" w:hAnsi="FrankRuehl" w:cs="FrankRuehl"/>
            <w:color w:val="0000FF"/>
            <w:rtl/>
          </w:rPr>
          <w:t>36א(ב)</w:t>
        </w:r>
      </w:hyperlink>
    </w:p>
    <w:p w14:paraId="70F95591" w14:textId="77777777" w:rsidR="00EE189A" w:rsidRPr="00EE189A" w:rsidRDefault="00EE189A" w:rsidP="00EE189A">
      <w:pPr>
        <w:spacing w:before="120" w:after="120" w:line="240" w:lineRule="exact"/>
        <w:ind w:left="283" w:hanging="283"/>
        <w:jc w:val="both"/>
        <w:rPr>
          <w:rFonts w:ascii="FrankRuehl" w:hAnsi="FrankRuehl" w:cs="FrankRuehl"/>
          <w:rtl/>
        </w:rPr>
      </w:pPr>
      <w:hyperlink r:id="rId12" w:history="1">
        <w:r w:rsidRPr="00EE189A">
          <w:rPr>
            <w:rFonts w:ascii="FrankRuehl" w:hAnsi="FrankRuehl" w:cs="FrankRuehl"/>
            <w:color w:val="0000FF"/>
            <w:rtl/>
          </w:rPr>
          <w:t>חוק העונשין, תשל"ז-1977</w:t>
        </w:r>
      </w:hyperlink>
      <w:r w:rsidRPr="00EE189A">
        <w:rPr>
          <w:rFonts w:ascii="FrankRuehl" w:hAnsi="FrankRuehl" w:cs="FrankRuehl"/>
          <w:rtl/>
        </w:rPr>
        <w:t xml:space="preserve">: סע'  </w:t>
      </w:r>
      <w:hyperlink r:id="rId13" w:history="1">
        <w:r w:rsidRPr="00EE189A">
          <w:rPr>
            <w:rFonts w:ascii="FrankRuehl" w:hAnsi="FrankRuehl" w:cs="FrankRuehl"/>
            <w:color w:val="0000FF"/>
            <w:rtl/>
          </w:rPr>
          <w:t>40ג(א)</w:t>
        </w:r>
      </w:hyperlink>
      <w:r w:rsidRPr="00EE189A">
        <w:rPr>
          <w:rFonts w:ascii="FrankRuehl" w:hAnsi="FrankRuehl" w:cs="FrankRuehl"/>
          <w:rtl/>
        </w:rPr>
        <w:t xml:space="preserve">, </w:t>
      </w:r>
      <w:hyperlink r:id="rId14" w:history="1">
        <w:r w:rsidRPr="00EE189A">
          <w:rPr>
            <w:rFonts w:ascii="FrankRuehl" w:hAnsi="FrankRuehl" w:cs="FrankRuehl"/>
            <w:color w:val="0000FF"/>
            <w:rtl/>
          </w:rPr>
          <w:t>40ט</w:t>
        </w:r>
      </w:hyperlink>
      <w:r w:rsidRPr="00EE189A">
        <w:rPr>
          <w:rFonts w:ascii="FrankRuehl" w:hAnsi="FrankRuehl" w:cs="FrankRuehl"/>
          <w:rtl/>
        </w:rPr>
        <w:t xml:space="preserve">, </w:t>
      </w:r>
      <w:hyperlink r:id="rId15" w:history="1">
        <w:r w:rsidRPr="00EE189A">
          <w:rPr>
            <w:rFonts w:ascii="FrankRuehl" w:hAnsi="FrankRuehl" w:cs="FrankRuehl"/>
            <w:color w:val="0000FF"/>
            <w:rtl/>
          </w:rPr>
          <w:t>51ג(ג)</w:t>
        </w:r>
      </w:hyperlink>
    </w:p>
    <w:p w14:paraId="28548FF7" w14:textId="77777777" w:rsidR="00EE189A" w:rsidRPr="00EE189A" w:rsidRDefault="00EE189A" w:rsidP="00EE189A">
      <w:pPr>
        <w:jc w:val="center"/>
        <w:rPr>
          <w:rFonts w:ascii="David" w:hAnsi="David"/>
          <w:sz w:val="28"/>
          <w:szCs w:val="28"/>
          <w:rtl/>
        </w:rPr>
      </w:pPr>
      <w:bookmarkStart w:id="4" w:name="LawTable_End"/>
      <w:bookmarkEnd w:id="4"/>
    </w:p>
    <w:p w14:paraId="4F23CCF9" w14:textId="77777777" w:rsidR="00874DF1" w:rsidRPr="009D2CFC" w:rsidRDefault="00874DF1" w:rsidP="009D2CFC">
      <w:pPr>
        <w:jc w:val="center"/>
        <w:rPr>
          <w:rFonts w:ascii="David" w:hAnsi="David"/>
          <w:sz w:val="28"/>
          <w:szCs w:val="28"/>
          <w:rtl/>
        </w:rPr>
      </w:pPr>
    </w:p>
    <w:p w14:paraId="2B7B48EC" w14:textId="77777777" w:rsidR="00874DF1" w:rsidRPr="00874DF1" w:rsidRDefault="00874DF1" w:rsidP="00874DF1">
      <w:pPr>
        <w:spacing w:line="360" w:lineRule="auto"/>
        <w:jc w:val="center"/>
        <w:rPr>
          <w:rFonts w:ascii="David" w:hAnsi="David"/>
          <w:bCs/>
          <w:sz w:val="28"/>
          <w:szCs w:val="28"/>
          <w:u w:val="single"/>
          <w:rtl/>
        </w:rPr>
      </w:pPr>
      <w:bookmarkStart w:id="5" w:name="PsakDin"/>
      <w:bookmarkEnd w:id="0"/>
      <w:r w:rsidRPr="00874DF1">
        <w:rPr>
          <w:rFonts w:ascii="David" w:hAnsi="David"/>
          <w:bCs/>
          <w:sz w:val="28"/>
          <w:szCs w:val="28"/>
          <w:u w:val="single"/>
          <w:rtl/>
        </w:rPr>
        <w:t>גזר דין</w:t>
      </w:r>
    </w:p>
    <w:p w14:paraId="33A93EC2" w14:textId="77777777" w:rsidR="0081570D" w:rsidRPr="00920B46" w:rsidRDefault="0081570D" w:rsidP="0081570D">
      <w:pPr>
        <w:spacing w:line="360" w:lineRule="auto"/>
        <w:jc w:val="both"/>
        <w:rPr>
          <w:rFonts w:ascii="FrankRuehl" w:hAnsi="FrankRuehl" w:cs="FrankRuehl"/>
          <w:sz w:val="28"/>
          <w:szCs w:val="28"/>
          <w:rtl/>
        </w:rPr>
      </w:pPr>
      <w:bookmarkStart w:id="6" w:name="ABSTRACT_START"/>
      <w:bookmarkEnd w:id="5"/>
      <w:bookmarkEnd w:id="6"/>
    </w:p>
    <w:p w14:paraId="7ED954B7"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ab/>
        <w:t xml:space="preserve"> הנאשם הורשע בהתאם להודאתו בכתב אישום מתוקן בעבירות </w:t>
      </w:r>
      <w:r w:rsidRPr="00920B46">
        <w:rPr>
          <w:rFonts w:ascii="FrankRuehl" w:hAnsi="FrankRuehl" w:cs="Miriam"/>
          <w:b/>
          <w:sz w:val="28"/>
          <w:rtl/>
        </w:rPr>
        <w:t>החזקת סם שלא לצריכה עצמית</w:t>
      </w:r>
      <w:r w:rsidRPr="00920B46">
        <w:rPr>
          <w:rFonts w:ascii="FrankRuehl" w:hAnsi="FrankRuehl" w:cs="FrankRuehl"/>
          <w:sz w:val="28"/>
          <w:szCs w:val="28"/>
          <w:rtl/>
        </w:rPr>
        <w:t xml:space="preserve">, לפי </w:t>
      </w:r>
      <w:hyperlink r:id="rId16" w:history="1">
        <w:r w:rsidR="009667C8" w:rsidRPr="009667C8">
          <w:rPr>
            <w:rStyle w:val="Hyperlink"/>
            <w:rFonts w:ascii="FrankRuehl" w:hAnsi="FrankRuehl" w:cs="FrankRuehl"/>
            <w:sz w:val="28"/>
            <w:szCs w:val="28"/>
            <w:rtl/>
          </w:rPr>
          <w:t>סעיפים 7(א)</w:t>
        </w:r>
      </w:hyperlink>
      <w:r w:rsidRPr="00920B46">
        <w:rPr>
          <w:rFonts w:ascii="FrankRuehl" w:hAnsi="FrankRuehl" w:cs="FrankRuehl"/>
          <w:sz w:val="28"/>
          <w:szCs w:val="28"/>
          <w:rtl/>
        </w:rPr>
        <w:t xml:space="preserve"> ו- </w:t>
      </w:r>
      <w:hyperlink r:id="rId17" w:history="1">
        <w:r w:rsidR="009667C8" w:rsidRPr="009667C8">
          <w:rPr>
            <w:rStyle w:val="Hyperlink"/>
            <w:rFonts w:ascii="FrankRuehl" w:hAnsi="FrankRuehl" w:cs="FrankRuehl"/>
            <w:sz w:val="28"/>
            <w:szCs w:val="28"/>
            <w:rtl/>
          </w:rPr>
          <w:t>7(ג)</w:t>
        </w:r>
      </w:hyperlink>
      <w:r w:rsidRPr="00920B46">
        <w:rPr>
          <w:rFonts w:ascii="FrankRuehl" w:hAnsi="FrankRuehl" w:cs="FrankRuehl"/>
          <w:sz w:val="28"/>
          <w:szCs w:val="28"/>
          <w:rtl/>
        </w:rPr>
        <w:t xml:space="preserve"> רישא ל</w:t>
      </w:r>
      <w:hyperlink r:id="rId18" w:history="1">
        <w:r w:rsidR="00874DF1" w:rsidRPr="00874DF1">
          <w:rPr>
            <w:rFonts w:ascii="FrankRuehl" w:hAnsi="FrankRuehl" w:cs="FrankRuehl"/>
            <w:color w:val="0000FF"/>
            <w:sz w:val="28"/>
            <w:szCs w:val="28"/>
            <w:u w:val="single"/>
            <w:rtl/>
          </w:rPr>
          <w:t>פקודת הסמים המסוכנים</w:t>
        </w:r>
      </w:hyperlink>
      <w:r w:rsidRPr="00920B46">
        <w:rPr>
          <w:rFonts w:ascii="FrankRuehl" w:hAnsi="FrankRuehl" w:cs="FrankRuehl"/>
          <w:sz w:val="28"/>
          <w:szCs w:val="28"/>
          <w:rtl/>
        </w:rPr>
        <w:t xml:space="preserve"> [נוסח חדש], תשל"ג-1973 (להלן: </w:t>
      </w:r>
      <w:r w:rsidRPr="00920B46">
        <w:rPr>
          <w:rFonts w:ascii="FrankRuehl" w:hAnsi="FrankRuehl" w:cs="Miriam"/>
          <w:b/>
          <w:sz w:val="28"/>
          <w:rtl/>
        </w:rPr>
        <w:t>פקודת הסמים</w:t>
      </w:r>
      <w:r w:rsidRPr="00920B46">
        <w:rPr>
          <w:rFonts w:ascii="FrankRuehl" w:hAnsi="FrankRuehl" w:cs="FrankRuehl"/>
          <w:sz w:val="28"/>
          <w:szCs w:val="28"/>
          <w:rtl/>
        </w:rPr>
        <w:t xml:space="preserve">); </w:t>
      </w:r>
      <w:r w:rsidRPr="00920B46">
        <w:rPr>
          <w:rFonts w:ascii="FrankRuehl" w:hAnsi="FrankRuehl" w:cs="Miriam"/>
          <w:b/>
          <w:sz w:val="28"/>
          <w:rtl/>
        </w:rPr>
        <w:t>החזקת כלים להכנת סם שלא לצריכה עצמית</w:t>
      </w:r>
      <w:r w:rsidRPr="00920B46">
        <w:rPr>
          <w:rFonts w:ascii="FrankRuehl" w:hAnsi="FrankRuehl" w:cs="FrankRuehl"/>
          <w:sz w:val="28"/>
          <w:szCs w:val="28"/>
          <w:rtl/>
        </w:rPr>
        <w:t xml:space="preserve">, לפי </w:t>
      </w:r>
      <w:hyperlink r:id="rId19" w:history="1">
        <w:r w:rsidR="009667C8" w:rsidRPr="009667C8">
          <w:rPr>
            <w:rStyle w:val="Hyperlink"/>
            <w:rFonts w:ascii="FrankRuehl" w:hAnsi="FrankRuehl" w:cs="FrankRuehl"/>
            <w:sz w:val="28"/>
            <w:szCs w:val="28"/>
            <w:rtl/>
          </w:rPr>
          <w:t>סעיף 10</w:t>
        </w:r>
      </w:hyperlink>
      <w:r w:rsidRPr="00920B46">
        <w:rPr>
          <w:rFonts w:ascii="FrankRuehl" w:hAnsi="FrankRuehl" w:cs="FrankRuehl"/>
          <w:sz w:val="28"/>
          <w:szCs w:val="28"/>
          <w:rtl/>
        </w:rPr>
        <w:t xml:space="preserve"> רישא לפקודת הסמים. הוא הופנה לקבלת תסקיר מבחן, ובהמשך לקבלת חוות דעת הממונה על עבודות שירות, והצדדים טענו לעונש באופן חופשי.</w:t>
      </w:r>
    </w:p>
    <w:p w14:paraId="7293F22E" w14:textId="77777777" w:rsidR="0081570D" w:rsidRPr="00920B46" w:rsidRDefault="0081570D" w:rsidP="0081570D">
      <w:pPr>
        <w:spacing w:line="360" w:lineRule="auto"/>
        <w:jc w:val="both"/>
        <w:rPr>
          <w:rFonts w:ascii="FrankRuehl" w:hAnsi="FrankRuehl" w:cs="FrankRuehl"/>
          <w:sz w:val="28"/>
          <w:szCs w:val="28"/>
          <w:rtl/>
        </w:rPr>
      </w:pPr>
    </w:p>
    <w:p w14:paraId="30BEB8BC" w14:textId="77777777" w:rsidR="0081570D" w:rsidRPr="00920B46" w:rsidRDefault="0081570D" w:rsidP="0081570D">
      <w:pPr>
        <w:spacing w:line="360" w:lineRule="auto"/>
        <w:jc w:val="both"/>
        <w:rPr>
          <w:rFonts w:ascii="FrankRuehl" w:hAnsi="FrankRuehl" w:cs="FrankRuehl"/>
          <w:sz w:val="28"/>
          <w:szCs w:val="28"/>
          <w:rtl/>
        </w:rPr>
      </w:pPr>
      <w:bookmarkStart w:id="7" w:name="ABSTRACT_END"/>
      <w:bookmarkEnd w:id="7"/>
      <w:r w:rsidRPr="00920B46">
        <w:rPr>
          <w:rFonts w:ascii="FrankRuehl" w:hAnsi="FrankRuehl" w:cs="Miriam"/>
          <w:b/>
          <w:sz w:val="28"/>
          <w:rtl/>
        </w:rPr>
        <w:t>כתב אישום מתוקן</w:t>
      </w:r>
    </w:p>
    <w:p w14:paraId="1FC1DF0A" w14:textId="77777777" w:rsidR="0081570D" w:rsidRPr="00920B46" w:rsidRDefault="0081570D" w:rsidP="0081570D">
      <w:pPr>
        <w:spacing w:line="360" w:lineRule="auto"/>
        <w:jc w:val="both"/>
        <w:rPr>
          <w:rFonts w:ascii="FrankRuehl" w:hAnsi="FrankRuehl" w:cs="FrankRuehl"/>
          <w:sz w:val="28"/>
          <w:szCs w:val="28"/>
          <w:rtl/>
        </w:rPr>
      </w:pPr>
    </w:p>
    <w:p w14:paraId="6B9634D5"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1.</w:t>
      </w:r>
      <w:r w:rsidRPr="00920B46">
        <w:rPr>
          <w:rFonts w:ascii="FrankRuehl" w:hAnsi="FrankRuehl" w:cs="FrankRuehl"/>
          <w:sz w:val="28"/>
          <w:szCs w:val="28"/>
          <w:rtl/>
        </w:rPr>
        <w:tab/>
        <w:t xml:space="preserve">ביום 14.5.20 שכר הנאשם דירה ברחוב בני בנימין 42/11 נתניה (להלן: </w:t>
      </w:r>
      <w:r w:rsidRPr="00920B46">
        <w:rPr>
          <w:rFonts w:ascii="FrankRuehl" w:hAnsi="FrankRuehl" w:cs="Miriam"/>
          <w:b/>
          <w:sz w:val="28"/>
          <w:rtl/>
        </w:rPr>
        <w:t>הדירה</w:t>
      </w:r>
      <w:r w:rsidRPr="00920B46">
        <w:rPr>
          <w:rFonts w:ascii="FrankRuehl" w:hAnsi="FrankRuehl" w:cs="FrankRuehl"/>
          <w:sz w:val="28"/>
          <w:szCs w:val="28"/>
          <w:rtl/>
        </w:rPr>
        <w:t xml:space="preserve">). ביום 20.5.20 נערך חיפוש בדירה, במסגרתו נתפסו סמים וכלים אותם החזיק הנאשם שלא לשימושו העצמי: 3 ק"ג סם מסוג חשיש, 2.5 ק"ג סם מסוג קנבוס, 3 משקלים דיגיטליים, 2 צלחות </w:t>
      </w:r>
      <w:r w:rsidRPr="00920B46">
        <w:rPr>
          <w:rFonts w:ascii="FrankRuehl" w:hAnsi="FrankRuehl" w:cs="FrankRuehl"/>
          <w:sz w:val="28"/>
          <w:szCs w:val="28"/>
          <w:rtl/>
        </w:rPr>
        <w:lastRenderedPageBreak/>
        <w:t xml:space="preserve">מראה, שקיות חלוקה, מדבקות ועליהן הכיתוב "הרכב כימי, סם מסוכן, תפרחות פריז". כן נתפס כסף מזומן בסך 19,740 ₪. </w:t>
      </w:r>
    </w:p>
    <w:p w14:paraId="7C75C40A" w14:textId="77777777" w:rsidR="0081570D" w:rsidRPr="00920B46" w:rsidRDefault="0081570D" w:rsidP="0081570D">
      <w:pPr>
        <w:spacing w:line="360" w:lineRule="auto"/>
        <w:jc w:val="both"/>
        <w:rPr>
          <w:rFonts w:ascii="FrankRuehl" w:hAnsi="FrankRuehl" w:cs="FrankRuehl"/>
          <w:sz w:val="28"/>
          <w:szCs w:val="28"/>
          <w:rtl/>
        </w:rPr>
      </w:pPr>
    </w:p>
    <w:p w14:paraId="4CEEACCB"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Miriam"/>
          <w:b/>
          <w:sz w:val="28"/>
          <w:rtl/>
        </w:rPr>
        <w:t>תסקיר מבחן</w:t>
      </w:r>
    </w:p>
    <w:p w14:paraId="7B67B6A4" w14:textId="77777777" w:rsidR="0081570D" w:rsidRPr="00920B46" w:rsidRDefault="0081570D" w:rsidP="0081570D">
      <w:pPr>
        <w:spacing w:line="360" w:lineRule="auto"/>
        <w:jc w:val="both"/>
        <w:rPr>
          <w:rFonts w:ascii="FrankRuehl" w:hAnsi="FrankRuehl" w:cs="FrankRuehl"/>
          <w:sz w:val="28"/>
          <w:szCs w:val="28"/>
          <w:rtl/>
        </w:rPr>
      </w:pPr>
    </w:p>
    <w:p w14:paraId="54D6BC0B"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2.</w:t>
      </w:r>
      <w:r w:rsidRPr="00920B46">
        <w:rPr>
          <w:rFonts w:ascii="FrankRuehl" w:hAnsi="FrankRuehl" w:cs="FrankRuehl"/>
          <w:sz w:val="28"/>
          <w:szCs w:val="28"/>
          <w:rtl/>
        </w:rPr>
        <w:tab/>
        <w:t>תוכן התסקיר יובא בצמצום, על מנת להקטין את הפגיעה בצנעת הפרט. הנאשם בן כ- 21, רווק המתגורר בדירה שכורה עם בת זוגו. הוריו התגרשו בילדותו על רקע אלימות מצד האב כלפי האם, שכתוצאה ממנה שהה עם אמו ואחיו משך כשנה במקלט לנשים מוכות. חרף קשיים לימודיים מגיל צעיר, הצליח הנאשם להשלים 12 שנות לימוד ובגרות מלאה, ואף התגייס לשירות צבאי קרבי ממנו שוחרר כחלוף כשנה מטעמי בריאות. הערכת מפקדיו בתעודת השחרור מעידה על בחור בעל כושר מנהיגות, כריזמטי, חרוץ, בעל יכולות אישיות גבוהות, דעתן, יסודי וחברותי. התנהגותו תוארה כראויה לציון. לאחר שחרורו מצה"ל עבד הנאשם כ"בריסטה" בבית קפה, וכן בשיפוצים עם אביו ובעבודות מזדמנות נוספות. מתחילת משבר הקורונה איננו עובד, ובתקופה זו נמצא בעיצומו של תהליך לפתיחת עסק עצמאי.</w:t>
      </w:r>
    </w:p>
    <w:p w14:paraId="4CF8E59C" w14:textId="77777777" w:rsidR="0081570D" w:rsidRPr="00920B46" w:rsidRDefault="0081570D" w:rsidP="0081570D">
      <w:pPr>
        <w:spacing w:line="360" w:lineRule="auto"/>
        <w:jc w:val="both"/>
        <w:rPr>
          <w:rFonts w:ascii="FrankRuehl" w:hAnsi="FrankRuehl" w:cs="FrankRuehl"/>
          <w:sz w:val="28"/>
          <w:szCs w:val="28"/>
          <w:rtl/>
        </w:rPr>
      </w:pPr>
    </w:p>
    <w:p w14:paraId="038D75EE"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ab/>
        <w:t>הנאשם תיאר צריכת קנבוס מגיל 16, תחילה בנסיבות חברתיות ובהמשך מדי יום ובאופן תלותי. במהלך פגישות עם שירות המבחן הועמד הנאשם בפיקוח מעצרים, השתתף בשיחות שבועיות, חשף בפתיחות את אורחות חייו ודפוסי התנהלותו לאורך השנים, הביע עמדה ביקורתית באשר להתנהגותו, בצד יכולת להתבוננות פנימית. במהלך תקופת הפיקוח נמנע הנאשם מצריכת סמים, למעט אירוע בודד שלאחריו הבין את חומרת מצבו וצרכיו הטיפוליים. דא עקא, ניסיונות לשלבו בטיפול ייעודי לא צלח, ובמקום זאת שולב בסדנת "חוק ומשפט" אותה סיים בהצלחה.</w:t>
      </w:r>
    </w:p>
    <w:p w14:paraId="64F1E049" w14:textId="77777777" w:rsidR="0081570D" w:rsidRPr="00920B46" w:rsidRDefault="0081570D" w:rsidP="0081570D">
      <w:pPr>
        <w:spacing w:line="360" w:lineRule="auto"/>
        <w:jc w:val="both"/>
        <w:rPr>
          <w:rFonts w:ascii="FrankRuehl" w:hAnsi="FrankRuehl" w:cs="FrankRuehl"/>
          <w:sz w:val="28"/>
          <w:szCs w:val="28"/>
          <w:rtl/>
        </w:rPr>
      </w:pPr>
    </w:p>
    <w:p w14:paraId="2E362C88"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ab/>
        <w:t>אשר לעבירות מושא כתב האישום, הנאשם סיפר כי ביום ביצוע העבירה מצא באקראי תיק מלא בסמים אותו לקח לביתו על מנת להקל על הוצאותיו הכלכליות הכרוכות בצריכת סמים לשימושו העצמי. אשר לכסף המזומן שנתפס ברשותו, טען כי מדובר בכספי עבודה לגיטימיים השייכים לו ולאחיו. סופו של תסקיר התקשתה קצינת המבחן לבוא בהמלצה שיקומית, ובצד זאת סברה כי ככל שהנאשם יבטא נכונות להמשיך ולשתף פעולה עם שירות המבחן ולהתבוננות פנימית מעמיקה על דרך התנהלותו, הרי שניתן יהיה להמשיך ולבחון אפשרות למיצוי האפיק השיקומי.</w:t>
      </w:r>
    </w:p>
    <w:p w14:paraId="6F573957" w14:textId="77777777" w:rsidR="0081570D" w:rsidRPr="00920B46" w:rsidRDefault="0081570D" w:rsidP="0081570D">
      <w:pPr>
        <w:spacing w:line="360" w:lineRule="auto"/>
        <w:jc w:val="both"/>
        <w:rPr>
          <w:rFonts w:ascii="FrankRuehl" w:hAnsi="FrankRuehl" w:cs="FrankRuehl"/>
          <w:sz w:val="28"/>
          <w:szCs w:val="28"/>
          <w:rtl/>
        </w:rPr>
      </w:pPr>
    </w:p>
    <w:p w14:paraId="003FB9F1"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Miriam"/>
          <w:b/>
          <w:sz w:val="28"/>
          <w:rtl/>
        </w:rPr>
        <w:t>ראיות וטיעוני הצדדים לעונש</w:t>
      </w:r>
    </w:p>
    <w:p w14:paraId="27CD056E" w14:textId="77777777" w:rsidR="0081570D" w:rsidRPr="00920B46" w:rsidRDefault="0081570D" w:rsidP="0081570D">
      <w:pPr>
        <w:spacing w:line="360" w:lineRule="auto"/>
        <w:jc w:val="both"/>
        <w:rPr>
          <w:rFonts w:ascii="FrankRuehl" w:hAnsi="FrankRuehl" w:cs="FrankRuehl"/>
          <w:sz w:val="28"/>
          <w:szCs w:val="28"/>
          <w:rtl/>
        </w:rPr>
      </w:pPr>
    </w:p>
    <w:p w14:paraId="7F560D3F"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lastRenderedPageBreak/>
        <w:t>3.</w:t>
      </w:r>
      <w:r w:rsidRPr="00920B46">
        <w:rPr>
          <w:rFonts w:ascii="FrankRuehl" w:hAnsi="FrankRuehl" w:cs="FrankRuehl"/>
          <w:sz w:val="28"/>
          <w:szCs w:val="28"/>
          <w:rtl/>
        </w:rPr>
        <w:tab/>
        <w:t>בפתח הדיון מיום 7.3.21 ביקש ב"כ הנאשם להפנות את הנאשם לקבלת תסקיר משלים. לאחר שנשמעו הערות בית המשפט חזר בו מבקשתו וביקש לנסות ולשכנע את בית המשפט לעשות זאת במסגרת הטיעונים לעונש. ב"כ המאשימה הגישה גיליון הרשעות קודמות של הנאשם – לחובתו הרשעה מבית דין צבאי בעבירה של היזק לרכוש במזיד (</w:t>
      </w:r>
      <w:r w:rsidRPr="00920B46">
        <w:rPr>
          <w:rFonts w:ascii="FrankRuehl" w:hAnsi="FrankRuehl" w:cs="Miriam"/>
          <w:b/>
          <w:sz w:val="28"/>
          <w:rtl/>
        </w:rPr>
        <w:t>עת/1</w:t>
      </w:r>
      <w:r w:rsidRPr="00920B46">
        <w:rPr>
          <w:rFonts w:ascii="FrankRuehl" w:hAnsi="FrankRuehl" w:cs="FrankRuehl"/>
          <w:sz w:val="28"/>
          <w:szCs w:val="28"/>
          <w:rtl/>
        </w:rPr>
        <w:t>). כן הגישה צילומים של הסמים שנתפסו (</w:t>
      </w:r>
      <w:r w:rsidRPr="00920B46">
        <w:rPr>
          <w:rFonts w:ascii="FrankRuehl" w:hAnsi="FrankRuehl" w:cs="Miriam"/>
          <w:b/>
          <w:sz w:val="28"/>
          <w:rtl/>
        </w:rPr>
        <w:t>עת/2</w:t>
      </w:r>
      <w:r w:rsidRPr="00920B46">
        <w:rPr>
          <w:rFonts w:ascii="FrankRuehl" w:hAnsi="FrankRuehl" w:cs="FrankRuehl"/>
          <w:sz w:val="28"/>
          <w:szCs w:val="28"/>
          <w:rtl/>
        </w:rPr>
        <w:t>). היא הפנתה לערכים המוגנים שנפגעו כתוצאה ממעשיו של הנאשם, ועתרה לקבוע מתחם ענישה בין 24-10 חודשי מאסר. לאחר שסקרה את נתוניו של הנאשם ואת תוכן התסקיר, עתרה לקבוע את עונשו בחלקו התחתון של המתחם, בצד מאסר מותנה, קנס, פסילת רישיון הנהיגה בפועל ופסילה על תנאי. כן ביקשה להכריז על הנאשם סוחר סמים, ולחלט את הכספים שנתפסו בחזקתו. בטרם נשמעו טיעוני ההגנה לעונש, ולאחר שנשמעו הערות בית המשפט, ביקשו הצדדים להפנות את הנאשם לקבלת חוו"ד הממונה על עבודות שירות. כך נעשה, תוך שבית המשפט הבהיר כי אין בכך כדי לטעת ציפיות באשר לתוצאת ההליך.</w:t>
      </w:r>
    </w:p>
    <w:p w14:paraId="234732A2" w14:textId="77777777" w:rsidR="0081570D" w:rsidRPr="00920B46" w:rsidRDefault="0081570D" w:rsidP="0081570D">
      <w:pPr>
        <w:spacing w:line="360" w:lineRule="auto"/>
        <w:jc w:val="both"/>
        <w:rPr>
          <w:rFonts w:ascii="FrankRuehl" w:hAnsi="FrankRuehl" w:cs="FrankRuehl"/>
          <w:sz w:val="28"/>
          <w:szCs w:val="28"/>
          <w:rtl/>
        </w:rPr>
      </w:pPr>
    </w:p>
    <w:p w14:paraId="7D6E375B"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ab/>
        <w:t xml:space="preserve">בחוות דעת מיום 5.4.21 נמצא כי הנאשם מתאים לריצוי עונשו בדרך של עבודות שירות במגבלות. בדיון מיום 20.4.21 הפנתה המאשימה לפסיקה לתמיכה בטיעוניה, והצדדים ביקשו דחייה קצרה נוספת על מנת לנסות ולבוא בדברים ביניהם. הניסיון לא צלח, וביום 11.5.21 טענה ההגנה לעונש. ב"כ הנאשם סקר אף הוא את נתוניו של הנאשם, נסיבות חייו המורכבות, גילו הצעיר, התיקון המשמעותי בכתב האישום, הודייתו במיוחס לו בהזדמנות הראשונה – כבר בחקירתו במשטרה, עמדת שירות המבחן, מהלך חייו החיובי של הנאשם עד האירוע, התנתקותו מעולם הסמים, ותוכניותיו הנורמטיביות לעתיד לבוא. הוא הגיש אסופת מסמכים (סומנו בצוותא </w:t>
      </w:r>
      <w:r w:rsidRPr="00920B46">
        <w:rPr>
          <w:rFonts w:ascii="FrankRuehl" w:hAnsi="FrankRuehl" w:cs="Miriam"/>
          <w:b/>
          <w:sz w:val="28"/>
          <w:rtl/>
        </w:rPr>
        <w:t>ענ/1</w:t>
      </w:r>
      <w:r w:rsidRPr="00920B46">
        <w:rPr>
          <w:rFonts w:ascii="FrankRuehl" w:hAnsi="FrankRuehl" w:cs="FrankRuehl"/>
          <w:sz w:val="28"/>
          <w:szCs w:val="28"/>
          <w:rtl/>
        </w:rPr>
        <w:t>): אישור סיום לימודים בבית הספר, תעודת בגרות, תעודת הערכה במהלך שירותו  הצבאי, תעודה על סיום סדנת "חוק ומשפט" במסגרת פיקוח שירות המבחן, אישור עוסק פטור ממע"מ. ב"כ הנאשם הפנה לפסיקה ועתר לקבוע מתחם ענישה בין 5 חודשי מאסר שניתן לרצות בעבודות שירות, לבין 12 חודשי מאסר בפועל. אשר לקביעת העונש בתוך המתחם, הצטרף לעמדת ב"כ המאשימה שעתרה למקם את הנאשם בתחתית מתחם הענישה, וביקש לאפשר ריצוי העונש בדרך של עבודות שירות.</w:t>
      </w:r>
    </w:p>
    <w:p w14:paraId="084E9B58" w14:textId="77777777" w:rsidR="0081570D" w:rsidRPr="00920B46" w:rsidRDefault="0081570D" w:rsidP="0081570D">
      <w:pPr>
        <w:spacing w:line="360" w:lineRule="auto"/>
        <w:jc w:val="both"/>
        <w:rPr>
          <w:rFonts w:ascii="FrankRuehl" w:hAnsi="FrankRuehl" w:cs="FrankRuehl"/>
          <w:sz w:val="28"/>
          <w:szCs w:val="28"/>
          <w:rtl/>
        </w:rPr>
      </w:pPr>
    </w:p>
    <w:p w14:paraId="4AAA270E"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ab/>
        <w:t>הנאשם שב והודה במיוחס לו, טען כי הוא לוקח אחריות מלאה על מעשיו, כי התנקה מסמים, הביע צער וחרטה, הבהיר כי הפיק לקחים וכי לעולם לא ישוב לעולם העברייני, וביקש מבית המשפט להתחשב בו וליתן לו הזדמנות.</w:t>
      </w:r>
    </w:p>
    <w:p w14:paraId="7CA924BD" w14:textId="77777777" w:rsidR="0081570D" w:rsidRPr="00920B46" w:rsidRDefault="0081570D" w:rsidP="0081570D">
      <w:pPr>
        <w:spacing w:line="360" w:lineRule="auto"/>
        <w:jc w:val="both"/>
        <w:rPr>
          <w:rFonts w:ascii="FrankRuehl" w:hAnsi="FrankRuehl" w:cs="FrankRuehl"/>
          <w:sz w:val="28"/>
          <w:szCs w:val="28"/>
          <w:rtl/>
        </w:rPr>
      </w:pPr>
    </w:p>
    <w:p w14:paraId="7FF372FF"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Miriam"/>
          <w:b/>
          <w:sz w:val="28"/>
          <w:rtl/>
        </w:rPr>
        <w:t>דיון</w:t>
      </w:r>
    </w:p>
    <w:p w14:paraId="398FA915" w14:textId="77777777" w:rsidR="0081570D" w:rsidRPr="00920B46" w:rsidRDefault="0081570D" w:rsidP="0081570D">
      <w:pPr>
        <w:spacing w:line="360" w:lineRule="auto"/>
        <w:jc w:val="both"/>
        <w:rPr>
          <w:rFonts w:ascii="FrankRuehl" w:hAnsi="FrankRuehl" w:cs="FrankRuehl"/>
          <w:sz w:val="28"/>
          <w:szCs w:val="28"/>
          <w:rtl/>
        </w:rPr>
      </w:pPr>
    </w:p>
    <w:p w14:paraId="57565BA0"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Miriam"/>
          <w:b/>
          <w:sz w:val="28"/>
          <w:rtl/>
        </w:rPr>
        <w:t>מדיניות הענישה הנוהגת</w:t>
      </w:r>
    </w:p>
    <w:p w14:paraId="2705F087" w14:textId="77777777" w:rsidR="0081570D" w:rsidRPr="00920B46" w:rsidRDefault="0081570D" w:rsidP="0081570D">
      <w:pPr>
        <w:spacing w:line="360" w:lineRule="auto"/>
        <w:jc w:val="both"/>
        <w:rPr>
          <w:rFonts w:ascii="FrankRuehl" w:hAnsi="FrankRuehl" w:cs="FrankRuehl"/>
          <w:sz w:val="28"/>
          <w:szCs w:val="28"/>
          <w:rtl/>
        </w:rPr>
      </w:pPr>
    </w:p>
    <w:p w14:paraId="29E937FF" w14:textId="77777777" w:rsidR="0081570D" w:rsidRPr="00920B46" w:rsidRDefault="0081570D" w:rsidP="0081570D">
      <w:pPr>
        <w:spacing w:line="360" w:lineRule="auto"/>
        <w:jc w:val="both"/>
        <w:rPr>
          <w:rFonts w:ascii="FrankRuehl" w:hAnsi="FrankRuehl" w:cs="FrankRuehl"/>
          <w:sz w:val="28"/>
          <w:szCs w:val="28"/>
          <w:rtl/>
        </w:rPr>
      </w:pPr>
      <w:r w:rsidRPr="00920B46">
        <w:rPr>
          <w:rFonts w:ascii="FrankRuehl" w:hAnsi="FrankRuehl" w:cs="FrankRuehl"/>
          <w:sz w:val="28"/>
          <w:szCs w:val="28"/>
          <w:rtl/>
        </w:rPr>
        <w:t>4.</w:t>
      </w:r>
      <w:r w:rsidRPr="00920B46">
        <w:rPr>
          <w:rFonts w:ascii="FrankRuehl" w:hAnsi="FrankRuehl" w:cs="FrankRuehl"/>
          <w:sz w:val="28"/>
          <w:szCs w:val="28"/>
          <w:rtl/>
        </w:rPr>
        <w:tab/>
        <w:t xml:space="preserve">עבירת החזקת סם שלא לצריכה עצמית, </w:t>
      </w:r>
      <w:r>
        <w:rPr>
          <w:rFonts w:ascii="FrankRuehl" w:hAnsi="FrankRuehl" w:cs="FrankRuehl" w:hint="cs"/>
          <w:sz w:val="28"/>
          <w:szCs w:val="28"/>
          <w:rtl/>
        </w:rPr>
        <w:t>"</w:t>
      </w:r>
      <w:r w:rsidRPr="00920B46">
        <w:rPr>
          <w:rFonts w:ascii="FrankRuehl" w:hAnsi="FrankRuehl" w:cs="FrankRuehl"/>
          <w:sz w:val="28"/>
          <w:szCs w:val="28"/>
          <w:rtl/>
        </w:rPr>
        <w:t>אחותה התאומה</w:t>
      </w:r>
      <w:r>
        <w:rPr>
          <w:rFonts w:ascii="FrankRuehl" w:hAnsi="FrankRuehl" w:cs="FrankRuehl" w:hint="cs"/>
          <w:sz w:val="28"/>
          <w:szCs w:val="28"/>
          <w:rtl/>
        </w:rPr>
        <w:t>"</w:t>
      </w:r>
      <w:r w:rsidRPr="00920B46">
        <w:rPr>
          <w:rFonts w:ascii="FrankRuehl" w:hAnsi="FrankRuehl" w:cs="FrankRuehl"/>
          <w:sz w:val="28"/>
          <w:szCs w:val="28"/>
          <w:rtl/>
        </w:rPr>
        <w:t xml:space="preserve"> של עבירת הסחר בסמים, הפכה למרבה הצער לתופעה שכיחה ונפוצה בחברה, חרף הנזקים החמורים הנגרמים בעטיה. בחינת הענישה הנוהגת מגלה קשת עונשים רחבה מאד, בה כל צד יכול למצוא פסקי דין שיאפשרו לו "למשוך" בכיוון הרצוי לו. מכאן, לא ראיתי לסקור את פסקי הדין אליהם הפנו הצדדים (ולמען הסר ספק, בחנתי אותם בעיון), ואפנה למדגם מצומצם, מייצג ועדכני ככל הניתן מפסיקת בית המשפט העליון.</w:t>
      </w:r>
    </w:p>
    <w:p w14:paraId="7315FA04" w14:textId="77777777" w:rsidR="0081570D" w:rsidRPr="00920B46" w:rsidRDefault="0081570D" w:rsidP="0081570D">
      <w:pPr>
        <w:spacing w:line="360" w:lineRule="auto"/>
        <w:jc w:val="both"/>
        <w:rPr>
          <w:rFonts w:ascii="FrankRuehl" w:hAnsi="FrankRuehl" w:cs="FrankRuehl"/>
          <w:sz w:val="28"/>
          <w:szCs w:val="28"/>
          <w:rtl/>
        </w:rPr>
      </w:pPr>
    </w:p>
    <w:p w14:paraId="2D255720" w14:textId="77777777" w:rsidR="0081570D" w:rsidRPr="00920B46" w:rsidRDefault="0081570D" w:rsidP="0081570D">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r w:rsidRPr="00920B46">
        <w:rPr>
          <w:rFonts w:ascii="FrankRuehl" w:hAnsi="FrankRuehl" w:cs="FrankRuehl"/>
          <w:spacing w:val="10"/>
          <w:sz w:val="28"/>
          <w:szCs w:val="28"/>
          <w:rtl/>
        </w:rPr>
        <w:tab/>
      </w:r>
      <w:hyperlink r:id="rId20" w:history="1">
        <w:r w:rsidR="00874DF1" w:rsidRPr="00874DF1">
          <w:rPr>
            <w:rFonts w:ascii="FrankRuehl" w:hAnsi="FrankRuehl" w:cs="FrankRuehl"/>
            <w:color w:val="0000FF"/>
            <w:spacing w:val="10"/>
            <w:sz w:val="28"/>
            <w:szCs w:val="28"/>
            <w:u w:val="single"/>
            <w:rtl/>
          </w:rPr>
          <w:t>רע"פ 3084/21</w:t>
        </w:r>
      </w:hyperlink>
      <w:r w:rsidRPr="00920B46">
        <w:rPr>
          <w:rFonts w:ascii="FrankRuehl" w:hAnsi="FrankRuehl" w:cs="FrankRuehl"/>
          <w:spacing w:val="10"/>
          <w:sz w:val="28"/>
          <w:szCs w:val="28"/>
          <w:rtl/>
        </w:rPr>
        <w:t xml:space="preserve"> </w:t>
      </w:r>
      <w:r w:rsidRPr="00920B46">
        <w:rPr>
          <w:rFonts w:ascii="FrankRuehl" w:hAnsi="FrankRuehl" w:cs="Miriam"/>
          <w:b/>
          <w:spacing w:val="10"/>
          <w:sz w:val="28"/>
          <w:rtl/>
        </w:rPr>
        <w:t>יוסף יאגודייב נ' מדינת ישראל</w:t>
      </w:r>
      <w:r w:rsidRPr="00920B46">
        <w:rPr>
          <w:rFonts w:ascii="FrankRuehl" w:hAnsi="FrankRuehl" w:cs="FrankRuehl"/>
          <w:spacing w:val="10"/>
          <w:sz w:val="28"/>
          <w:szCs w:val="28"/>
          <w:rtl/>
        </w:rPr>
        <w:t xml:space="preserve"> (12.5.21, להלן: </w:t>
      </w:r>
      <w:r w:rsidRPr="00920B46">
        <w:rPr>
          <w:rFonts w:ascii="FrankRuehl" w:hAnsi="FrankRuehl" w:cs="Miriam"/>
          <w:b/>
          <w:spacing w:val="10"/>
          <w:sz w:val="28"/>
          <w:rtl/>
        </w:rPr>
        <w:t>ענין יאגודייב</w:t>
      </w:r>
      <w:r w:rsidRPr="00920B46">
        <w:rPr>
          <w:rFonts w:ascii="FrankRuehl" w:hAnsi="FrankRuehl" w:cs="FrankRuehl"/>
          <w:spacing w:val="10"/>
          <w:sz w:val="28"/>
          <w:szCs w:val="28"/>
          <w:rtl/>
        </w:rPr>
        <w:t xml:space="preserve">). המבקש הורשע בהתאם להודאתו בעבירה של החזקת סם שלא לצריכה עצמית. </w:t>
      </w:r>
      <w:r w:rsidRPr="00920B46">
        <w:rPr>
          <w:rFonts w:ascii="Garamond" w:hAnsi="Garamond" w:cs="FrankRuehl"/>
          <w:spacing w:val="10"/>
          <w:szCs w:val="28"/>
          <w:rtl/>
        </w:rPr>
        <w:t>במסגרת "תרגיל" משטרתי התקשר שוטר לאדם המוכר בעיסוקו בסחר בסמים וביקש לרכו</w:t>
      </w:r>
      <w:r w:rsidRPr="00920B46">
        <w:rPr>
          <w:rFonts w:ascii="FrankRuehl" w:hAnsi="FrankRuehl" w:cs="FrankRuehl"/>
          <w:spacing w:val="10"/>
          <w:sz w:val="28"/>
          <w:szCs w:val="28"/>
          <w:rtl/>
        </w:rPr>
        <w:t>ש ממנו סם מסוכן מסוג קנבוס. לאחר תיאום טלפוני, הציע הסוחר למכור לשוטר סם בכמות של 9 ק"ג, והשניים סיכמו להיפגש לצורך ביצוע העסקה. משהגיע השוטר למקום המפגש, ניגש אליו אדם נוסף ומסר לו כי רכב עם הסם יגיע תוך דקות ספורות. לאחר מספר דקות, הגיע למקום המבקש כשהוא נוהג ברכב. משפנו אליו השוטר והאדם הנוסף, פנה המבקש לשוטר, אמר לו "זה בבגאז'", ופתח את מנעול תא המטען. בשלב זה, האדם הנוסף הרים את מכסה תא המטען והצביע בפני השוטר על תיקים המאוחסנים בתא, ובתוכם סם מסוכן מסוג קנבוס במשקל כולל של 9.9 ק"ג. בית משפט השלום גזר על המבקש 12 חודשי מאסר בפועל, לאחר שלקח בחשבון את המלצת שירות המבחן לענישה שיקומית, ומנגד את העובדה שהמבקש טרם השתלב בהליך טיפולי משמעותי, את עברו הפלילי ואת חלקו בהפצת הסם. ערעור המבקש לבית המשפט המחוזי נדחה, וכך גם הבקשה לרשות ערעור.</w:t>
      </w:r>
    </w:p>
    <w:p w14:paraId="0C8C4137" w14:textId="77777777" w:rsidR="0081570D" w:rsidRPr="00920B46" w:rsidRDefault="0081570D" w:rsidP="0081570D">
      <w:pPr>
        <w:spacing w:line="360" w:lineRule="auto"/>
        <w:jc w:val="both"/>
        <w:rPr>
          <w:rFonts w:ascii="FrankRuehl" w:eastAsia="Calibri" w:hAnsi="FrankRuehl" w:cs="FrankRuehl"/>
          <w:sz w:val="28"/>
          <w:szCs w:val="28"/>
          <w:rtl/>
        </w:rPr>
      </w:pPr>
    </w:p>
    <w:p w14:paraId="7BAEA59B" w14:textId="77777777" w:rsidR="0081570D" w:rsidRPr="00920B46" w:rsidRDefault="0081570D" w:rsidP="0081570D">
      <w:pPr>
        <w:spacing w:line="360" w:lineRule="auto"/>
        <w:jc w:val="both"/>
        <w:rPr>
          <w:rFonts w:ascii="FrankRuehl" w:eastAsia="Calibri" w:hAnsi="FrankRuehl" w:cs="FrankRuehl"/>
          <w:sz w:val="28"/>
          <w:szCs w:val="28"/>
          <w:rtl/>
        </w:rPr>
      </w:pPr>
      <w:r w:rsidRPr="00920B46">
        <w:rPr>
          <w:rFonts w:ascii="FrankRuehl" w:eastAsia="Calibri" w:hAnsi="FrankRuehl" w:cs="FrankRuehl"/>
          <w:sz w:val="28"/>
          <w:szCs w:val="28"/>
          <w:rtl/>
        </w:rPr>
        <w:tab/>
      </w:r>
      <w:hyperlink r:id="rId21" w:history="1">
        <w:r w:rsidR="00874DF1" w:rsidRPr="00874DF1">
          <w:rPr>
            <w:rFonts w:ascii="FrankRuehl" w:eastAsia="Calibri" w:hAnsi="FrankRuehl" w:cs="FrankRuehl"/>
            <w:color w:val="0000FF"/>
            <w:sz w:val="28"/>
            <w:szCs w:val="28"/>
            <w:u w:val="single"/>
            <w:rtl/>
          </w:rPr>
          <w:t>רע"פ 513/21</w:t>
        </w:r>
      </w:hyperlink>
      <w:r w:rsidRPr="00920B46">
        <w:rPr>
          <w:rFonts w:ascii="FrankRuehl" w:eastAsia="Calibri" w:hAnsi="FrankRuehl" w:cs="FrankRuehl"/>
          <w:sz w:val="28"/>
          <w:szCs w:val="28"/>
          <w:rtl/>
        </w:rPr>
        <w:t xml:space="preserve"> </w:t>
      </w:r>
      <w:r w:rsidRPr="00920B46">
        <w:rPr>
          <w:rFonts w:ascii="FrankRuehl" w:eastAsia="Calibri" w:hAnsi="FrankRuehl" w:cs="Miriam"/>
          <w:b/>
          <w:sz w:val="28"/>
          <w:rtl/>
        </w:rPr>
        <w:t>עידן יהושע נ' מדינת ישראל</w:t>
      </w:r>
      <w:r w:rsidRPr="00920B46">
        <w:rPr>
          <w:rFonts w:ascii="FrankRuehl" w:eastAsia="Calibri" w:hAnsi="FrankRuehl" w:cs="FrankRuehl"/>
          <w:sz w:val="28"/>
          <w:szCs w:val="28"/>
          <w:rtl/>
        </w:rPr>
        <w:t xml:space="preserve"> (4.3.21). המבקש הורשע בהתאם להודאתו בייצור סמים מסוכנים, בכך שהקים במחסן בחצר הדירה בה התגורר עם משפחתו מעבדה לגידול סמים, בה גידל 60 שתילי קנבוס במשקל כולל של 10 ק"ג. בית משפט השלום קבע מתחם ענישה בין 24-6 חודשי מאסר, ודינו של המבקש נגזר בחריגה לקולה מהמתחם, ל- 150 שעות של"צ, צו מבחן ועונשים נלווים. ערעור המדינה על קולת העונש התקבל, ובית המשפט המחוזי העמיד את עונשו של המבקש על 10 חודשי מאסר בפועל. בקשת רשות ערעור נדחתה.</w:t>
      </w:r>
    </w:p>
    <w:p w14:paraId="76142836" w14:textId="77777777" w:rsidR="0081570D" w:rsidRPr="00920B46" w:rsidRDefault="0081570D" w:rsidP="0081570D">
      <w:pPr>
        <w:spacing w:line="360" w:lineRule="auto"/>
        <w:jc w:val="both"/>
        <w:rPr>
          <w:rFonts w:ascii="FrankRuehl" w:eastAsia="Calibri" w:hAnsi="FrankRuehl" w:cs="FrankRuehl"/>
          <w:sz w:val="28"/>
          <w:szCs w:val="28"/>
          <w:rtl/>
        </w:rPr>
      </w:pPr>
    </w:p>
    <w:p w14:paraId="7E579806" w14:textId="77777777" w:rsidR="0081570D" w:rsidRPr="00920B46" w:rsidRDefault="0081570D" w:rsidP="0081570D">
      <w:pPr>
        <w:spacing w:line="360" w:lineRule="auto"/>
        <w:jc w:val="both"/>
        <w:rPr>
          <w:rFonts w:ascii="FrankRuehl" w:eastAsia="Calibri" w:hAnsi="FrankRuehl" w:cs="FrankRuehl"/>
          <w:sz w:val="28"/>
          <w:szCs w:val="28"/>
          <w:rtl/>
        </w:rPr>
      </w:pPr>
      <w:r w:rsidRPr="00920B46">
        <w:rPr>
          <w:rFonts w:ascii="FrankRuehl" w:eastAsia="Calibri" w:hAnsi="FrankRuehl" w:cs="FrankRuehl"/>
          <w:sz w:val="28"/>
          <w:szCs w:val="28"/>
          <w:rtl/>
        </w:rPr>
        <w:tab/>
      </w:r>
      <w:hyperlink r:id="rId22" w:history="1">
        <w:r w:rsidR="00874DF1" w:rsidRPr="00874DF1">
          <w:rPr>
            <w:rFonts w:ascii="FrankRuehl" w:eastAsia="Calibri" w:hAnsi="FrankRuehl" w:cs="FrankRuehl"/>
            <w:color w:val="0000FF"/>
            <w:sz w:val="28"/>
            <w:szCs w:val="28"/>
            <w:u w:val="single"/>
            <w:rtl/>
          </w:rPr>
          <w:t>רע"פ 7819/15</w:t>
        </w:r>
      </w:hyperlink>
      <w:r w:rsidRPr="00920B46">
        <w:rPr>
          <w:rFonts w:ascii="FrankRuehl" w:eastAsia="Calibri" w:hAnsi="FrankRuehl" w:cs="FrankRuehl"/>
          <w:sz w:val="28"/>
          <w:szCs w:val="28"/>
          <w:rtl/>
        </w:rPr>
        <w:t xml:space="preserve"> </w:t>
      </w:r>
      <w:r w:rsidRPr="00920B46">
        <w:rPr>
          <w:rFonts w:ascii="FrankRuehl" w:eastAsia="Calibri" w:hAnsi="FrankRuehl" w:cs="Miriam"/>
          <w:b/>
          <w:sz w:val="28"/>
          <w:rtl/>
        </w:rPr>
        <w:t xml:space="preserve">עופר סלור נ' מדינת ישראל </w:t>
      </w:r>
      <w:r w:rsidRPr="00920B46">
        <w:rPr>
          <w:rFonts w:ascii="FrankRuehl" w:eastAsia="Calibri" w:hAnsi="FrankRuehl" w:cs="FrankRuehl"/>
          <w:sz w:val="28"/>
          <w:szCs w:val="28"/>
          <w:rtl/>
        </w:rPr>
        <w:t xml:space="preserve">(22.5.16, להלן: </w:t>
      </w:r>
      <w:r w:rsidRPr="00920B46">
        <w:rPr>
          <w:rFonts w:ascii="FrankRuehl" w:eastAsia="Calibri" w:hAnsi="FrankRuehl" w:cs="Miriam"/>
          <w:b/>
          <w:sz w:val="28"/>
          <w:rtl/>
        </w:rPr>
        <w:t>ענין סלור</w:t>
      </w:r>
      <w:r w:rsidRPr="00920B46">
        <w:rPr>
          <w:rFonts w:ascii="FrankRuehl" w:eastAsia="Calibri" w:hAnsi="FrankRuehl" w:cs="FrankRuehl"/>
          <w:sz w:val="28"/>
          <w:szCs w:val="28"/>
          <w:rtl/>
        </w:rPr>
        <w:t>). המבקש הורשע בהתאם להודאתו בהחזקת סמים שלא לצריכה עצמית וגידול סמים, בכך שהקים בביתו מעבדת סמים בה גידל 45 שתילים של סם מסוג קנבוס, במשקל 7.44 ק"ג. בית משפט השלום קבע מתחם ענישה בין 18-7 חודשי מאסר, וגזר את עונשו של המבקש ל- 9 חודשי מאסר בפועל ועונשים נלווים. ערעורו על חומרת העונש נדחה, וכך גם בקשתו לרשות ערעור.</w:t>
      </w:r>
    </w:p>
    <w:p w14:paraId="01701A7D" w14:textId="77777777" w:rsidR="0081570D" w:rsidRPr="00920B46" w:rsidRDefault="0081570D" w:rsidP="0081570D">
      <w:pPr>
        <w:spacing w:line="360" w:lineRule="auto"/>
        <w:jc w:val="both"/>
        <w:rPr>
          <w:rFonts w:ascii="FrankRuehl" w:eastAsia="Calibri" w:hAnsi="FrankRuehl" w:cs="FrankRuehl"/>
          <w:sz w:val="28"/>
          <w:szCs w:val="28"/>
          <w:rtl/>
        </w:rPr>
      </w:pPr>
    </w:p>
    <w:p w14:paraId="44B4EE13" w14:textId="77777777" w:rsidR="0081570D" w:rsidRPr="00920B46" w:rsidRDefault="0081570D" w:rsidP="0081570D">
      <w:pPr>
        <w:spacing w:line="360" w:lineRule="auto"/>
        <w:jc w:val="both"/>
        <w:rPr>
          <w:rFonts w:ascii="FrankRuehl" w:eastAsia="Calibri" w:hAnsi="FrankRuehl" w:cs="FrankRuehl"/>
          <w:sz w:val="28"/>
          <w:szCs w:val="28"/>
          <w:rtl/>
        </w:rPr>
      </w:pPr>
      <w:r w:rsidRPr="00920B46">
        <w:rPr>
          <w:rFonts w:ascii="FrankRuehl" w:eastAsia="Calibri" w:hAnsi="FrankRuehl" w:cs="FrankRuehl"/>
          <w:sz w:val="28"/>
          <w:szCs w:val="28"/>
          <w:rtl/>
        </w:rPr>
        <w:tab/>
      </w:r>
      <w:hyperlink r:id="rId23" w:history="1">
        <w:r w:rsidR="00874DF1" w:rsidRPr="00874DF1">
          <w:rPr>
            <w:rFonts w:ascii="FrankRuehl" w:eastAsia="Calibri" w:hAnsi="FrankRuehl" w:cs="FrankRuehl"/>
            <w:color w:val="0000FF"/>
            <w:sz w:val="28"/>
            <w:szCs w:val="28"/>
            <w:u w:val="single"/>
            <w:rtl/>
          </w:rPr>
          <w:t>רע"פ 1830/16</w:t>
        </w:r>
      </w:hyperlink>
      <w:r w:rsidRPr="00920B46">
        <w:rPr>
          <w:rFonts w:ascii="FrankRuehl" w:eastAsia="Calibri" w:hAnsi="FrankRuehl" w:cs="FrankRuehl"/>
          <w:sz w:val="28"/>
          <w:szCs w:val="28"/>
          <w:rtl/>
        </w:rPr>
        <w:t xml:space="preserve"> </w:t>
      </w:r>
      <w:r w:rsidRPr="00920B46">
        <w:rPr>
          <w:rFonts w:ascii="FrankRuehl" w:eastAsia="Calibri" w:hAnsi="FrankRuehl" w:cs="Miriam"/>
          <w:b/>
          <w:sz w:val="28"/>
          <w:rtl/>
        </w:rPr>
        <w:t xml:space="preserve">סאלם רקיבי נ' מדינת ישראל </w:t>
      </w:r>
      <w:r w:rsidRPr="00920B46">
        <w:rPr>
          <w:rFonts w:ascii="FrankRuehl" w:eastAsia="Calibri" w:hAnsi="FrankRuehl" w:cs="FrankRuehl"/>
          <w:sz w:val="28"/>
          <w:szCs w:val="28"/>
          <w:rtl/>
        </w:rPr>
        <w:t>(11.4.16). המבקש הורשע בהתאם להודאתו בהחזקת סמים שלא לצריכה עצמית, לאחר שברכב בו נהג נתפס סם מסוג חשיש במשקל כ- 2.3 ק"ג. בית משפט השלום קבע מתחם ענישה בין 15-6 חודשי מאסר, וגזר את עונשו של המבקש ל- 8 חודשי מאסר בפועל ועונשים נלווים. ערעורו לבית המשפט המחוזי נדחה, וכך גם בקשת רשות ערעור.</w:t>
      </w:r>
    </w:p>
    <w:p w14:paraId="6C1E1F60" w14:textId="77777777" w:rsidR="0081570D" w:rsidRPr="00920B46" w:rsidRDefault="0081570D" w:rsidP="0081570D">
      <w:pPr>
        <w:spacing w:line="360" w:lineRule="auto"/>
        <w:jc w:val="both"/>
        <w:rPr>
          <w:rFonts w:ascii="FrankRuehl" w:eastAsia="Calibri" w:hAnsi="FrankRuehl" w:cs="FrankRuehl"/>
          <w:sz w:val="28"/>
          <w:szCs w:val="28"/>
          <w:rtl/>
        </w:rPr>
      </w:pPr>
    </w:p>
    <w:p w14:paraId="5AA68E53" w14:textId="77777777" w:rsidR="0081570D" w:rsidRPr="00920B46" w:rsidRDefault="0081570D" w:rsidP="0081570D">
      <w:pPr>
        <w:spacing w:line="360" w:lineRule="auto"/>
        <w:jc w:val="both"/>
        <w:rPr>
          <w:rFonts w:ascii="FrankRuehl" w:eastAsia="Calibri" w:hAnsi="FrankRuehl" w:cs="FrankRuehl"/>
          <w:sz w:val="28"/>
          <w:szCs w:val="28"/>
          <w:rtl/>
        </w:rPr>
      </w:pPr>
      <w:r w:rsidRPr="00920B46">
        <w:rPr>
          <w:rFonts w:ascii="FrankRuehl" w:eastAsia="Calibri" w:hAnsi="FrankRuehl" w:cs="FrankRuehl"/>
          <w:sz w:val="28"/>
          <w:szCs w:val="28"/>
          <w:rtl/>
        </w:rPr>
        <w:tab/>
      </w:r>
      <w:hyperlink r:id="rId24" w:history="1">
        <w:r w:rsidR="00874DF1" w:rsidRPr="00874DF1">
          <w:rPr>
            <w:rFonts w:ascii="FrankRuehl" w:eastAsia="Calibri" w:hAnsi="FrankRuehl" w:cs="FrankRuehl"/>
            <w:color w:val="0000FF"/>
            <w:sz w:val="28"/>
            <w:szCs w:val="28"/>
            <w:u w:val="single"/>
            <w:rtl/>
          </w:rPr>
          <w:t>רע"פ 1787/15</w:t>
        </w:r>
      </w:hyperlink>
      <w:r w:rsidRPr="00920B46">
        <w:rPr>
          <w:rFonts w:ascii="FrankRuehl" w:eastAsia="Calibri" w:hAnsi="FrankRuehl" w:cs="FrankRuehl"/>
          <w:sz w:val="28"/>
          <w:szCs w:val="28"/>
          <w:rtl/>
        </w:rPr>
        <w:t xml:space="preserve"> </w:t>
      </w:r>
      <w:r w:rsidRPr="00920B46">
        <w:rPr>
          <w:rFonts w:ascii="FrankRuehl" w:eastAsia="Calibri" w:hAnsi="FrankRuehl" w:cs="Miriam"/>
          <w:b/>
          <w:sz w:val="28"/>
          <w:rtl/>
        </w:rPr>
        <w:t xml:space="preserve">אדי עמר נ' מדינת ישראל </w:t>
      </w:r>
      <w:r w:rsidRPr="00920B46">
        <w:rPr>
          <w:rFonts w:ascii="FrankRuehl" w:eastAsia="Calibri" w:hAnsi="FrankRuehl" w:cs="FrankRuehl"/>
          <w:sz w:val="28"/>
          <w:szCs w:val="28"/>
          <w:rtl/>
        </w:rPr>
        <w:t>(24.3.15). המבקש הורשע בהתאם להודאתו בגידול סמים, החזקת סמים שלא לצריכה עצמית והחזקת כלים להכנת סם שלא לצריכה עצמית, לאחר שבחיפוש בבית מגוריו נמצאו 9 שתילי סם מסוג קנבוס במשקל כ- 4.4 ק"ג, ובנוסף נתפסו כלים לייצור הסמים וסכומי כסף נכבדים. בית משפט השלום גזר את עונשו ל- 8 חודשי מאסר בפועל ועונשים נלווים. ערעורו לבית המשפט המחוזי נדחה, וכך גם הבקשה לרשות ערעור.</w:t>
      </w:r>
    </w:p>
    <w:p w14:paraId="42AEE815" w14:textId="77777777" w:rsidR="0081570D" w:rsidRPr="00920B46" w:rsidRDefault="0081570D" w:rsidP="0081570D">
      <w:pPr>
        <w:spacing w:line="360" w:lineRule="auto"/>
        <w:jc w:val="both"/>
        <w:rPr>
          <w:rFonts w:ascii="FrankRuehl" w:eastAsia="Calibri" w:hAnsi="FrankRuehl" w:cs="FrankRuehl"/>
          <w:sz w:val="28"/>
          <w:szCs w:val="28"/>
          <w:rtl/>
        </w:rPr>
      </w:pPr>
    </w:p>
    <w:p w14:paraId="4B0A56FA" w14:textId="77777777" w:rsidR="0081570D" w:rsidRPr="00920B46" w:rsidRDefault="0081570D" w:rsidP="0081570D">
      <w:pPr>
        <w:spacing w:line="360" w:lineRule="auto"/>
        <w:jc w:val="both"/>
        <w:rPr>
          <w:rFonts w:ascii="FrankRuehl" w:eastAsia="Calibri" w:hAnsi="FrankRuehl" w:cs="FrankRuehl"/>
          <w:sz w:val="28"/>
          <w:szCs w:val="28"/>
          <w:rtl/>
        </w:rPr>
      </w:pPr>
      <w:r w:rsidRPr="00920B46">
        <w:rPr>
          <w:rFonts w:ascii="FrankRuehl" w:eastAsia="Calibri" w:hAnsi="FrankRuehl" w:cs="Miriam"/>
          <w:b/>
          <w:sz w:val="28"/>
          <w:rtl/>
        </w:rPr>
        <w:t>מתחם העונש ההולם</w:t>
      </w:r>
    </w:p>
    <w:p w14:paraId="66B79D7E" w14:textId="77777777" w:rsidR="0081570D" w:rsidRPr="00920B46" w:rsidRDefault="0081570D" w:rsidP="0081570D">
      <w:pPr>
        <w:tabs>
          <w:tab w:val="left" w:pos="800"/>
        </w:tabs>
        <w:overflowPunct w:val="0"/>
        <w:autoSpaceDE w:val="0"/>
        <w:autoSpaceDN w:val="0"/>
        <w:adjustRightInd w:val="0"/>
        <w:spacing w:line="360" w:lineRule="auto"/>
        <w:jc w:val="both"/>
        <w:rPr>
          <w:rFonts w:ascii="Arial TUR" w:hAnsi="Arial TUR" w:cs="FrankRuehl"/>
          <w:spacing w:val="10"/>
          <w:sz w:val="22"/>
          <w:szCs w:val="28"/>
          <w:rtl/>
        </w:rPr>
      </w:pPr>
      <w:r w:rsidRPr="00920B46">
        <w:rPr>
          <w:rFonts w:ascii="FrankRuehl" w:hAnsi="FrankRuehl" w:cs="FrankRuehl"/>
          <w:spacing w:val="10"/>
          <w:sz w:val="28"/>
          <w:szCs w:val="28"/>
          <w:rtl/>
        </w:rPr>
        <w:tab/>
      </w:r>
    </w:p>
    <w:p w14:paraId="2D21E176"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sidRPr="00920B46">
        <w:rPr>
          <w:rFonts w:ascii="Garamond" w:hAnsi="Garamond" w:cs="FrankRuehl"/>
          <w:spacing w:val="10"/>
          <w:szCs w:val="28"/>
          <w:rtl/>
        </w:rPr>
        <w:t>5.</w:t>
      </w:r>
      <w:r w:rsidRPr="00920B46">
        <w:rPr>
          <w:rFonts w:ascii="Garamond" w:hAnsi="Garamond" w:cs="FrankRuehl"/>
          <w:spacing w:val="10"/>
          <w:szCs w:val="28"/>
          <w:rtl/>
        </w:rPr>
        <w:tab/>
        <w:t xml:space="preserve">לא למותר לשוב ולהדגיש את </w:t>
      </w:r>
      <w:r w:rsidRPr="00920B46">
        <w:rPr>
          <w:rFonts w:ascii="FrankRuehl" w:hAnsi="FrankRuehl" w:cs="FrankRuehl"/>
          <w:sz w:val="28"/>
          <w:szCs w:val="28"/>
          <w:rtl/>
        </w:rPr>
        <w:t>חובתה של מערכת המשפט לסייע בהגנה על שלומו, בטחונו ובריאותו של הציבור מפני פגיעתם הקשה של הסמים. הנאשם החזיק 5.5 ק"ג סמים מסוג קנבוס וחשיש, סוגים שונים של סמים שלא נועדו לצריכתו העצמית, משמע – נועדו למטרות סחר. לא לחינם גזר המחוקק גזירה שווה בין העונש שנקבע בצדה של עבירת הסחר בסמים לבין זה שנקבע בצדה של עבירת החזקת סם שלא לצריכה עצמית. מדובר בשני צדדים של אותו המטבע, ובשני המקרים העבירות פוגעות בציבור באופן קשה ומשמעותי</w:t>
      </w:r>
      <w:r w:rsidRPr="00920B46">
        <w:rPr>
          <w:rFonts w:ascii="Garamond" w:hAnsi="Garamond" w:cs="FrankRuehl"/>
          <w:spacing w:val="10"/>
          <w:szCs w:val="28"/>
          <w:rtl/>
        </w:rPr>
        <w:t>.</w:t>
      </w:r>
    </w:p>
    <w:p w14:paraId="07D33AEC"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4D88150C"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sidRPr="00920B46">
        <w:rPr>
          <w:rFonts w:ascii="Garamond" w:hAnsi="Garamond" w:cs="FrankRuehl"/>
          <w:spacing w:val="10"/>
          <w:szCs w:val="28"/>
          <w:rtl/>
        </w:rPr>
        <w:tab/>
        <w:t xml:space="preserve">כמות הסמים שהחזיק </w:t>
      </w:r>
      <w:r>
        <w:rPr>
          <w:rFonts w:ascii="Garamond" w:hAnsi="Garamond" w:cs="FrankRuehl" w:hint="cs"/>
          <w:spacing w:val="10"/>
          <w:szCs w:val="28"/>
          <w:rtl/>
        </w:rPr>
        <w:t>הנאשם</w:t>
      </w:r>
      <w:r w:rsidRPr="00920B46">
        <w:rPr>
          <w:rFonts w:ascii="Garamond" w:hAnsi="Garamond" w:cs="FrankRuehl"/>
          <w:spacing w:val="10"/>
          <w:szCs w:val="28"/>
          <w:rtl/>
        </w:rPr>
        <w:t xml:space="preserve"> מספיקה להכנת מאות מנות סם, ומכאן ניתן לגזור את הנזק שעלול היה להסב לציבור. גם הציוד שהחזיק הנאשם: משקלים דיגיטליים, שקיות חלוקה, מדבקות ועליהן כיתוב שתוכנו אינו משתמע לשתי פנים – מלמד על מטרתה המובהקת של העבירה. ראו ענין יאגודייב: "בית משפט זה הדגיש לא אחת את החומרה הרבה שיש לייחס לעבירות סמים, המצריכות ענישה משמעותית ומרתיעה תוך נקיטת יד קשה כלפי כל המעורבים בשרשרת ביצוע העבירה".</w:t>
      </w:r>
    </w:p>
    <w:p w14:paraId="789C58BA"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2104E2F0" w14:textId="77777777" w:rsidR="0081570D" w:rsidRPr="00920B46" w:rsidRDefault="0081570D" w:rsidP="0081570D">
      <w:pPr>
        <w:spacing w:line="360" w:lineRule="auto"/>
        <w:ind w:firstLine="720"/>
        <w:jc w:val="both"/>
        <w:rPr>
          <w:rFonts w:ascii="FrankRuehl" w:hAnsi="FrankRuehl" w:cs="FrankRuehl"/>
          <w:sz w:val="28"/>
          <w:szCs w:val="28"/>
          <w:rtl/>
        </w:rPr>
      </w:pPr>
      <w:r w:rsidRPr="00920B46">
        <w:rPr>
          <w:rFonts w:ascii="FrankRuehl" w:hAnsi="FrankRuehl" w:cs="FrankRuehl"/>
          <w:b/>
          <w:sz w:val="28"/>
          <w:szCs w:val="28"/>
          <w:rtl/>
        </w:rPr>
        <w:t xml:space="preserve">לאחר שבחנתי את השיקולים המנויים </w:t>
      </w:r>
      <w:hyperlink r:id="rId25" w:history="1">
        <w:r w:rsidR="009667C8" w:rsidRPr="009667C8">
          <w:rPr>
            <w:rStyle w:val="Hyperlink"/>
            <w:rFonts w:ascii="FrankRuehl" w:hAnsi="FrankRuehl" w:cs="FrankRuehl"/>
            <w:b/>
            <w:sz w:val="28"/>
            <w:szCs w:val="28"/>
            <w:rtl/>
          </w:rPr>
          <w:t>בסעיפים 40ג(א)</w:t>
        </w:r>
      </w:hyperlink>
      <w:r w:rsidRPr="00920B46">
        <w:rPr>
          <w:rFonts w:ascii="FrankRuehl" w:hAnsi="FrankRuehl" w:cs="FrankRuehl"/>
          <w:b/>
          <w:sz w:val="28"/>
          <w:szCs w:val="28"/>
          <w:rtl/>
        </w:rPr>
        <w:t xml:space="preserve"> ו- </w:t>
      </w:r>
      <w:hyperlink r:id="rId26" w:history="1">
        <w:r w:rsidR="009667C8" w:rsidRPr="009667C8">
          <w:rPr>
            <w:rStyle w:val="Hyperlink"/>
            <w:rFonts w:ascii="FrankRuehl" w:hAnsi="FrankRuehl" w:cs="FrankRuehl"/>
            <w:b/>
            <w:sz w:val="28"/>
            <w:szCs w:val="28"/>
            <w:rtl/>
          </w:rPr>
          <w:t>40ט</w:t>
        </w:r>
      </w:hyperlink>
      <w:r w:rsidRPr="00920B46">
        <w:rPr>
          <w:rFonts w:ascii="FrankRuehl" w:hAnsi="FrankRuehl" w:cs="FrankRuehl"/>
          <w:b/>
          <w:sz w:val="28"/>
          <w:szCs w:val="28"/>
          <w:rtl/>
        </w:rPr>
        <w:t xml:space="preserve"> ל</w:t>
      </w:r>
      <w:hyperlink r:id="rId27" w:history="1">
        <w:r w:rsidR="00874DF1" w:rsidRPr="00874DF1">
          <w:rPr>
            <w:rFonts w:ascii="FrankRuehl" w:hAnsi="FrankRuehl" w:cs="FrankRuehl"/>
            <w:b/>
            <w:color w:val="0000FF"/>
            <w:sz w:val="28"/>
            <w:szCs w:val="28"/>
            <w:u w:val="single"/>
            <w:rtl/>
          </w:rPr>
          <w:t>חוק העונשין</w:t>
        </w:r>
      </w:hyperlink>
      <w:r w:rsidRPr="00920B46">
        <w:rPr>
          <w:rFonts w:ascii="FrankRuehl" w:hAnsi="FrankRuehl" w:cs="FrankRuehl"/>
          <w:b/>
          <w:sz w:val="28"/>
          <w:szCs w:val="28"/>
          <w:rtl/>
        </w:rPr>
        <w:t xml:space="preserve">, תשל"ז-1977 (להלן: </w:t>
      </w:r>
      <w:r w:rsidRPr="00920B46">
        <w:rPr>
          <w:rFonts w:ascii="Miriam" w:hAnsi="Miriam" w:cs="Miriam"/>
          <w:b/>
          <w:rtl/>
        </w:rPr>
        <w:t>חוק העונשין</w:t>
      </w:r>
      <w:r w:rsidRPr="00920B46">
        <w:rPr>
          <w:rFonts w:ascii="FrankRuehl" w:hAnsi="FrankRuehl" w:cs="FrankRuehl"/>
          <w:b/>
          <w:sz w:val="28"/>
          <w:szCs w:val="28"/>
          <w:rtl/>
        </w:rPr>
        <w:t xml:space="preserve">), בהתחשב בנסיבות ביצוע העבירה, בעיקרון ההלימה, בענישה הנוהגת ובחובה להילחם באופן תדיר ועיקש בנגע הסמים, </w:t>
      </w:r>
      <w:r w:rsidRPr="00920B46">
        <w:rPr>
          <w:rFonts w:ascii="FrankRuehl" w:hAnsi="FrankRuehl" w:cs="Miriam"/>
          <w:b/>
          <w:sz w:val="28"/>
          <w:rtl/>
        </w:rPr>
        <w:t>מצאתי להעמיד את מתחם העונש ההולם בין 9 חודשי מאסר שניתן לרצות בעבודות שירות, לבין 24 חודשי מאסר בפועל</w:t>
      </w:r>
      <w:r w:rsidRPr="00920B46">
        <w:rPr>
          <w:rFonts w:ascii="FrankRuehl" w:hAnsi="FrankRuehl" w:cs="FrankRuehl"/>
          <w:sz w:val="28"/>
          <w:szCs w:val="28"/>
          <w:rtl/>
        </w:rPr>
        <w:t>.</w:t>
      </w:r>
    </w:p>
    <w:p w14:paraId="5382E555"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5FA4C70B"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sidRPr="00920B46">
        <w:rPr>
          <w:rFonts w:ascii="Garamond" w:hAnsi="Garamond" w:cs="Miriam"/>
          <w:b/>
          <w:spacing w:val="10"/>
          <w:rtl/>
        </w:rPr>
        <w:t>גזירת העונש המתאים לנאשם</w:t>
      </w:r>
    </w:p>
    <w:p w14:paraId="4F74D0AE"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4F767B53"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sidRPr="00920B46">
        <w:rPr>
          <w:rFonts w:ascii="Garamond" w:hAnsi="Garamond" w:cs="FrankRuehl"/>
          <w:spacing w:val="10"/>
          <w:szCs w:val="28"/>
          <w:rtl/>
        </w:rPr>
        <w:t>6.</w:t>
      </w:r>
      <w:r w:rsidRPr="00920B46">
        <w:rPr>
          <w:rFonts w:ascii="Garamond" w:hAnsi="Garamond" w:cs="FrankRuehl"/>
          <w:spacing w:val="10"/>
          <w:szCs w:val="28"/>
          <w:rtl/>
        </w:rPr>
        <w:tab/>
        <w:t>אין מחלוקת בין הצדדים על כך שעונשו של הנאשם צריך להיקבע בתחתית מתחם הענישה שייקבע. עמדתם זו מקובלת עלי ומתיישבת עם נסיבותיו של הנאשם כפי שפורטו לעיל: גילו הצעיר, היעדר הרשעות קודמות, רקע משפחתי מורכב, מהלך חיים נורמטיבי בעיקרו, נטילת אחריות בשלב מוקדם, שיתוף פעולה עם שירות המבחן (גם אם לא באופן מיטבי). בצד זאת, ברי כי אין מקום לחרוג לקולה ממתחם העונש ההולם, ובמובן זה אין בידי לקבל את המלצת שירות המבחן (ודומה שגם ההגנה זנחה את עתירתה לקבלת תסקיר משלים, ומיקדה טענתה במתחם העונש הראוי ובבקשה לאפשר ריצוי עונשו של הנאשם בדרך של עבודות שירות).</w:t>
      </w:r>
    </w:p>
    <w:p w14:paraId="0F66105F"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598ED198"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r w:rsidRPr="00920B46">
        <w:rPr>
          <w:rFonts w:ascii="Garamond" w:hAnsi="Garamond" w:cs="FrankRuehl"/>
          <w:spacing w:val="10"/>
          <w:szCs w:val="28"/>
          <w:rtl/>
        </w:rPr>
        <w:tab/>
        <w:t>אשר לעתירתה של המאשימה להורות על חילוט הכספים והמשקלים הדיגיטליים: אמנם, הכרזה על נאשם כ"סוחר סמים" צריכה להיקבע במסגרת הכרעת הדין (</w:t>
      </w:r>
      <w:hyperlink r:id="rId28" w:history="1">
        <w:r w:rsidR="009667C8" w:rsidRPr="009667C8">
          <w:rPr>
            <w:rStyle w:val="Hyperlink"/>
            <w:rFonts w:ascii="Garamond" w:hAnsi="Garamond" w:cs="FrankRuehl" w:hint="eastAsia"/>
            <w:spacing w:val="10"/>
            <w:szCs w:val="28"/>
            <w:rtl/>
          </w:rPr>
          <w:t>סעיף</w:t>
        </w:r>
        <w:r w:rsidR="009667C8" w:rsidRPr="009667C8">
          <w:rPr>
            <w:rStyle w:val="Hyperlink"/>
            <w:rFonts w:ascii="Garamond" w:hAnsi="Garamond" w:cs="FrankRuehl"/>
            <w:spacing w:val="10"/>
            <w:szCs w:val="28"/>
            <w:rtl/>
          </w:rPr>
          <w:t xml:space="preserve"> 36</w:t>
        </w:r>
        <w:r w:rsidR="009667C8" w:rsidRPr="009667C8">
          <w:rPr>
            <w:rStyle w:val="Hyperlink"/>
            <w:rFonts w:ascii="Garamond" w:hAnsi="Garamond" w:cs="FrankRuehl" w:hint="eastAsia"/>
            <w:spacing w:val="10"/>
            <w:szCs w:val="28"/>
            <w:rtl/>
          </w:rPr>
          <w:t>א</w:t>
        </w:r>
        <w:r w:rsidR="009667C8" w:rsidRPr="009667C8">
          <w:rPr>
            <w:rStyle w:val="Hyperlink"/>
            <w:rFonts w:ascii="Garamond" w:hAnsi="Garamond" w:cs="FrankRuehl"/>
            <w:spacing w:val="10"/>
            <w:szCs w:val="28"/>
            <w:rtl/>
          </w:rPr>
          <w:t>(</w:t>
        </w:r>
        <w:r w:rsidR="009667C8" w:rsidRPr="009667C8">
          <w:rPr>
            <w:rStyle w:val="Hyperlink"/>
            <w:rFonts w:ascii="Garamond" w:hAnsi="Garamond" w:cs="FrankRuehl" w:hint="eastAsia"/>
            <w:spacing w:val="10"/>
            <w:szCs w:val="28"/>
            <w:rtl/>
          </w:rPr>
          <w:t>ב</w:t>
        </w:r>
        <w:r w:rsidR="009667C8" w:rsidRPr="009667C8">
          <w:rPr>
            <w:rStyle w:val="Hyperlink"/>
            <w:rFonts w:ascii="Garamond" w:hAnsi="Garamond" w:cs="FrankRuehl"/>
            <w:spacing w:val="10"/>
            <w:szCs w:val="28"/>
            <w:rtl/>
          </w:rPr>
          <w:t>)</w:t>
        </w:r>
      </w:hyperlink>
      <w:r w:rsidRPr="00920B46">
        <w:rPr>
          <w:rFonts w:ascii="Garamond" w:hAnsi="Garamond" w:cs="FrankRuehl"/>
          <w:spacing w:val="10"/>
          <w:szCs w:val="28"/>
          <w:rtl/>
        </w:rPr>
        <w:t xml:space="preserve"> לפקודת הסמים). מנגד, אין חולק על כך שבקשה זו של המאשימה כלולה בכתב האישום המתוקן בו הורשע הנאשם בהתאם להודייתו; כי עוד בהודעה על ההסדר הודיעה המאשימה שבשלב הטיעונים לעונש תבקש לממש את בקשתה ולהורות </w:t>
      </w:r>
      <w:r>
        <w:rPr>
          <w:rFonts w:ascii="Garamond" w:hAnsi="Garamond" w:cs="FrankRuehl" w:hint="cs"/>
          <w:spacing w:val="10"/>
          <w:szCs w:val="28"/>
          <w:rtl/>
        </w:rPr>
        <w:t xml:space="preserve">על </w:t>
      </w:r>
      <w:r w:rsidRPr="00920B46">
        <w:rPr>
          <w:rFonts w:ascii="Garamond" w:hAnsi="Garamond" w:cs="FrankRuehl"/>
          <w:spacing w:val="10"/>
          <w:szCs w:val="28"/>
          <w:rtl/>
        </w:rPr>
        <w:t>חילוט הרכוש; וכי ההגנה, בהגינותה, לא כפרה באפשרות להכריז בשלב זה על הנאשם כסוחר סמים ולחלט את רכושו, ויותר מכך, לא הביאה נימוקים כלשהם להימנע מההכרזה ומחילוט הרכוש. לגופה של בקשה: מי שמחזיק כמות כה נכבדה של סמים שלא לצריכה עצמית, קל וחומר בהינתן הכלים והכסף שנתפסו בחזקתו, מגלה כי מעשיו נועדו למטרת סחר בסמים – הא ותו לא, ומכאן שאין מנוס אלא להכריז עליו כסוחר סמים, על המשמעויות הנגזרות מכך. עוד בהקשר זה ראו ענין סלור (פסקאות 17-14).</w:t>
      </w:r>
    </w:p>
    <w:p w14:paraId="570BA030" w14:textId="77777777" w:rsidR="0081570D" w:rsidRPr="00920B46" w:rsidRDefault="0081570D" w:rsidP="0081570D">
      <w:pPr>
        <w:tabs>
          <w:tab w:val="left" w:pos="800"/>
          <w:tab w:val="num" w:pos="907"/>
        </w:tabs>
        <w:overflowPunct w:val="0"/>
        <w:autoSpaceDE w:val="0"/>
        <w:autoSpaceDN w:val="0"/>
        <w:adjustRightInd w:val="0"/>
        <w:spacing w:line="360" w:lineRule="auto"/>
        <w:jc w:val="both"/>
        <w:rPr>
          <w:rFonts w:ascii="Garamond" w:hAnsi="Garamond" w:cs="FrankRuehl"/>
          <w:spacing w:val="10"/>
          <w:szCs w:val="28"/>
          <w:rtl/>
        </w:rPr>
      </w:pPr>
    </w:p>
    <w:p w14:paraId="740D47D2" w14:textId="77777777" w:rsidR="0081570D" w:rsidRPr="00920B46" w:rsidRDefault="0081570D" w:rsidP="0081570D">
      <w:pPr>
        <w:spacing w:line="360" w:lineRule="auto"/>
        <w:jc w:val="both"/>
        <w:rPr>
          <w:rFonts w:ascii="FrankRuehl" w:hAnsi="FrankRuehl" w:cs="FrankRuehl"/>
          <w:sz w:val="28"/>
          <w:szCs w:val="28"/>
          <w:rtl/>
        </w:rPr>
      </w:pPr>
      <w:r w:rsidRPr="00920B46">
        <w:rPr>
          <w:rFonts w:ascii="Garamond" w:hAnsi="Garamond" w:cs="FrankRuehl"/>
          <w:spacing w:val="10"/>
          <w:szCs w:val="28"/>
          <w:rtl/>
        </w:rPr>
        <w:t>7.</w:t>
      </w:r>
      <w:r w:rsidRPr="00920B46">
        <w:rPr>
          <w:rFonts w:ascii="Garamond" w:hAnsi="Garamond" w:cs="FrankRuehl"/>
          <w:spacing w:val="10"/>
          <w:szCs w:val="28"/>
          <w:rtl/>
        </w:rPr>
        <w:tab/>
        <w:t xml:space="preserve">לנוכח המקובץ </w:t>
      </w:r>
      <w:r w:rsidRPr="00920B46">
        <w:rPr>
          <w:rFonts w:ascii="FrankRuehl" w:hAnsi="FrankRuehl" w:cs="FrankRuehl"/>
          <w:sz w:val="28"/>
          <w:szCs w:val="28"/>
          <w:rtl/>
        </w:rPr>
        <w:t>החלטתי לגזור על הנאשם את העונשים הבאים:</w:t>
      </w:r>
    </w:p>
    <w:p w14:paraId="3C894331" w14:textId="77777777" w:rsidR="0081570D" w:rsidRPr="00920B46" w:rsidRDefault="0081570D" w:rsidP="0081570D">
      <w:pPr>
        <w:spacing w:line="360" w:lineRule="auto"/>
        <w:jc w:val="both"/>
        <w:rPr>
          <w:rFonts w:ascii="FrankRuehl" w:hAnsi="FrankRuehl" w:cs="FrankRuehl"/>
          <w:sz w:val="28"/>
          <w:szCs w:val="28"/>
          <w:rtl/>
        </w:rPr>
      </w:pPr>
    </w:p>
    <w:p w14:paraId="78E38B09"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א.</w:t>
      </w:r>
      <w:r w:rsidRPr="00920B46">
        <w:rPr>
          <w:rFonts w:ascii="FrankRuehl" w:hAnsi="FrankRuehl" w:cs="FrankRuehl"/>
          <w:sz w:val="28"/>
          <w:szCs w:val="28"/>
          <w:rtl/>
        </w:rPr>
        <w:tab/>
        <w:t>9 חודשי מאסר בפועל.</w:t>
      </w:r>
    </w:p>
    <w:p w14:paraId="4C59C91C" w14:textId="77777777" w:rsidR="0081570D" w:rsidRPr="00920B46" w:rsidRDefault="0081570D" w:rsidP="0081570D">
      <w:pPr>
        <w:spacing w:line="360" w:lineRule="auto"/>
        <w:ind w:left="1440"/>
        <w:jc w:val="both"/>
        <w:rPr>
          <w:rFonts w:ascii="FrankRuehl" w:hAnsi="FrankRuehl" w:cs="FrankRuehl"/>
          <w:sz w:val="28"/>
          <w:szCs w:val="28"/>
          <w:rtl/>
        </w:rPr>
      </w:pPr>
      <w:r w:rsidRPr="00920B46">
        <w:rPr>
          <w:rFonts w:ascii="FrankRuehl" w:hAnsi="FrankRuehl" w:cs="FrankRuehl"/>
          <w:sz w:val="28"/>
          <w:szCs w:val="28"/>
          <w:rtl/>
        </w:rPr>
        <w:t xml:space="preserve">המאסר ירוצה בדרך של עבודות שירות בחברה קדישא, דרך השדה 3 פרדס חנה - כרכור, בהתאם לחוות דעת הממונה על עבודות שירות מיום 5.4.21. </w:t>
      </w:r>
      <w:r w:rsidRPr="00920B46">
        <w:rPr>
          <w:rFonts w:ascii="FrankRuehl" w:hAnsi="FrankRuehl" w:cs="Miriam"/>
          <w:b/>
          <w:sz w:val="28"/>
          <w:rtl/>
        </w:rPr>
        <w:t>מועד לתחילת ריצוי העונש ייקבע בנפרד, והממונה על עבודות שירות מתבקש להגיש בתוך שבוע עדכון בענין זה – תז"פ בעוד שבוע</w:t>
      </w:r>
      <w:r w:rsidRPr="00920B46">
        <w:rPr>
          <w:rFonts w:ascii="FrankRuehl" w:hAnsi="FrankRuehl" w:cs="FrankRuehl"/>
          <w:sz w:val="28"/>
          <w:szCs w:val="28"/>
          <w:rtl/>
        </w:rPr>
        <w:t>. 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w:t>
      </w:r>
    </w:p>
    <w:p w14:paraId="2B85264B" w14:textId="77777777" w:rsidR="0081570D" w:rsidRPr="00920B46" w:rsidRDefault="0081570D" w:rsidP="0081570D">
      <w:pPr>
        <w:spacing w:line="360" w:lineRule="auto"/>
        <w:ind w:left="1440"/>
        <w:jc w:val="both"/>
        <w:rPr>
          <w:rFonts w:ascii="FrankRuehl" w:hAnsi="FrankRuehl" w:cs="FrankRuehl"/>
          <w:sz w:val="28"/>
          <w:szCs w:val="28"/>
          <w:rtl/>
        </w:rPr>
      </w:pPr>
    </w:p>
    <w:p w14:paraId="2E1ACD09"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ב.</w:t>
      </w:r>
      <w:r w:rsidRPr="00920B46">
        <w:rPr>
          <w:rFonts w:ascii="FrankRuehl" w:hAnsi="FrankRuehl" w:cs="FrankRuehl"/>
          <w:sz w:val="28"/>
          <w:szCs w:val="28"/>
          <w:rtl/>
        </w:rPr>
        <w:tab/>
        <w:t>6 חודשי מאסר אותם לא ירצה הנאשם אלא אם יעבור בתוך שלוש שנים עבירה על פקודת הסמים מסוג פשע.</w:t>
      </w:r>
    </w:p>
    <w:p w14:paraId="5538982D"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ab/>
      </w:r>
    </w:p>
    <w:p w14:paraId="7732E23E"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ab/>
        <w:t>3 חודשי מאסר אותם לא ירצה הנאשם אלא אם יעבור בתוך שלוש שנים עבירה על פקודת הסמים מסוג עוון.</w:t>
      </w:r>
    </w:p>
    <w:p w14:paraId="761E53F0" w14:textId="77777777" w:rsidR="0081570D" w:rsidRPr="00920B46" w:rsidRDefault="0081570D" w:rsidP="0081570D">
      <w:pPr>
        <w:spacing w:line="360" w:lineRule="auto"/>
        <w:ind w:left="1440" w:hanging="720"/>
        <w:jc w:val="both"/>
        <w:rPr>
          <w:rFonts w:ascii="FrankRuehl" w:hAnsi="FrankRuehl" w:cs="FrankRuehl"/>
          <w:sz w:val="28"/>
          <w:szCs w:val="28"/>
          <w:rtl/>
        </w:rPr>
      </w:pPr>
    </w:p>
    <w:p w14:paraId="0487224A"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ג.</w:t>
      </w:r>
      <w:r w:rsidRPr="00920B46">
        <w:rPr>
          <w:rFonts w:ascii="FrankRuehl" w:hAnsi="FrankRuehl" w:cs="FrankRuehl"/>
          <w:sz w:val="28"/>
          <w:szCs w:val="28"/>
          <w:rtl/>
        </w:rPr>
        <w:tab/>
        <w:t xml:space="preserve">קנס בסך 5,000 ₪ או 3 חודשי מאסר תמורתו. הקנס ישולם ב- 5 תשלומים חודשיים שווים ורצופים, החל מיום 10.7.21 ובכל 10 בחודש שלאחריו. לא ישולם איזה מהתשלומים במועדו, תעמוד יתרת הקנס לפירעון מידי. </w:t>
      </w:r>
    </w:p>
    <w:p w14:paraId="4F3B2D59" w14:textId="77777777" w:rsidR="0081570D" w:rsidRPr="00920B46" w:rsidRDefault="0081570D" w:rsidP="0081570D">
      <w:pPr>
        <w:spacing w:line="360" w:lineRule="auto"/>
        <w:ind w:left="1440" w:hanging="720"/>
        <w:jc w:val="both"/>
        <w:rPr>
          <w:rFonts w:ascii="FrankRuehl" w:hAnsi="FrankRuehl" w:cs="FrankRuehl"/>
          <w:sz w:val="28"/>
          <w:szCs w:val="28"/>
          <w:rtl/>
        </w:rPr>
      </w:pPr>
    </w:p>
    <w:p w14:paraId="2C479F93"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 xml:space="preserve">ד. </w:t>
      </w:r>
      <w:r w:rsidRPr="00920B46">
        <w:rPr>
          <w:rFonts w:ascii="FrankRuehl" w:hAnsi="FrankRuehl" w:cs="FrankRuehl"/>
          <w:sz w:val="28"/>
          <w:szCs w:val="28"/>
          <w:rtl/>
        </w:rPr>
        <w:tab/>
        <w:t>אני פוסל את הנאשם מלקבל ומלהחזיק רישיון נהיגה לתקופה של 3 חודשים. הנאשם יפקיד את רישיון הנהיגה שלו במזכירות בית המשפט.</w:t>
      </w:r>
    </w:p>
    <w:p w14:paraId="52C1A7FD" w14:textId="77777777" w:rsidR="0081570D" w:rsidRPr="00920B46" w:rsidRDefault="0081570D" w:rsidP="0081570D">
      <w:pPr>
        <w:spacing w:line="360" w:lineRule="auto"/>
        <w:ind w:left="1440" w:hanging="720"/>
        <w:jc w:val="both"/>
        <w:rPr>
          <w:rFonts w:ascii="FrankRuehl" w:hAnsi="FrankRuehl" w:cs="FrankRuehl"/>
          <w:sz w:val="28"/>
          <w:szCs w:val="28"/>
          <w:rtl/>
        </w:rPr>
      </w:pPr>
    </w:p>
    <w:p w14:paraId="6A5669BA"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ה.</w:t>
      </w:r>
      <w:r w:rsidRPr="00920B46">
        <w:rPr>
          <w:rFonts w:ascii="FrankRuehl" w:hAnsi="FrankRuehl" w:cs="FrankRuehl"/>
          <w:sz w:val="28"/>
          <w:szCs w:val="28"/>
          <w:rtl/>
        </w:rPr>
        <w:tab/>
        <w:t>הנאשם יפסל מלקבל ומלהחזיק רישיון נהיגה לתקופה של 4 חודשים, ואולם הנאשם לא ישא בעונש זה אלא אם יעבור בתוך 3 שנים עבירה על פקודת הסמים.</w:t>
      </w:r>
    </w:p>
    <w:p w14:paraId="1022F617" w14:textId="77777777" w:rsidR="0081570D" w:rsidRPr="00920B46" w:rsidRDefault="0081570D" w:rsidP="0081570D">
      <w:pPr>
        <w:spacing w:line="360" w:lineRule="auto"/>
        <w:ind w:left="1440" w:hanging="720"/>
        <w:jc w:val="both"/>
        <w:rPr>
          <w:rFonts w:ascii="FrankRuehl" w:hAnsi="FrankRuehl" w:cs="FrankRuehl"/>
          <w:sz w:val="28"/>
          <w:szCs w:val="28"/>
          <w:rtl/>
        </w:rPr>
      </w:pPr>
    </w:p>
    <w:p w14:paraId="28478AF3"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ו.</w:t>
      </w:r>
      <w:r w:rsidRPr="00920B46">
        <w:rPr>
          <w:rFonts w:ascii="FrankRuehl" w:hAnsi="FrankRuehl" w:cs="FrankRuehl"/>
          <w:sz w:val="28"/>
          <w:szCs w:val="28"/>
          <w:rtl/>
        </w:rPr>
        <w:tab/>
        <w:t>אני מכריז על הנאשם סוחר סמים, ומורה לחלט כספים שנתפסו הימנו בסך 19,470 ₪ וכן 3 משקלים דיגיטלים.</w:t>
      </w:r>
    </w:p>
    <w:p w14:paraId="5BAA67C3" w14:textId="77777777" w:rsidR="0081570D" w:rsidRPr="00920B46" w:rsidRDefault="0081570D" w:rsidP="0081570D">
      <w:pPr>
        <w:spacing w:line="360" w:lineRule="auto"/>
        <w:ind w:left="1440" w:hanging="720"/>
        <w:jc w:val="both"/>
        <w:rPr>
          <w:rFonts w:ascii="FrankRuehl" w:hAnsi="FrankRuehl" w:cs="FrankRuehl"/>
          <w:sz w:val="28"/>
          <w:szCs w:val="28"/>
          <w:rtl/>
        </w:rPr>
      </w:pPr>
    </w:p>
    <w:p w14:paraId="335B9BBA" w14:textId="77777777" w:rsidR="0081570D" w:rsidRPr="00920B46" w:rsidRDefault="0081570D" w:rsidP="0081570D">
      <w:pPr>
        <w:spacing w:line="360" w:lineRule="auto"/>
        <w:ind w:left="1440" w:hanging="720"/>
        <w:jc w:val="both"/>
        <w:rPr>
          <w:rFonts w:ascii="FrankRuehl" w:hAnsi="FrankRuehl" w:cs="FrankRuehl"/>
          <w:sz w:val="28"/>
          <w:szCs w:val="28"/>
          <w:rtl/>
        </w:rPr>
      </w:pPr>
      <w:r w:rsidRPr="00920B46">
        <w:rPr>
          <w:rFonts w:ascii="FrankRuehl" w:hAnsi="FrankRuehl" w:cs="FrankRuehl"/>
          <w:sz w:val="28"/>
          <w:szCs w:val="28"/>
          <w:rtl/>
        </w:rPr>
        <w:t>ז.</w:t>
      </w:r>
      <w:r w:rsidRPr="00920B46">
        <w:rPr>
          <w:rFonts w:ascii="FrankRuehl" w:hAnsi="FrankRuehl" w:cs="FrankRuehl"/>
          <w:sz w:val="28"/>
          <w:szCs w:val="28"/>
          <w:rtl/>
        </w:rPr>
        <w:tab/>
        <w:t>סמים וכלים – יושמדו.</w:t>
      </w:r>
    </w:p>
    <w:p w14:paraId="5C71FA06" w14:textId="77777777" w:rsidR="0081570D" w:rsidRPr="00920B46" w:rsidRDefault="0081570D" w:rsidP="0081570D">
      <w:pPr>
        <w:spacing w:line="360" w:lineRule="auto"/>
        <w:jc w:val="both"/>
        <w:rPr>
          <w:rFonts w:ascii="FrankRuehl" w:hAnsi="FrankRuehl" w:cs="FrankRuehl"/>
          <w:sz w:val="28"/>
          <w:szCs w:val="28"/>
          <w:rtl/>
        </w:rPr>
      </w:pPr>
    </w:p>
    <w:p w14:paraId="1B918EA6" w14:textId="77777777" w:rsidR="0081570D" w:rsidRPr="00920B46" w:rsidRDefault="0081570D" w:rsidP="0081570D">
      <w:pPr>
        <w:spacing w:line="360" w:lineRule="auto"/>
        <w:jc w:val="both"/>
        <w:rPr>
          <w:rFonts w:ascii="FrankRuehl" w:hAnsi="FrankRuehl" w:cs="Miriam"/>
          <w:b/>
          <w:sz w:val="28"/>
          <w:u w:val="single"/>
          <w:rtl/>
        </w:rPr>
      </w:pPr>
      <w:r w:rsidRPr="00920B46">
        <w:rPr>
          <w:rFonts w:ascii="FrankRuehl" w:hAnsi="FrankRuehl" w:cs="Miriam"/>
          <w:b/>
          <w:sz w:val="28"/>
          <w:u w:val="single"/>
          <w:rtl/>
        </w:rPr>
        <w:t>זכות ערעור לבית המשפט המחוזי תוך 45 ימים מהיום.</w:t>
      </w:r>
    </w:p>
    <w:p w14:paraId="3A1A414F" w14:textId="77777777" w:rsidR="0081570D" w:rsidRPr="00874DF1" w:rsidRDefault="00874DF1" w:rsidP="0081570D">
      <w:pPr>
        <w:spacing w:line="360" w:lineRule="auto"/>
        <w:rPr>
          <w:rFonts w:ascii="FrankRuehl" w:hAnsi="FrankRuehl" w:cs="FrankRuehl"/>
          <w:color w:val="FFFFFF"/>
          <w:sz w:val="2"/>
          <w:szCs w:val="2"/>
          <w:rtl/>
        </w:rPr>
      </w:pPr>
      <w:r w:rsidRPr="00874DF1">
        <w:rPr>
          <w:rFonts w:ascii="FrankRuehl" w:hAnsi="FrankRuehl" w:cs="FrankRuehl"/>
          <w:color w:val="FFFFFF"/>
          <w:sz w:val="2"/>
          <w:szCs w:val="2"/>
          <w:rtl/>
        </w:rPr>
        <w:t>5129371</w:t>
      </w:r>
    </w:p>
    <w:p w14:paraId="1C4846B9" w14:textId="77777777" w:rsidR="0081570D" w:rsidRPr="00920B46" w:rsidRDefault="00874DF1" w:rsidP="0081570D">
      <w:pPr>
        <w:spacing w:line="360" w:lineRule="auto"/>
        <w:jc w:val="both"/>
        <w:rPr>
          <w:rFonts w:ascii="FrankRuehl" w:hAnsi="FrankRuehl" w:cs="Miriam"/>
          <w:b/>
          <w:sz w:val="28"/>
          <w:u w:val="single"/>
          <w:rtl/>
        </w:rPr>
      </w:pPr>
      <w:r w:rsidRPr="00874DF1">
        <w:rPr>
          <w:rFonts w:ascii="FrankRuehl" w:hAnsi="FrankRuehl" w:cs="Miriam"/>
          <w:b/>
          <w:color w:val="FFFFFF"/>
          <w:sz w:val="2"/>
          <w:szCs w:val="2"/>
          <w:u w:val="single"/>
          <w:rtl/>
        </w:rPr>
        <w:t>54678313</w:t>
      </w:r>
      <w:r w:rsidR="0081570D" w:rsidRPr="00920B46">
        <w:rPr>
          <w:rFonts w:ascii="FrankRuehl" w:hAnsi="FrankRuehl" w:cs="Miriam"/>
          <w:b/>
          <w:sz w:val="28"/>
          <w:u w:val="single"/>
          <w:rtl/>
        </w:rPr>
        <w:t>המזכירות תעביר עותק מגזר הדין לשירות המבחן ולממונה על עבודות שירות.</w:t>
      </w:r>
    </w:p>
    <w:p w14:paraId="1BCDE493" w14:textId="77777777" w:rsidR="0081570D" w:rsidRPr="00920B46" w:rsidRDefault="0081570D" w:rsidP="0081570D">
      <w:pPr>
        <w:spacing w:line="360" w:lineRule="auto"/>
        <w:jc w:val="both"/>
        <w:rPr>
          <w:rFonts w:ascii="FrankRuehl" w:hAnsi="FrankRuehl" w:cs="Miriam"/>
          <w:b/>
          <w:sz w:val="28"/>
          <w:u w:val="single"/>
          <w:rtl/>
        </w:rPr>
      </w:pPr>
      <w:r w:rsidRPr="00920B46">
        <w:rPr>
          <w:rFonts w:ascii="FrankRuehl" w:hAnsi="FrankRuehl" w:cs="Miriam"/>
          <w:b/>
          <w:sz w:val="28"/>
          <w:u w:val="single"/>
          <w:rtl/>
        </w:rPr>
        <w:t>תשומת לב שירות המבחן לכך שתקופת עבודות השירות עולה על שישה חודשים (</w:t>
      </w:r>
      <w:hyperlink r:id="rId29" w:history="1">
        <w:r w:rsidR="009667C8" w:rsidRPr="009667C8">
          <w:rPr>
            <w:rStyle w:val="Hyperlink"/>
            <w:rFonts w:ascii="FrankRuehl" w:hAnsi="FrankRuehl" w:cs="Miriam"/>
            <w:b/>
            <w:sz w:val="28"/>
            <w:rtl/>
          </w:rPr>
          <w:t>סעיף 51ג(ג)</w:t>
        </w:r>
      </w:hyperlink>
      <w:r w:rsidRPr="00920B46">
        <w:rPr>
          <w:rFonts w:ascii="FrankRuehl" w:hAnsi="FrankRuehl" w:cs="Miriam"/>
          <w:b/>
          <w:sz w:val="28"/>
          <w:u w:val="single"/>
          <w:rtl/>
        </w:rPr>
        <w:t xml:space="preserve"> ל</w:t>
      </w:r>
      <w:hyperlink r:id="rId30" w:history="1">
        <w:r w:rsidR="00874DF1" w:rsidRPr="00874DF1">
          <w:rPr>
            <w:rFonts w:ascii="FrankRuehl" w:hAnsi="FrankRuehl" w:cs="Miriam"/>
            <w:b/>
            <w:color w:val="0000FF"/>
            <w:sz w:val="28"/>
            <w:u w:val="single"/>
            <w:rtl/>
          </w:rPr>
          <w:t>חוק העונשין</w:t>
        </w:r>
      </w:hyperlink>
      <w:r w:rsidRPr="00920B46">
        <w:rPr>
          <w:rFonts w:ascii="FrankRuehl" w:hAnsi="FrankRuehl" w:cs="Miriam"/>
          <w:b/>
          <w:sz w:val="28"/>
          <w:u w:val="single"/>
          <w:rtl/>
        </w:rPr>
        <w:t>).</w:t>
      </w:r>
    </w:p>
    <w:p w14:paraId="44C6AC2D" w14:textId="77777777" w:rsidR="0081570D" w:rsidRDefault="0081570D" w:rsidP="0081570D">
      <w:pPr>
        <w:spacing w:line="360" w:lineRule="auto"/>
        <w:jc w:val="both"/>
        <w:rPr>
          <w:rFonts w:ascii="David" w:hAnsi="David"/>
          <w:sz w:val="26"/>
          <w:szCs w:val="26"/>
          <w:rtl/>
        </w:rPr>
      </w:pPr>
    </w:p>
    <w:p w14:paraId="14C80CD9" w14:textId="77777777" w:rsidR="0081570D" w:rsidRPr="002B7D23" w:rsidRDefault="00874DF1" w:rsidP="00874DF1">
      <w:pPr>
        <w:jc w:val="center"/>
      </w:pPr>
      <w:bookmarkStart w:id="8" w:name="Nitan"/>
      <w:r>
        <w:rPr>
          <w:rFonts w:ascii="David" w:hAnsi="David"/>
          <w:sz w:val="26"/>
          <w:szCs w:val="26"/>
          <w:rtl/>
        </w:rPr>
        <w:t xml:space="preserve">ניתן היום,  י"ב סיוון תשפ"א, 23 מאי 2021, במעמד הצדדים. </w:t>
      </w:r>
      <w:bookmarkEnd w:id="8"/>
      <w:r w:rsidR="0081570D" w:rsidRPr="002B7D23">
        <w:rPr>
          <w:rFonts w:ascii="David" w:hAnsi="David"/>
          <w:sz w:val="26"/>
          <w:szCs w:val="26"/>
          <w:rtl/>
        </w:rPr>
        <w:t xml:space="preserve">   </w:t>
      </w:r>
      <w:r w:rsidR="0081570D" w:rsidRPr="002B7D23">
        <w:rPr>
          <w:rFonts w:ascii="David" w:hAnsi="David"/>
          <w:sz w:val="26"/>
          <w:szCs w:val="26"/>
          <w:rtl/>
        </w:rPr>
        <w:tab/>
      </w:r>
      <w:r w:rsidR="0081570D" w:rsidRPr="002B7D23">
        <w:rPr>
          <w:rFonts w:ascii="David" w:hAnsi="David"/>
          <w:sz w:val="26"/>
          <w:szCs w:val="26"/>
          <w:rtl/>
        </w:rPr>
        <w:tab/>
      </w:r>
      <w:r w:rsidR="0081570D" w:rsidRPr="002B7D23">
        <w:rPr>
          <w:rFonts w:ascii="David" w:hAnsi="David"/>
          <w:sz w:val="26"/>
          <w:szCs w:val="26"/>
          <w:rtl/>
        </w:rPr>
        <w:tab/>
      </w:r>
      <w:r w:rsidR="0081570D" w:rsidRPr="002B7D23">
        <w:rPr>
          <w:rFonts w:ascii="David" w:hAnsi="David"/>
          <w:sz w:val="26"/>
          <w:szCs w:val="26"/>
          <w:rtl/>
        </w:rPr>
        <w:tab/>
      </w:r>
      <w:r w:rsidR="0081570D" w:rsidRPr="002B7D23">
        <w:rPr>
          <w:rFonts w:ascii="David" w:hAnsi="David"/>
          <w:sz w:val="26"/>
          <w:szCs w:val="26"/>
          <w:rtl/>
        </w:rPr>
        <w:tab/>
      </w:r>
    </w:p>
    <w:p w14:paraId="59A193C8" w14:textId="77777777" w:rsidR="0081570D" w:rsidRPr="002B7D23" w:rsidRDefault="0081570D" w:rsidP="0081570D">
      <w:pPr>
        <w:jc w:val="center"/>
        <w:rPr>
          <w:rFonts w:ascii="David" w:hAnsi="David"/>
          <w:sz w:val="26"/>
          <w:szCs w:val="26"/>
          <w:rtl/>
        </w:rPr>
      </w:pPr>
    </w:p>
    <w:p w14:paraId="26AF4D47" w14:textId="77777777" w:rsidR="00125BF5" w:rsidRPr="00874DF1" w:rsidRDefault="00125BF5" w:rsidP="00874DF1">
      <w:pPr>
        <w:keepNext/>
        <w:rPr>
          <w:rFonts w:ascii="David" w:hAnsi="David"/>
          <w:color w:val="000000"/>
          <w:sz w:val="22"/>
          <w:szCs w:val="22"/>
          <w:rtl/>
        </w:rPr>
      </w:pPr>
    </w:p>
    <w:p w14:paraId="2E346CAB" w14:textId="77777777" w:rsidR="00874DF1" w:rsidRPr="00874DF1" w:rsidRDefault="00874DF1" w:rsidP="00874DF1">
      <w:pPr>
        <w:keepNext/>
        <w:rPr>
          <w:rFonts w:ascii="David" w:hAnsi="David"/>
          <w:color w:val="000000"/>
          <w:sz w:val="22"/>
          <w:szCs w:val="22"/>
          <w:rtl/>
        </w:rPr>
      </w:pPr>
      <w:r w:rsidRPr="00874DF1">
        <w:rPr>
          <w:rFonts w:ascii="David" w:hAnsi="David"/>
          <w:color w:val="000000"/>
          <w:sz w:val="22"/>
          <w:szCs w:val="22"/>
          <w:rtl/>
        </w:rPr>
        <w:t>גיא אבנון 54678313</w:t>
      </w:r>
    </w:p>
    <w:p w14:paraId="2C39A7BA" w14:textId="77777777" w:rsidR="00874DF1" w:rsidRDefault="00874DF1" w:rsidP="00874DF1">
      <w:r w:rsidRPr="00874DF1">
        <w:rPr>
          <w:color w:val="000000"/>
          <w:rtl/>
        </w:rPr>
        <w:t>נוסח מסמך זה כפוף לשינויי ניסוח ועריכה</w:t>
      </w:r>
    </w:p>
    <w:p w14:paraId="3AE4489D" w14:textId="77777777" w:rsidR="00874DF1" w:rsidRDefault="00874DF1" w:rsidP="00874DF1">
      <w:pPr>
        <w:rPr>
          <w:rtl/>
        </w:rPr>
      </w:pPr>
    </w:p>
    <w:p w14:paraId="62C271CB" w14:textId="77777777" w:rsidR="00874DF1" w:rsidRDefault="00874DF1" w:rsidP="00874DF1">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589472E1" w14:textId="77777777" w:rsidR="00874DF1" w:rsidRPr="00874DF1" w:rsidRDefault="00874DF1" w:rsidP="00874DF1">
      <w:pPr>
        <w:jc w:val="center"/>
        <w:rPr>
          <w:color w:val="0000FF"/>
          <w:u w:val="single"/>
        </w:rPr>
      </w:pPr>
    </w:p>
    <w:sectPr w:rsidR="00874DF1" w:rsidRPr="00874DF1" w:rsidSect="00874DF1">
      <w:headerReference w:type="even" r:id="rId32"/>
      <w:headerReference w:type="default" r:id="rId33"/>
      <w:footerReference w:type="even" r:id="rId34"/>
      <w:footerReference w:type="default" r:id="rId3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67B89" w14:textId="77777777" w:rsidR="000B1897" w:rsidRDefault="000B1897" w:rsidP="00196A52">
      <w:r>
        <w:separator/>
      </w:r>
    </w:p>
  </w:endnote>
  <w:endnote w:type="continuationSeparator" w:id="0">
    <w:p w14:paraId="1BD49185" w14:textId="77777777" w:rsidR="000B1897" w:rsidRDefault="000B1897" w:rsidP="00196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CDB24" w14:textId="77777777" w:rsidR="00874DF1" w:rsidRDefault="00874DF1" w:rsidP="00874D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3DFDE41" w14:textId="77777777" w:rsidR="00911625" w:rsidRPr="00874DF1" w:rsidRDefault="00874DF1" w:rsidP="00874D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1C56C" w14:textId="77777777" w:rsidR="00874DF1" w:rsidRDefault="00874DF1" w:rsidP="00874D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313C">
      <w:rPr>
        <w:rFonts w:ascii="FrankRuehl" w:hAnsi="FrankRuehl" w:cs="FrankRuehl"/>
        <w:noProof/>
        <w:rtl/>
      </w:rPr>
      <w:t>1</w:t>
    </w:r>
    <w:r>
      <w:rPr>
        <w:rFonts w:ascii="FrankRuehl" w:hAnsi="FrankRuehl" w:cs="FrankRuehl"/>
        <w:rtl/>
      </w:rPr>
      <w:fldChar w:fldCharType="end"/>
    </w:r>
  </w:p>
  <w:p w14:paraId="3C5F8F49" w14:textId="77777777" w:rsidR="00911625" w:rsidRPr="00874DF1" w:rsidRDefault="00874DF1" w:rsidP="00874D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B25F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86987" w14:textId="77777777" w:rsidR="000B1897" w:rsidRDefault="000B1897" w:rsidP="00196A52">
      <w:r>
        <w:separator/>
      </w:r>
    </w:p>
  </w:footnote>
  <w:footnote w:type="continuationSeparator" w:id="0">
    <w:p w14:paraId="7530AD31" w14:textId="77777777" w:rsidR="000B1897" w:rsidRDefault="000B1897" w:rsidP="00196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13D60" w14:textId="77777777" w:rsidR="00874DF1" w:rsidRPr="00874DF1" w:rsidRDefault="00874DF1" w:rsidP="00874D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62896-05-20</w:t>
    </w:r>
    <w:r>
      <w:rPr>
        <w:rFonts w:ascii="David" w:hAnsi="David"/>
        <w:color w:val="000000"/>
        <w:sz w:val="22"/>
        <w:szCs w:val="22"/>
        <w:rtl/>
      </w:rPr>
      <w:tab/>
      <w:t xml:space="preserve"> מדינת ישראל נ' מנשה בריגע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53DF4" w14:textId="77777777" w:rsidR="00874DF1" w:rsidRPr="00874DF1" w:rsidRDefault="00874DF1" w:rsidP="00874D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62896-05-20</w:t>
    </w:r>
    <w:r>
      <w:rPr>
        <w:rFonts w:ascii="David" w:hAnsi="David"/>
        <w:color w:val="000000"/>
        <w:sz w:val="22"/>
        <w:szCs w:val="22"/>
        <w:rtl/>
      </w:rPr>
      <w:tab/>
      <w:t xml:space="preserve"> מדינת ישראל נ' מנשה בריגע</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570D"/>
    <w:rsid w:val="0008712A"/>
    <w:rsid w:val="000B1897"/>
    <w:rsid w:val="00125BF5"/>
    <w:rsid w:val="00196A52"/>
    <w:rsid w:val="001B5A3B"/>
    <w:rsid w:val="00542C71"/>
    <w:rsid w:val="0081570D"/>
    <w:rsid w:val="00874DF1"/>
    <w:rsid w:val="00897302"/>
    <w:rsid w:val="008A313C"/>
    <w:rsid w:val="00911625"/>
    <w:rsid w:val="009667C8"/>
    <w:rsid w:val="00974B59"/>
    <w:rsid w:val="009D2CFC"/>
    <w:rsid w:val="00AC18B9"/>
    <w:rsid w:val="00EE18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67EA11"/>
  <w15:chartTrackingRefBased/>
  <w15:docId w15:val="{0CAD23C2-4BC4-4C12-8FD4-7503DAD1E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570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570D"/>
    <w:pPr>
      <w:tabs>
        <w:tab w:val="center" w:pos="4153"/>
        <w:tab w:val="right" w:pos="8306"/>
      </w:tabs>
    </w:pPr>
  </w:style>
  <w:style w:type="character" w:customStyle="1" w:styleId="a4">
    <w:name w:val="כותרת עליונה תו"/>
    <w:link w:val="a3"/>
    <w:rsid w:val="0081570D"/>
    <w:rPr>
      <w:rFonts w:ascii="Times New Roman" w:eastAsia="Times New Roman" w:hAnsi="Times New Roman" w:cs="David"/>
      <w:sz w:val="24"/>
      <w:szCs w:val="24"/>
    </w:rPr>
  </w:style>
  <w:style w:type="paragraph" w:styleId="a5">
    <w:name w:val="footer"/>
    <w:basedOn w:val="a"/>
    <w:link w:val="a6"/>
    <w:rsid w:val="0081570D"/>
    <w:pPr>
      <w:tabs>
        <w:tab w:val="center" w:pos="4153"/>
        <w:tab w:val="right" w:pos="8306"/>
      </w:tabs>
    </w:pPr>
  </w:style>
  <w:style w:type="character" w:customStyle="1" w:styleId="a6">
    <w:name w:val="כותרת תחתונה תו"/>
    <w:link w:val="a5"/>
    <w:rsid w:val="0081570D"/>
    <w:rPr>
      <w:rFonts w:ascii="Times New Roman" w:eastAsia="Times New Roman" w:hAnsi="Times New Roman" w:cs="David"/>
      <w:sz w:val="24"/>
      <w:szCs w:val="24"/>
    </w:rPr>
  </w:style>
  <w:style w:type="character" w:styleId="a7">
    <w:name w:val="page number"/>
    <w:rsid w:val="0081570D"/>
  </w:style>
  <w:style w:type="character" w:styleId="Hyperlink">
    <w:name w:val="Hyperlink"/>
    <w:rsid w:val="00874D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 TargetMode="External"/><Relationship Id="rId26" Type="http://schemas.openxmlformats.org/officeDocument/2006/relationships/hyperlink" Target="http://www.nevo.co.il/law/70301/40i" TargetMode="External"/><Relationship Id="rId21" Type="http://schemas.openxmlformats.org/officeDocument/2006/relationships/hyperlink" Target="http://www.nevo.co.il/case/27347635"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70301/40c.a"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7.a" TargetMode="External"/><Relationship Id="rId20" Type="http://schemas.openxmlformats.org/officeDocument/2006/relationships/hyperlink" Target="http://www.nevo.co.il/case/27596218" TargetMode="External"/><Relationship Id="rId29" Type="http://schemas.openxmlformats.org/officeDocument/2006/relationships/hyperlink" Target="http://www.nevo.co.il/law/70301/51c.c" TargetMode="External"/><Relationship Id="rId1" Type="http://schemas.openxmlformats.org/officeDocument/2006/relationships/styles" Target="styles.xml"/><Relationship Id="rId6" Type="http://schemas.openxmlformats.org/officeDocument/2006/relationships/hyperlink" Target="http://www.nevo.co.il/case/26709466" TargetMode="External"/><Relationship Id="rId11" Type="http://schemas.openxmlformats.org/officeDocument/2006/relationships/hyperlink" Target="http://www.nevo.co.il/law/4216/36a.b" TargetMode="External"/><Relationship Id="rId24" Type="http://schemas.openxmlformats.org/officeDocument/2006/relationships/hyperlink" Target="http://www.nevo.co.il/case/2011170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51c.c" TargetMode="External"/><Relationship Id="rId23" Type="http://schemas.openxmlformats.org/officeDocument/2006/relationships/hyperlink" Target="http://www.nevo.co.il/case/21017469" TargetMode="External"/><Relationship Id="rId28" Type="http://schemas.openxmlformats.org/officeDocument/2006/relationships/hyperlink" Target="http://www.nevo.co.il/law/4216/36a.b" TargetMode="External"/><Relationship Id="rId36"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law/4216/10"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case/20685141"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2251</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13482</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4849667</vt:i4>
      </vt:variant>
      <vt:variant>
        <vt:i4>69</vt:i4>
      </vt:variant>
      <vt:variant>
        <vt:i4>0</vt:i4>
      </vt:variant>
      <vt:variant>
        <vt:i4>5</vt:i4>
      </vt:variant>
      <vt:variant>
        <vt:lpwstr>http://www.nevo.co.il/law/70301/51c.c</vt:lpwstr>
      </vt:variant>
      <vt:variant>
        <vt:lpwstr/>
      </vt:variant>
      <vt:variant>
        <vt:i4>5111890</vt:i4>
      </vt:variant>
      <vt:variant>
        <vt:i4>66</vt:i4>
      </vt:variant>
      <vt:variant>
        <vt:i4>0</vt:i4>
      </vt:variant>
      <vt:variant>
        <vt:i4>5</vt:i4>
      </vt:variant>
      <vt:variant>
        <vt:lpwstr>http://www.nevo.co.il/law/4216/36a.b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4915202</vt:i4>
      </vt:variant>
      <vt:variant>
        <vt:i4>57</vt:i4>
      </vt:variant>
      <vt:variant>
        <vt:i4>0</vt:i4>
      </vt:variant>
      <vt:variant>
        <vt:i4>5</vt:i4>
      </vt:variant>
      <vt:variant>
        <vt:lpwstr>http://www.nevo.co.il/law/70301/40c.a</vt:lpwstr>
      </vt:variant>
      <vt:variant>
        <vt:lpwstr/>
      </vt:variant>
      <vt:variant>
        <vt:i4>3276914</vt:i4>
      </vt:variant>
      <vt:variant>
        <vt:i4>54</vt:i4>
      </vt:variant>
      <vt:variant>
        <vt:i4>0</vt:i4>
      </vt:variant>
      <vt:variant>
        <vt:i4>5</vt:i4>
      </vt:variant>
      <vt:variant>
        <vt:lpwstr>http://www.nevo.co.il/case/20111708</vt:lpwstr>
      </vt:variant>
      <vt:variant>
        <vt:lpwstr/>
      </vt:variant>
      <vt:variant>
        <vt:i4>3342448</vt:i4>
      </vt:variant>
      <vt:variant>
        <vt:i4>51</vt:i4>
      </vt:variant>
      <vt:variant>
        <vt:i4>0</vt:i4>
      </vt:variant>
      <vt:variant>
        <vt:i4>5</vt:i4>
      </vt:variant>
      <vt:variant>
        <vt:lpwstr>http://www.nevo.co.il/case/21017469</vt:lpwstr>
      </vt:variant>
      <vt:variant>
        <vt:lpwstr/>
      </vt:variant>
      <vt:variant>
        <vt:i4>3473533</vt:i4>
      </vt:variant>
      <vt:variant>
        <vt:i4>48</vt:i4>
      </vt:variant>
      <vt:variant>
        <vt:i4>0</vt:i4>
      </vt:variant>
      <vt:variant>
        <vt:i4>5</vt:i4>
      </vt:variant>
      <vt:variant>
        <vt:lpwstr>http://www.nevo.co.il/case/20685141</vt:lpwstr>
      </vt:variant>
      <vt:variant>
        <vt:lpwstr/>
      </vt:variant>
      <vt:variant>
        <vt:i4>3473521</vt:i4>
      </vt:variant>
      <vt:variant>
        <vt:i4>45</vt:i4>
      </vt:variant>
      <vt:variant>
        <vt:i4>0</vt:i4>
      </vt:variant>
      <vt:variant>
        <vt:i4>5</vt:i4>
      </vt:variant>
      <vt:variant>
        <vt:lpwstr>http://www.nevo.co.il/case/27347635</vt:lpwstr>
      </vt:variant>
      <vt:variant>
        <vt:lpwstr/>
      </vt:variant>
      <vt:variant>
        <vt:i4>3145848</vt:i4>
      </vt:variant>
      <vt:variant>
        <vt:i4>42</vt:i4>
      </vt:variant>
      <vt:variant>
        <vt:i4>0</vt:i4>
      </vt:variant>
      <vt:variant>
        <vt:i4>5</vt:i4>
      </vt:variant>
      <vt:variant>
        <vt:lpwstr>http://www.nevo.co.il/case/27596218</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4849667</vt:i4>
      </vt:variant>
      <vt:variant>
        <vt:i4>27</vt:i4>
      </vt:variant>
      <vt:variant>
        <vt:i4>0</vt:i4>
      </vt:variant>
      <vt:variant>
        <vt:i4>5</vt:i4>
      </vt:variant>
      <vt:variant>
        <vt:lpwstr>http://www.nevo.co.il/law/70301/51c.c</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3801206</vt:i4>
      </vt:variant>
      <vt:variant>
        <vt:i4>0</vt:i4>
      </vt:variant>
      <vt:variant>
        <vt:i4>0</vt:i4>
      </vt:variant>
      <vt:variant>
        <vt:i4>5</vt:i4>
      </vt:variant>
      <vt:variant>
        <vt:lpwstr>http://www.nevo.co.il/case/26709466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2025-04-23T00:35:00Z</dcterms:created>
  <dcterms:modified xsi:type="dcterms:W3CDTF">2025-04-23T00:35:00Z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62896</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מנשה בריגע</vt:lpwstr>
  </property>
  <property fmtid="{D5CDD505-2E9C-101B-9397-08002B2CF9AE}" pid="10" name="LAWYER">
    <vt:lpwstr>מיכל אפלבוים;מור מלכה;שני מלול;ויקי שמואל</vt:lpwstr>
  </property>
  <property fmtid="{D5CDD505-2E9C-101B-9397-08002B2CF9AE}" pid="11" name="JUDGE">
    <vt:lpwstr>גיא אבנון</vt:lpwstr>
  </property>
  <property fmtid="{D5CDD505-2E9C-101B-9397-08002B2CF9AE}" pid="12" name="CITY">
    <vt:lpwstr>נת'</vt:lpwstr>
  </property>
  <property fmtid="{D5CDD505-2E9C-101B-9397-08002B2CF9AE}" pid="13" name="DATE">
    <vt:lpwstr>20210523</vt:lpwstr>
  </property>
  <property fmtid="{D5CDD505-2E9C-101B-9397-08002B2CF9AE}" pid="14" name="TYPE_N_DATE">
    <vt:lpwstr>38020210523</vt:lpwstr>
  </property>
  <property fmtid="{D5CDD505-2E9C-101B-9397-08002B2CF9AE}" pid="15" name="WORDNUMPAGES">
    <vt:lpwstr>8</vt:lpwstr>
  </property>
  <property fmtid="{D5CDD505-2E9C-101B-9397-08002B2CF9AE}" pid="16" name="TYPE_ABS_DATE">
    <vt:lpwstr>380020210523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26709466;27596218;27347635;20685141;21017469;20111708</vt:lpwstr>
  </property>
  <property fmtid="{D5CDD505-2E9C-101B-9397-08002B2CF9AE}" pid="36" name="LAWLISTTMP1">
    <vt:lpwstr>4216/007.a;007.c;010;036a.b</vt:lpwstr>
  </property>
  <property fmtid="{D5CDD505-2E9C-101B-9397-08002B2CF9AE}" pid="37" name="LAWLISTTMP2">
    <vt:lpwstr>70301/040c.a;040i;051c.c</vt:lpwstr>
  </property>
</Properties>
</file>