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F16F5" w:rsidRPr="00040DC7" w14:paraId="2A1B280A" w14:textId="77777777" w:rsidTr="00CF7817">
        <w:trPr>
          <w:gridAfter w:val="1"/>
          <w:wAfter w:w="99" w:type="dxa"/>
          <w:trHeight w:hRule="exact" w:val="418"/>
          <w:jc w:val="center"/>
        </w:trPr>
        <w:tc>
          <w:tcPr>
            <w:tcW w:w="8721" w:type="dxa"/>
            <w:gridSpan w:val="4"/>
          </w:tcPr>
          <w:p w14:paraId="4C4264A0" w14:textId="77777777" w:rsidR="00BF16F5" w:rsidRPr="00040DC7" w:rsidRDefault="00BF16F5" w:rsidP="00A172A1">
            <w:pPr>
              <w:pStyle w:val="a3"/>
              <w:jc w:val="center"/>
              <w:rPr>
                <w:rFonts w:ascii="Tahoma" w:hAnsi="Tahoma" w:cs="Tahoma"/>
                <w:color w:val="000080"/>
                <w:rtl/>
              </w:rPr>
            </w:pPr>
            <w:bookmarkStart w:id="0" w:name="LastJudge"/>
            <w:r w:rsidRPr="00040DC7">
              <w:rPr>
                <w:rFonts w:ascii="Tahoma" w:hAnsi="Tahoma" w:cs="Tahoma"/>
                <w:b/>
                <w:bCs/>
                <w:color w:val="000080"/>
                <w:rtl/>
              </w:rPr>
              <w:t>בית משפט השלום בתל אביב -יפו</w:t>
            </w:r>
          </w:p>
        </w:tc>
      </w:tr>
      <w:tr w:rsidR="00BF16F5" w:rsidRPr="00040DC7" w14:paraId="169AE777" w14:textId="77777777" w:rsidTr="00CF7817">
        <w:trPr>
          <w:gridAfter w:val="1"/>
          <w:wAfter w:w="99" w:type="dxa"/>
          <w:trHeight w:val="337"/>
          <w:jc w:val="center"/>
        </w:trPr>
        <w:tc>
          <w:tcPr>
            <w:tcW w:w="5054" w:type="dxa"/>
            <w:gridSpan w:val="3"/>
          </w:tcPr>
          <w:p w14:paraId="6EDBE045" w14:textId="77777777" w:rsidR="00BF16F5" w:rsidRPr="00040DC7" w:rsidRDefault="00BF16F5" w:rsidP="00A172A1">
            <w:pPr>
              <w:rPr>
                <w:rFonts w:cs="FrankRuehl"/>
                <w:sz w:val="28"/>
                <w:szCs w:val="28"/>
                <w:rtl/>
              </w:rPr>
            </w:pPr>
            <w:r w:rsidRPr="00040DC7">
              <w:rPr>
                <w:rFonts w:cs="FrankRuehl"/>
                <w:sz w:val="28"/>
                <w:szCs w:val="28"/>
                <w:rtl/>
              </w:rPr>
              <w:t>ת"פ</w:t>
            </w:r>
            <w:r w:rsidRPr="00040DC7">
              <w:rPr>
                <w:rFonts w:cs="FrankRuehl" w:hint="cs"/>
                <w:sz w:val="28"/>
                <w:szCs w:val="28"/>
                <w:rtl/>
              </w:rPr>
              <w:t xml:space="preserve"> </w:t>
            </w:r>
            <w:r w:rsidRPr="00040DC7">
              <w:rPr>
                <w:rFonts w:cs="FrankRuehl"/>
                <w:sz w:val="28"/>
                <w:szCs w:val="28"/>
                <w:rtl/>
              </w:rPr>
              <w:t>21651-06-20</w:t>
            </w:r>
            <w:r w:rsidRPr="00040DC7">
              <w:rPr>
                <w:rFonts w:cs="FrankRuehl" w:hint="cs"/>
                <w:sz w:val="28"/>
                <w:szCs w:val="28"/>
                <w:rtl/>
              </w:rPr>
              <w:t xml:space="preserve"> </w:t>
            </w:r>
            <w:r w:rsidRPr="00040DC7">
              <w:rPr>
                <w:rFonts w:cs="FrankRuehl"/>
                <w:sz w:val="28"/>
                <w:szCs w:val="28"/>
                <w:rtl/>
              </w:rPr>
              <w:t>מדינת ישראל נ' עמר</w:t>
            </w:r>
          </w:p>
          <w:p w14:paraId="0437B2B4" w14:textId="77777777" w:rsidR="00BF16F5" w:rsidRPr="00040DC7" w:rsidRDefault="00BF16F5" w:rsidP="00A172A1">
            <w:pPr>
              <w:pStyle w:val="a3"/>
              <w:rPr>
                <w:rFonts w:cs="FrankRuehl"/>
                <w:sz w:val="28"/>
                <w:szCs w:val="28"/>
                <w:rtl/>
              </w:rPr>
            </w:pPr>
          </w:p>
        </w:tc>
        <w:tc>
          <w:tcPr>
            <w:tcW w:w="3667" w:type="dxa"/>
          </w:tcPr>
          <w:p w14:paraId="67CF4BC6" w14:textId="77777777" w:rsidR="00BF16F5" w:rsidRPr="00040DC7" w:rsidRDefault="00BF16F5" w:rsidP="00A172A1">
            <w:pPr>
              <w:pStyle w:val="a3"/>
              <w:jc w:val="right"/>
              <w:rPr>
                <w:rFonts w:cs="FrankRuehl"/>
                <w:sz w:val="28"/>
                <w:szCs w:val="28"/>
                <w:rtl/>
              </w:rPr>
            </w:pPr>
          </w:p>
        </w:tc>
      </w:tr>
      <w:tr w:rsidR="00BF16F5" w:rsidRPr="00040DC7" w14:paraId="49DFBA73" w14:textId="77777777" w:rsidTr="00CF7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FAE6F5C" w14:textId="77777777" w:rsidR="00BF16F5" w:rsidRPr="00040DC7" w:rsidRDefault="00BF16F5" w:rsidP="00BF16F5">
            <w:pPr>
              <w:spacing w:line="360" w:lineRule="auto"/>
              <w:jc w:val="both"/>
              <w:rPr>
                <w:rFonts w:ascii="David" w:hAnsi="David"/>
                <w:b/>
                <w:bCs/>
                <w:sz w:val="26"/>
                <w:szCs w:val="26"/>
              </w:rPr>
            </w:pPr>
            <w:r w:rsidRPr="00040DC7">
              <w:rPr>
                <w:rFonts w:hint="cs"/>
                <w:rtl/>
              </w:rPr>
              <w:t xml:space="preserve"> </w:t>
            </w:r>
            <w:r w:rsidRPr="00040DC7">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71F2FFED" w14:textId="77777777" w:rsidR="00BF16F5" w:rsidRPr="00040DC7" w:rsidRDefault="00BF16F5" w:rsidP="00BF16F5">
            <w:pPr>
              <w:spacing w:line="360" w:lineRule="auto"/>
              <w:rPr>
                <w:rFonts w:ascii="David" w:hAnsi="David"/>
                <w:b/>
                <w:bCs/>
                <w:sz w:val="26"/>
                <w:szCs w:val="26"/>
                <w:rtl/>
              </w:rPr>
            </w:pPr>
            <w:r w:rsidRPr="00040DC7">
              <w:rPr>
                <w:rFonts w:ascii="David" w:hAnsi="David" w:hint="cs"/>
                <w:b/>
                <w:bCs/>
                <w:sz w:val="26"/>
                <w:szCs w:val="26"/>
                <w:rtl/>
              </w:rPr>
              <w:t>כבוד השופט הבכיר, שאול אבינור</w:t>
            </w:r>
          </w:p>
          <w:p w14:paraId="12510955" w14:textId="77777777" w:rsidR="00BF16F5" w:rsidRPr="00040DC7" w:rsidRDefault="00BF16F5" w:rsidP="00BF16F5">
            <w:pPr>
              <w:spacing w:line="360" w:lineRule="auto"/>
              <w:rPr>
                <w:rFonts w:ascii="David" w:hAnsi="David"/>
                <w:sz w:val="26"/>
                <w:szCs w:val="26"/>
              </w:rPr>
            </w:pPr>
          </w:p>
        </w:tc>
      </w:tr>
      <w:tr w:rsidR="00BF16F5" w:rsidRPr="00040DC7" w14:paraId="22EB11A5" w14:textId="77777777" w:rsidTr="00CF7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00ACF0" w14:textId="77777777" w:rsidR="00BF16F5" w:rsidRPr="00040DC7" w:rsidRDefault="00BF16F5" w:rsidP="00BF16F5">
            <w:pPr>
              <w:spacing w:line="360" w:lineRule="auto"/>
              <w:jc w:val="both"/>
              <w:rPr>
                <w:rFonts w:ascii="David" w:hAnsi="David"/>
                <w:sz w:val="26"/>
                <w:szCs w:val="26"/>
              </w:rPr>
            </w:pPr>
            <w:bookmarkStart w:id="1" w:name="FirstAppellant"/>
            <w:bookmarkStart w:id="2" w:name="FirstLawyer"/>
            <w:r w:rsidRPr="00040DC7">
              <w:rPr>
                <w:rFonts w:ascii="David" w:hAnsi="David"/>
                <w:sz w:val="26"/>
                <w:szCs w:val="26"/>
                <w:rtl/>
              </w:rPr>
              <w:t>בעניין:</w:t>
            </w:r>
          </w:p>
        </w:tc>
        <w:tc>
          <w:tcPr>
            <w:tcW w:w="3219" w:type="dxa"/>
            <w:tcBorders>
              <w:top w:val="nil"/>
              <w:left w:val="nil"/>
              <w:bottom w:val="nil"/>
              <w:right w:val="nil"/>
            </w:tcBorders>
            <w:shd w:val="clear" w:color="auto" w:fill="auto"/>
          </w:tcPr>
          <w:p w14:paraId="5FF740E3" w14:textId="77777777" w:rsidR="00BF16F5" w:rsidRPr="00040DC7" w:rsidRDefault="00BF16F5" w:rsidP="00BF16F5">
            <w:pPr>
              <w:suppressLineNumbers/>
              <w:spacing w:line="360" w:lineRule="auto"/>
            </w:pPr>
            <w:r w:rsidRPr="00040DC7">
              <w:rPr>
                <w:rFonts w:ascii="Arial" w:hAnsi="Arial" w:hint="cs"/>
                <w:b/>
                <w:bCs/>
                <w:sz w:val="26"/>
                <w:szCs w:val="26"/>
                <w:rtl/>
              </w:rPr>
              <w:t>המאשימה:</w:t>
            </w:r>
          </w:p>
          <w:p w14:paraId="2B812C2B" w14:textId="77777777" w:rsidR="00BF16F5" w:rsidRPr="00040DC7" w:rsidRDefault="00BF16F5" w:rsidP="00BF16F5">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5883016" w14:textId="77777777" w:rsidR="00BF16F5" w:rsidRPr="00040DC7" w:rsidRDefault="00BF16F5" w:rsidP="00BF16F5">
            <w:pPr>
              <w:suppressLineNumbers/>
              <w:spacing w:line="360" w:lineRule="auto"/>
              <w:rPr>
                <w:rFonts w:ascii="Arial" w:hAnsi="Arial"/>
                <w:rtl/>
              </w:rPr>
            </w:pPr>
            <w:r w:rsidRPr="00040DC7">
              <w:rPr>
                <w:rFonts w:ascii="Arial" w:hAnsi="Arial"/>
                <w:b/>
                <w:bCs/>
                <w:sz w:val="26"/>
                <w:szCs w:val="26"/>
                <w:rtl/>
              </w:rPr>
              <w:t>מדינת ישראל</w:t>
            </w:r>
            <w:r w:rsidRPr="00040DC7">
              <w:rPr>
                <w:rFonts w:ascii="Arial" w:hAnsi="Arial" w:hint="cs"/>
                <w:b/>
                <w:bCs/>
                <w:sz w:val="26"/>
                <w:szCs w:val="26"/>
                <w:rtl/>
              </w:rPr>
              <w:t xml:space="preserve"> </w:t>
            </w:r>
          </w:p>
          <w:p w14:paraId="24A973E4" w14:textId="77777777" w:rsidR="00BF16F5" w:rsidRPr="00040DC7" w:rsidRDefault="00BF16F5" w:rsidP="00BF16F5">
            <w:pPr>
              <w:suppressLineNumbers/>
              <w:spacing w:line="360" w:lineRule="auto"/>
            </w:pPr>
            <w:r w:rsidRPr="00040DC7">
              <w:rPr>
                <w:rFonts w:ascii="Arial" w:hAnsi="Arial"/>
                <w:rtl/>
              </w:rPr>
              <w:t>ע"י</w:t>
            </w:r>
            <w:r w:rsidRPr="00040DC7">
              <w:rPr>
                <w:rFonts w:ascii="Arial" w:hAnsi="Arial"/>
                <w:b/>
                <w:bCs/>
                <w:sz w:val="26"/>
                <w:szCs w:val="26"/>
                <w:rtl/>
              </w:rPr>
              <w:t xml:space="preserve"> </w:t>
            </w:r>
            <w:r w:rsidRPr="00040DC7">
              <w:rPr>
                <w:rFonts w:ascii="Arial" w:hAnsi="Arial"/>
                <w:rtl/>
              </w:rPr>
              <w:t>ב"כ עו"ד</w:t>
            </w:r>
            <w:r w:rsidRPr="00040DC7">
              <w:rPr>
                <w:rFonts w:ascii="Arial" w:hAnsi="Arial" w:hint="cs"/>
                <w:rtl/>
              </w:rPr>
              <w:t xml:space="preserve"> ספיר יגר שחף</w:t>
            </w:r>
          </w:p>
          <w:p w14:paraId="13CFB8A3" w14:textId="77777777" w:rsidR="00BF16F5" w:rsidRPr="00040DC7" w:rsidRDefault="00BF16F5" w:rsidP="00BF16F5">
            <w:pPr>
              <w:spacing w:line="360" w:lineRule="auto"/>
              <w:rPr>
                <w:rFonts w:ascii="David" w:hAnsi="David"/>
                <w:sz w:val="26"/>
                <w:szCs w:val="26"/>
              </w:rPr>
            </w:pPr>
          </w:p>
        </w:tc>
      </w:tr>
      <w:bookmarkEnd w:id="1"/>
      <w:bookmarkEnd w:id="2"/>
      <w:tr w:rsidR="00BF16F5" w:rsidRPr="00040DC7" w14:paraId="58C814F7" w14:textId="77777777" w:rsidTr="00CF7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10A4E9" w14:textId="77777777" w:rsidR="00BF16F5" w:rsidRPr="00040DC7" w:rsidRDefault="00BF16F5" w:rsidP="00BF16F5">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2C933A70" w14:textId="77777777" w:rsidR="00BF16F5" w:rsidRPr="00040DC7" w:rsidRDefault="00BF16F5" w:rsidP="00BF16F5">
            <w:pPr>
              <w:spacing w:line="360" w:lineRule="auto"/>
              <w:jc w:val="center"/>
              <w:rPr>
                <w:rFonts w:ascii="David" w:hAnsi="David"/>
                <w:b/>
                <w:bCs/>
                <w:sz w:val="26"/>
                <w:szCs w:val="26"/>
                <w:rtl/>
              </w:rPr>
            </w:pPr>
          </w:p>
          <w:p w14:paraId="2735B295" w14:textId="77777777" w:rsidR="00BF16F5" w:rsidRPr="00040DC7" w:rsidRDefault="00BF16F5" w:rsidP="00BF16F5">
            <w:pPr>
              <w:spacing w:line="360" w:lineRule="auto"/>
              <w:jc w:val="center"/>
              <w:rPr>
                <w:rFonts w:ascii="David" w:hAnsi="David"/>
                <w:b/>
                <w:bCs/>
                <w:sz w:val="26"/>
                <w:szCs w:val="26"/>
                <w:rtl/>
              </w:rPr>
            </w:pPr>
            <w:r w:rsidRPr="00040DC7">
              <w:rPr>
                <w:rFonts w:ascii="David" w:hAnsi="David"/>
                <w:b/>
                <w:bCs/>
                <w:sz w:val="26"/>
                <w:szCs w:val="26"/>
                <w:rtl/>
              </w:rPr>
              <w:t>נגד</w:t>
            </w:r>
          </w:p>
          <w:p w14:paraId="5210B414" w14:textId="77777777" w:rsidR="00BF16F5" w:rsidRPr="00040DC7" w:rsidRDefault="00BF16F5" w:rsidP="00BF16F5">
            <w:pPr>
              <w:spacing w:line="360" w:lineRule="auto"/>
              <w:jc w:val="both"/>
              <w:rPr>
                <w:rFonts w:ascii="David" w:hAnsi="David"/>
                <w:sz w:val="26"/>
                <w:szCs w:val="26"/>
                <w:rtl/>
              </w:rPr>
            </w:pPr>
          </w:p>
          <w:p w14:paraId="65D934B6" w14:textId="77777777" w:rsidR="00BF16F5" w:rsidRPr="00040DC7" w:rsidRDefault="00BF16F5" w:rsidP="00BF16F5">
            <w:pPr>
              <w:spacing w:line="360" w:lineRule="auto"/>
              <w:jc w:val="both"/>
              <w:rPr>
                <w:rFonts w:ascii="David" w:hAnsi="David"/>
                <w:sz w:val="26"/>
                <w:szCs w:val="26"/>
              </w:rPr>
            </w:pPr>
          </w:p>
        </w:tc>
      </w:tr>
      <w:tr w:rsidR="00BF16F5" w:rsidRPr="00040DC7" w14:paraId="4841E9B2" w14:textId="77777777" w:rsidTr="00CF7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D92252" w14:textId="77777777" w:rsidR="00BF16F5" w:rsidRPr="00040DC7" w:rsidRDefault="00BF16F5" w:rsidP="00BF16F5">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B066E6B" w14:textId="77777777" w:rsidR="00BF16F5" w:rsidRPr="00040DC7" w:rsidRDefault="00BF16F5" w:rsidP="00BF16F5">
            <w:pPr>
              <w:spacing w:line="360" w:lineRule="auto"/>
              <w:rPr>
                <w:rFonts w:ascii="Arial" w:hAnsi="Arial"/>
                <w:b/>
                <w:bCs/>
                <w:sz w:val="26"/>
                <w:szCs w:val="26"/>
                <w:rtl/>
              </w:rPr>
            </w:pPr>
            <w:r w:rsidRPr="00040DC7">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00C6D56B" w14:textId="77777777" w:rsidR="00BF16F5" w:rsidRPr="00040DC7" w:rsidRDefault="00BF16F5" w:rsidP="00BF16F5">
            <w:pPr>
              <w:suppressLineNumbers/>
              <w:spacing w:line="360" w:lineRule="auto"/>
              <w:rPr>
                <w:rFonts w:ascii="Arial" w:hAnsi="Arial"/>
                <w:b/>
                <w:bCs/>
                <w:sz w:val="26"/>
                <w:szCs w:val="26"/>
                <w:rtl/>
              </w:rPr>
            </w:pPr>
            <w:r w:rsidRPr="00040DC7">
              <w:rPr>
                <w:rFonts w:ascii="Arial" w:hAnsi="Arial"/>
                <w:b/>
                <w:bCs/>
                <w:sz w:val="26"/>
                <w:szCs w:val="26"/>
                <w:rtl/>
              </w:rPr>
              <w:t>אור עמר</w:t>
            </w:r>
            <w:r w:rsidRPr="00040DC7">
              <w:rPr>
                <w:rFonts w:ascii="Arial" w:hAnsi="Arial" w:hint="cs"/>
                <w:b/>
                <w:bCs/>
                <w:sz w:val="26"/>
                <w:szCs w:val="26"/>
                <w:rtl/>
              </w:rPr>
              <w:t xml:space="preserve"> </w:t>
            </w:r>
          </w:p>
          <w:p w14:paraId="66F6157A" w14:textId="77777777" w:rsidR="00BF16F5" w:rsidRPr="00040DC7" w:rsidRDefault="00BF16F5" w:rsidP="00BF16F5">
            <w:pPr>
              <w:suppressLineNumbers/>
              <w:spacing w:line="360" w:lineRule="auto"/>
            </w:pPr>
            <w:r w:rsidRPr="00040DC7">
              <w:rPr>
                <w:rFonts w:ascii="Arial" w:hAnsi="Arial"/>
                <w:rtl/>
              </w:rPr>
              <w:t>ע"י</w:t>
            </w:r>
            <w:r w:rsidRPr="00040DC7">
              <w:rPr>
                <w:rFonts w:ascii="Arial" w:hAnsi="Arial"/>
                <w:b/>
                <w:bCs/>
                <w:sz w:val="26"/>
                <w:szCs w:val="26"/>
                <w:rtl/>
              </w:rPr>
              <w:t xml:space="preserve"> </w:t>
            </w:r>
            <w:r w:rsidRPr="00040DC7">
              <w:rPr>
                <w:rFonts w:ascii="Arial" w:hAnsi="Arial"/>
                <w:rtl/>
              </w:rPr>
              <w:t>ב"כ עו"ד</w:t>
            </w:r>
            <w:r w:rsidRPr="00040DC7">
              <w:rPr>
                <w:rFonts w:ascii="Arial" w:hAnsi="Arial" w:hint="cs"/>
                <w:rtl/>
              </w:rPr>
              <w:t xml:space="preserve"> אלון זלצברג</w:t>
            </w:r>
          </w:p>
          <w:p w14:paraId="09A2DE97" w14:textId="77777777" w:rsidR="00BF16F5" w:rsidRPr="00040DC7" w:rsidRDefault="00BF16F5" w:rsidP="00BF16F5">
            <w:pPr>
              <w:spacing w:line="360" w:lineRule="auto"/>
              <w:rPr>
                <w:rFonts w:ascii="David" w:hAnsi="David"/>
                <w:sz w:val="26"/>
                <w:szCs w:val="26"/>
              </w:rPr>
            </w:pPr>
          </w:p>
        </w:tc>
      </w:tr>
    </w:tbl>
    <w:p w14:paraId="23AF3D43" w14:textId="77777777" w:rsidR="00CF7817" w:rsidRPr="00CF7817" w:rsidRDefault="00CF7817" w:rsidP="00CF7817">
      <w:pPr>
        <w:spacing w:before="120" w:after="120" w:line="240" w:lineRule="exact"/>
        <w:ind w:left="283" w:hanging="283"/>
        <w:jc w:val="both"/>
        <w:rPr>
          <w:rFonts w:ascii="FrankRuehl" w:hAnsi="FrankRuehl" w:cs="FrankRuehl"/>
          <w:rtl/>
        </w:rPr>
      </w:pPr>
    </w:p>
    <w:p w14:paraId="14CE06E3" w14:textId="77777777" w:rsidR="00694BC2" w:rsidRPr="00694BC2" w:rsidRDefault="00694BC2" w:rsidP="00694BC2">
      <w:pPr>
        <w:spacing w:before="120" w:after="120" w:line="240" w:lineRule="exact"/>
        <w:ind w:left="283" w:hanging="283"/>
        <w:jc w:val="both"/>
        <w:rPr>
          <w:rFonts w:ascii="FrankRuehl" w:hAnsi="FrankRuehl" w:cs="FrankRuehl"/>
          <w:rtl/>
        </w:rPr>
      </w:pPr>
    </w:p>
    <w:p w14:paraId="3EEAFA3F" w14:textId="77777777" w:rsidR="00626263" w:rsidRDefault="00626263" w:rsidP="00626263">
      <w:pPr>
        <w:spacing w:line="360" w:lineRule="auto"/>
        <w:rPr>
          <w:sz w:val="26"/>
          <w:szCs w:val="26"/>
          <w:rtl/>
        </w:rPr>
      </w:pPr>
      <w:bookmarkStart w:id="3" w:name="LawTable"/>
      <w:bookmarkEnd w:id="3"/>
    </w:p>
    <w:p w14:paraId="578F1D2D" w14:textId="77777777" w:rsidR="00626263" w:rsidRPr="00626263" w:rsidRDefault="00626263" w:rsidP="00626263">
      <w:pPr>
        <w:spacing w:before="120" w:after="120" w:line="240" w:lineRule="exact"/>
        <w:ind w:left="283" w:hanging="283"/>
        <w:jc w:val="both"/>
        <w:rPr>
          <w:rFonts w:ascii="FrankRuehl" w:hAnsi="FrankRuehl" w:cs="FrankRuehl"/>
          <w:rtl/>
        </w:rPr>
      </w:pPr>
    </w:p>
    <w:p w14:paraId="285F1C78" w14:textId="77777777" w:rsidR="00626263" w:rsidRPr="00626263" w:rsidRDefault="00626263" w:rsidP="00626263">
      <w:pPr>
        <w:spacing w:before="120" w:after="120" w:line="240" w:lineRule="exact"/>
        <w:ind w:left="283" w:hanging="283"/>
        <w:jc w:val="both"/>
        <w:rPr>
          <w:rFonts w:ascii="FrankRuehl" w:hAnsi="FrankRuehl" w:cs="FrankRuehl"/>
          <w:rtl/>
        </w:rPr>
      </w:pPr>
    </w:p>
    <w:p w14:paraId="63D3E841" w14:textId="77777777" w:rsidR="00626263" w:rsidRPr="00626263" w:rsidRDefault="00626263" w:rsidP="00626263">
      <w:pPr>
        <w:spacing w:before="120" w:after="120" w:line="240" w:lineRule="exact"/>
        <w:ind w:left="283" w:hanging="283"/>
        <w:jc w:val="both"/>
        <w:rPr>
          <w:rFonts w:ascii="FrankRuehl" w:hAnsi="FrankRuehl" w:cs="FrankRuehl"/>
          <w:rtl/>
        </w:rPr>
      </w:pPr>
      <w:r w:rsidRPr="00626263">
        <w:rPr>
          <w:rFonts w:ascii="FrankRuehl" w:hAnsi="FrankRuehl" w:cs="FrankRuehl"/>
          <w:rtl/>
        </w:rPr>
        <w:t xml:space="preserve">חקיקה שאוזכרה: </w:t>
      </w:r>
    </w:p>
    <w:p w14:paraId="5381FC73" w14:textId="77777777" w:rsidR="00626263" w:rsidRPr="00626263" w:rsidRDefault="00626263" w:rsidP="00626263">
      <w:pPr>
        <w:spacing w:before="120" w:after="120" w:line="240" w:lineRule="exact"/>
        <w:ind w:left="283" w:hanging="283"/>
        <w:jc w:val="both"/>
        <w:rPr>
          <w:rFonts w:ascii="FrankRuehl" w:hAnsi="FrankRuehl" w:cs="FrankRuehl"/>
          <w:rtl/>
        </w:rPr>
      </w:pPr>
      <w:hyperlink r:id="rId7" w:history="1">
        <w:r w:rsidRPr="00626263">
          <w:rPr>
            <w:rFonts w:ascii="FrankRuehl" w:hAnsi="FrankRuehl" w:cs="FrankRuehl"/>
            <w:color w:val="0000FF"/>
            <w:rtl/>
          </w:rPr>
          <w:t>פקודת הסמים המסוכנים [נוסח חדש], תשל"ג-1973</w:t>
        </w:r>
      </w:hyperlink>
      <w:r w:rsidRPr="00626263">
        <w:rPr>
          <w:rFonts w:ascii="FrankRuehl" w:hAnsi="FrankRuehl" w:cs="FrankRuehl"/>
          <w:rtl/>
        </w:rPr>
        <w:t xml:space="preserve">: סע'  </w:t>
      </w:r>
      <w:hyperlink r:id="rId8" w:history="1">
        <w:r w:rsidRPr="00626263">
          <w:rPr>
            <w:rFonts w:ascii="FrankRuehl" w:hAnsi="FrankRuehl" w:cs="FrankRuehl"/>
            <w:color w:val="0000FF"/>
            <w:rtl/>
          </w:rPr>
          <w:t>7(א)</w:t>
        </w:r>
      </w:hyperlink>
      <w:r w:rsidRPr="00626263">
        <w:rPr>
          <w:rFonts w:ascii="FrankRuehl" w:hAnsi="FrankRuehl" w:cs="FrankRuehl"/>
          <w:rtl/>
        </w:rPr>
        <w:t xml:space="preserve">, </w:t>
      </w:r>
      <w:hyperlink r:id="rId9" w:history="1">
        <w:r w:rsidRPr="00626263">
          <w:rPr>
            <w:rFonts w:ascii="FrankRuehl" w:hAnsi="FrankRuehl" w:cs="FrankRuehl"/>
            <w:color w:val="0000FF"/>
            <w:rtl/>
          </w:rPr>
          <w:t>7(ג)</w:t>
        </w:r>
      </w:hyperlink>
    </w:p>
    <w:p w14:paraId="3CBEA4C4" w14:textId="77777777" w:rsidR="00626263" w:rsidRPr="00626263" w:rsidRDefault="00626263" w:rsidP="00626263">
      <w:pPr>
        <w:spacing w:before="120" w:after="120" w:line="240" w:lineRule="exact"/>
        <w:ind w:left="283" w:hanging="283"/>
        <w:jc w:val="both"/>
        <w:rPr>
          <w:rFonts w:ascii="FrankRuehl" w:hAnsi="FrankRuehl" w:cs="FrankRuehl"/>
          <w:rtl/>
        </w:rPr>
      </w:pPr>
      <w:hyperlink r:id="rId10" w:history="1">
        <w:r w:rsidRPr="00626263">
          <w:rPr>
            <w:rFonts w:ascii="FrankRuehl" w:hAnsi="FrankRuehl" w:cs="FrankRuehl"/>
            <w:color w:val="0000FF"/>
            <w:rtl/>
          </w:rPr>
          <w:t>חוק העונשין, תשל"ז-1977</w:t>
        </w:r>
      </w:hyperlink>
      <w:r w:rsidRPr="00626263">
        <w:rPr>
          <w:rFonts w:ascii="FrankRuehl" w:hAnsi="FrankRuehl" w:cs="FrankRuehl"/>
          <w:rtl/>
        </w:rPr>
        <w:t xml:space="preserve">: סע'  </w:t>
      </w:r>
      <w:hyperlink r:id="rId11" w:history="1">
        <w:r w:rsidRPr="00626263">
          <w:rPr>
            <w:rFonts w:ascii="FrankRuehl" w:hAnsi="FrankRuehl" w:cs="FrankRuehl"/>
            <w:color w:val="0000FF"/>
            <w:rtl/>
          </w:rPr>
          <w:t>186(א)</w:t>
        </w:r>
      </w:hyperlink>
    </w:p>
    <w:p w14:paraId="78C3B6A3" w14:textId="77777777" w:rsidR="00626263" w:rsidRPr="00626263" w:rsidRDefault="00626263" w:rsidP="00626263">
      <w:pPr>
        <w:spacing w:before="120" w:after="120" w:line="240" w:lineRule="exact"/>
        <w:ind w:left="283" w:hanging="283"/>
        <w:jc w:val="both"/>
        <w:rPr>
          <w:rFonts w:ascii="FrankRuehl" w:hAnsi="FrankRuehl" w:cs="FrankRuehl"/>
          <w:rtl/>
        </w:rPr>
      </w:pPr>
      <w:hyperlink r:id="rId12" w:history="1">
        <w:r w:rsidRPr="00626263">
          <w:rPr>
            <w:rFonts w:ascii="FrankRuehl" w:hAnsi="FrankRuehl" w:cs="FrankRuehl"/>
            <w:color w:val="0000FF"/>
            <w:rtl/>
          </w:rPr>
          <w:t>פקודת התעבורה [נוסח חדש]</w:t>
        </w:r>
      </w:hyperlink>
      <w:r w:rsidRPr="00626263">
        <w:rPr>
          <w:rFonts w:ascii="FrankRuehl" w:hAnsi="FrankRuehl" w:cs="FrankRuehl"/>
          <w:rtl/>
        </w:rPr>
        <w:t xml:space="preserve">: סע'  </w:t>
      </w:r>
      <w:hyperlink r:id="rId13" w:history="1">
        <w:r w:rsidRPr="00626263">
          <w:rPr>
            <w:rFonts w:ascii="FrankRuehl" w:hAnsi="FrankRuehl" w:cs="FrankRuehl"/>
            <w:color w:val="0000FF"/>
            <w:rtl/>
          </w:rPr>
          <w:t>10(א)</w:t>
        </w:r>
      </w:hyperlink>
    </w:p>
    <w:p w14:paraId="07427757" w14:textId="77777777" w:rsidR="00626263" w:rsidRPr="00626263" w:rsidRDefault="00626263" w:rsidP="00626263">
      <w:pPr>
        <w:spacing w:before="120" w:after="120" w:line="240" w:lineRule="exact"/>
        <w:ind w:left="283" w:hanging="283"/>
        <w:jc w:val="both"/>
        <w:rPr>
          <w:rFonts w:ascii="FrankRuehl" w:hAnsi="FrankRuehl" w:cs="FrankRuehl"/>
          <w:rtl/>
        </w:rPr>
      </w:pPr>
      <w:hyperlink r:id="rId14" w:history="1">
        <w:r w:rsidRPr="00626263">
          <w:rPr>
            <w:rFonts w:ascii="FrankRuehl" w:hAnsi="FrankRuehl" w:cs="FrankRuehl"/>
            <w:color w:val="0000FF"/>
            <w:rtl/>
          </w:rPr>
          <w:t>תקנות התעבורה, תשכ"א-1961 - לא מרובדות</w:t>
        </w:r>
      </w:hyperlink>
      <w:r w:rsidRPr="00626263">
        <w:rPr>
          <w:rFonts w:ascii="FrankRuehl" w:hAnsi="FrankRuehl" w:cs="FrankRuehl"/>
          <w:rtl/>
        </w:rPr>
        <w:t xml:space="preserve">: סע'  </w:t>
      </w:r>
      <w:hyperlink r:id="rId15" w:history="1">
        <w:r w:rsidRPr="00626263">
          <w:rPr>
            <w:rFonts w:ascii="FrankRuehl" w:hAnsi="FrankRuehl" w:cs="FrankRuehl"/>
            <w:color w:val="0000FF"/>
            <w:rtl/>
          </w:rPr>
          <w:t>26(2)</w:t>
        </w:r>
      </w:hyperlink>
    </w:p>
    <w:p w14:paraId="1BE8FC48" w14:textId="77777777" w:rsidR="00626263" w:rsidRPr="00626263" w:rsidRDefault="00626263" w:rsidP="00626263">
      <w:pPr>
        <w:spacing w:before="120" w:after="120" w:line="240" w:lineRule="exact"/>
        <w:ind w:left="283" w:hanging="283"/>
        <w:jc w:val="both"/>
        <w:rPr>
          <w:rFonts w:ascii="FrankRuehl" w:hAnsi="FrankRuehl" w:cs="FrankRuehl"/>
          <w:rtl/>
        </w:rPr>
      </w:pPr>
      <w:hyperlink r:id="rId16" w:history="1">
        <w:r w:rsidRPr="00626263">
          <w:rPr>
            <w:rFonts w:ascii="FrankRuehl" w:hAnsi="FrankRuehl" w:cs="FrankRuehl"/>
            <w:color w:val="0000FF"/>
            <w:rtl/>
          </w:rPr>
          <w:t>פקודת ביטוח רכב מנועי [נוסח חדש], תש"ל-1970</w:t>
        </w:r>
      </w:hyperlink>
      <w:r w:rsidRPr="00626263">
        <w:rPr>
          <w:rFonts w:ascii="FrankRuehl" w:hAnsi="FrankRuehl" w:cs="FrankRuehl"/>
          <w:rtl/>
        </w:rPr>
        <w:t xml:space="preserve">: סע'  </w:t>
      </w:r>
      <w:hyperlink r:id="rId17" w:history="1">
        <w:r w:rsidRPr="00626263">
          <w:rPr>
            <w:rFonts w:ascii="FrankRuehl" w:hAnsi="FrankRuehl" w:cs="FrankRuehl"/>
            <w:color w:val="0000FF"/>
            <w:rtl/>
          </w:rPr>
          <w:t>2(א)</w:t>
        </w:r>
      </w:hyperlink>
    </w:p>
    <w:p w14:paraId="5423080F" w14:textId="77777777" w:rsidR="00626263" w:rsidRPr="00626263" w:rsidRDefault="00626263" w:rsidP="00626263">
      <w:pPr>
        <w:spacing w:line="360" w:lineRule="auto"/>
        <w:rPr>
          <w:sz w:val="26"/>
          <w:szCs w:val="26"/>
          <w:rtl/>
        </w:rPr>
      </w:pPr>
      <w:bookmarkStart w:id="4" w:name="LawTable_End"/>
      <w:bookmarkEnd w:id="4"/>
    </w:p>
    <w:p w14:paraId="5EF9003D" w14:textId="77777777" w:rsidR="00BF16F5" w:rsidRPr="00694BC2" w:rsidRDefault="00BF16F5" w:rsidP="00694BC2">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16F5" w14:paraId="13DDAF36" w14:textId="77777777" w:rsidTr="00BF16F5">
        <w:trPr>
          <w:trHeight w:val="355"/>
          <w:jc w:val="center"/>
        </w:trPr>
        <w:tc>
          <w:tcPr>
            <w:tcW w:w="8820" w:type="dxa"/>
            <w:tcBorders>
              <w:top w:val="nil"/>
              <w:left w:val="nil"/>
              <w:bottom w:val="nil"/>
              <w:right w:val="nil"/>
            </w:tcBorders>
            <w:shd w:val="clear" w:color="auto" w:fill="auto"/>
          </w:tcPr>
          <w:p w14:paraId="118B075E" w14:textId="77777777" w:rsidR="00040DC7" w:rsidRPr="00040DC7" w:rsidRDefault="00040DC7" w:rsidP="00040DC7">
            <w:pPr>
              <w:spacing w:after="120" w:line="360" w:lineRule="auto"/>
              <w:jc w:val="center"/>
              <w:rPr>
                <w:rFonts w:ascii="David" w:hAnsi="David"/>
                <w:b/>
                <w:bCs/>
                <w:sz w:val="36"/>
                <w:szCs w:val="36"/>
                <w:u w:val="single"/>
                <w:rtl/>
              </w:rPr>
            </w:pPr>
            <w:bookmarkStart w:id="5" w:name="PsakDin" w:colFirst="0" w:colLast="0"/>
            <w:bookmarkEnd w:id="0"/>
            <w:r w:rsidRPr="00040DC7">
              <w:rPr>
                <w:rFonts w:ascii="David" w:hAnsi="David"/>
                <w:b/>
                <w:bCs/>
                <w:sz w:val="36"/>
                <w:szCs w:val="36"/>
                <w:u w:val="single"/>
                <w:rtl/>
              </w:rPr>
              <w:t>גזר דין</w:t>
            </w:r>
          </w:p>
          <w:p w14:paraId="1DA66782" w14:textId="77777777" w:rsidR="00BF16F5" w:rsidRPr="00040DC7" w:rsidRDefault="00BF16F5" w:rsidP="00040DC7">
            <w:pPr>
              <w:spacing w:after="120" w:line="360" w:lineRule="auto"/>
              <w:jc w:val="center"/>
              <w:rPr>
                <w:rFonts w:ascii="David" w:hAnsi="David"/>
                <w:bCs/>
                <w:sz w:val="36"/>
                <w:szCs w:val="36"/>
                <w:u w:val="single"/>
                <w:rtl/>
              </w:rPr>
            </w:pPr>
          </w:p>
        </w:tc>
      </w:tr>
    </w:tbl>
    <w:bookmarkEnd w:id="5"/>
    <w:p w14:paraId="3A975AF2" w14:textId="77777777" w:rsidR="00BF16F5" w:rsidRDefault="00BF16F5" w:rsidP="00BF16F5">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5B88D5D2" w14:textId="77777777" w:rsidR="00BF16F5" w:rsidRDefault="00BF16F5" w:rsidP="00BF16F5">
      <w:pPr>
        <w:numPr>
          <w:ilvl w:val="0"/>
          <w:numId w:val="2"/>
        </w:numPr>
        <w:spacing w:after="120" w:line="360" w:lineRule="auto"/>
        <w:ind w:left="360"/>
        <w:jc w:val="both"/>
        <w:rPr>
          <w:rFonts w:ascii="Tahoma" w:hAnsi="Tahoma"/>
          <w:rtl/>
        </w:rPr>
      </w:pPr>
      <w:bookmarkStart w:id="6" w:name="ABSTRACT_START"/>
      <w:bookmarkEnd w:id="6"/>
      <w:r>
        <w:rPr>
          <w:rFonts w:ascii="David" w:hAnsi="David"/>
          <w:rtl/>
        </w:rPr>
        <w:lastRenderedPageBreak/>
        <w:t xml:space="preserve">הנאשם הורשע – על יסוד הודאתו בעובדות כתב האישום המתוקן, שניתנה במסגרת הסדר טיעון – </w:t>
      </w:r>
      <w:r>
        <w:rPr>
          <w:rFonts w:ascii="David" w:hAnsi="David"/>
          <w:color w:val="000000"/>
          <w:shd w:val="clear" w:color="auto" w:fill="FFFFFF"/>
          <w:rtl/>
        </w:rPr>
        <w:t>בעבירות שבהן הואשם בכתב האישום המתוקן כפי שיפורט לקמן.</w:t>
      </w:r>
    </w:p>
    <w:p w14:paraId="2B7FC650" w14:textId="77777777" w:rsidR="00BF16F5" w:rsidRDefault="00BF16F5" w:rsidP="00BF16F5">
      <w:pPr>
        <w:numPr>
          <w:ilvl w:val="0"/>
          <w:numId w:val="2"/>
        </w:numPr>
        <w:spacing w:after="120" w:line="360" w:lineRule="auto"/>
        <w:ind w:left="360"/>
        <w:jc w:val="both"/>
        <w:rPr>
          <w:rFonts w:ascii="Tahoma" w:hAnsi="Tahoma"/>
        </w:rPr>
      </w:pPr>
      <w:bookmarkStart w:id="7" w:name="ABSTRACT_END"/>
      <w:bookmarkEnd w:id="7"/>
      <w:r>
        <w:rPr>
          <w:rFonts w:ascii="David" w:hAnsi="David"/>
          <w:rtl/>
        </w:rPr>
        <w:t>בכתב האישום המתוקן נטען, בעיקרי הדברים, כלהלן:</w:t>
      </w:r>
    </w:p>
    <w:p w14:paraId="5FE7A98D" w14:textId="77777777" w:rsidR="00BF16F5" w:rsidRDefault="00BF16F5" w:rsidP="00BF16F5">
      <w:pPr>
        <w:pStyle w:val="a9"/>
        <w:spacing w:before="120" w:after="120" w:line="360" w:lineRule="auto"/>
        <w:ind w:left="360"/>
        <w:jc w:val="both"/>
        <w:rPr>
          <w:rFonts w:ascii="David" w:hAnsi="David"/>
        </w:rPr>
      </w:pPr>
      <w:r>
        <w:rPr>
          <w:rFonts w:ascii="David" w:hAnsi="David"/>
          <w:b/>
          <w:bCs/>
          <w:u w:val="single"/>
          <w:rtl/>
        </w:rPr>
        <w:t>אישום 1:</w:t>
      </w:r>
    </w:p>
    <w:p w14:paraId="556072CB" w14:textId="77777777" w:rsidR="00BF16F5" w:rsidRDefault="00BF16F5" w:rsidP="00BF16F5">
      <w:pPr>
        <w:pStyle w:val="a9"/>
        <w:spacing w:before="120" w:after="120" w:line="360" w:lineRule="auto"/>
        <w:ind w:left="360"/>
        <w:jc w:val="both"/>
        <w:rPr>
          <w:rFonts w:ascii="David" w:hAnsi="David"/>
        </w:rPr>
      </w:pPr>
      <w:r>
        <w:rPr>
          <w:rFonts w:ascii="David" w:hAnsi="David"/>
          <w:u w:val="single"/>
          <w:rtl/>
        </w:rPr>
        <w:t>העובדות:</w:t>
      </w:r>
    </w:p>
    <w:p w14:paraId="7020B726" w14:textId="77777777" w:rsidR="00BF16F5" w:rsidRDefault="00BF16F5" w:rsidP="00BF16F5">
      <w:pPr>
        <w:pStyle w:val="a9"/>
        <w:numPr>
          <w:ilvl w:val="0"/>
          <w:numId w:val="3"/>
        </w:numPr>
        <w:spacing w:before="120" w:after="120" w:line="360" w:lineRule="auto"/>
        <w:ind w:left="784" w:hanging="425"/>
        <w:jc w:val="both"/>
        <w:rPr>
          <w:rFonts w:ascii="David" w:hAnsi="David"/>
        </w:rPr>
      </w:pPr>
      <w:r>
        <w:rPr>
          <w:rFonts w:ascii="David" w:hAnsi="David"/>
          <w:rtl/>
        </w:rPr>
        <w:t xml:space="preserve">ביום 06.02.2020, בשעה 12:15 או בסמוך לכך, ברחוב דניאל בבת ים, החזיק הנאשם במשענת היד הקדמית ברכבו, בסמים המסוכנים כלהלן: בשתי יחידות של סמים מסוכנים מסוג </w:t>
      </w:r>
      <w:r w:rsidRPr="00EE4698">
        <w:rPr>
          <w:rFonts w:ascii="David" w:hAnsi="David"/>
          <w:b/>
          <w:bCs/>
        </w:rPr>
        <w:t>MDMA</w:t>
      </w:r>
      <w:r>
        <w:rPr>
          <w:rFonts w:ascii="David" w:hAnsi="David"/>
          <w:rtl/>
        </w:rPr>
        <w:t xml:space="preserve">, במשקל של </w:t>
      </w:r>
      <w:r w:rsidRPr="00EE4698">
        <w:rPr>
          <w:rFonts w:ascii="David" w:hAnsi="David"/>
          <w:b/>
          <w:bCs/>
          <w:rtl/>
        </w:rPr>
        <w:t>0.5 גרם</w:t>
      </w:r>
      <w:r>
        <w:rPr>
          <w:rFonts w:ascii="David" w:hAnsi="David"/>
          <w:rtl/>
        </w:rPr>
        <w:t xml:space="preserve"> נטו, ובשני בולי סמים מסוכנים מסוג </w:t>
      </w:r>
      <w:r w:rsidRPr="00EE4698">
        <w:rPr>
          <w:rFonts w:ascii="David" w:hAnsi="David"/>
          <w:b/>
          <w:bCs/>
        </w:rPr>
        <w:t>LSD</w:t>
      </w:r>
      <w:r>
        <w:rPr>
          <w:rFonts w:ascii="David" w:hAnsi="David"/>
          <w:rtl/>
        </w:rPr>
        <w:t>.</w:t>
      </w:r>
    </w:p>
    <w:p w14:paraId="321F321A" w14:textId="77777777" w:rsidR="00BF16F5" w:rsidRDefault="00BF16F5" w:rsidP="00BF16F5">
      <w:pPr>
        <w:pStyle w:val="a9"/>
        <w:numPr>
          <w:ilvl w:val="0"/>
          <w:numId w:val="3"/>
        </w:numPr>
        <w:spacing w:before="120" w:after="120" w:line="360" w:lineRule="auto"/>
        <w:ind w:left="784" w:hanging="425"/>
        <w:jc w:val="both"/>
        <w:rPr>
          <w:rFonts w:ascii="David" w:hAnsi="David"/>
        </w:rPr>
      </w:pPr>
      <w:r>
        <w:rPr>
          <w:rFonts w:ascii="David" w:hAnsi="David"/>
          <w:rtl/>
        </w:rPr>
        <w:t>בנוסף החזיק הנאשם שלא כדין, בתיק הצד, בסכין שיסוף.</w:t>
      </w:r>
    </w:p>
    <w:p w14:paraId="71D1EEAD" w14:textId="77777777" w:rsidR="00BF16F5" w:rsidRDefault="00BF16F5" w:rsidP="00BF16F5">
      <w:pPr>
        <w:pStyle w:val="a9"/>
        <w:spacing w:before="120" w:after="120" w:line="360" w:lineRule="auto"/>
        <w:ind w:left="359"/>
        <w:jc w:val="both"/>
        <w:rPr>
          <w:rFonts w:ascii="David" w:hAnsi="David"/>
        </w:rPr>
      </w:pPr>
      <w:r>
        <w:rPr>
          <w:rFonts w:ascii="David" w:hAnsi="David"/>
          <w:u w:val="single"/>
          <w:rtl/>
        </w:rPr>
        <w:t>הוראות החיקוק:</w:t>
      </w:r>
    </w:p>
    <w:p w14:paraId="1DBE5DE2" w14:textId="77777777" w:rsidR="00BF16F5" w:rsidRDefault="00BF16F5" w:rsidP="00BF16F5">
      <w:pPr>
        <w:spacing w:before="120" w:after="120" w:line="360" w:lineRule="auto"/>
        <w:ind w:left="359"/>
        <w:jc w:val="both"/>
        <w:rPr>
          <w:rFonts w:ascii="David" w:hAnsi="David"/>
        </w:rPr>
      </w:pPr>
      <w:r>
        <w:rPr>
          <w:rFonts w:ascii="David" w:hAnsi="David"/>
          <w:b/>
          <w:bCs/>
          <w:rtl/>
        </w:rPr>
        <w:t>החזקת סמים מסוכנים לצריכה עצמית</w:t>
      </w:r>
      <w:r>
        <w:rPr>
          <w:rFonts w:ascii="David" w:hAnsi="David"/>
          <w:rtl/>
        </w:rPr>
        <w:t xml:space="preserve">, עבירה לפי הוראות </w:t>
      </w:r>
      <w:hyperlink r:id="rId18" w:history="1">
        <w:r w:rsidR="00CF7817" w:rsidRPr="00CF7817">
          <w:rPr>
            <w:rStyle w:val="Hyperlink"/>
            <w:rFonts w:ascii="David" w:hAnsi="David"/>
            <w:rtl/>
          </w:rPr>
          <w:t>סעיף 7(א)</w:t>
        </w:r>
      </w:hyperlink>
      <w:r>
        <w:rPr>
          <w:rFonts w:ascii="David" w:hAnsi="David"/>
          <w:rtl/>
        </w:rPr>
        <w:t xml:space="preserve"> יחד עם סעיף </w:t>
      </w:r>
      <w:hyperlink r:id="rId19" w:history="1">
        <w:r w:rsidR="00CF7817" w:rsidRPr="00CF7817">
          <w:rPr>
            <w:rStyle w:val="Hyperlink"/>
            <w:rFonts w:ascii="David" w:hAnsi="David"/>
            <w:rtl/>
          </w:rPr>
          <w:t>7(ג)</w:t>
        </w:r>
      </w:hyperlink>
      <w:r>
        <w:rPr>
          <w:rFonts w:ascii="David" w:hAnsi="David"/>
          <w:rtl/>
        </w:rPr>
        <w:t xml:space="preserve"> סיפא ל</w:t>
      </w:r>
      <w:hyperlink r:id="rId20" w:history="1">
        <w:r w:rsidR="00040DC7" w:rsidRPr="00040DC7">
          <w:rPr>
            <w:rFonts w:ascii="David" w:hAnsi="David"/>
            <w:color w:val="0000FF"/>
            <w:u w:val="single"/>
            <w:rtl/>
          </w:rPr>
          <w:t>פקודת הסמים המסוכנים</w:t>
        </w:r>
      </w:hyperlink>
      <w:r>
        <w:rPr>
          <w:rFonts w:ascii="David" w:hAnsi="David"/>
          <w:rtl/>
        </w:rPr>
        <w:t xml:space="preserve"> [נוסח חדש], תשל"ג-1973 (להלן – פקודת הסמים המסוכנים); </w:t>
      </w:r>
      <w:r>
        <w:rPr>
          <w:rFonts w:ascii="David" w:hAnsi="David"/>
          <w:b/>
          <w:bCs/>
          <w:rtl/>
        </w:rPr>
        <w:t>החזקת סכין שלא כדין</w:t>
      </w:r>
      <w:r>
        <w:rPr>
          <w:rFonts w:ascii="David" w:hAnsi="David"/>
          <w:rtl/>
        </w:rPr>
        <w:t xml:space="preserve">, עבירה לפי הוראות </w:t>
      </w:r>
      <w:hyperlink r:id="rId21" w:history="1">
        <w:r w:rsidR="00CF7817" w:rsidRPr="00CF7817">
          <w:rPr>
            <w:rStyle w:val="Hyperlink"/>
            <w:rFonts w:ascii="David" w:hAnsi="David"/>
            <w:rtl/>
          </w:rPr>
          <w:t>סעיף 186(א)</w:t>
        </w:r>
      </w:hyperlink>
      <w:r>
        <w:rPr>
          <w:rFonts w:ascii="David" w:hAnsi="David"/>
          <w:rtl/>
        </w:rPr>
        <w:t xml:space="preserve"> ל</w:t>
      </w:r>
      <w:hyperlink r:id="rId22" w:history="1">
        <w:r w:rsidR="00040DC7" w:rsidRPr="00040DC7">
          <w:rPr>
            <w:rFonts w:ascii="David" w:hAnsi="David"/>
            <w:color w:val="0000FF"/>
            <w:u w:val="single"/>
            <w:rtl/>
          </w:rPr>
          <w:t>חוק העונשין</w:t>
        </w:r>
      </w:hyperlink>
      <w:r>
        <w:rPr>
          <w:rFonts w:ascii="David" w:hAnsi="David"/>
          <w:rtl/>
        </w:rPr>
        <w:t>, תשל"ז-1977 (להלן – חוק העונשין).</w:t>
      </w:r>
    </w:p>
    <w:p w14:paraId="2B246478" w14:textId="77777777" w:rsidR="00BF16F5" w:rsidRDefault="00BF16F5" w:rsidP="00BF16F5">
      <w:pPr>
        <w:spacing w:before="120" w:after="120" w:line="360" w:lineRule="auto"/>
        <w:ind w:left="359"/>
        <w:jc w:val="both"/>
        <w:rPr>
          <w:rFonts w:ascii="David" w:hAnsi="David"/>
        </w:rPr>
      </w:pPr>
      <w:r>
        <w:rPr>
          <w:rFonts w:ascii="David" w:hAnsi="David"/>
          <w:b/>
          <w:bCs/>
          <w:u w:val="single"/>
          <w:rtl/>
        </w:rPr>
        <w:t>אישום 2:</w:t>
      </w:r>
    </w:p>
    <w:p w14:paraId="2E2F205E" w14:textId="77777777" w:rsidR="00BF16F5" w:rsidRDefault="00BF16F5" w:rsidP="00BF16F5">
      <w:pPr>
        <w:spacing w:before="120" w:after="120" w:line="360" w:lineRule="auto"/>
        <w:ind w:left="359"/>
        <w:jc w:val="both"/>
        <w:rPr>
          <w:rFonts w:ascii="David" w:hAnsi="David"/>
          <w:rtl/>
        </w:rPr>
      </w:pPr>
      <w:r>
        <w:rPr>
          <w:rFonts w:ascii="David" w:hAnsi="David"/>
          <w:u w:val="single"/>
          <w:rtl/>
        </w:rPr>
        <w:t>העובדות:</w:t>
      </w:r>
      <w:r>
        <w:rPr>
          <w:rFonts w:ascii="David" w:hAnsi="David"/>
          <w:rtl/>
        </w:rPr>
        <w:t xml:space="preserve"> </w:t>
      </w:r>
    </w:p>
    <w:p w14:paraId="60F988A5" w14:textId="77777777" w:rsidR="00BF16F5" w:rsidRDefault="00BF16F5" w:rsidP="00BF16F5">
      <w:pPr>
        <w:pStyle w:val="a9"/>
        <w:numPr>
          <w:ilvl w:val="0"/>
          <w:numId w:val="4"/>
        </w:numPr>
        <w:spacing w:before="120" w:after="120" w:line="360" w:lineRule="auto"/>
        <w:ind w:left="784" w:hanging="425"/>
        <w:jc w:val="both"/>
        <w:rPr>
          <w:rFonts w:ascii="David" w:hAnsi="David"/>
        </w:rPr>
      </w:pPr>
      <w:r>
        <w:rPr>
          <w:rFonts w:ascii="David" w:hAnsi="David"/>
          <w:rtl/>
        </w:rPr>
        <w:t>בנסיבות האמורות באישום 1 נהג הנאשם ברכב תחת השפעת סמים מסוכנים מסוג קנבוס, ובנוסף נהג ברכב מבלי שהוציא רישיון נהיגה לסוג רכב זה ובלי ביטוח כדין.</w:t>
      </w:r>
    </w:p>
    <w:p w14:paraId="5FFBFB41" w14:textId="77777777" w:rsidR="00BF16F5" w:rsidRDefault="00BF16F5" w:rsidP="00BF16F5">
      <w:pPr>
        <w:spacing w:before="120" w:after="120" w:line="360" w:lineRule="auto"/>
        <w:ind w:left="359"/>
        <w:jc w:val="both"/>
        <w:rPr>
          <w:rFonts w:ascii="David" w:hAnsi="David"/>
        </w:rPr>
      </w:pPr>
      <w:r>
        <w:rPr>
          <w:rFonts w:ascii="David" w:hAnsi="David"/>
          <w:u w:val="single"/>
          <w:rtl/>
        </w:rPr>
        <w:t>הוראות החיקוק:</w:t>
      </w:r>
    </w:p>
    <w:p w14:paraId="60E2DA3B" w14:textId="77777777" w:rsidR="00BF16F5" w:rsidRDefault="00BF16F5" w:rsidP="00BF16F5">
      <w:pPr>
        <w:spacing w:before="120" w:after="120" w:line="360" w:lineRule="auto"/>
        <w:ind w:left="359"/>
        <w:jc w:val="both"/>
        <w:rPr>
          <w:rFonts w:ascii="David" w:hAnsi="David"/>
        </w:rPr>
      </w:pPr>
      <w:r>
        <w:rPr>
          <w:rFonts w:ascii="David" w:hAnsi="David"/>
          <w:b/>
          <w:bCs/>
          <w:rtl/>
        </w:rPr>
        <w:t>נהיגה ללא רישיון נהיגה</w:t>
      </w:r>
      <w:r>
        <w:rPr>
          <w:rFonts w:ascii="David" w:hAnsi="David"/>
          <w:rtl/>
        </w:rPr>
        <w:t xml:space="preserve">, עבירה לפי הוראות </w:t>
      </w:r>
      <w:hyperlink r:id="rId23" w:history="1">
        <w:r w:rsidR="00CF7817" w:rsidRPr="00CF7817">
          <w:rPr>
            <w:rStyle w:val="Hyperlink"/>
            <w:rFonts w:ascii="David" w:hAnsi="David"/>
            <w:rtl/>
          </w:rPr>
          <w:t>סעיף 10(א)</w:t>
        </w:r>
      </w:hyperlink>
      <w:r>
        <w:rPr>
          <w:rFonts w:ascii="David" w:hAnsi="David"/>
          <w:rtl/>
        </w:rPr>
        <w:t xml:space="preserve"> ל</w:t>
      </w:r>
      <w:hyperlink r:id="rId24" w:history="1">
        <w:r w:rsidR="00040DC7" w:rsidRPr="00040DC7">
          <w:rPr>
            <w:rFonts w:ascii="David" w:hAnsi="David"/>
            <w:color w:val="0000FF"/>
            <w:u w:val="single"/>
            <w:rtl/>
          </w:rPr>
          <w:t>פקודת התעבורה</w:t>
        </w:r>
      </w:hyperlink>
      <w:r>
        <w:rPr>
          <w:rFonts w:ascii="David" w:hAnsi="David"/>
          <w:rtl/>
        </w:rPr>
        <w:t xml:space="preserve"> [נוסח חדש]; </w:t>
      </w:r>
      <w:r>
        <w:rPr>
          <w:rFonts w:ascii="David" w:hAnsi="David"/>
          <w:b/>
          <w:bCs/>
          <w:rtl/>
        </w:rPr>
        <w:t>נהיגת תחת השפעת סמים</w:t>
      </w:r>
      <w:r>
        <w:rPr>
          <w:rFonts w:ascii="David" w:hAnsi="David"/>
          <w:rtl/>
        </w:rPr>
        <w:t xml:space="preserve">, עבירה לפי הוראות </w:t>
      </w:r>
      <w:hyperlink r:id="rId25" w:history="1">
        <w:r w:rsidR="00CF7817" w:rsidRPr="00CF7817">
          <w:rPr>
            <w:rStyle w:val="Hyperlink"/>
            <w:rFonts w:ascii="David" w:hAnsi="David"/>
            <w:rtl/>
          </w:rPr>
          <w:t>תקנה 26(2)</w:t>
        </w:r>
      </w:hyperlink>
      <w:r>
        <w:rPr>
          <w:rFonts w:ascii="David" w:hAnsi="David"/>
          <w:rtl/>
        </w:rPr>
        <w:t xml:space="preserve"> ל</w:t>
      </w:r>
      <w:hyperlink r:id="rId26" w:history="1">
        <w:r w:rsidR="00040DC7" w:rsidRPr="00040DC7">
          <w:rPr>
            <w:rFonts w:ascii="David" w:hAnsi="David"/>
            <w:color w:val="0000FF"/>
            <w:u w:val="single"/>
            <w:rtl/>
          </w:rPr>
          <w:t>תקנות התעבורה</w:t>
        </w:r>
      </w:hyperlink>
      <w:r>
        <w:rPr>
          <w:rFonts w:ascii="David" w:hAnsi="David"/>
          <w:rtl/>
        </w:rPr>
        <w:t xml:space="preserve">, תשכ"א-1961; </w:t>
      </w:r>
      <w:r>
        <w:rPr>
          <w:rFonts w:ascii="David" w:hAnsi="David"/>
          <w:b/>
          <w:bCs/>
          <w:rtl/>
        </w:rPr>
        <w:t>נהיגה ברכב ללא ביטוח</w:t>
      </w:r>
      <w:r>
        <w:rPr>
          <w:rFonts w:ascii="David" w:hAnsi="David"/>
          <w:rtl/>
        </w:rPr>
        <w:t xml:space="preserve">, לפי הוראות </w:t>
      </w:r>
      <w:hyperlink r:id="rId27" w:history="1">
        <w:r w:rsidR="00CF7817" w:rsidRPr="00CF7817">
          <w:rPr>
            <w:rStyle w:val="Hyperlink"/>
            <w:rFonts w:ascii="David" w:hAnsi="David"/>
            <w:rtl/>
          </w:rPr>
          <w:t>סעיף 2(א)</w:t>
        </w:r>
      </w:hyperlink>
      <w:r>
        <w:rPr>
          <w:rFonts w:ascii="David" w:hAnsi="David"/>
          <w:rtl/>
        </w:rPr>
        <w:t xml:space="preserve"> ל</w:t>
      </w:r>
      <w:hyperlink r:id="rId28" w:history="1">
        <w:r w:rsidR="00040DC7" w:rsidRPr="00040DC7">
          <w:rPr>
            <w:rFonts w:ascii="David" w:hAnsi="David"/>
            <w:color w:val="0000FF"/>
            <w:u w:val="single"/>
            <w:rtl/>
          </w:rPr>
          <w:t>פקודת ביטוח רכב מנועי</w:t>
        </w:r>
      </w:hyperlink>
      <w:r>
        <w:rPr>
          <w:rFonts w:ascii="David" w:hAnsi="David"/>
          <w:rtl/>
        </w:rPr>
        <w:t xml:space="preserve"> [נוסח חדש], תש"ל-1970.</w:t>
      </w:r>
    </w:p>
    <w:p w14:paraId="79DAFFAB" w14:textId="77777777" w:rsidR="00BF16F5" w:rsidRPr="00784C2C" w:rsidRDefault="00BF16F5" w:rsidP="00BF16F5">
      <w:pPr>
        <w:numPr>
          <w:ilvl w:val="0"/>
          <w:numId w:val="2"/>
        </w:numPr>
        <w:spacing w:after="120" w:line="360" w:lineRule="auto"/>
        <w:ind w:left="360"/>
        <w:jc w:val="both"/>
        <w:rPr>
          <w:rFonts w:ascii="Tahoma" w:hAnsi="Tahoma"/>
        </w:rPr>
      </w:pPr>
      <w:r>
        <w:rPr>
          <w:rFonts w:ascii="David" w:hAnsi="David"/>
          <w:rtl/>
        </w:rPr>
        <w:t>הדיונים המקדמיים החלו להישמע עוד בפני מותב קודם והתמשכו מאוד לרקע אי התייצבויות חוזרות ונשנות של הנאשם, שאף הצריכו הוצאת צווי הבאה נגדו. בסופו של דבר, ולאחר חילופי ייצוג, הודיעו הצדדים כי הגיעו להסדר טיעון, שבמסגרתו הוגש כתב האישום המתוקן.</w:t>
      </w:r>
    </w:p>
    <w:p w14:paraId="618F3516" w14:textId="77777777" w:rsidR="00BF16F5" w:rsidRDefault="00BF16F5" w:rsidP="00BF16F5">
      <w:pPr>
        <w:numPr>
          <w:ilvl w:val="0"/>
          <w:numId w:val="2"/>
        </w:numPr>
        <w:spacing w:after="120" w:line="360" w:lineRule="auto"/>
        <w:ind w:left="360"/>
        <w:jc w:val="both"/>
        <w:rPr>
          <w:rFonts w:ascii="Tahoma" w:hAnsi="Tahoma"/>
        </w:rPr>
      </w:pPr>
      <w:r>
        <w:rPr>
          <w:rFonts w:ascii="David" w:hAnsi="David"/>
          <w:rtl/>
        </w:rPr>
        <w:t>לעניין הטיעונים לעונש עתרו הצדדים במשותף לקבלת תסקיר שירות מבחן. ב"כ המאשימה הודיעה כי בכפוף לתסקיר חיובי בפרמטרים ש</w:t>
      </w:r>
      <w:r>
        <w:rPr>
          <w:rFonts w:ascii="David" w:hAnsi="David" w:hint="cs"/>
          <w:rtl/>
        </w:rPr>
        <w:t xml:space="preserve">אותם </w:t>
      </w:r>
      <w:r>
        <w:rPr>
          <w:rFonts w:ascii="David" w:hAnsi="David"/>
          <w:rtl/>
        </w:rPr>
        <w:t>ציינה, המאשימה תעתור לענישה שתכלול מאסר מותנה, קנס כספי, התחייבות להימנע מעבירה, צו של"צ בהיקף של 200 שעות ופסילה בפועל ועל תנאי. עם זאת, ככל שהתסקיר לא יהא חיובי, הצדדים יטענו לעונש באופן פתוח. הסניגור, מצידו, ביקש ששירות המבחן יבחן גם את סוגיית ההרשעה.</w:t>
      </w:r>
    </w:p>
    <w:p w14:paraId="4DF47178" w14:textId="77777777" w:rsidR="00BF16F5" w:rsidRDefault="00BF16F5" w:rsidP="00BF16F5">
      <w:pPr>
        <w:numPr>
          <w:ilvl w:val="0"/>
          <w:numId w:val="2"/>
        </w:numPr>
        <w:spacing w:after="120" w:line="360" w:lineRule="auto"/>
        <w:ind w:left="360"/>
        <w:jc w:val="both"/>
        <w:rPr>
          <w:rFonts w:ascii="Tahoma" w:hAnsi="Tahoma"/>
        </w:rPr>
      </w:pPr>
      <w:r>
        <w:rPr>
          <w:rFonts w:ascii="David" w:hAnsi="David"/>
          <w:rtl/>
        </w:rPr>
        <w:lastRenderedPageBreak/>
        <w:t xml:space="preserve">הנאשם הודה אפוא בעובדות כתב האישום המתוקן והורשע, על יסוד הודאה זו, בעבירות בהן הואשם בכתב האישום המתוקן. בית המשפט נעתר לבקשת הצדדים והורה על קבלת תסקיר שירות מבחן, תוך הבהרה כי </w:t>
      </w:r>
      <w:r>
        <w:rPr>
          <w:rFonts w:ascii="David" w:hAnsi="David" w:hint="cs"/>
          <w:rtl/>
        </w:rPr>
        <w:t xml:space="preserve">אין </w:t>
      </w:r>
      <w:r>
        <w:rPr>
          <w:rFonts w:ascii="David" w:hAnsi="David"/>
          <w:rtl/>
        </w:rPr>
        <w:t>בכך משום קביעה לעניין העונש הראוי (בפרוטוקול, עמ' 12-11).</w:t>
      </w:r>
    </w:p>
    <w:p w14:paraId="35B1F8B0" w14:textId="77777777" w:rsidR="00BF16F5" w:rsidRPr="00EE68C2" w:rsidRDefault="00BF16F5" w:rsidP="00BF16F5">
      <w:pPr>
        <w:spacing w:after="120" w:line="360" w:lineRule="auto"/>
        <w:jc w:val="both"/>
        <w:rPr>
          <w:rFonts w:ascii="Tahoma" w:hAnsi="Tahoma"/>
        </w:rPr>
      </w:pPr>
    </w:p>
    <w:p w14:paraId="079E4797" w14:textId="77777777" w:rsidR="00BF16F5" w:rsidRDefault="00BF16F5" w:rsidP="00BF16F5">
      <w:pPr>
        <w:pStyle w:val="a9"/>
        <w:numPr>
          <w:ilvl w:val="0"/>
          <w:numId w:val="1"/>
        </w:numPr>
        <w:spacing w:before="120" w:after="120" w:line="360" w:lineRule="auto"/>
        <w:ind w:left="360"/>
        <w:jc w:val="both"/>
        <w:rPr>
          <w:rFonts w:ascii="David" w:hAnsi="David"/>
          <w:b/>
          <w:bCs/>
          <w:u w:val="single"/>
          <w:rtl/>
        </w:rPr>
      </w:pPr>
      <w:r>
        <w:rPr>
          <w:rFonts w:ascii="David" w:hAnsi="David"/>
          <w:b/>
          <w:bCs/>
          <w:u w:val="single"/>
          <w:rtl/>
        </w:rPr>
        <w:t>עיקר תסקירי שירות המבחן:</w:t>
      </w:r>
    </w:p>
    <w:p w14:paraId="5E2D228D" w14:textId="77777777" w:rsidR="00BF16F5" w:rsidRDefault="00BF16F5" w:rsidP="00BF16F5">
      <w:pPr>
        <w:numPr>
          <w:ilvl w:val="0"/>
          <w:numId w:val="2"/>
        </w:numPr>
        <w:spacing w:after="120" w:line="360" w:lineRule="auto"/>
        <w:ind w:left="360"/>
        <w:jc w:val="both"/>
        <w:rPr>
          <w:rFonts w:ascii="Tahoma" w:hAnsi="Tahoma"/>
        </w:rPr>
      </w:pPr>
      <w:r>
        <w:rPr>
          <w:rFonts w:ascii="David" w:hAnsi="David"/>
          <w:rtl/>
        </w:rPr>
        <w:t xml:space="preserve">תסקיר שירות המבחן (מיום 25.12.2022) מפרט את נסיבותיו האישיות של הנאשם, יליד שנת 1995 (בן 28 שנים כיום), רווק </w:t>
      </w:r>
      <w:r>
        <w:rPr>
          <w:rFonts w:ascii="David" w:hAnsi="David" w:hint="cs"/>
          <w:rtl/>
        </w:rPr>
        <w:t>ה</w:t>
      </w:r>
      <w:r>
        <w:rPr>
          <w:rFonts w:ascii="David" w:hAnsi="David"/>
          <w:rtl/>
        </w:rPr>
        <w:t xml:space="preserve">מתגורר בבת ים ומתקיים מקצבת דמי אבטלה. </w:t>
      </w:r>
      <w:r>
        <w:rPr>
          <w:rFonts w:ascii="David" w:hAnsi="David" w:hint="cs"/>
          <w:rtl/>
        </w:rPr>
        <w:t xml:space="preserve">עוד </w:t>
      </w:r>
      <w:r>
        <w:rPr>
          <w:rFonts w:ascii="David" w:hAnsi="David"/>
          <w:rtl/>
        </w:rPr>
        <w:t>בילדותו חבר הנאשם לחברה שולית ועבריינית ו</w:t>
      </w:r>
      <w:r>
        <w:rPr>
          <w:rFonts w:ascii="David" w:hAnsi="David" w:hint="cs"/>
          <w:rtl/>
        </w:rPr>
        <w:t xml:space="preserve">על כן </w:t>
      </w:r>
      <w:r>
        <w:rPr>
          <w:rFonts w:ascii="David" w:hAnsi="David"/>
          <w:rtl/>
        </w:rPr>
        <w:t xml:space="preserve">התגייס לצבא במסגרת מקא"מ, הגם שהשלים שירות קרבי. הנאשם שיתף כי מגיל צעיר החל לעבוד, אך בשנים האחרונות </w:t>
      </w:r>
      <w:r>
        <w:rPr>
          <w:rFonts w:ascii="David" w:hAnsi="David" w:hint="cs"/>
          <w:rtl/>
        </w:rPr>
        <w:t xml:space="preserve">הוא </w:t>
      </w:r>
      <w:r>
        <w:rPr>
          <w:rFonts w:ascii="David" w:hAnsi="David"/>
          <w:rtl/>
        </w:rPr>
        <w:t xml:space="preserve">עסוק בשיקום מפציעה קשה </w:t>
      </w:r>
      <w:r>
        <w:rPr>
          <w:rFonts w:ascii="David" w:hAnsi="David" w:hint="cs"/>
          <w:rtl/>
        </w:rPr>
        <w:t>שנגרמה לו ב</w:t>
      </w:r>
      <w:r>
        <w:rPr>
          <w:rFonts w:ascii="David" w:hAnsi="David"/>
          <w:rtl/>
        </w:rPr>
        <w:t>תאונת דרכים.</w:t>
      </w:r>
    </w:p>
    <w:p w14:paraId="04936BFE" w14:textId="77777777" w:rsidR="00BF16F5" w:rsidRDefault="00BF16F5" w:rsidP="00BF16F5">
      <w:pPr>
        <w:numPr>
          <w:ilvl w:val="0"/>
          <w:numId w:val="2"/>
        </w:numPr>
        <w:spacing w:after="120" w:line="360" w:lineRule="auto"/>
        <w:ind w:left="360"/>
        <w:jc w:val="both"/>
        <w:rPr>
          <w:rFonts w:ascii="Tahoma" w:hAnsi="Tahoma"/>
        </w:rPr>
      </w:pPr>
      <w:r>
        <w:rPr>
          <w:rFonts w:ascii="David" w:hAnsi="David"/>
          <w:rtl/>
        </w:rPr>
        <w:t>בהתייחסותו לביצוע העבירות מושא אישום 1 טען הנאשם כי הסכין בתיקו לא הי</w:t>
      </w:r>
      <w:r>
        <w:rPr>
          <w:rFonts w:ascii="David" w:hAnsi="David" w:hint="cs"/>
          <w:rtl/>
        </w:rPr>
        <w:t>ת</w:t>
      </w:r>
      <w:r>
        <w:rPr>
          <w:rFonts w:ascii="David" w:hAnsi="David"/>
          <w:rtl/>
        </w:rPr>
        <w:t>ה שלו</w:t>
      </w:r>
      <w:r>
        <w:rPr>
          <w:rFonts w:ascii="David" w:hAnsi="David" w:hint="cs"/>
          <w:rtl/>
        </w:rPr>
        <w:t>,</w:t>
      </w:r>
      <w:r>
        <w:rPr>
          <w:rFonts w:ascii="David" w:hAnsi="David"/>
          <w:rtl/>
        </w:rPr>
        <w:t xml:space="preserve"> אלא כנראה של אחיו, ואילו הסמים היו של חבריו. אשר לאישום 2 התקשה הנאשם להסביר את בחירותיו ומסר כי מדובר בטעות שנעשתה בהיעדר מחשבה, כאשר את השימוש בקנבוס הסביר </w:t>
      </w:r>
      <w:r>
        <w:rPr>
          <w:rFonts w:ascii="David" w:hAnsi="David" w:hint="cs"/>
          <w:rtl/>
        </w:rPr>
        <w:t>ב</w:t>
      </w:r>
      <w:r>
        <w:rPr>
          <w:rFonts w:ascii="David" w:hAnsi="David"/>
          <w:rtl/>
        </w:rPr>
        <w:t xml:space="preserve">צורך </w:t>
      </w:r>
      <w:r>
        <w:rPr>
          <w:rFonts w:ascii="David" w:hAnsi="David" w:hint="cs"/>
          <w:rtl/>
        </w:rPr>
        <w:t>ל</w:t>
      </w:r>
      <w:r>
        <w:rPr>
          <w:rFonts w:ascii="David" w:hAnsi="David"/>
          <w:rtl/>
        </w:rPr>
        <w:t>התמודדות עם כאבים.</w:t>
      </w:r>
      <w:r>
        <w:rPr>
          <w:rFonts w:ascii="Tahoma" w:hAnsi="Tahoma"/>
          <w:rtl/>
        </w:rPr>
        <w:t xml:space="preserve"> לדבריו, כיום הוא מחזיק ברישיון לשימוש בקנבוס רפואי, שניתן לו כחודשיים לפני מועד ביצוע העבירות.</w:t>
      </w:r>
    </w:p>
    <w:p w14:paraId="26A2B0EA" w14:textId="77777777" w:rsidR="00BF16F5" w:rsidRDefault="00BF16F5" w:rsidP="00BF16F5">
      <w:pPr>
        <w:numPr>
          <w:ilvl w:val="0"/>
          <w:numId w:val="2"/>
        </w:numPr>
        <w:spacing w:after="120" w:line="360" w:lineRule="auto"/>
        <w:ind w:left="360"/>
        <w:jc w:val="both"/>
        <w:rPr>
          <w:rFonts w:ascii="David" w:hAnsi="David"/>
        </w:rPr>
      </w:pPr>
      <w:r>
        <w:rPr>
          <w:rFonts w:ascii="Tahoma" w:hAnsi="Tahoma"/>
          <w:rtl/>
        </w:rPr>
        <w:t xml:space="preserve">התרשמות שירות המבחן מהנאשם לא היתה חיובית. ניכר </w:t>
      </w:r>
      <w:r>
        <w:rPr>
          <w:rFonts w:ascii="Tahoma" w:hAnsi="Tahoma" w:hint="cs"/>
          <w:rtl/>
        </w:rPr>
        <w:t xml:space="preserve">היה </w:t>
      </w:r>
      <w:r>
        <w:rPr>
          <w:rFonts w:ascii="Tahoma" w:hAnsi="Tahoma"/>
          <w:rtl/>
        </w:rPr>
        <w:t>כי ה</w:t>
      </w:r>
      <w:r>
        <w:rPr>
          <w:rFonts w:ascii="Tahoma" w:hAnsi="Tahoma" w:hint="cs"/>
          <w:rtl/>
        </w:rPr>
        <w:t>נאשם הוא</w:t>
      </w:r>
      <w:r>
        <w:rPr>
          <w:rFonts w:ascii="Tahoma" w:hAnsi="Tahoma"/>
          <w:rtl/>
        </w:rPr>
        <w:t xml:space="preserve"> בעל דפוסים אימפולסיביים, מתקשה לחשוב באופן אדפטיבי ומתקשה ליטול אחריות על מעשיו. עם זאת, נוכח הבעת רצונו של הנאשם להתנהלות נורמטיבית ומקדמת, תוך השתלבות בטיפול, המליץ שירות המבחן לדחות את הדיון לצורך שילוב הנאשם בטיפול. ה</w:t>
      </w:r>
      <w:r>
        <w:rPr>
          <w:rFonts w:ascii="David" w:hAnsi="David"/>
          <w:rtl/>
        </w:rPr>
        <w:t xml:space="preserve">תסקיר המשלים שהתקבל (מיום 27.04.2023) מתאר את שילובו של הנאשם בטיפול הקבוצתי. הנאשם התחבר לחברי הקבוצה והיה פעיל ודומיננטי בשיח. עם זאת, הנאשם איחר למרבית המפגשים, התקשה לשמור על עירנות ועלה חשד לשימוש לרעה </w:t>
      </w:r>
      <w:r>
        <w:rPr>
          <w:rFonts w:ascii="David" w:hAnsi="David" w:hint="cs"/>
          <w:rtl/>
        </w:rPr>
        <w:t xml:space="preserve">מצידו </w:t>
      </w:r>
      <w:r>
        <w:rPr>
          <w:rFonts w:ascii="David" w:hAnsi="David"/>
          <w:rtl/>
        </w:rPr>
        <w:t xml:space="preserve">בקנבוס הרפואי, עד כדי השעייתו מהקבוצה. למרות זאת, נוכח </w:t>
      </w:r>
      <w:r>
        <w:rPr>
          <w:rFonts w:ascii="David" w:hAnsi="David" w:hint="cs"/>
          <w:rtl/>
        </w:rPr>
        <w:t>ה</w:t>
      </w:r>
      <w:r>
        <w:rPr>
          <w:rFonts w:ascii="David" w:hAnsi="David"/>
          <w:rtl/>
        </w:rPr>
        <w:t xml:space="preserve">מוטיבציה </w:t>
      </w:r>
      <w:r>
        <w:rPr>
          <w:rFonts w:ascii="David" w:hAnsi="David" w:hint="cs"/>
          <w:rtl/>
        </w:rPr>
        <w:t>ה</w:t>
      </w:r>
      <w:r>
        <w:rPr>
          <w:rFonts w:ascii="David" w:hAnsi="David"/>
          <w:rtl/>
        </w:rPr>
        <w:t xml:space="preserve">מילולית שהביע הנאשם להתגייסות להליך הטיפולי המליץ שירות המבחן על דחייה נוספת לצורך מעקב </w:t>
      </w:r>
      <w:r>
        <w:rPr>
          <w:rFonts w:ascii="David" w:hAnsi="David" w:hint="cs"/>
          <w:rtl/>
        </w:rPr>
        <w:t xml:space="preserve">נוסף </w:t>
      </w:r>
      <w:r>
        <w:rPr>
          <w:rFonts w:ascii="David" w:hAnsi="David"/>
          <w:rtl/>
        </w:rPr>
        <w:t>אחר הנאשם.</w:t>
      </w:r>
    </w:p>
    <w:p w14:paraId="4A69B8FB"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 xml:space="preserve">בתסקיר המשלים הנוסף (מיום 18.09.2023) ציין שירות המבחן כי בשיחה </w:t>
      </w:r>
      <w:r>
        <w:rPr>
          <w:rFonts w:ascii="David" w:hAnsi="David" w:hint="cs"/>
          <w:rtl/>
        </w:rPr>
        <w:t xml:space="preserve">שנערכה עם הנאשם הוא הביע רצון </w:t>
      </w:r>
      <w:r>
        <w:rPr>
          <w:rFonts w:ascii="David" w:hAnsi="David"/>
          <w:rtl/>
        </w:rPr>
        <w:t>להמשיך להשתתף בטיפול ו</w:t>
      </w:r>
      <w:r>
        <w:rPr>
          <w:rFonts w:ascii="David" w:hAnsi="David" w:hint="cs"/>
          <w:rtl/>
        </w:rPr>
        <w:t xml:space="preserve">טען </w:t>
      </w:r>
      <w:r>
        <w:rPr>
          <w:rFonts w:ascii="David" w:hAnsi="David"/>
          <w:rtl/>
        </w:rPr>
        <w:t xml:space="preserve">כי המרחב הקבוצתי מסייע לו בשיתוף. עם זאת, בהתייחסותו לחיסוריו הרבים התקשה </w:t>
      </w:r>
      <w:r>
        <w:rPr>
          <w:rFonts w:ascii="David" w:hAnsi="David" w:hint="cs"/>
          <w:rtl/>
        </w:rPr>
        <w:t xml:space="preserve">הנאשם </w:t>
      </w:r>
      <w:r>
        <w:rPr>
          <w:rFonts w:ascii="David" w:hAnsi="David"/>
          <w:rtl/>
        </w:rPr>
        <w:t>לספק תשובות, דבר אשר העלה ספקות ביחס למידת הרצינות שמגלה בנוגע להליך הטיפולי. הנאשם טען כי הוא זקוק לסיוע, אך כאשר נערכו ניסיונות לבחינת הנזקקות התקשה הנאשם להשיב. שירות המבחן הביע אפוא ספקות בנוגע למוטיבציה הפנימית של הנאשם לעבור הליך טיפולי ולהיתרם ממנו, ונמנע מהמלצה טיפולית-שיקומית. אשר לענישה המליץ שירות המבחן להסתפק בענישה מקלה וחינוכית, במסגרת צו של"צ בהיקף של 200 שעות, אך לא המליץ על ביטול ההרשעה. שירות המבחן ציין, בהקשר זה, כי הנאשם טען שהוא מעוניין לעסוק בעתיד בתיווך נדל"ן</w:t>
      </w:r>
      <w:r>
        <w:rPr>
          <w:rFonts w:ascii="David" w:hAnsi="David" w:hint="cs"/>
          <w:rtl/>
        </w:rPr>
        <w:t>,</w:t>
      </w:r>
      <w:r>
        <w:rPr>
          <w:rFonts w:ascii="David" w:hAnsi="David"/>
          <w:rtl/>
        </w:rPr>
        <w:t xml:space="preserve"> או כחובש במד"א, אך לא הציג מסמכים כלשהם המעידים על פגיעה קונקרטית כתולדה מההרשעה כיום.</w:t>
      </w:r>
    </w:p>
    <w:p w14:paraId="54EA42F5"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 xml:space="preserve">בדיון שהתקיים לאחר קבלת התסקיר הנ"ל לא התייצב הנאשם </w:t>
      </w:r>
      <w:r>
        <w:rPr>
          <w:rFonts w:ascii="David" w:hAnsi="David" w:hint="cs"/>
          <w:rtl/>
        </w:rPr>
        <w:t xml:space="preserve">בבית המשפט </w:t>
      </w:r>
      <w:r>
        <w:rPr>
          <w:rFonts w:ascii="David" w:hAnsi="David"/>
          <w:rtl/>
        </w:rPr>
        <w:t>בשל היותו ב</w:t>
      </w:r>
      <w:r>
        <w:rPr>
          <w:rFonts w:ascii="David" w:hAnsi="David" w:hint="cs"/>
          <w:rtl/>
        </w:rPr>
        <w:t xml:space="preserve">שירות </w:t>
      </w:r>
      <w:r>
        <w:rPr>
          <w:rFonts w:ascii="David" w:hAnsi="David"/>
          <w:rtl/>
        </w:rPr>
        <w:t xml:space="preserve">מילואים. בנסיבות אלה, וכאשר לפי דברי הסניגור הנאשם שינה את אורחות חייו לאחר </w:t>
      </w:r>
      <w:r>
        <w:rPr>
          <w:rFonts w:ascii="David" w:hAnsi="David" w:hint="cs"/>
          <w:rtl/>
        </w:rPr>
        <w:t xml:space="preserve">פרוץ </w:t>
      </w:r>
      <w:r>
        <w:rPr>
          <w:rFonts w:ascii="David" w:hAnsi="David"/>
          <w:rtl/>
        </w:rPr>
        <w:t>המלחמה</w:t>
      </w:r>
      <w:r>
        <w:rPr>
          <w:rFonts w:ascii="David" w:hAnsi="David" w:hint="cs"/>
          <w:rtl/>
        </w:rPr>
        <w:t xml:space="preserve"> והתגייסותו למילואים</w:t>
      </w:r>
      <w:r>
        <w:rPr>
          <w:rFonts w:ascii="David" w:hAnsi="David"/>
          <w:rtl/>
        </w:rPr>
        <w:t xml:space="preserve">, נעתרתי לבקשתו לקבלת תסקיר משלים נוסף. בתסקיר </w:t>
      </w:r>
      <w:r>
        <w:rPr>
          <w:rFonts w:ascii="David" w:hAnsi="David" w:hint="cs"/>
          <w:rtl/>
        </w:rPr>
        <w:t xml:space="preserve">זה </w:t>
      </w:r>
      <w:r>
        <w:rPr>
          <w:rFonts w:ascii="David" w:hAnsi="David"/>
          <w:rtl/>
        </w:rPr>
        <w:t>(מיום 18.06.2024) ציין שירות המבחן כי הנאשם גויס לשירות מילואים, ועקב השירות בשלה אצלו ההבנה כי עליו לתעל את חייו לכדי עשייה חיובית שתתרום למדינה ותקדם את טובתו האישית. הנאשם שיתף כי הוא מסתייע בקב"ן היחידה, המלווה אותו בהתמודדויותיו, ואינו נזקק ללווי מקצועי נוסף.</w:t>
      </w:r>
    </w:p>
    <w:p w14:paraId="3A179FAC"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שירות המבחן התרשם משינוי חיובי במצבו של הנאשם, על אף קשייו של הנאשם בעבר להירתם להליך טיפולי משמעותי. בנסיבות אלה המליץ שירות המבחן על השתת צו מבחן, בנוסף לצו של"צ בהיקף מצומצם יותר, על מנת לשלב את הנאשם בקבוצה פ</w:t>
      </w:r>
      <w:r>
        <w:rPr>
          <w:rFonts w:ascii="David" w:hAnsi="David" w:hint="cs"/>
          <w:rtl/>
        </w:rPr>
        <w:t>ס</w:t>
      </w:r>
      <w:r>
        <w:rPr>
          <w:rFonts w:ascii="David" w:hAnsi="David"/>
          <w:rtl/>
        </w:rPr>
        <w:t>יכו-חינוכית שמטרתה מניעת רצידיביזם בעבירות תעבורה. אשר לסוגיית ביטול ההרשעה שב שירות המבחן וציין כי הנאשם לא הציג כל אינדיקציה קונקרטית לפגיעה קונקרטית במידה והרשעתו תיוותר על כנה. למרות זאת, לאור השינוי שחל בעמדותיו של הנאשם ובתפקודו, בפרט במסגרת שירות המילואים, המליץ השירות לשקול בחיוב את ביטול ההרשעה.</w:t>
      </w:r>
    </w:p>
    <w:p w14:paraId="37556E30" w14:textId="77777777" w:rsidR="00BF16F5" w:rsidRDefault="00BF16F5" w:rsidP="00BF16F5">
      <w:pPr>
        <w:spacing w:after="120" w:line="360" w:lineRule="auto"/>
        <w:jc w:val="both"/>
        <w:rPr>
          <w:rFonts w:ascii="David" w:hAnsi="David"/>
        </w:rPr>
      </w:pPr>
    </w:p>
    <w:p w14:paraId="63710612" w14:textId="77777777" w:rsidR="00BF16F5" w:rsidRDefault="00BF16F5" w:rsidP="00BF16F5">
      <w:pPr>
        <w:pStyle w:val="a9"/>
        <w:numPr>
          <w:ilvl w:val="0"/>
          <w:numId w:val="1"/>
        </w:numPr>
        <w:spacing w:before="120" w:after="120" w:line="360" w:lineRule="auto"/>
        <w:ind w:left="360"/>
        <w:jc w:val="both"/>
        <w:rPr>
          <w:rFonts w:ascii="David" w:hAnsi="David"/>
          <w:b/>
          <w:bCs/>
          <w:u w:val="single"/>
          <w:rtl/>
        </w:rPr>
      </w:pPr>
      <w:r>
        <w:rPr>
          <w:rFonts w:ascii="David" w:hAnsi="David"/>
          <w:b/>
          <w:bCs/>
          <w:u w:val="single"/>
          <w:rtl/>
        </w:rPr>
        <w:t>עיקר הראיות והטיעונים לקביעת העונש:</w:t>
      </w:r>
    </w:p>
    <w:p w14:paraId="0202CA31" w14:textId="77777777" w:rsidR="00BF16F5" w:rsidRDefault="00BF16F5" w:rsidP="00BF16F5">
      <w:pPr>
        <w:numPr>
          <w:ilvl w:val="0"/>
          <w:numId w:val="2"/>
        </w:numPr>
        <w:spacing w:after="120" w:line="360" w:lineRule="auto"/>
        <w:ind w:left="360"/>
        <w:jc w:val="both"/>
        <w:rPr>
          <w:rFonts w:ascii="David" w:hAnsi="David"/>
        </w:rPr>
      </w:pPr>
      <w:r>
        <w:rPr>
          <w:rtl/>
        </w:rPr>
        <w:t>ב"כ המאשימה הגישה, כראיות לקביעת העונש, את תדפיסי המידע הפלילי והתעבורתי של הנאשם. כעולה מתדפיס המידע הפלילי – לנאשם רישום פלילי קודם אחד, ללא הרשעה, בגין עבירה של החזקת סמים מסוכנים לצריכה עצמית.</w:t>
      </w:r>
      <w:r>
        <w:rPr>
          <w:rFonts w:ascii="David" w:hAnsi="David"/>
          <w:rtl/>
        </w:rPr>
        <w:t xml:space="preserve"> כעולה מתדפיס המידע התעבורתי – לנאשם כמה וכמה הרשעות קודמות</w:t>
      </w:r>
      <w:r>
        <w:rPr>
          <w:rFonts w:ascii="David" w:hAnsi="David" w:hint="cs"/>
          <w:rtl/>
        </w:rPr>
        <w:t xml:space="preserve"> בתחום זה</w:t>
      </w:r>
      <w:r>
        <w:rPr>
          <w:rFonts w:ascii="David" w:hAnsi="David"/>
          <w:rtl/>
        </w:rPr>
        <w:t xml:space="preserve">, לרבות שלוש </w:t>
      </w:r>
      <w:r>
        <w:rPr>
          <w:rFonts w:ascii="David" w:hAnsi="David" w:hint="cs"/>
          <w:rtl/>
        </w:rPr>
        <w:t xml:space="preserve">הרשעות </w:t>
      </w:r>
      <w:r>
        <w:rPr>
          <w:rFonts w:ascii="David" w:hAnsi="David"/>
          <w:rtl/>
        </w:rPr>
        <w:t>מבתי משפט לתעבורה.</w:t>
      </w:r>
    </w:p>
    <w:p w14:paraId="4013719F" w14:textId="77777777" w:rsidR="00BF16F5" w:rsidRDefault="00BF16F5" w:rsidP="00BF16F5">
      <w:pPr>
        <w:numPr>
          <w:ilvl w:val="0"/>
          <w:numId w:val="2"/>
        </w:numPr>
        <w:spacing w:after="120" w:line="360" w:lineRule="auto"/>
        <w:ind w:left="360"/>
        <w:jc w:val="both"/>
        <w:rPr>
          <w:rFonts w:ascii="David" w:hAnsi="David"/>
        </w:rPr>
      </w:pPr>
      <w:r>
        <w:rPr>
          <w:rtl/>
        </w:rPr>
        <w:t>בטיעוניה לעונש עמדה ב"כ המאשימה על ההיבטים החיוביים העולים מהתסקיר המשלים האחרון, שבגינם נכונה המאשימה לצמצם את עתירתה לעונש כפי שהודיעה במעמד הצגת הסדר הטיעון.</w:t>
      </w:r>
      <w:r>
        <w:rPr>
          <w:rFonts w:ascii="David" w:hAnsi="David"/>
          <w:rtl/>
        </w:rPr>
        <w:t xml:space="preserve"> ב"כ המאשימה הדגישה כי מדובר בעתירה מקלה וחריגה ביחס לעמדת המאשימה במקרים דומים (ר' למשל </w:t>
      </w:r>
      <w:hyperlink r:id="rId29" w:history="1">
        <w:r w:rsidR="00040DC7" w:rsidRPr="00040DC7">
          <w:rPr>
            <w:rFonts w:ascii="David" w:hAnsi="David"/>
            <w:color w:val="0000FF"/>
            <w:u w:val="single"/>
            <w:rtl/>
          </w:rPr>
          <w:t>רע"פ 4030/22</w:t>
        </w:r>
      </w:hyperlink>
      <w:r w:rsidR="00040DC7">
        <w:rPr>
          <w:rFonts w:ascii="David" w:hAnsi="David"/>
          <w:rtl/>
        </w:rPr>
        <w:t xml:space="preserve"> </w:t>
      </w:r>
      <w:r>
        <w:rPr>
          <w:rFonts w:ascii="David" w:hAnsi="David"/>
          <w:b/>
          <w:bCs/>
          <w:rtl/>
        </w:rPr>
        <w:t>יפרח נ' מדינת ישראל</w:t>
      </w:r>
      <w:r w:rsidR="00040DC7">
        <w:rPr>
          <w:rFonts w:ascii="David" w:hAnsi="David"/>
          <w:rtl/>
        </w:rPr>
        <w:t xml:space="preserve"> </w:t>
      </w:r>
      <w:r>
        <w:rPr>
          <w:rFonts w:ascii="David" w:hAnsi="David"/>
          <w:rtl/>
        </w:rPr>
        <w:t>(19.6.2022)), והיא נובעת מהמלצות שירות המבחן.</w:t>
      </w:r>
    </w:p>
    <w:p w14:paraId="44FAC6F7"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אשר לסוגיית ההרשעה, ש</w:t>
      </w:r>
      <w:r>
        <w:rPr>
          <w:rFonts w:ascii="David" w:hAnsi="David" w:hint="cs"/>
          <w:rtl/>
        </w:rPr>
        <w:t xml:space="preserve">בנסיבות אלה נותרה </w:t>
      </w:r>
      <w:r>
        <w:rPr>
          <w:rFonts w:ascii="David" w:hAnsi="David"/>
          <w:rtl/>
        </w:rPr>
        <w:t xml:space="preserve">הסוגייה </w:t>
      </w:r>
      <w:r>
        <w:rPr>
          <w:rFonts w:ascii="David" w:hAnsi="David" w:hint="cs"/>
          <w:rtl/>
        </w:rPr>
        <w:t xml:space="preserve">היחידה </w:t>
      </w:r>
      <w:r>
        <w:rPr>
          <w:rFonts w:ascii="David" w:hAnsi="David"/>
          <w:rtl/>
        </w:rPr>
        <w:t xml:space="preserve">שבמחלוקת בין הצדדים, הדגישה ב"כ המאשימה כי הנאשם אינו עומד בתנאים שנקבעו </w:t>
      </w:r>
      <w:r>
        <w:rPr>
          <w:rFonts w:ascii="David" w:hAnsi="David" w:hint="cs"/>
          <w:rtl/>
        </w:rPr>
        <w:t xml:space="preserve">בפסיקה </w:t>
      </w:r>
      <w:r>
        <w:rPr>
          <w:rFonts w:ascii="David" w:hAnsi="David"/>
          <w:rtl/>
        </w:rPr>
        <w:t xml:space="preserve">כמאפשרים ביטול הרשעה. אין כל אינדיקציה </w:t>
      </w:r>
      <w:r>
        <w:rPr>
          <w:rFonts w:ascii="David" w:hAnsi="David" w:hint="cs"/>
          <w:rtl/>
        </w:rPr>
        <w:t xml:space="preserve">לכך </w:t>
      </w:r>
      <w:r>
        <w:rPr>
          <w:rFonts w:ascii="David" w:hAnsi="David"/>
          <w:rtl/>
        </w:rPr>
        <w:t xml:space="preserve">שההרשעה בדין תפגע בנאשם באופן קונקרטי והוא גם לא הציג אינדיקציות כאלה לשירות המבחן. </w:t>
      </w:r>
      <w:r>
        <w:rPr>
          <w:rtl/>
        </w:rPr>
        <w:t>בנוסף, המלצת שירות המבחן בהקשר זה בתסקיר האחרון אינה מתייחסת לטעמים שנקבעו בפסיקה לביטול הרשעה</w:t>
      </w:r>
      <w:r>
        <w:rPr>
          <w:rFonts w:hint="cs"/>
          <w:rtl/>
        </w:rPr>
        <w:t xml:space="preserve"> בדין,</w:t>
      </w:r>
      <w:r>
        <w:rPr>
          <w:rtl/>
        </w:rPr>
        <w:t xml:space="preserve"> אלא מציינת את השינוי בתפקודו של הנאשם.</w:t>
      </w:r>
      <w:r>
        <w:rPr>
          <w:rFonts w:ascii="David" w:hAnsi="David"/>
          <w:rtl/>
        </w:rPr>
        <w:t xml:space="preserve"> זאת ועוד, עסקינן באירוע </w:t>
      </w:r>
      <w:r>
        <w:rPr>
          <w:rFonts w:ascii="David" w:hAnsi="David" w:hint="cs"/>
          <w:rtl/>
        </w:rPr>
        <w:t xml:space="preserve">עברייני </w:t>
      </w:r>
      <w:r>
        <w:rPr>
          <w:rFonts w:ascii="David" w:hAnsi="David"/>
          <w:rtl/>
        </w:rPr>
        <w:t>חמור, הן מבחינת סוגי הסמים המסוכנים בהם החזיק הנאשם והן מבחינת הנהיגה תחת השפעה, ועל כן הנאשם אינו עומד בתנאים שנקבעו בפסיקה לביטול הרשעה.</w:t>
      </w:r>
    </w:p>
    <w:p w14:paraId="63AFD948" w14:textId="77777777" w:rsidR="00BF16F5" w:rsidRDefault="00BF16F5" w:rsidP="00BF16F5">
      <w:pPr>
        <w:numPr>
          <w:ilvl w:val="0"/>
          <w:numId w:val="2"/>
        </w:numPr>
        <w:spacing w:after="120" w:line="360" w:lineRule="auto"/>
        <w:ind w:left="360"/>
        <w:jc w:val="both"/>
        <w:rPr>
          <w:rFonts w:ascii="David" w:hAnsi="David"/>
        </w:rPr>
      </w:pPr>
      <w:r>
        <w:rPr>
          <w:rtl/>
        </w:rPr>
        <w:t>ב"כ הנאשם, מצידו, הציג במהלך טיעוניו תמונות משירות המילואים של הנאשם וכן הגיש מספר ראיות לקביעת העונש, כלהלן: מסמכים רפואיים בעניין מצבו של הנאשם לאחר התאונה בה היה מעורב כחצי שנה לפני ביצוע העבירות דנא (המסמכים הוגשו וסומנו ס/1); צילום רישיון הנהיגה שהוציא הנאשם לאחר ביצוע העבירות (סומן ס/2); מכתב המלצה מאת מפקד של הנאשם במהלך תקופת המילואים (המכתב, מיום 15.03.2024, הוגש וסומן ס/3); וכן צילום מסרון (ללא תאריך) שבו צוין כי נקלטה בקשת</w:t>
      </w:r>
      <w:r>
        <w:rPr>
          <w:rFonts w:hint="cs"/>
          <w:rtl/>
        </w:rPr>
        <w:t xml:space="preserve"> הנאשם</w:t>
      </w:r>
      <w:r>
        <w:rPr>
          <w:rtl/>
        </w:rPr>
        <w:t xml:space="preserve"> למועמדות לגיוס ליחידה צבאית, כאשר ככל שתימצא רלוואנטית יווצר עמו קשר (התצלום סומן ס/4).</w:t>
      </w:r>
      <w:r>
        <w:rPr>
          <w:rFonts w:ascii="David" w:hAnsi="David"/>
          <w:rtl/>
        </w:rPr>
        <w:t xml:space="preserve"> כמו כן הגיש הסניגור, לאחר הדיון, את הרישיון לשימוש בקנבוס רפואי </w:t>
      </w:r>
      <w:r>
        <w:rPr>
          <w:rFonts w:ascii="David" w:hAnsi="David" w:hint="cs"/>
          <w:rtl/>
        </w:rPr>
        <w:t xml:space="preserve">בו מחזיק </w:t>
      </w:r>
      <w:r>
        <w:rPr>
          <w:rFonts w:ascii="David" w:hAnsi="David"/>
          <w:rtl/>
        </w:rPr>
        <w:t xml:space="preserve">הנאשם </w:t>
      </w:r>
      <w:r>
        <w:rPr>
          <w:rFonts w:ascii="David" w:hAnsi="David" w:hint="cs"/>
          <w:rtl/>
        </w:rPr>
        <w:t xml:space="preserve">כיום </w:t>
      </w:r>
      <w:r>
        <w:rPr>
          <w:rFonts w:ascii="David" w:hAnsi="David"/>
          <w:rtl/>
        </w:rPr>
        <w:t>(ר' במסגרת בקשה מס' 19).</w:t>
      </w:r>
    </w:p>
    <w:p w14:paraId="6C2F7A0B" w14:textId="77777777" w:rsidR="00BF16F5" w:rsidRDefault="00BF16F5" w:rsidP="00BF16F5">
      <w:pPr>
        <w:numPr>
          <w:ilvl w:val="0"/>
          <w:numId w:val="2"/>
        </w:numPr>
        <w:spacing w:after="120" w:line="360" w:lineRule="auto"/>
        <w:ind w:left="360"/>
        <w:jc w:val="both"/>
        <w:rPr>
          <w:rFonts w:ascii="David" w:hAnsi="David"/>
        </w:rPr>
      </w:pPr>
      <w:r>
        <w:rPr>
          <w:rtl/>
        </w:rPr>
        <w:t xml:space="preserve">בפתח טיעוניו הדגיש הסניגור את נזקי תאונת הדרכים הקשה שעבר הנאשם, עובר לביצוע העבירות, אשר לדבריו הובילו את הנאשם </w:t>
      </w:r>
      <w:r>
        <w:rPr>
          <w:rFonts w:hint="cs"/>
          <w:rtl/>
        </w:rPr>
        <w:t xml:space="preserve">בזמנו </w:t>
      </w:r>
      <w:r>
        <w:rPr>
          <w:rtl/>
        </w:rPr>
        <w:t>לא</w:t>
      </w:r>
      <w:r>
        <w:rPr>
          <w:rFonts w:hint="cs"/>
          <w:rtl/>
        </w:rPr>
        <w:t>ו</w:t>
      </w:r>
      <w:r>
        <w:rPr>
          <w:rtl/>
        </w:rPr>
        <w:t>בדן דרך. ואולם, כיום הנאשם עבר מהפך, כאשר שירות המילואים במסגרת מלחמת חרבות ברזל הוביל א</w:t>
      </w:r>
      <w:r>
        <w:rPr>
          <w:rFonts w:hint="cs"/>
          <w:rtl/>
        </w:rPr>
        <w:t xml:space="preserve">ותו לעריכת </w:t>
      </w:r>
      <w:r>
        <w:rPr>
          <w:rtl/>
        </w:rPr>
        <w:t>שינוי ממשי</w:t>
      </w:r>
      <w:r>
        <w:rPr>
          <w:rFonts w:hint="cs"/>
          <w:rtl/>
        </w:rPr>
        <w:t xml:space="preserve"> בחייו</w:t>
      </w:r>
      <w:r>
        <w:rPr>
          <w:rtl/>
        </w:rPr>
        <w:t>. הסניגור ער לכך שהתסקירים שהתקבלו בעניינו של הנאשם בתחילת הדרך היו שליליים</w:t>
      </w:r>
      <w:r>
        <w:rPr>
          <w:rFonts w:ascii="David" w:hAnsi="David"/>
          <w:rtl/>
        </w:rPr>
        <w:t>, אך מאז ערך הנאשם מאמץ אמיתי לתיקון דרכיו, לרבות בדרך של התנדבות בארגוני התנדבות וגם במסגרת המילואים</w:t>
      </w:r>
      <w:r>
        <w:rPr>
          <w:rFonts w:ascii="David" w:hAnsi="David" w:hint="cs"/>
          <w:rtl/>
        </w:rPr>
        <w:t xml:space="preserve">. בנוסף, </w:t>
      </w:r>
      <w:r>
        <w:rPr>
          <w:rFonts w:ascii="David" w:hAnsi="David"/>
          <w:rtl/>
        </w:rPr>
        <w:t xml:space="preserve">העבירות מושא כתב האישום נעברו </w:t>
      </w:r>
      <w:r>
        <w:rPr>
          <w:rFonts w:ascii="David" w:hAnsi="David" w:hint="cs"/>
          <w:rtl/>
        </w:rPr>
        <w:t xml:space="preserve">כבר </w:t>
      </w:r>
      <w:r>
        <w:rPr>
          <w:rFonts w:ascii="David" w:hAnsi="David"/>
          <w:rtl/>
        </w:rPr>
        <w:t xml:space="preserve">לפני זמן רב </w:t>
      </w:r>
      <w:r>
        <w:rPr>
          <w:rFonts w:ascii="David" w:hAnsi="David" w:hint="cs"/>
          <w:rtl/>
        </w:rPr>
        <w:t>ו</w:t>
      </w:r>
      <w:r>
        <w:rPr>
          <w:rFonts w:ascii="David" w:hAnsi="David"/>
          <w:rtl/>
        </w:rPr>
        <w:t>אינן מאפיינות א</w:t>
      </w:r>
      <w:r>
        <w:rPr>
          <w:rFonts w:ascii="David" w:hAnsi="David" w:hint="cs"/>
          <w:rtl/>
        </w:rPr>
        <w:t>ת התנהלות הנאשם</w:t>
      </w:r>
      <w:r>
        <w:rPr>
          <w:rFonts w:ascii="David" w:hAnsi="David"/>
          <w:rtl/>
        </w:rPr>
        <w:t xml:space="preserve"> כיום. </w:t>
      </w:r>
      <w:r>
        <w:rPr>
          <w:rtl/>
        </w:rPr>
        <w:t xml:space="preserve">ב"כ הנאשם ציין כי האירוע המתואר בעובדות כתב האישום המתוקן אמנם אינו קל, אך הוסיף והדגיש כי במקרה הספציפי </w:t>
      </w:r>
      <w:r>
        <w:rPr>
          <w:rFonts w:hint="cs"/>
          <w:rtl/>
        </w:rPr>
        <w:t>המדובר</w:t>
      </w:r>
      <w:r>
        <w:rPr>
          <w:rtl/>
        </w:rPr>
        <w:t xml:space="preserve"> לא נגרם נזק לאיש. </w:t>
      </w:r>
    </w:p>
    <w:p w14:paraId="7469DE7F" w14:textId="77777777" w:rsidR="00BF16F5" w:rsidRDefault="00BF16F5" w:rsidP="00BF16F5">
      <w:pPr>
        <w:numPr>
          <w:ilvl w:val="0"/>
          <w:numId w:val="2"/>
        </w:numPr>
        <w:spacing w:after="120" w:line="360" w:lineRule="auto"/>
        <w:ind w:left="360"/>
        <w:jc w:val="both"/>
        <w:rPr>
          <w:rFonts w:ascii="David" w:hAnsi="David"/>
        </w:rPr>
      </w:pPr>
      <w:r>
        <w:rPr>
          <w:rtl/>
        </w:rPr>
        <w:t>אשר לסוגיית ההרשעה שוב הדגיש הסניגור את מעשי ההתנדבות של הנאשם, כאשר לשיטתו בדרך של ביטול הרשעה תוכל המדינה לגמול לו על כך</w:t>
      </w:r>
      <w:r>
        <w:rPr>
          <w:rFonts w:hint="cs"/>
          <w:rtl/>
        </w:rPr>
        <w:t xml:space="preserve"> בחזרה</w:t>
      </w:r>
      <w:r>
        <w:rPr>
          <w:rtl/>
        </w:rPr>
        <w:t xml:space="preserve">. ב"כ הנאשם ער לכך שכבר ניתנה לנאשם הזדמנות אחת, בדרך של ענישה ללא הרשעה, אך בכל זאת טען שיש לתת לנאשם הזדמנות נוספת, אפילו בתחושה. </w:t>
      </w:r>
    </w:p>
    <w:p w14:paraId="1C899A8F" w14:textId="77777777" w:rsidR="00BF16F5" w:rsidRDefault="00BF16F5" w:rsidP="00BF16F5">
      <w:pPr>
        <w:numPr>
          <w:ilvl w:val="0"/>
          <w:numId w:val="2"/>
        </w:numPr>
        <w:spacing w:after="120" w:line="360" w:lineRule="auto"/>
        <w:ind w:left="360"/>
        <w:jc w:val="both"/>
        <w:rPr>
          <w:rFonts w:ascii="David" w:hAnsi="David"/>
        </w:rPr>
      </w:pPr>
      <w:r>
        <w:rPr>
          <w:rtl/>
        </w:rPr>
        <w:t>לבסוף הנאשם, בדברו האחרון לעונש, לא התייחס לאירוע מושא כתב האישום אלא ביקש, בכל לשון של בקשה, "</w:t>
      </w:r>
      <w:r>
        <w:rPr>
          <w:b/>
          <w:bCs/>
          <w:rtl/>
        </w:rPr>
        <w:t>הזדמנות ללכת בדרך שהיא באמת נכונה וראויה</w:t>
      </w:r>
      <w:r>
        <w:rPr>
          <w:rtl/>
        </w:rPr>
        <w:t>". הנאשם הוסיף כי הוא מנסה "</w:t>
      </w:r>
      <w:r>
        <w:rPr>
          <w:b/>
          <w:bCs/>
          <w:rtl/>
        </w:rPr>
        <w:t>להיכנס לכל מערכת חוקית אפשרית עבור המדינה</w:t>
      </w:r>
      <w:r>
        <w:rPr>
          <w:rtl/>
        </w:rPr>
        <w:t>" וגם רוצה לקבל הסמכה כפרמדיק (בפרוטוקול, עמ' 20 שורה 18 ואילך).</w:t>
      </w:r>
    </w:p>
    <w:p w14:paraId="65FB337E" w14:textId="77777777" w:rsidR="00BF16F5" w:rsidRDefault="00BF16F5" w:rsidP="00BF16F5">
      <w:pPr>
        <w:spacing w:after="120" w:line="360" w:lineRule="auto"/>
        <w:jc w:val="both"/>
        <w:rPr>
          <w:rFonts w:ascii="David" w:hAnsi="David"/>
        </w:rPr>
      </w:pPr>
    </w:p>
    <w:p w14:paraId="70F356EA" w14:textId="77777777" w:rsidR="00BF16F5" w:rsidRDefault="00BF16F5" w:rsidP="00BF16F5">
      <w:pPr>
        <w:pStyle w:val="a9"/>
        <w:numPr>
          <w:ilvl w:val="0"/>
          <w:numId w:val="1"/>
        </w:numPr>
        <w:spacing w:before="120" w:after="120" w:line="360" w:lineRule="auto"/>
        <w:ind w:left="360"/>
        <w:jc w:val="both"/>
        <w:rPr>
          <w:rFonts w:ascii="David" w:hAnsi="David"/>
          <w:b/>
          <w:bCs/>
          <w:u w:val="single"/>
          <w:rtl/>
        </w:rPr>
      </w:pPr>
      <w:r>
        <w:rPr>
          <w:rFonts w:ascii="David" w:hAnsi="David"/>
          <w:b/>
          <w:bCs/>
          <w:u w:val="single"/>
          <w:rtl/>
        </w:rPr>
        <w:t>הסדר הטיעון וסוגיית ההרשעה:</w:t>
      </w:r>
    </w:p>
    <w:p w14:paraId="425A4FA9" w14:textId="77777777" w:rsidR="00BF16F5" w:rsidRDefault="00BF16F5" w:rsidP="00BF16F5">
      <w:pPr>
        <w:numPr>
          <w:ilvl w:val="0"/>
          <w:numId w:val="2"/>
        </w:numPr>
        <w:spacing w:after="120" w:line="360" w:lineRule="auto"/>
        <w:ind w:left="360"/>
        <w:jc w:val="both"/>
        <w:rPr>
          <w:rFonts w:ascii="David" w:hAnsi="David"/>
        </w:rPr>
      </w:pPr>
      <w:r>
        <w:rPr>
          <w:rtl/>
        </w:rPr>
        <w:t>במקרה דנא הגיעו הצדדים להסדר טיעון "סגור" למעשה, למעט בסוגיית ההרשעה. כידוע, על אף שגם בנסיבות כאלה חלות הוראות תיקון 113 ל</w:t>
      </w:r>
      <w:hyperlink r:id="rId30" w:history="1">
        <w:r w:rsidR="00040DC7" w:rsidRPr="00040DC7">
          <w:rPr>
            <w:color w:val="0000FF"/>
            <w:u w:val="single"/>
            <w:rtl/>
          </w:rPr>
          <w:t>חוק העונשין</w:t>
        </w:r>
      </w:hyperlink>
      <w:r>
        <w:rPr>
          <w:rtl/>
        </w:rPr>
        <w:t xml:space="preserve">, הרי שבהסדר טיעון הכולל הסכמות לעניין הטיעונים לעונש </w:t>
      </w:r>
      <w:r>
        <w:rPr>
          <w:rFonts w:ascii="David" w:hAnsi="David"/>
          <w:rtl/>
        </w:rPr>
        <w:t>השאלה העיקרית הטעונה הכרעה היא שאלת סבירות ההסדר, שעל בית המשפט לבוחנה בהתאם ל"מבחן האיזון" שנקבע בזמנו ב</w:t>
      </w:r>
      <w:hyperlink r:id="rId31" w:history="1">
        <w:r w:rsidR="00040DC7" w:rsidRPr="00040DC7">
          <w:rPr>
            <w:rFonts w:ascii="David" w:hAnsi="David"/>
            <w:color w:val="0000FF"/>
            <w:u w:val="single"/>
            <w:rtl/>
          </w:rPr>
          <w:t>ע"פ 1958/98</w:t>
        </w:r>
      </w:hyperlink>
      <w:r>
        <w:rPr>
          <w:rFonts w:ascii="David" w:hAnsi="David"/>
          <w:rtl/>
        </w:rPr>
        <w:t xml:space="preserve"> </w:t>
      </w:r>
      <w:r w:rsidRPr="00D578C7">
        <w:rPr>
          <w:rFonts w:ascii="David" w:hAnsi="David"/>
          <w:b/>
          <w:bCs/>
          <w:rtl/>
        </w:rPr>
        <w:t>פלוני נ' מדינת ישראל</w:t>
      </w:r>
      <w:r>
        <w:rPr>
          <w:rFonts w:ascii="David" w:hAnsi="David"/>
          <w:rtl/>
        </w:rPr>
        <w:t xml:space="preserve"> (25.12.2002).</w:t>
      </w:r>
    </w:p>
    <w:p w14:paraId="1DAEDB97"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 xml:space="preserve">במקרה דנא מדובר בצבר </w:t>
      </w:r>
      <w:r>
        <w:rPr>
          <w:rFonts w:ascii="David" w:hAnsi="David" w:hint="cs"/>
          <w:rtl/>
        </w:rPr>
        <w:t xml:space="preserve">של </w:t>
      </w:r>
      <w:r>
        <w:rPr>
          <w:rFonts w:ascii="David" w:hAnsi="David"/>
          <w:rtl/>
        </w:rPr>
        <w:t xml:space="preserve">עבירות לא קלות, בנסיבות ביצוע שאף הן לא פשוטות. הנאשם החזיק ברכב בסמים </w:t>
      </w:r>
      <w:r>
        <w:rPr>
          <w:rFonts w:ascii="David" w:hAnsi="David" w:hint="cs"/>
          <w:rtl/>
        </w:rPr>
        <w:t xml:space="preserve">מסוכנים </w:t>
      </w:r>
      <w:r>
        <w:rPr>
          <w:rFonts w:ascii="David" w:hAnsi="David"/>
          <w:rtl/>
        </w:rPr>
        <w:t>קשים משני סוגים, וכן בסכין שיסוף. בנוסף הנאשם נהג ברכב לא רק ללא רישיון נהיגה וללא ביטוח, אלא גם כשהוא מצוי תחת השפעת סמים מסוכנים. בנסיבות אלה</w:t>
      </w:r>
      <w:r>
        <w:rPr>
          <w:rFonts w:ascii="David" w:hAnsi="David" w:hint="cs"/>
          <w:rtl/>
        </w:rPr>
        <w:t>,</w:t>
      </w:r>
      <w:r>
        <w:rPr>
          <w:rFonts w:ascii="David" w:hAnsi="David"/>
          <w:rtl/>
        </w:rPr>
        <w:t xml:space="preserve"> פשיטא שהסדר הטיעון ועמדת המאשימה לענישה הם מקלים מאוד</w:t>
      </w:r>
      <w:r>
        <w:rPr>
          <w:rFonts w:ascii="David" w:hAnsi="David" w:hint="cs"/>
          <w:rtl/>
        </w:rPr>
        <w:t>. עם זאת</w:t>
      </w:r>
      <w:r>
        <w:rPr>
          <w:rFonts w:ascii="David" w:hAnsi="David"/>
          <w:rtl/>
        </w:rPr>
        <w:t>, בהתחשב במכלול נסיבות</w:t>
      </w:r>
      <w:r>
        <w:rPr>
          <w:rFonts w:ascii="David" w:hAnsi="David" w:hint="cs"/>
          <w:rtl/>
        </w:rPr>
        <w:t xml:space="preserve"> העניין</w:t>
      </w:r>
      <w:r>
        <w:rPr>
          <w:rFonts w:ascii="David" w:hAnsi="David"/>
          <w:rtl/>
        </w:rPr>
        <w:t xml:space="preserve"> הם עדיין מצויים בגדרי הסביר</w:t>
      </w:r>
      <w:r>
        <w:rPr>
          <w:rFonts w:ascii="David" w:hAnsi="David" w:hint="cs"/>
          <w:rtl/>
        </w:rPr>
        <w:t>,</w:t>
      </w:r>
      <w:r>
        <w:rPr>
          <w:rFonts w:ascii="David" w:hAnsi="David"/>
          <w:rtl/>
        </w:rPr>
        <w:t xml:space="preserve"> לפי מבחן האיזון</w:t>
      </w:r>
      <w:r>
        <w:rPr>
          <w:rFonts w:ascii="David" w:hAnsi="David" w:hint="cs"/>
          <w:rtl/>
        </w:rPr>
        <w:t>,</w:t>
      </w:r>
      <w:r>
        <w:rPr>
          <w:rFonts w:ascii="David" w:hAnsi="David"/>
          <w:rtl/>
        </w:rPr>
        <w:t xml:space="preserve"> ועל כן על בית המשפט לכבדם.</w:t>
      </w:r>
    </w:p>
    <w:p w14:paraId="582AF77C"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 xml:space="preserve">הנאשם אינו מסתפק בהקלה משמעותית זו </w:t>
      </w:r>
      <w:r>
        <w:rPr>
          <w:rFonts w:ascii="David" w:hAnsi="David" w:hint="cs"/>
          <w:rtl/>
        </w:rPr>
        <w:t xml:space="preserve">אלא </w:t>
      </w:r>
      <w:r>
        <w:rPr>
          <w:rFonts w:ascii="David" w:hAnsi="David"/>
          <w:rtl/>
        </w:rPr>
        <w:t xml:space="preserve">מבקש גם את ביטול ההרשעה עצמה, הגם שעניינו אינו מקיים כלל ועיקר את התנאים שנקבעו בפסיקה לביטול הרשעה בדין. </w:t>
      </w:r>
      <w:r>
        <w:rPr>
          <w:rtl/>
        </w:rPr>
        <w:t>כידוע, כלל הדין הוא כי משנקבעו על ידי בית המשפט עובדות המגבשות עבירה פלילית – לרבות על יסוד הודאת הנאשם – על בית המשפט להרשיע את הנאשם בעבירה הרלוואנטית. האפשרות לנקוט בדרך של הימנעות מהרשעה היא אפשרות חריגה, השמורה למקרים מיוחדים ויוצאי דופן בהם מתקיימים שני התנאים המצטברים, אשר נקבעו ב</w:t>
      </w:r>
      <w:hyperlink r:id="rId32" w:history="1">
        <w:r w:rsidR="00040DC7" w:rsidRPr="00040DC7">
          <w:rPr>
            <w:color w:val="0000FF"/>
            <w:u w:val="single"/>
            <w:rtl/>
          </w:rPr>
          <w:t>ע"פ 2083/96</w:t>
        </w:r>
      </w:hyperlink>
      <w:r>
        <w:rPr>
          <w:rtl/>
        </w:rPr>
        <w:t xml:space="preserve"> </w:t>
      </w:r>
      <w:r>
        <w:rPr>
          <w:b/>
          <w:bCs/>
          <w:rtl/>
        </w:rPr>
        <w:t>כתב נ' מדינת ישראל</w:t>
      </w:r>
      <w:r>
        <w:rPr>
          <w:rtl/>
        </w:rPr>
        <w:t xml:space="preserve">, פ"ד נב (3) 337, 342 (1997), כלהלן: </w:t>
      </w:r>
      <w:r>
        <w:rPr>
          <w:b/>
          <w:bCs/>
          <w:rtl/>
        </w:rPr>
        <w:t>ראשית</w:t>
      </w:r>
      <w:r>
        <w:rPr>
          <w:rtl/>
        </w:rPr>
        <w:t xml:space="preserve">, על ההרשעה לפגוע פגיעה חמורה בשיקום הנאשם. </w:t>
      </w:r>
      <w:r>
        <w:rPr>
          <w:b/>
          <w:bCs/>
          <w:rtl/>
        </w:rPr>
        <w:t>שנית</w:t>
      </w:r>
      <w:r>
        <w:rPr>
          <w:rtl/>
        </w:rPr>
        <w:t>, סוג העבירה מאפשר לוותר, בנסיבות המקרה המסוים, על ההרשעה מבלי לפגוע באופן מהותי בשיקולי הענישה האחרים</w:t>
      </w:r>
      <w:r>
        <w:rPr>
          <w:rFonts w:ascii="David" w:hAnsi="David"/>
          <w:rtl/>
        </w:rPr>
        <w:t>.</w:t>
      </w:r>
    </w:p>
    <w:p w14:paraId="036542C4" w14:textId="77777777" w:rsidR="00BF16F5" w:rsidRDefault="00BF16F5" w:rsidP="00BF16F5">
      <w:pPr>
        <w:numPr>
          <w:ilvl w:val="0"/>
          <w:numId w:val="2"/>
        </w:numPr>
        <w:spacing w:after="120" w:line="360" w:lineRule="auto"/>
        <w:ind w:left="360"/>
        <w:jc w:val="both"/>
        <w:rPr>
          <w:rFonts w:ascii="David" w:hAnsi="David"/>
        </w:rPr>
      </w:pPr>
      <w:r>
        <w:rPr>
          <w:rtl/>
        </w:rPr>
        <w:t xml:space="preserve">לעניין התנאי </w:t>
      </w:r>
      <w:r>
        <w:rPr>
          <w:b/>
          <w:bCs/>
          <w:rtl/>
        </w:rPr>
        <w:t>השני</w:t>
      </w:r>
      <w:r>
        <w:rPr>
          <w:rtl/>
        </w:rPr>
        <w:t xml:space="preserve"> הנ"ל יש להדגיש את העובדה שלא מדובר ברישום פלילי ראשון של הנאשם, אלא שכבר ניתנה לנאשם הזדמנות של ממש בעברו, בסיום ההליך הפלילי הקודם שנוהל נגדו בהיעדר הרשעה. אמנם אין מקום לקביעת כלל מוחלט שלפיו לעולם אין להימנע מהרשעה בהתקיים רישום פלילי קודם</w:t>
      </w:r>
      <w:r>
        <w:rPr>
          <w:rFonts w:hint="cs"/>
          <w:rtl/>
        </w:rPr>
        <w:t xml:space="preserve"> ללא הרשעה</w:t>
      </w:r>
      <w:r>
        <w:rPr>
          <w:rtl/>
        </w:rPr>
        <w:t xml:space="preserve">, אך הימנעות מהרשעה בהתקיים רישום כזה צריכה להיעשות רק בנסיבות חריגות </w:t>
      </w:r>
      <w:r>
        <w:rPr>
          <w:rFonts w:hint="cs"/>
          <w:rtl/>
        </w:rPr>
        <w:t xml:space="preserve">כפליים: אם סיום הליך ללא הרשעה הוא כאמור בבחינת חריג, סיום הליך פלילי שני ללא הרשעה לאחר שהליך קודם הסתיים כך הוא בבחינת חריג שבחריגים </w:t>
      </w:r>
      <w:r>
        <w:rPr>
          <w:rtl/>
        </w:rPr>
        <w:t xml:space="preserve">(ר' </w:t>
      </w:r>
      <w:hyperlink r:id="rId33" w:history="1">
        <w:r w:rsidR="00040DC7" w:rsidRPr="00040DC7">
          <w:rPr>
            <w:color w:val="0000FF"/>
            <w:u w:val="single"/>
            <w:rtl/>
          </w:rPr>
          <w:t>ת"פ (שלום ת"א) 65792-02-19</w:t>
        </w:r>
      </w:hyperlink>
      <w:r w:rsidR="00040DC7">
        <w:rPr>
          <w:rtl/>
        </w:rPr>
        <w:t xml:space="preserve"> </w:t>
      </w:r>
      <w:r>
        <w:rPr>
          <w:b/>
          <w:bCs/>
          <w:rtl/>
        </w:rPr>
        <w:t>מדינת ישראל נ' ציון</w:t>
      </w:r>
      <w:r w:rsidR="00040DC7">
        <w:rPr>
          <w:rtl/>
        </w:rPr>
        <w:t xml:space="preserve"> </w:t>
      </w:r>
      <w:r>
        <w:rPr>
          <w:rtl/>
        </w:rPr>
        <w:t>(08.12.2021)</w:t>
      </w:r>
      <w:r>
        <w:rPr>
          <w:rFonts w:ascii="David" w:hAnsi="David"/>
          <w:rtl/>
        </w:rPr>
        <w:t xml:space="preserve"> והאסמכתאות שם). בנסיבות אלה, וכאשר האירוע מושא כתב האישום המתוקן דנא כולל צבר של עבירות חמורות בנסיבותיהן, ברי כי סוג העבירות </w:t>
      </w:r>
      <w:r>
        <w:rPr>
          <w:rFonts w:ascii="David" w:hAnsi="David" w:hint="cs"/>
          <w:rtl/>
        </w:rPr>
        <w:t xml:space="preserve">שביצע הנאשם </w:t>
      </w:r>
      <w:r>
        <w:rPr>
          <w:rFonts w:ascii="David" w:hAnsi="David"/>
          <w:rtl/>
        </w:rPr>
        <w:t>אינו מאפשר לוותר על ההרשעה מבלי לפגוע באופן מהותי בשיקולי הענישה האחרים.</w:t>
      </w:r>
    </w:p>
    <w:p w14:paraId="5EBF1033"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 xml:space="preserve">בנוסף, גם התנאי </w:t>
      </w:r>
      <w:r>
        <w:rPr>
          <w:rFonts w:ascii="David" w:hAnsi="David"/>
          <w:b/>
          <w:bCs/>
          <w:rtl/>
        </w:rPr>
        <w:t>הראשון</w:t>
      </w:r>
      <w:r>
        <w:rPr>
          <w:rFonts w:ascii="David" w:hAnsi="David"/>
          <w:rtl/>
        </w:rPr>
        <w:t xml:space="preserve"> שנקבע בהלכת </w:t>
      </w:r>
      <w:r>
        <w:rPr>
          <w:rFonts w:ascii="David" w:hAnsi="David"/>
          <w:b/>
          <w:bCs/>
          <w:rtl/>
        </w:rPr>
        <w:t>כתב</w:t>
      </w:r>
      <w:r>
        <w:rPr>
          <w:rFonts w:ascii="David" w:hAnsi="David"/>
          <w:rtl/>
        </w:rPr>
        <w:t xml:space="preserve"> הנ"ל אינו מתקיים בעניינו של הנאשם, שלא הציג כל אסמכתא לפגיעה קונקרטית העלולה להיגרם לו עקב ההרשעה. הנאשם העלה תכניות</w:t>
      </w:r>
      <w:r>
        <w:rPr>
          <w:rFonts w:ascii="David" w:hAnsi="David" w:hint="cs"/>
          <w:rtl/>
        </w:rPr>
        <w:t xml:space="preserve"> אפשריות</w:t>
      </w:r>
      <w:r>
        <w:rPr>
          <w:rFonts w:ascii="David" w:hAnsi="David"/>
          <w:rtl/>
        </w:rPr>
        <w:t xml:space="preserve"> שונות לגבי רצונותיו לעתיד לבוא, בין בעיסוק כמתווך נדל"ן, כפרמדיק במד"א או כאיש צבא קבע</w:t>
      </w:r>
      <w:r>
        <w:rPr>
          <w:rFonts w:ascii="David" w:hAnsi="David" w:hint="cs"/>
          <w:rtl/>
        </w:rPr>
        <w:t>;</w:t>
      </w:r>
      <w:r>
        <w:rPr>
          <w:rFonts w:ascii="David" w:hAnsi="David"/>
          <w:rtl/>
        </w:rPr>
        <w:t xml:space="preserve"> אך מדובר בתכניות כלליות לעתיד</w:t>
      </w:r>
      <w:r>
        <w:rPr>
          <w:rFonts w:ascii="David" w:hAnsi="David" w:hint="cs"/>
          <w:rtl/>
        </w:rPr>
        <w:t xml:space="preserve">, </w:t>
      </w:r>
      <w:r>
        <w:rPr>
          <w:rFonts w:ascii="David" w:hAnsi="David"/>
          <w:rtl/>
        </w:rPr>
        <w:t xml:space="preserve">שאין בהן כל אינדיקציה לפגיעה ממשית בנאשם כיום. </w:t>
      </w:r>
    </w:p>
    <w:p w14:paraId="62DD5ACD" w14:textId="77777777" w:rsidR="00BF16F5" w:rsidRDefault="00BF16F5" w:rsidP="00BF16F5">
      <w:pPr>
        <w:numPr>
          <w:ilvl w:val="0"/>
          <w:numId w:val="2"/>
        </w:numPr>
        <w:spacing w:after="120" w:line="360" w:lineRule="auto"/>
        <w:ind w:left="360"/>
        <w:jc w:val="both"/>
        <w:rPr>
          <w:rFonts w:ascii="David" w:hAnsi="David"/>
        </w:rPr>
      </w:pPr>
      <w:r>
        <w:rPr>
          <w:rFonts w:ascii="David" w:hAnsi="David"/>
          <w:rtl/>
        </w:rPr>
        <w:t>סיכומו של דבר הוא כי אין אפשרות משפטית להורות, במקרה זה, על ביטול ההרשעה בדין, ויש לגזור את עונשו של הנאשם במסגרת הסכמות הסדר הטיעון. עם זאת, לעניין רכיב הפסילה, ניתן להקל ולקבוע פסילה מותנית בלב</w:t>
      </w:r>
      <w:r>
        <w:rPr>
          <w:rFonts w:ascii="David" w:hAnsi="David" w:hint="cs"/>
          <w:rtl/>
        </w:rPr>
        <w:t>ד.</w:t>
      </w:r>
    </w:p>
    <w:p w14:paraId="60F1685A" w14:textId="77777777" w:rsidR="00BF16F5" w:rsidRPr="002059D0" w:rsidRDefault="00BF16F5" w:rsidP="00BF16F5">
      <w:pPr>
        <w:spacing w:after="120" w:line="360" w:lineRule="auto"/>
        <w:jc w:val="both"/>
        <w:rPr>
          <w:rFonts w:ascii="Tahoma" w:hAnsi="Tahoma"/>
          <w:rtl/>
        </w:rPr>
      </w:pPr>
    </w:p>
    <w:p w14:paraId="283D2488" w14:textId="77777777" w:rsidR="00BF16F5" w:rsidRPr="00BE0404" w:rsidRDefault="00BF16F5" w:rsidP="00BF16F5">
      <w:pPr>
        <w:pStyle w:val="a9"/>
        <w:numPr>
          <w:ilvl w:val="0"/>
          <w:numId w:val="1"/>
        </w:numPr>
        <w:spacing w:after="120" w:line="360" w:lineRule="auto"/>
        <w:ind w:left="360"/>
        <w:jc w:val="both"/>
        <w:rPr>
          <w:rFonts w:ascii="Tahoma" w:hAnsi="Tahoma"/>
          <w:b/>
          <w:bCs/>
          <w:u w:val="single"/>
          <w:rtl/>
        </w:rPr>
      </w:pPr>
      <w:r w:rsidRPr="00BE0404">
        <w:rPr>
          <w:rFonts w:hint="cs"/>
          <w:b/>
          <w:bCs/>
          <w:u w:val="single"/>
          <w:rtl/>
        </w:rPr>
        <w:t>סוף דבר:</w:t>
      </w:r>
    </w:p>
    <w:p w14:paraId="4CAF3518" w14:textId="77777777" w:rsidR="00BF16F5" w:rsidRPr="002059D0" w:rsidRDefault="00BF16F5" w:rsidP="00BF16F5">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7894C2B1" w14:textId="77777777" w:rsidR="00BF16F5" w:rsidRDefault="00BF16F5" w:rsidP="00BF16F5">
      <w:pPr>
        <w:spacing w:after="120" w:line="360" w:lineRule="auto"/>
        <w:ind w:left="1080" w:hanging="720"/>
        <w:jc w:val="both"/>
        <w:rPr>
          <w:rFonts w:ascii="Tahoma" w:hAnsi="Tahoma"/>
          <w:rtl/>
        </w:rPr>
      </w:pPr>
      <w:r>
        <w:rPr>
          <w:rFonts w:hint="cs"/>
          <w:rtl/>
        </w:rPr>
        <w:t>(א)</w:t>
      </w:r>
      <w:r>
        <w:rPr>
          <w:rtl/>
        </w:rPr>
        <w:tab/>
      </w:r>
      <w:r>
        <w:rPr>
          <w:rFonts w:hint="cs"/>
          <w:rtl/>
        </w:rPr>
        <w:t xml:space="preserve">מאסר על תנאי למשך 3 חודשים, אותו לא יישא הנאשם אלא אם כן יעבור, תוך שלוש שנים מהיום, עבירה </w:t>
      </w:r>
      <w:r>
        <w:rPr>
          <w:rFonts w:ascii="Tahoma" w:hAnsi="Tahoma" w:hint="cs"/>
          <w:rtl/>
        </w:rPr>
        <w:t>מהעבירות בהן הורשע.</w:t>
      </w:r>
    </w:p>
    <w:p w14:paraId="7DFDEC7E" w14:textId="77777777" w:rsidR="00BF16F5" w:rsidRDefault="00BF16F5" w:rsidP="00BF16F5">
      <w:pPr>
        <w:spacing w:after="120" w:line="360" w:lineRule="auto"/>
        <w:ind w:left="1080" w:hanging="720"/>
        <w:jc w:val="both"/>
        <w:rPr>
          <w:rtl/>
        </w:rPr>
      </w:pPr>
      <w:r>
        <w:rPr>
          <w:rFonts w:hint="cs"/>
          <w:rtl/>
        </w:rPr>
        <w:t>(ב)</w:t>
      </w:r>
      <w:r>
        <w:rPr>
          <w:rtl/>
        </w:rPr>
        <w:tab/>
      </w:r>
      <w:r>
        <w:rPr>
          <w:rFonts w:hint="cs"/>
          <w:rtl/>
        </w:rPr>
        <w:t>קנס בסך של 2,000 ₪, או 10 ימי מאסר תמורתו.</w:t>
      </w:r>
    </w:p>
    <w:p w14:paraId="1166A911" w14:textId="77777777" w:rsidR="00BF16F5" w:rsidRDefault="00BF16F5" w:rsidP="00BF16F5">
      <w:pPr>
        <w:spacing w:after="120" w:line="360" w:lineRule="auto"/>
        <w:ind w:left="1080"/>
        <w:jc w:val="both"/>
        <w:rPr>
          <w:rFonts w:ascii="Tahoma" w:hAnsi="Tahoma"/>
          <w:rtl/>
        </w:rPr>
      </w:pPr>
      <w:r>
        <w:rPr>
          <w:rFonts w:hint="cs"/>
          <w:rtl/>
        </w:rPr>
        <w:t>הקנס ישולם ב-5 תשלומים חודשיים, שווים ורצופים, החל מיום 01.09.2024 ובכל אחד בחודש שלאחריו. היה והנאשם לא ישלם את אחד התשלומים במועד תועמד כל יתרת הקנס לפירעון מידי.</w:t>
      </w:r>
    </w:p>
    <w:p w14:paraId="2A70BE6E" w14:textId="77777777" w:rsidR="00BF16F5" w:rsidRDefault="00BF16F5" w:rsidP="00BF16F5">
      <w:pPr>
        <w:spacing w:after="120" w:line="360" w:lineRule="auto"/>
        <w:ind w:left="1080" w:hanging="720"/>
        <w:jc w:val="both"/>
        <w:rPr>
          <w:rFonts w:ascii="Tahoma" w:hAnsi="Tahoma"/>
        </w:rPr>
      </w:pPr>
      <w:r>
        <w:rPr>
          <w:rFonts w:hint="cs"/>
          <w:rtl/>
        </w:rPr>
        <w:t xml:space="preserve"> (ג)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4" w:history="1">
        <w:r w:rsidR="00040DC7" w:rsidRPr="00040DC7">
          <w:rPr>
            <w:color w:val="0000FF"/>
            <w:u w:val="single"/>
            <w:rtl/>
          </w:rPr>
          <w:t>פקודת הסמים המסוכנים</w:t>
        </w:r>
      </w:hyperlink>
      <w:r>
        <w:rPr>
          <w:rFonts w:hint="cs"/>
          <w:rtl/>
        </w:rPr>
        <w:t>.</w:t>
      </w:r>
    </w:p>
    <w:p w14:paraId="42463FDA" w14:textId="77777777" w:rsidR="00BF16F5" w:rsidRPr="009E2A50" w:rsidRDefault="00BF16F5" w:rsidP="00BF16F5">
      <w:pPr>
        <w:spacing w:after="120" w:line="360" w:lineRule="auto"/>
        <w:ind w:left="1080" w:hanging="720"/>
        <w:jc w:val="both"/>
        <w:rPr>
          <w:rFonts w:ascii="Tahoma" w:hAnsi="Tahoma"/>
          <w:rtl/>
        </w:rPr>
      </w:pPr>
      <w:r w:rsidRPr="00BF16F5">
        <w:rPr>
          <w:rFonts w:ascii="Calibri" w:hAnsi="Calibri" w:hint="cs"/>
          <w:rtl/>
        </w:rPr>
        <w:t>(ד)</w:t>
      </w:r>
      <w:r w:rsidRPr="00BF16F5">
        <w:rPr>
          <w:rFonts w:ascii="Calibri" w:hAnsi="Calibri"/>
          <w:rtl/>
        </w:rPr>
        <w:tab/>
        <w:t xml:space="preserve">שירות לתועלת הציבור בהיקף של </w:t>
      </w:r>
      <w:r w:rsidRPr="00BF16F5">
        <w:rPr>
          <w:rFonts w:ascii="Calibri" w:hAnsi="Calibri" w:hint="cs"/>
          <w:rtl/>
        </w:rPr>
        <w:t>200</w:t>
      </w:r>
      <w:r w:rsidRPr="00BF16F5">
        <w:rPr>
          <w:rFonts w:ascii="Calibri" w:hAnsi="Calibri"/>
          <w:rtl/>
        </w:rPr>
        <w:t xml:space="preserve"> שעות. השירות יבוצע, בהתאם</w:t>
      </w:r>
      <w:r w:rsidRPr="00BF16F5">
        <w:rPr>
          <w:rFonts w:ascii="Calibri" w:hAnsi="Calibri" w:hint="cs"/>
          <w:rtl/>
        </w:rPr>
        <w:t xml:space="preserve"> </w:t>
      </w:r>
      <w:r w:rsidRPr="00BF16F5">
        <w:rPr>
          <w:rFonts w:ascii="Calibri" w:hAnsi="Calibri"/>
          <w:rtl/>
        </w:rPr>
        <w:t>לתכנית ש</w:t>
      </w:r>
      <w:r w:rsidRPr="00BF16F5">
        <w:rPr>
          <w:rFonts w:ascii="Calibri" w:hAnsi="Calibri" w:hint="cs"/>
          <w:rtl/>
        </w:rPr>
        <w:t>י</w:t>
      </w:r>
      <w:r w:rsidRPr="00BF16F5">
        <w:rPr>
          <w:rFonts w:ascii="Calibri" w:hAnsi="Calibri"/>
          <w:rtl/>
        </w:rPr>
        <w:t>גבש שירות המבחן, ב</w:t>
      </w:r>
      <w:r w:rsidRPr="00BF16F5">
        <w:rPr>
          <w:rFonts w:ascii="Calibri" w:hAnsi="Calibri" w:hint="cs"/>
          <w:rtl/>
        </w:rPr>
        <w:t>הקדם האפשרי, החל במועד שייקבע שירות המבחן.</w:t>
      </w:r>
    </w:p>
    <w:p w14:paraId="1C0C6963" w14:textId="77777777" w:rsidR="00BF16F5" w:rsidRPr="00BF16F5" w:rsidRDefault="00BF16F5" w:rsidP="00BF16F5">
      <w:pPr>
        <w:spacing w:after="120" w:line="360" w:lineRule="auto"/>
        <w:ind w:left="1080"/>
        <w:jc w:val="both"/>
        <w:rPr>
          <w:rFonts w:ascii="Calibri" w:hAnsi="Calibri"/>
          <w:rtl/>
        </w:rPr>
      </w:pPr>
      <w:r w:rsidRPr="00BF16F5">
        <w:rPr>
          <w:rFonts w:ascii="Calibri" w:hAnsi="Calibri"/>
          <w:rtl/>
        </w:rPr>
        <w:t xml:space="preserve">מובהר בזה לנאשם כי אם הוא לא ימלא אחר </w:t>
      </w:r>
      <w:r w:rsidRPr="00BF16F5">
        <w:rPr>
          <w:rFonts w:ascii="Calibri" w:hAnsi="Calibri" w:hint="cs"/>
          <w:rtl/>
        </w:rPr>
        <w:t xml:space="preserve">הוראות </w:t>
      </w:r>
      <w:r w:rsidRPr="00BF16F5">
        <w:rPr>
          <w:rFonts w:ascii="Calibri" w:hAnsi="Calibri"/>
          <w:rtl/>
        </w:rPr>
        <w:t>צו השירות יהא בית המשפט רשאי</w:t>
      </w:r>
      <w:r w:rsidRPr="00BF16F5">
        <w:rPr>
          <w:rFonts w:ascii="Calibri" w:hAnsi="Calibri" w:hint="cs"/>
          <w:rtl/>
        </w:rPr>
        <w:t xml:space="preserve"> </w:t>
      </w:r>
      <w:r w:rsidRPr="00BF16F5">
        <w:rPr>
          <w:rFonts w:ascii="Calibri" w:hAnsi="Calibri"/>
          <w:rtl/>
        </w:rPr>
        <w:t>לבטל את צו השירות ולהטיל עליו, במקו</w:t>
      </w:r>
      <w:r w:rsidRPr="00BF16F5">
        <w:rPr>
          <w:rFonts w:ascii="Calibri" w:hAnsi="Calibri" w:hint="cs"/>
          <w:rtl/>
        </w:rPr>
        <w:t>ם צו השירות</w:t>
      </w:r>
      <w:r w:rsidRPr="00BF16F5">
        <w:rPr>
          <w:rFonts w:ascii="Calibri" w:hAnsi="Calibri"/>
          <w:rtl/>
        </w:rPr>
        <w:t>, עונש נוסף.</w:t>
      </w:r>
    </w:p>
    <w:p w14:paraId="2333B09E" w14:textId="77777777" w:rsidR="00BF16F5" w:rsidRPr="00BF16F5" w:rsidRDefault="00BF16F5" w:rsidP="00BF16F5">
      <w:pPr>
        <w:spacing w:after="120" w:line="360" w:lineRule="auto"/>
        <w:ind w:left="1080" w:hanging="720"/>
        <w:jc w:val="both"/>
        <w:rPr>
          <w:rFonts w:ascii="Calibri" w:hAnsi="Calibri"/>
          <w:rtl/>
        </w:rPr>
      </w:pPr>
      <w:r w:rsidRPr="00BF16F5">
        <w:rPr>
          <w:rFonts w:ascii="Calibri" w:hAnsi="Calibri" w:hint="cs"/>
          <w:rtl/>
        </w:rPr>
        <w:t>(ה)</w:t>
      </w:r>
      <w:r w:rsidRPr="00BF16F5">
        <w:rPr>
          <w:rFonts w:ascii="Calibri" w:hAnsi="Calibri"/>
          <w:rtl/>
        </w:rPr>
        <w:tab/>
      </w:r>
      <w:r w:rsidRPr="00BF16F5">
        <w:rPr>
          <w:rFonts w:ascii="Calibri" w:hAnsi="Calibri" w:hint="cs"/>
          <w:rtl/>
        </w:rPr>
        <w:t>צו מבחן, לתקופה של 12 חודשים מהיום.</w:t>
      </w:r>
    </w:p>
    <w:p w14:paraId="110B52FA" w14:textId="77777777" w:rsidR="00BF16F5" w:rsidRPr="00BF16F5" w:rsidRDefault="00BF16F5" w:rsidP="00BF16F5">
      <w:pPr>
        <w:spacing w:after="120" w:line="360" w:lineRule="auto"/>
        <w:ind w:left="1080"/>
        <w:jc w:val="both"/>
        <w:rPr>
          <w:rFonts w:ascii="Calibri" w:hAnsi="Calibri"/>
          <w:rtl/>
        </w:rPr>
      </w:pPr>
      <w:r w:rsidRPr="00BF16F5">
        <w:rPr>
          <w:rFonts w:ascii="Calibri" w:hAnsi="Calibri"/>
          <w:rtl/>
        </w:rPr>
        <w:t xml:space="preserve">מובהר בזה לנאשם כי אם הוא לא ימלא אחר </w:t>
      </w:r>
      <w:r w:rsidRPr="00BF16F5">
        <w:rPr>
          <w:rFonts w:ascii="Calibri" w:hAnsi="Calibri" w:hint="cs"/>
          <w:rtl/>
        </w:rPr>
        <w:t xml:space="preserve">הוראות </w:t>
      </w:r>
      <w:r w:rsidRPr="00BF16F5">
        <w:rPr>
          <w:rFonts w:ascii="Calibri" w:hAnsi="Calibri"/>
          <w:rtl/>
        </w:rPr>
        <w:t>צו ה</w:t>
      </w:r>
      <w:r w:rsidRPr="00BF16F5">
        <w:rPr>
          <w:rFonts w:ascii="Calibri" w:hAnsi="Calibri" w:hint="cs"/>
          <w:rtl/>
        </w:rPr>
        <w:t xml:space="preserve">מבחן ולא ישתף פעולה עם קצין המבחן, </w:t>
      </w:r>
      <w:r w:rsidRPr="00BF16F5">
        <w:rPr>
          <w:rFonts w:ascii="Calibri" w:hAnsi="Calibri"/>
          <w:rtl/>
        </w:rPr>
        <w:t>יהא בית המשפט רשאי</w:t>
      </w:r>
      <w:r w:rsidRPr="00BF16F5">
        <w:rPr>
          <w:rFonts w:ascii="Calibri" w:hAnsi="Calibri" w:hint="cs"/>
          <w:rtl/>
        </w:rPr>
        <w:t xml:space="preserve"> </w:t>
      </w:r>
      <w:r w:rsidRPr="00BF16F5">
        <w:rPr>
          <w:rFonts w:ascii="Calibri" w:hAnsi="Calibri"/>
          <w:rtl/>
        </w:rPr>
        <w:t>לבטל את צו ה</w:t>
      </w:r>
      <w:r w:rsidRPr="00BF16F5">
        <w:rPr>
          <w:rFonts w:ascii="Calibri" w:hAnsi="Calibri" w:hint="cs"/>
          <w:rtl/>
        </w:rPr>
        <w:t>מבחן ולגזור עליו, במקום צו המבחן, עונש נוסף.</w:t>
      </w:r>
    </w:p>
    <w:p w14:paraId="7A7AEF6C" w14:textId="77777777" w:rsidR="00BF16F5" w:rsidRDefault="00BF16F5" w:rsidP="00BF16F5">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594001B0" w14:textId="77777777" w:rsidR="00BF16F5" w:rsidRDefault="00040DC7" w:rsidP="00BF16F5">
      <w:pPr>
        <w:spacing w:after="120" w:line="360" w:lineRule="auto"/>
        <w:jc w:val="both"/>
        <w:rPr>
          <w:rtl/>
        </w:rPr>
      </w:pPr>
      <w:r w:rsidRPr="00040DC7">
        <w:rPr>
          <w:color w:val="FFFFFF"/>
          <w:sz w:val="2"/>
          <w:szCs w:val="2"/>
          <w:rtl/>
        </w:rPr>
        <w:t>5129371</w:t>
      </w:r>
      <w:r w:rsidR="00BF16F5">
        <w:rPr>
          <w:rFonts w:hint="cs"/>
          <w:rtl/>
        </w:rPr>
        <w:t xml:space="preserve">ניתן בזה צו כללי, לעניין מוצגים, לשיקול דעתו של קצין משטרה. </w:t>
      </w:r>
    </w:p>
    <w:p w14:paraId="078D95BB" w14:textId="77777777" w:rsidR="00BF16F5" w:rsidRDefault="00040DC7" w:rsidP="00BF16F5">
      <w:pPr>
        <w:snapToGrid w:val="0"/>
        <w:spacing w:after="120" w:line="360" w:lineRule="auto"/>
        <w:jc w:val="both"/>
        <w:rPr>
          <w:rtl/>
        </w:rPr>
      </w:pPr>
      <w:r w:rsidRPr="00040DC7">
        <w:rPr>
          <w:color w:val="FFFFFF"/>
          <w:sz w:val="2"/>
          <w:szCs w:val="2"/>
          <w:rtl/>
        </w:rPr>
        <w:t>54678313</w:t>
      </w:r>
      <w:r w:rsidR="00BF16F5">
        <w:rPr>
          <w:rFonts w:hint="cs"/>
          <w:rtl/>
        </w:rPr>
        <w:t>זכות ערעור בתוך 45 יום מהיום.</w:t>
      </w:r>
    </w:p>
    <w:p w14:paraId="5DB5E3C6" w14:textId="77777777" w:rsidR="00BF16F5" w:rsidRPr="00761D70" w:rsidRDefault="00BF16F5" w:rsidP="00BF16F5">
      <w:pPr>
        <w:spacing w:after="120" w:line="360" w:lineRule="auto"/>
        <w:jc w:val="both"/>
        <w:rPr>
          <w:rFonts w:ascii="Tahoma" w:hAnsi="Tahoma"/>
          <w:rtl/>
        </w:rPr>
      </w:pPr>
      <w:r>
        <w:rPr>
          <w:rFonts w:hint="cs"/>
          <w:rtl/>
        </w:rPr>
        <w:t>המזכירות תמציא גזר דין זה לשירות המבחן.</w:t>
      </w:r>
    </w:p>
    <w:p w14:paraId="25F00FA7" w14:textId="77777777" w:rsidR="00BF16F5" w:rsidRPr="000F2247" w:rsidRDefault="00040DC7" w:rsidP="00BF16F5">
      <w:pPr>
        <w:spacing w:line="360" w:lineRule="auto"/>
        <w:jc w:val="both"/>
        <w:rPr>
          <w:rFonts w:ascii="Arial" w:hAnsi="Arial"/>
          <w:b/>
          <w:bCs/>
          <w:sz w:val="26"/>
          <w:szCs w:val="26"/>
          <w:rtl/>
        </w:rPr>
      </w:pPr>
      <w:bookmarkStart w:id="8" w:name="Nitan"/>
      <w:r>
        <w:rPr>
          <w:rFonts w:ascii="Arial" w:hAnsi="Arial"/>
          <w:rtl/>
        </w:rPr>
        <w:t xml:space="preserve">ניתן היום, ה' תמוז תשפ"ד, 11 יולי 2024, במעמד הצדדים. </w:t>
      </w:r>
      <w:bookmarkEnd w:id="8"/>
      <w:r w:rsidR="00BF16F5">
        <w:rPr>
          <w:rFonts w:ascii="Arial" w:hAnsi="Arial"/>
          <w:b/>
          <w:bCs/>
          <w:sz w:val="26"/>
          <w:szCs w:val="26"/>
          <w:rtl/>
        </w:rPr>
        <w:tab/>
      </w:r>
      <w:r w:rsidR="00BF16F5">
        <w:rPr>
          <w:rFonts w:ascii="Arial" w:hAnsi="Arial"/>
          <w:b/>
          <w:bCs/>
          <w:sz w:val="26"/>
          <w:szCs w:val="26"/>
          <w:rtl/>
        </w:rPr>
        <w:tab/>
      </w:r>
      <w:r w:rsidR="00BF16F5">
        <w:rPr>
          <w:rFonts w:ascii="Arial" w:hAnsi="Arial"/>
          <w:b/>
          <w:bCs/>
          <w:sz w:val="26"/>
          <w:szCs w:val="26"/>
          <w:rtl/>
        </w:rPr>
        <w:tab/>
      </w:r>
      <w:r w:rsidR="00BF16F5">
        <w:rPr>
          <w:rFonts w:ascii="Arial" w:hAnsi="Arial"/>
          <w:b/>
          <w:bCs/>
          <w:sz w:val="26"/>
          <w:szCs w:val="26"/>
          <w:rtl/>
        </w:rPr>
        <w:tab/>
      </w:r>
      <w:r w:rsidR="00BF16F5">
        <w:rPr>
          <w:rFonts w:ascii="Arial" w:hAnsi="Arial"/>
          <w:b/>
          <w:bCs/>
          <w:sz w:val="26"/>
          <w:szCs w:val="26"/>
          <w:rtl/>
        </w:rPr>
        <w:tab/>
      </w:r>
      <w:r w:rsidR="00BF16F5">
        <w:rPr>
          <w:rFonts w:ascii="Arial" w:hAnsi="Arial"/>
          <w:b/>
          <w:bCs/>
          <w:sz w:val="26"/>
          <w:szCs w:val="26"/>
          <w:rtl/>
        </w:rPr>
        <w:tab/>
      </w:r>
      <w:r w:rsidR="00BF16F5">
        <w:rPr>
          <w:rFonts w:ascii="Arial" w:hAnsi="Arial"/>
          <w:b/>
          <w:bCs/>
          <w:sz w:val="26"/>
          <w:szCs w:val="26"/>
          <w:rtl/>
        </w:rPr>
        <w:tab/>
      </w:r>
      <w:r w:rsidR="00BF16F5">
        <w:rPr>
          <w:rFonts w:ascii="Arial" w:hAnsi="Arial" w:hint="cs"/>
          <w:b/>
          <w:bCs/>
          <w:sz w:val="26"/>
          <w:szCs w:val="26"/>
          <w:rtl/>
        </w:rPr>
        <w:t xml:space="preserve">         </w:t>
      </w:r>
    </w:p>
    <w:p w14:paraId="059542A7" w14:textId="77777777" w:rsidR="00BF16F5" w:rsidRPr="000F2247" w:rsidRDefault="00BF16F5" w:rsidP="00040DC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2AB0FF" w14:textId="77777777" w:rsidR="00BF16F5" w:rsidRPr="00CF7817" w:rsidRDefault="00CF7817" w:rsidP="00BF16F5">
      <w:pPr>
        <w:jc w:val="center"/>
        <w:rPr>
          <w:rFonts w:ascii="Arial" w:hAnsi="Arial"/>
          <w:b/>
          <w:bCs/>
          <w:color w:val="FFFFFF"/>
          <w:sz w:val="2"/>
          <w:szCs w:val="2"/>
          <w:rtl/>
        </w:rPr>
      </w:pPr>
      <w:r w:rsidRPr="00CF7817">
        <w:rPr>
          <w:rFonts w:ascii="Arial" w:hAnsi="Arial"/>
          <w:b/>
          <w:bCs/>
          <w:color w:val="FFFFFF"/>
          <w:sz w:val="2"/>
          <w:szCs w:val="2"/>
          <w:rtl/>
        </w:rPr>
        <w:t>5129371</w:t>
      </w:r>
    </w:p>
    <w:p w14:paraId="62D5068B" w14:textId="77777777" w:rsidR="0008067D" w:rsidRPr="00CF7817" w:rsidRDefault="00CF7817" w:rsidP="00040DC7">
      <w:pPr>
        <w:keepNext/>
        <w:rPr>
          <w:rFonts w:ascii="David" w:hAnsi="David"/>
          <w:color w:val="FFFFFF"/>
          <w:sz w:val="2"/>
          <w:szCs w:val="2"/>
          <w:rtl/>
        </w:rPr>
      </w:pPr>
      <w:r w:rsidRPr="00CF7817">
        <w:rPr>
          <w:rFonts w:ascii="David" w:hAnsi="David"/>
          <w:color w:val="FFFFFF"/>
          <w:sz w:val="2"/>
          <w:szCs w:val="2"/>
          <w:rtl/>
        </w:rPr>
        <w:t>54678313</w:t>
      </w:r>
    </w:p>
    <w:p w14:paraId="2168EF85" w14:textId="77777777" w:rsidR="00040DC7" w:rsidRDefault="00040DC7" w:rsidP="00040DC7">
      <w:pPr>
        <w:rPr>
          <w:rtl/>
        </w:rPr>
      </w:pPr>
    </w:p>
    <w:p w14:paraId="51B97FCE" w14:textId="77777777" w:rsidR="00040DC7" w:rsidRDefault="00040DC7" w:rsidP="00040DC7">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468EE68" w14:textId="77777777" w:rsidR="00CF7817" w:rsidRPr="00CF7817" w:rsidRDefault="00CF7817" w:rsidP="00CF7817">
      <w:pPr>
        <w:keepNext/>
        <w:rPr>
          <w:rFonts w:ascii="David" w:hAnsi="David"/>
          <w:color w:val="000000"/>
          <w:sz w:val="22"/>
          <w:szCs w:val="22"/>
          <w:rtl/>
        </w:rPr>
      </w:pPr>
    </w:p>
    <w:p w14:paraId="588EED30" w14:textId="77777777" w:rsidR="00CF7817" w:rsidRPr="00CF7817" w:rsidRDefault="00CF7817" w:rsidP="00CF7817">
      <w:pPr>
        <w:keepNext/>
        <w:rPr>
          <w:rFonts w:ascii="David" w:hAnsi="David"/>
          <w:color w:val="000000"/>
          <w:sz w:val="22"/>
          <w:szCs w:val="22"/>
          <w:rtl/>
        </w:rPr>
      </w:pPr>
      <w:r w:rsidRPr="00CF7817">
        <w:rPr>
          <w:rFonts w:ascii="David" w:hAnsi="David"/>
          <w:color w:val="000000"/>
          <w:sz w:val="22"/>
          <w:szCs w:val="22"/>
          <w:rtl/>
        </w:rPr>
        <w:t>שאול אבינור 54678313-/</w:t>
      </w:r>
    </w:p>
    <w:p w14:paraId="7E2E295E" w14:textId="77777777" w:rsidR="00040DC7" w:rsidRPr="00040DC7" w:rsidRDefault="00CF7817" w:rsidP="00CF7817">
      <w:pPr>
        <w:rPr>
          <w:color w:val="0000FF"/>
          <w:u w:val="single"/>
        </w:rPr>
      </w:pPr>
      <w:r w:rsidRPr="00CF7817">
        <w:rPr>
          <w:color w:val="000000"/>
          <w:u w:val="single"/>
          <w:rtl/>
        </w:rPr>
        <w:t>נוסח מסמך זה כפוף לשינויי ניסוח ועריכה</w:t>
      </w:r>
    </w:p>
    <w:sectPr w:rsidR="00040DC7" w:rsidRPr="00040DC7" w:rsidSect="00CF7817">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8DC4B" w14:textId="77777777" w:rsidR="00E379BE" w:rsidRDefault="00E379BE" w:rsidP="00FD39AD">
      <w:r>
        <w:separator/>
      </w:r>
    </w:p>
  </w:endnote>
  <w:endnote w:type="continuationSeparator" w:id="0">
    <w:p w14:paraId="5F7D6ED8" w14:textId="77777777" w:rsidR="00E379BE" w:rsidRDefault="00E379BE" w:rsidP="00FD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6EC8C" w14:textId="77777777" w:rsidR="00CF7817" w:rsidRDefault="00CF7817" w:rsidP="00CF78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A0D7BB9" w14:textId="77777777" w:rsidR="00A172A1" w:rsidRPr="00CF7817" w:rsidRDefault="00CF7817" w:rsidP="00CF7817">
    <w:pPr>
      <w:pStyle w:val="a5"/>
      <w:pBdr>
        <w:top w:val="single" w:sz="4" w:space="1" w:color="auto"/>
        <w:between w:val="single" w:sz="4" w:space="0" w:color="auto"/>
      </w:pBdr>
      <w:spacing w:after="60"/>
      <w:jc w:val="center"/>
      <w:rPr>
        <w:rFonts w:ascii="FrankRuehl" w:hAnsi="FrankRuehl" w:cs="FrankRuehl"/>
        <w:color w:val="000000"/>
      </w:rPr>
    </w:pPr>
    <w:r w:rsidRPr="00CF78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87F08" w14:textId="77777777" w:rsidR="00CF7817" w:rsidRDefault="00CF7817" w:rsidP="00CF78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28F8">
      <w:rPr>
        <w:rFonts w:ascii="FrankRuehl" w:hAnsi="FrankRuehl" w:cs="FrankRuehl"/>
        <w:noProof/>
        <w:rtl/>
      </w:rPr>
      <w:t>1</w:t>
    </w:r>
    <w:r>
      <w:rPr>
        <w:rFonts w:ascii="FrankRuehl" w:hAnsi="FrankRuehl" w:cs="FrankRuehl"/>
        <w:rtl/>
      </w:rPr>
      <w:fldChar w:fldCharType="end"/>
    </w:r>
  </w:p>
  <w:p w14:paraId="7D8E2E51" w14:textId="77777777" w:rsidR="00A172A1" w:rsidRPr="00CF7817" w:rsidRDefault="00CF7817" w:rsidP="00CF7817">
    <w:pPr>
      <w:pStyle w:val="a5"/>
      <w:pBdr>
        <w:top w:val="single" w:sz="4" w:space="1" w:color="auto"/>
        <w:between w:val="single" w:sz="4" w:space="0" w:color="auto"/>
      </w:pBdr>
      <w:spacing w:after="60"/>
      <w:jc w:val="center"/>
      <w:rPr>
        <w:rFonts w:ascii="FrankRuehl" w:hAnsi="FrankRuehl" w:cs="FrankRuehl"/>
        <w:color w:val="000000"/>
      </w:rPr>
    </w:pPr>
    <w:r w:rsidRPr="00CF7817">
      <w:rPr>
        <w:rFonts w:ascii="FrankRuehl" w:hAnsi="FrankRuehl" w:cs="FrankRuehl"/>
        <w:color w:val="000000"/>
      </w:rPr>
      <w:pict w14:anchorId="6F074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49456" w14:textId="77777777" w:rsidR="00E379BE" w:rsidRDefault="00E379BE" w:rsidP="00FD39AD">
      <w:r>
        <w:separator/>
      </w:r>
    </w:p>
  </w:footnote>
  <w:footnote w:type="continuationSeparator" w:id="0">
    <w:p w14:paraId="283E868A" w14:textId="77777777" w:rsidR="00E379BE" w:rsidRDefault="00E379BE" w:rsidP="00FD3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404F" w14:textId="77777777" w:rsidR="00040DC7" w:rsidRPr="00CF7817" w:rsidRDefault="00CF7817" w:rsidP="00CF78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21651-06-20</w:t>
    </w:r>
    <w:r>
      <w:rPr>
        <w:rFonts w:ascii="David" w:hAnsi="David"/>
        <w:color w:val="000000"/>
        <w:sz w:val="22"/>
        <w:szCs w:val="22"/>
        <w:rtl/>
      </w:rPr>
      <w:tab/>
      <w:t xml:space="preserve"> מדינת ישראל נ' אור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A281A" w14:textId="77777777" w:rsidR="00040DC7" w:rsidRPr="00CF7817" w:rsidRDefault="00CF7817" w:rsidP="00CF781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21651-06-20</w:t>
    </w:r>
    <w:r>
      <w:rPr>
        <w:rFonts w:ascii="David" w:hAnsi="David"/>
        <w:color w:val="000000"/>
        <w:sz w:val="22"/>
        <w:szCs w:val="22"/>
        <w:rtl/>
      </w:rPr>
      <w:tab/>
      <w:t xml:space="preserve"> מדינת ישראל נ' אור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DC7FD6"/>
    <w:multiLevelType w:val="hybridMultilevel"/>
    <w:tmpl w:val="FC608996"/>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abstractNum w:abstractNumId="2"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3" w15:restartNumberingAfterBreak="0">
    <w:nsid w:val="4F134F0B"/>
    <w:multiLevelType w:val="hybridMultilevel"/>
    <w:tmpl w:val="D3143336"/>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num w:numId="1" w16cid:durableId="1697341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4136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9604136">
    <w:abstractNumId w:val="1"/>
  </w:num>
  <w:num w:numId="4" w16cid:durableId="1169834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16F5"/>
    <w:rsid w:val="00040DC7"/>
    <w:rsid w:val="0008067D"/>
    <w:rsid w:val="001B5A3B"/>
    <w:rsid w:val="003016F6"/>
    <w:rsid w:val="005D28F8"/>
    <w:rsid w:val="00626263"/>
    <w:rsid w:val="00694BC2"/>
    <w:rsid w:val="0083714D"/>
    <w:rsid w:val="008466CA"/>
    <w:rsid w:val="0087688E"/>
    <w:rsid w:val="00A172A1"/>
    <w:rsid w:val="00AE42F9"/>
    <w:rsid w:val="00BF16F5"/>
    <w:rsid w:val="00CF7817"/>
    <w:rsid w:val="00E379BE"/>
    <w:rsid w:val="00F96F55"/>
    <w:rsid w:val="00FD3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95C5E3"/>
  <w15:chartTrackingRefBased/>
  <w15:docId w15:val="{9FB1F987-7546-469C-8FAF-DB87815D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16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16F5"/>
    <w:pPr>
      <w:tabs>
        <w:tab w:val="center" w:pos="4153"/>
        <w:tab w:val="right" w:pos="8306"/>
      </w:tabs>
    </w:pPr>
  </w:style>
  <w:style w:type="character" w:customStyle="1" w:styleId="a4">
    <w:name w:val="כותרת עליונה תו"/>
    <w:link w:val="a3"/>
    <w:rsid w:val="00BF16F5"/>
    <w:rPr>
      <w:rFonts w:ascii="Times New Roman" w:eastAsia="Times New Roman" w:hAnsi="Times New Roman" w:cs="David"/>
      <w:sz w:val="24"/>
      <w:szCs w:val="24"/>
    </w:rPr>
  </w:style>
  <w:style w:type="paragraph" w:styleId="a5">
    <w:name w:val="footer"/>
    <w:basedOn w:val="a"/>
    <w:link w:val="a6"/>
    <w:rsid w:val="00BF16F5"/>
    <w:pPr>
      <w:tabs>
        <w:tab w:val="center" w:pos="4153"/>
        <w:tab w:val="right" w:pos="8306"/>
      </w:tabs>
    </w:pPr>
  </w:style>
  <w:style w:type="character" w:customStyle="1" w:styleId="a6">
    <w:name w:val="כותרת תחתונה תו"/>
    <w:link w:val="a5"/>
    <w:rsid w:val="00BF16F5"/>
    <w:rPr>
      <w:rFonts w:ascii="Times New Roman" w:eastAsia="Times New Roman" w:hAnsi="Times New Roman" w:cs="David"/>
      <w:sz w:val="24"/>
      <w:szCs w:val="24"/>
    </w:rPr>
  </w:style>
  <w:style w:type="table" w:styleId="a7">
    <w:name w:val="Table Grid"/>
    <w:basedOn w:val="a1"/>
    <w:rsid w:val="00BF16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16F5"/>
  </w:style>
  <w:style w:type="paragraph" w:styleId="a9">
    <w:name w:val="List Paragraph"/>
    <w:basedOn w:val="a"/>
    <w:qFormat/>
    <w:rsid w:val="00BF16F5"/>
    <w:pPr>
      <w:ind w:left="720"/>
      <w:contextualSpacing/>
    </w:pPr>
    <w:rPr>
      <w:rFonts w:ascii="Arial (W1)" w:hAnsi="Arial (W1)"/>
    </w:rPr>
  </w:style>
  <w:style w:type="character" w:styleId="Hyperlink">
    <w:name w:val="Hyperlink"/>
    <w:rsid w:val="00040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4274" TargetMode="External"/><Relationship Id="rId39" Type="http://schemas.openxmlformats.org/officeDocument/2006/relationships/footer" Target="footer2.xml"/><Relationship Id="rId21" Type="http://schemas.openxmlformats.org/officeDocument/2006/relationships/hyperlink" Target="http://www.nevo.co.il/law/70301/186.a"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50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868949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law/5227" TargetMode="External"/><Relationship Id="rId32" Type="http://schemas.openxmlformats.org/officeDocument/2006/relationships/hyperlink" Target="http://www.nevo.co.il/case/581078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4274/26.2"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4501"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6189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501/2.a"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74274/26.2" TargetMode="External"/><Relationship Id="rId33" Type="http://schemas.openxmlformats.org/officeDocument/2006/relationships/hyperlink" Target="http://www.nevo.co.il/case/2548886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2452</Words>
  <Characters>12265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14688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3670129</vt:i4>
      </vt:variant>
      <vt:variant>
        <vt:i4>78</vt:i4>
      </vt:variant>
      <vt:variant>
        <vt:i4>0</vt:i4>
      </vt:variant>
      <vt:variant>
        <vt:i4>5</vt:i4>
      </vt:variant>
      <vt:variant>
        <vt:lpwstr>http://www.nevo.co.il/case/25488860</vt:lpwstr>
      </vt:variant>
      <vt:variant>
        <vt:lpwstr/>
      </vt:variant>
      <vt:variant>
        <vt:i4>3276916</vt:i4>
      </vt:variant>
      <vt:variant>
        <vt:i4>75</vt:i4>
      </vt:variant>
      <vt:variant>
        <vt:i4>0</vt:i4>
      </vt:variant>
      <vt:variant>
        <vt:i4>5</vt:i4>
      </vt:variant>
      <vt:variant>
        <vt:lpwstr>http://www.nevo.co.il/case/5810781</vt:lpwstr>
      </vt:variant>
      <vt:variant>
        <vt:lpwstr/>
      </vt:variant>
      <vt:variant>
        <vt:i4>589898</vt:i4>
      </vt:variant>
      <vt:variant>
        <vt:i4>72</vt:i4>
      </vt:variant>
      <vt:variant>
        <vt:i4>0</vt:i4>
      </vt:variant>
      <vt:variant>
        <vt:i4>5</vt:i4>
      </vt:variant>
      <vt:variant>
        <vt:lpwstr>http://www.nevo.co.il/case/161892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3407984</vt:i4>
      </vt:variant>
      <vt:variant>
        <vt:i4>66</vt:i4>
      </vt:variant>
      <vt:variant>
        <vt:i4>0</vt:i4>
      </vt:variant>
      <vt:variant>
        <vt:i4>5</vt:i4>
      </vt:variant>
      <vt:variant>
        <vt:lpwstr>http://www.nevo.co.il/case/28689499</vt:lpwstr>
      </vt:variant>
      <vt:variant>
        <vt:lpwstr/>
      </vt:variant>
      <vt:variant>
        <vt:i4>8257634</vt:i4>
      </vt:variant>
      <vt:variant>
        <vt:i4>63</vt:i4>
      </vt:variant>
      <vt:variant>
        <vt:i4>0</vt:i4>
      </vt:variant>
      <vt:variant>
        <vt:i4>5</vt:i4>
      </vt:variant>
      <vt:variant>
        <vt:lpwstr>http://www.nevo.co.il/law/74501</vt:lpwstr>
      </vt:variant>
      <vt:variant>
        <vt:lpwstr/>
      </vt:variant>
      <vt:variant>
        <vt:i4>8323169</vt:i4>
      </vt:variant>
      <vt:variant>
        <vt:i4>60</vt:i4>
      </vt:variant>
      <vt:variant>
        <vt:i4>0</vt:i4>
      </vt:variant>
      <vt:variant>
        <vt:i4>5</vt:i4>
      </vt:variant>
      <vt:variant>
        <vt:lpwstr>http://www.nevo.co.il/law/74501/2.a</vt:lpwstr>
      </vt:variant>
      <vt:variant>
        <vt:lpwstr/>
      </vt:variant>
      <vt:variant>
        <vt:i4>7929957</vt:i4>
      </vt:variant>
      <vt:variant>
        <vt:i4>57</vt:i4>
      </vt:variant>
      <vt:variant>
        <vt:i4>0</vt:i4>
      </vt:variant>
      <vt:variant>
        <vt:i4>5</vt:i4>
      </vt:variant>
      <vt:variant>
        <vt:lpwstr>http://www.nevo.co.il/law/74274</vt:lpwstr>
      </vt:variant>
      <vt:variant>
        <vt:lpwstr/>
      </vt:variant>
      <vt:variant>
        <vt:i4>5374029</vt:i4>
      </vt:variant>
      <vt:variant>
        <vt:i4>54</vt:i4>
      </vt:variant>
      <vt:variant>
        <vt:i4>0</vt:i4>
      </vt:variant>
      <vt:variant>
        <vt:i4>5</vt:i4>
      </vt:variant>
      <vt:variant>
        <vt:lpwstr>http://www.nevo.co.il/law/74274/26.2</vt:lpwstr>
      </vt:variant>
      <vt:variant>
        <vt:lpwstr/>
      </vt:variant>
      <vt:variant>
        <vt:i4>8323175</vt:i4>
      </vt:variant>
      <vt:variant>
        <vt:i4>51</vt:i4>
      </vt:variant>
      <vt:variant>
        <vt:i4>0</vt:i4>
      </vt:variant>
      <vt:variant>
        <vt:i4>5</vt:i4>
      </vt:variant>
      <vt:variant>
        <vt:lpwstr>http://www.nevo.co.il/law/5227</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8323169</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5374029</vt:i4>
      </vt:variant>
      <vt:variant>
        <vt:i4>24</vt:i4>
      </vt:variant>
      <vt:variant>
        <vt:i4>0</vt:i4>
      </vt:variant>
      <vt:variant>
        <vt:i4>5</vt:i4>
      </vt:variant>
      <vt:variant>
        <vt:lpwstr>http://www.nevo.co.il/law/74274/26.2</vt:lpwstr>
      </vt:variant>
      <vt:variant>
        <vt:lpwstr/>
      </vt:variant>
      <vt:variant>
        <vt:i4>7929957</vt:i4>
      </vt:variant>
      <vt:variant>
        <vt:i4>21</vt:i4>
      </vt:variant>
      <vt:variant>
        <vt:i4>0</vt:i4>
      </vt:variant>
      <vt:variant>
        <vt:i4>5</vt:i4>
      </vt:variant>
      <vt:variant>
        <vt:lpwstr>http://www.nevo.co.il/law/74274</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21651</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אור עמר</vt:lpwstr>
  </property>
  <property fmtid="{D5CDD505-2E9C-101B-9397-08002B2CF9AE}" pid="10" name="LAWYER">
    <vt:lpwstr>ספיר יגר שחף;אלון זלצברג</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20240711</vt:lpwstr>
  </property>
  <property fmtid="{D5CDD505-2E9C-101B-9397-08002B2CF9AE}" pid="14" name="TYPE_N_DATE">
    <vt:lpwstr>38020240711</vt:lpwstr>
  </property>
  <property fmtid="{D5CDD505-2E9C-101B-9397-08002B2CF9AE}" pid="15" name="WORDNUMPAGES">
    <vt:lpwstr>8</vt:lpwstr>
  </property>
  <property fmtid="{D5CDD505-2E9C-101B-9397-08002B2CF9AE}" pid="16" name="TYPE_ABS_DATE">
    <vt:lpwstr>380020240711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28689499;161892;5810781;25488860</vt:lpwstr>
  </property>
  <property fmtid="{D5CDD505-2E9C-101B-9397-08002B2CF9AE}" pid="36" name="LAWLISTTMP1">
    <vt:lpwstr>4216/007.a;007.c</vt:lpwstr>
  </property>
  <property fmtid="{D5CDD505-2E9C-101B-9397-08002B2CF9AE}" pid="37" name="LAWLISTTMP2">
    <vt:lpwstr>70301/186.a</vt:lpwstr>
  </property>
  <property fmtid="{D5CDD505-2E9C-101B-9397-08002B2CF9AE}" pid="38" name="LAWLISTTMP3">
    <vt:lpwstr>5227/010.a</vt:lpwstr>
  </property>
  <property fmtid="{D5CDD505-2E9C-101B-9397-08002B2CF9AE}" pid="39" name="LAWLISTTMP4">
    <vt:lpwstr>74274/026.2</vt:lpwstr>
  </property>
  <property fmtid="{D5CDD505-2E9C-101B-9397-08002B2CF9AE}" pid="40" name="LAWLISTTMP5">
    <vt:lpwstr>74501/002.a</vt:lpwstr>
  </property>
</Properties>
</file>