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751"/>
        <w:gridCol w:w="479"/>
        <w:gridCol w:w="3098"/>
        <w:gridCol w:w="297"/>
      </w:tblGrid>
      <w:tr w:rsidR="00E31D20" w:rsidRPr="00EF6D34" w14:paraId="5910B42B" w14:textId="77777777" w:rsidTr="004769F5">
        <w:trPr>
          <w:gridAfter w:val="1"/>
          <w:wAfter w:w="297" w:type="dxa"/>
          <w:trHeight w:hRule="exact" w:val="418"/>
          <w:jc w:val="center"/>
        </w:trPr>
        <w:tc>
          <w:tcPr>
            <w:tcW w:w="8523" w:type="dxa"/>
            <w:gridSpan w:val="4"/>
          </w:tcPr>
          <w:p w14:paraId="4B17547A" w14:textId="77777777" w:rsidR="00E31D20" w:rsidRPr="00EF6D34" w:rsidRDefault="00E31D20" w:rsidP="00BD1B5C">
            <w:pPr>
              <w:pStyle w:val="a3"/>
              <w:jc w:val="center"/>
              <w:rPr>
                <w:rFonts w:ascii="Tahoma" w:hAnsi="Tahoma"/>
                <w:color w:val="000080"/>
                <w:sz w:val="32"/>
                <w:szCs w:val="32"/>
                <w:rtl/>
              </w:rPr>
            </w:pPr>
            <w:r w:rsidRPr="00EF6D34">
              <w:rPr>
                <w:rFonts w:ascii="Tahoma" w:hAnsi="Tahoma"/>
                <w:b/>
                <w:bCs/>
                <w:color w:val="000080"/>
                <w:sz w:val="32"/>
                <w:szCs w:val="32"/>
                <w:rtl/>
              </w:rPr>
              <w:t>בית משפט השלום בתל אביב - יפו</w:t>
            </w:r>
          </w:p>
        </w:tc>
      </w:tr>
      <w:tr w:rsidR="00E31D20" w:rsidRPr="00EF6D34" w14:paraId="5DDA1851" w14:textId="77777777" w:rsidTr="004769F5">
        <w:trPr>
          <w:gridAfter w:val="1"/>
          <w:wAfter w:w="297" w:type="dxa"/>
          <w:trHeight w:val="337"/>
          <w:jc w:val="center"/>
        </w:trPr>
        <w:tc>
          <w:tcPr>
            <w:tcW w:w="4946" w:type="dxa"/>
            <w:gridSpan w:val="2"/>
          </w:tcPr>
          <w:p w14:paraId="70DCCC61" w14:textId="77777777" w:rsidR="00E31D20" w:rsidRPr="00EF6D34" w:rsidRDefault="00E31D20" w:rsidP="00BD1B5C">
            <w:pPr>
              <w:rPr>
                <w:sz w:val="26"/>
                <w:szCs w:val="26"/>
                <w:rtl/>
              </w:rPr>
            </w:pPr>
            <w:r w:rsidRPr="00EF6D34">
              <w:rPr>
                <w:sz w:val="26"/>
                <w:szCs w:val="26"/>
                <w:rtl/>
              </w:rPr>
              <w:t>ת"פ</w:t>
            </w:r>
            <w:r w:rsidRPr="00EF6D34">
              <w:rPr>
                <w:rFonts w:hint="cs"/>
                <w:sz w:val="26"/>
                <w:szCs w:val="26"/>
                <w:rtl/>
              </w:rPr>
              <w:t xml:space="preserve"> </w:t>
            </w:r>
            <w:r w:rsidRPr="00EF6D34">
              <w:rPr>
                <w:sz w:val="26"/>
                <w:szCs w:val="26"/>
                <w:rtl/>
              </w:rPr>
              <w:t>30386-06-20</w:t>
            </w:r>
            <w:r w:rsidRPr="00EF6D34">
              <w:rPr>
                <w:rFonts w:hint="cs"/>
                <w:sz w:val="26"/>
                <w:szCs w:val="26"/>
                <w:rtl/>
              </w:rPr>
              <w:t xml:space="preserve"> </w:t>
            </w:r>
            <w:r w:rsidRPr="00EF6D34">
              <w:rPr>
                <w:sz w:val="26"/>
                <w:szCs w:val="26"/>
                <w:rtl/>
              </w:rPr>
              <w:t>מדינת ישראל נ' חמיאס</w:t>
            </w:r>
          </w:p>
        </w:tc>
        <w:tc>
          <w:tcPr>
            <w:tcW w:w="3577" w:type="dxa"/>
            <w:gridSpan w:val="2"/>
          </w:tcPr>
          <w:p w14:paraId="6199A19E" w14:textId="77777777" w:rsidR="00E31D20" w:rsidRPr="00EF6D34" w:rsidRDefault="00E31D20" w:rsidP="00BD1B5C">
            <w:pPr>
              <w:pStyle w:val="a3"/>
              <w:jc w:val="right"/>
              <w:rPr>
                <w:rFonts w:cs="FrankRuehl"/>
                <w:sz w:val="28"/>
                <w:szCs w:val="28"/>
                <w:rtl/>
              </w:rPr>
            </w:pPr>
          </w:p>
        </w:tc>
      </w:tr>
      <w:tr w:rsidR="00E31D20" w:rsidRPr="00EF6D34" w14:paraId="475CC477" w14:textId="77777777" w:rsidTr="004769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12E3C72D" w14:textId="77777777" w:rsidR="00E31D20" w:rsidRPr="00EF6D34" w:rsidRDefault="00E31D20" w:rsidP="00E31D20">
            <w:pPr>
              <w:jc w:val="both"/>
              <w:rPr>
                <w:rFonts w:ascii="Arial" w:hAnsi="Arial"/>
                <w:b/>
                <w:bCs/>
                <w:sz w:val="26"/>
                <w:szCs w:val="26"/>
              </w:rPr>
            </w:pPr>
            <w:r w:rsidRPr="00EF6D34">
              <w:rPr>
                <w:rFonts w:hint="cs"/>
                <w:rtl/>
              </w:rPr>
              <w:t xml:space="preserve"> </w:t>
            </w:r>
            <w:r w:rsidRPr="00EF6D34">
              <w:rPr>
                <w:rFonts w:ascii="Arial" w:hAnsi="Arial" w:hint="cs"/>
                <w:b/>
                <w:bCs/>
                <w:sz w:val="26"/>
                <w:szCs w:val="26"/>
                <w:rtl/>
              </w:rPr>
              <w:t>ל</w:t>
            </w:r>
            <w:r w:rsidRPr="00EF6D34">
              <w:rPr>
                <w:rFonts w:ascii="Arial" w:hAnsi="Arial"/>
                <w:b/>
                <w:bCs/>
                <w:sz w:val="26"/>
                <w:szCs w:val="26"/>
                <w:rtl/>
              </w:rPr>
              <w:t xml:space="preserve">פני </w:t>
            </w:r>
            <w:r w:rsidRPr="00EF6D34">
              <w:rPr>
                <w:rFonts w:ascii="Arial" w:hAnsi="Arial" w:hint="cs"/>
                <w:b/>
                <w:bCs/>
                <w:sz w:val="26"/>
                <w:szCs w:val="26"/>
                <w:rtl/>
              </w:rPr>
              <w:t>כבוד ה</w:t>
            </w:r>
            <w:r w:rsidRPr="00EF6D34">
              <w:rPr>
                <w:rFonts w:ascii="Arial" w:hAnsi="Arial"/>
                <w:b/>
                <w:bCs/>
                <w:sz w:val="26"/>
                <w:szCs w:val="26"/>
                <w:rtl/>
              </w:rPr>
              <w:t>שופט - ס. הנשיא</w:t>
            </w:r>
            <w:r w:rsidRPr="00EF6D34">
              <w:rPr>
                <w:rFonts w:ascii="Arial" w:hAnsi="Arial" w:hint="cs"/>
                <w:b/>
                <w:bCs/>
                <w:sz w:val="26"/>
                <w:szCs w:val="26"/>
                <w:rtl/>
              </w:rPr>
              <w:t xml:space="preserve">  </w:t>
            </w:r>
            <w:r w:rsidRPr="00EF6D34">
              <w:rPr>
                <w:rFonts w:ascii="Arial" w:hAnsi="Arial"/>
                <w:b/>
                <w:bCs/>
                <w:sz w:val="26"/>
                <w:szCs w:val="26"/>
                <w:rtl/>
              </w:rPr>
              <w:t>רועי פרי</w:t>
            </w:r>
          </w:p>
        </w:tc>
      </w:tr>
      <w:tr w:rsidR="00E31D20" w:rsidRPr="00EF6D34" w14:paraId="6F8FADDE" w14:textId="77777777" w:rsidTr="004769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4CE9EF22" w14:textId="77777777" w:rsidR="00E31D20" w:rsidRPr="00EF6D34" w:rsidRDefault="00E31D20" w:rsidP="00E31D20">
            <w:pPr>
              <w:jc w:val="both"/>
              <w:rPr>
                <w:rFonts w:ascii="Arial" w:hAnsi="Arial"/>
                <w:sz w:val="26"/>
                <w:szCs w:val="26"/>
                <w:rtl/>
              </w:rPr>
            </w:pPr>
            <w:bookmarkStart w:id="0" w:name="FirstAppellant"/>
            <w:bookmarkStart w:id="1" w:name="LastJudge"/>
            <w:bookmarkEnd w:id="1"/>
          </w:p>
          <w:p w14:paraId="4587C664" w14:textId="77777777" w:rsidR="00E31D20" w:rsidRPr="00EF6D34" w:rsidRDefault="00E31D20" w:rsidP="00E31D20">
            <w:pPr>
              <w:jc w:val="both"/>
              <w:rPr>
                <w:rFonts w:ascii="Arial" w:hAnsi="Arial"/>
                <w:b/>
                <w:bCs/>
                <w:sz w:val="26"/>
                <w:szCs w:val="26"/>
              </w:rPr>
            </w:pPr>
            <w:r w:rsidRPr="00EF6D34">
              <w:rPr>
                <w:rFonts w:ascii="Arial" w:hAnsi="Arial" w:hint="cs"/>
                <w:sz w:val="26"/>
                <w:szCs w:val="26"/>
                <w:rtl/>
              </w:rPr>
              <w:t>ה</w:t>
            </w:r>
            <w:r w:rsidRPr="00EF6D34">
              <w:rPr>
                <w:rFonts w:ascii="Arial" w:hAnsi="Arial"/>
                <w:sz w:val="26"/>
                <w:szCs w:val="26"/>
                <w:rtl/>
              </w:rPr>
              <w:t>מאשימה</w:t>
            </w:r>
          </w:p>
        </w:tc>
        <w:tc>
          <w:tcPr>
            <w:tcW w:w="4230" w:type="dxa"/>
            <w:gridSpan w:val="2"/>
            <w:tcBorders>
              <w:top w:val="nil"/>
              <w:left w:val="nil"/>
              <w:bottom w:val="nil"/>
              <w:right w:val="nil"/>
            </w:tcBorders>
            <w:shd w:val="clear" w:color="auto" w:fill="auto"/>
          </w:tcPr>
          <w:p w14:paraId="04D2B868" w14:textId="77777777" w:rsidR="00E31D20" w:rsidRPr="00EF6D34" w:rsidRDefault="00E31D20" w:rsidP="00E31D20">
            <w:pPr>
              <w:jc w:val="both"/>
              <w:rPr>
                <w:sz w:val="26"/>
                <w:szCs w:val="26"/>
                <w:rtl/>
              </w:rPr>
            </w:pPr>
            <w:r w:rsidRPr="00EF6D34">
              <w:rPr>
                <w:rFonts w:ascii="Arial" w:hAnsi="Arial"/>
                <w:sz w:val="26"/>
                <w:szCs w:val="26"/>
                <w:rtl/>
              </w:rPr>
              <w:br/>
              <w:t>מדינת ישראל</w:t>
            </w:r>
          </w:p>
          <w:p w14:paraId="22F92B99" w14:textId="77777777" w:rsidR="00E31D20" w:rsidRPr="00EF6D34" w:rsidRDefault="00E31D20" w:rsidP="00E31D20">
            <w:pPr>
              <w:jc w:val="both"/>
              <w:rPr>
                <w:sz w:val="26"/>
                <w:szCs w:val="26"/>
                <w:rtl/>
              </w:rPr>
            </w:pPr>
            <w:r w:rsidRPr="00EF6D34">
              <w:rPr>
                <w:rFonts w:hint="cs"/>
                <w:sz w:val="26"/>
                <w:szCs w:val="26"/>
                <w:rtl/>
              </w:rPr>
              <w:t>באמצעות תביעות תל אביב</w:t>
            </w:r>
          </w:p>
          <w:p w14:paraId="4C0A60CD" w14:textId="77777777" w:rsidR="00E31D20" w:rsidRPr="00EF6D34" w:rsidRDefault="00E31D20" w:rsidP="00E31D20">
            <w:pPr>
              <w:jc w:val="both"/>
              <w:rPr>
                <w:sz w:val="26"/>
                <w:szCs w:val="26"/>
              </w:rPr>
            </w:pPr>
            <w:r w:rsidRPr="00EF6D34">
              <w:rPr>
                <w:rFonts w:hint="cs"/>
                <w:sz w:val="26"/>
                <w:szCs w:val="26"/>
                <w:rtl/>
              </w:rPr>
              <w:t>ע"י עו"ד מיטל סטי</w:t>
            </w:r>
          </w:p>
        </w:tc>
        <w:tc>
          <w:tcPr>
            <w:tcW w:w="3395" w:type="dxa"/>
            <w:gridSpan w:val="2"/>
            <w:tcBorders>
              <w:top w:val="nil"/>
              <w:left w:val="nil"/>
              <w:bottom w:val="nil"/>
              <w:right w:val="nil"/>
            </w:tcBorders>
            <w:shd w:val="clear" w:color="auto" w:fill="auto"/>
          </w:tcPr>
          <w:p w14:paraId="4530789B" w14:textId="77777777" w:rsidR="00E31D20" w:rsidRPr="00EF6D34" w:rsidRDefault="00E31D20" w:rsidP="00E31D20">
            <w:pPr>
              <w:jc w:val="both"/>
              <w:rPr>
                <w:rFonts w:ascii="Arial" w:hAnsi="Arial"/>
                <w:sz w:val="26"/>
                <w:szCs w:val="26"/>
              </w:rPr>
            </w:pPr>
          </w:p>
        </w:tc>
      </w:tr>
      <w:bookmarkEnd w:id="0"/>
      <w:tr w:rsidR="00E31D20" w:rsidRPr="00EF6D34" w14:paraId="4260F920" w14:textId="77777777" w:rsidTr="004769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195" w:type="dxa"/>
            <w:tcBorders>
              <w:top w:val="nil"/>
              <w:left w:val="nil"/>
              <w:bottom w:val="nil"/>
              <w:right w:val="nil"/>
            </w:tcBorders>
            <w:shd w:val="clear" w:color="auto" w:fill="auto"/>
          </w:tcPr>
          <w:p w14:paraId="760E1C80" w14:textId="77777777" w:rsidR="00E31D20" w:rsidRPr="00EF6D34" w:rsidRDefault="00E31D20" w:rsidP="00E31D20">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16684846" w14:textId="77777777" w:rsidR="00E31D20" w:rsidRPr="00EF6D34" w:rsidRDefault="00E31D20" w:rsidP="00E31D20">
            <w:pPr>
              <w:jc w:val="both"/>
              <w:rPr>
                <w:rFonts w:ascii="Arial" w:hAnsi="Arial"/>
                <w:b/>
                <w:bCs/>
                <w:sz w:val="26"/>
                <w:szCs w:val="26"/>
                <w:rtl/>
              </w:rPr>
            </w:pPr>
          </w:p>
          <w:p w14:paraId="39A95CF4" w14:textId="77777777" w:rsidR="00E31D20" w:rsidRPr="00EF6D34" w:rsidRDefault="00E31D20" w:rsidP="00E31D20">
            <w:pPr>
              <w:jc w:val="both"/>
              <w:rPr>
                <w:rFonts w:ascii="Arial" w:hAnsi="Arial"/>
                <w:b/>
                <w:bCs/>
                <w:sz w:val="26"/>
                <w:szCs w:val="26"/>
                <w:rtl/>
              </w:rPr>
            </w:pPr>
            <w:r w:rsidRPr="00EF6D34">
              <w:rPr>
                <w:rFonts w:ascii="Arial" w:hAnsi="Arial"/>
                <w:b/>
                <w:bCs/>
                <w:sz w:val="26"/>
                <w:szCs w:val="26"/>
                <w:rtl/>
              </w:rPr>
              <w:t>נגד</w:t>
            </w:r>
          </w:p>
          <w:p w14:paraId="315FC6F9" w14:textId="77777777" w:rsidR="00E31D20" w:rsidRPr="00EF6D34" w:rsidRDefault="00E31D20" w:rsidP="00E31D20">
            <w:pPr>
              <w:jc w:val="both"/>
              <w:rPr>
                <w:rFonts w:ascii="Arial" w:hAnsi="Arial"/>
                <w:sz w:val="26"/>
                <w:szCs w:val="26"/>
              </w:rPr>
            </w:pPr>
          </w:p>
        </w:tc>
      </w:tr>
      <w:tr w:rsidR="00E31D20" w:rsidRPr="00EF6D34" w14:paraId="48928A49" w14:textId="77777777" w:rsidTr="004769F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1D422315" w14:textId="77777777" w:rsidR="00E31D20" w:rsidRPr="00EF6D34" w:rsidRDefault="00E31D20" w:rsidP="00E31D20">
            <w:pPr>
              <w:jc w:val="both"/>
              <w:rPr>
                <w:rFonts w:ascii="Arial" w:hAnsi="Arial"/>
                <w:sz w:val="26"/>
                <w:szCs w:val="26"/>
                <w:rtl/>
              </w:rPr>
            </w:pPr>
            <w:bookmarkStart w:id="2" w:name="FirstLawyer"/>
            <w:r w:rsidRPr="00EF6D34">
              <w:rPr>
                <w:rFonts w:ascii="Arial" w:hAnsi="Arial" w:hint="cs"/>
                <w:sz w:val="26"/>
                <w:szCs w:val="26"/>
                <w:rtl/>
              </w:rPr>
              <w:t>ה</w:t>
            </w:r>
            <w:r w:rsidRPr="00EF6D34">
              <w:rPr>
                <w:rFonts w:ascii="Arial" w:hAnsi="Arial"/>
                <w:sz w:val="26"/>
                <w:szCs w:val="26"/>
                <w:rtl/>
              </w:rPr>
              <w:t>נאשם</w:t>
            </w:r>
          </w:p>
        </w:tc>
        <w:tc>
          <w:tcPr>
            <w:tcW w:w="4230" w:type="dxa"/>
            <w:gridSpan w:val="2"/>
            <w:tcBorders>
              <w:top w:val="nil"/>
              <w:left w:val="nil"/>
              <w:bottom w:val="nil"/>
              <w:right w:val="nil"/>
            </w:tcBorders>
            <w:shd w:val="clear" w:color="auto" w:fill="auto"/>
          </w:tcPr>
          <w:p w14:paraId="0D48AA09" w14:textId="77777777" w:rsidR="00E31D20" w:rsidRPr="00EF6D34" w:rsidRDefault="00E31D20" w:rsidP="00E31D20">
            <w:pPr>
              <w:jc w:val="both"/>
              <w:rPr>
                <w:sz w:val="26"/>
                <w:szCs w:val="26"/>
                <w:rtl/>
              </w:rPr>
            </w:pPr>
            <w:r w:rsidRPr="00EF6D34">
              <w:rPr>
                <w:rFonts w:ascii="Arial" w:hAnsi="Arial"/>
                <w:sz w:val="26"/>
                <w:szCs w:val="26"/>
                <w:rtl/>
              </w:rPr>
              <w:t>יהודה חמיאס</w:t>
            </w:r>
          </w:p>
          <w:p w14:paraId="37AFC0BC" w14:textId="77777777" w:rsidR="00E31D20" w:rsidRPr="00EF6D34" w:rsidRDefault="00E31D20" w:rsidP="00E31D20">
            <w:pPr>
              <w:jc w:val="both"/>
              <w:rPr>
                <w:sz w:val="26"/>
                <w:szCs w:val="26"/>
                <w:rtl/>
              </w:rPr>
            </w:pPr>
            <w:r w:rsidRPr="00EF6D34">
              <w:rPr>
                <w:rFonts w:hint="cs"/>
                <w:sz w:val="26"/>
                <w:szCs w:val="26"/>
                <w:rtl/>
              </w:rPr>
              <w:t>ע"י ב"כ עו"ד שמואל פלישמן</w:t>
            </w:r>
          </w:p>
        </w:tc>
        <w:tc>
          <w:tcPr>
            <w:tcW w:w="3395" w:type="dxa"/>
            <w:gridSpan w:val="2"/>
            <w:tcBorders>
              <w:top w:val="nil"/>
              <w:left w:val="nil"/>
              <w:bottom w:val="nil"/>
              <w:right w:val="nil"/>
            </w:tcBorders>
            <w:shd w:val="clear" w:color="auto" w:fill="auto"/>
          </w:tcPr>
          <w:p w14:paraId="6C81BF3D" w14:textId="77777777" w:rsidR="00E31D20" w:rsidRPr="00EF6D34" w:rsidRDefault="00E31D20" w:rsidP="00E31D20">
            <w:pPr>
              <w:jc w:val="both"/>
              <w:rPr>
                <w:rFonts w:ascii="Arial" w:hAnsi="Arial"/>
                <w:sz w:val="26"/>
                <w:szCs w:val="26"/>
              </w:rPr>
            </w:pPr>
          </w:p>
        </w:tc>
      </w:tr>
      <w:bookmarkEnd w:id="2"/>
    </w:tbl>
    <w:p w14:paraId="38CFE790" w14:textId="77777777" w:rsidR="004769F5" w:rsidRDefault="004769F5" w:rsidP="00EF6D34">
      <w:pPr>
        <w:jc w:val="both"/>
        <w:rPr>
          <w:rtl/>
        </w:rPr>
      </w:pPr>
    </w:p>
    <w:p w14:paraId="1AF35F60" w14:textId="77777777" w:rsidR="004769F5" w:rsidRPr="004769F5" w:rsidRDefault="004769F5" w:rsidP="004769F5">
      <w:pPr>
        <w:spacing w:after="120" w:line="240" w:lineRule="exact"/>
        <w:ind w:left="283" w:hanging="283"/>
        <w:jc w:val="both"/>
        <w:rPr>
          <w:rFonts w:ascii="FrankRuehl" w:hAnsi="FrankRuehl" w:cs="FrankRuehl"/>
          <w:rtl/>
        </w:rPr>
      </w:pPr>
    </w:p>
    <w:p w14:paraId="059E941C" w14:textId="77777777" w:rsidR="001F1E88" w:rsidRPr="001F1E88" w:rsidRDefault="001F1E88" w:rsidP="001F1E88">
      <w:pPr>
        <w:spacing w:before="120" w:after="120" w:line="240" w:lineRule="exact"/>
        <w:ind w:left="283" w:hanging="283"/>
        <w:jc w:val="both"/>
        <w:rPr>
          <w:rFonts w:ascii="FrankRuehl" w:hAnsi="FrankRuehl" w:cs="FrankRuehl"/>
          <w:rtl/>
        </w:rPr>
      </w:pPr>
    </w:p>
    <w:p w14:paraId="2FA4AC6C" w14:textId="77777777" w:rsidR="00D33A18" w:rsidRDefault="00D33A18" w:rsidP="00D33A18">
      <w:pPr>
        <w:jc w:val="both"/>
        <w:rPr>
          <w:rtl/>
        </w:rPr>
      </w:pPr>
      <w:bookmarkStart w:id="3" w:name="LawTable"/>
      <w:bookmarkEnd w:id="3"/>
    </w:p>
    <w:p w14:paraId="5B777231" w14:textId="77777777" w:rsidR="00D33A18" w:rsidRPr="00D33A18" w:rsidRDefault="00D33A18" w:rsidP="00D33A18">
      <w:pPr>
        <w:spacing w:before="120" w:after="120" w:line="240" w:lineRule="exact"/>
        <w:ind w:left="283" w:hanging="283"/>
        <w:jc w:val="both"/>
        <w:rPr>
          <w:rFonts w:ascii="FrankRuehl" w:hAnsi="FrankRuehl" w:cs="FrankRuehl"/>
          <w:rtl/>
        </w:rPr>
      </w:pPr>
    </w:p>
    <w:p w14:paraId="10649C2B" w14:textId="77777777" w:rsidR="00D33A18" w:rsidRPr="00D33A18" w:rsidRDefault="00D33A18" w:rsidP="00D33A18">
      <w:pPr>
        <w:spacing w:before="120" w:after="120" w:line="240" w:lineRule="exact"/>
        <w:ind w:left="283" w:hanging="283"/>
        <w:jc w:val="both"/>
        <w:rPr>
          <w:rFonts w:ascii="FrankRuehl" w:hAnsi="FrankRuehl" w:cs="FrankRuehl"/>
          <w:rtl/>
        </w:rPr>
      </w:pPr>
    </w:p>
    <w:p w14:paraId="7EC7D357" w14:textId="77777777" w:rsidR="00D33A18" w:rsidRPr="00D33A18" w:rsidRDefault="00D33A18" w:rsidP="00D33A18">
      <w:pPr>
        <w:spacing w:before="120" w:after="120" w:line="240" w:lineRule="exact"/>
        <w:ind w:left="283" w:hanging="283"/>
        <w:jc w:val="both"/>
        <w:rPr>
          <w:rFonts w:ascii="FrankRuehl" w:hAnsi="FrankRuehl" w:cs="FrankRuehl"/>
          <w:rtl/>
        </w:rPr>
      </w:pPr>
      <w:r w:rsidRPr="00D33A18">
        <w:rPr>
          <w:rFonts w:ascii="FrankRuehl" w:hAnsi="FrankRuehl" w:cs="FrankRuehl"/>
          <w:rtl/>
        </w:rPr>
        <w:t xml:space="preserve">חקיקה שאוזכרה: </w:t>
      </w:r>
    </w:p>
    <w:p w14:paraId="5303B9E0" w14:textId="77777777" w:rsidR="00D33A18" w:rsidRPr="00D33A18" w:rsidRDefault="00D33A18" w:rsidP="00D33A18">
      <w:pPr>
        <w:spacing w:before="120" w:after="120" w:line="240" w:lineRule="exact"/>
        <w:ind w:left="283" w:hanging="283"/>
        <w:jc w:val="both"/>
        <w:rPr>
          <w:rFonts w:ascii="FrankRuehl" w:hAnsi="FrankRuehl" w:cs="FrankRuehl"/>
          <w:rtl/>
        </w:rPr>
      </w:pPr>
      <w:hyperlink r:id="rId7" w:history="1">
        <w:r w:rsidRPr="00D33A18">
          <w:rPr>
            <w:rFonts w:ascii="FrankRuehl" w:hAnsi="FrankRuehl" w:cs="FrankRuehl"/>
            <w:color w:val="0000FF"/>
            <w:rtl/>
          </w:rPr>
          <w:t>פקודת הסמים המסוכנים [נוסח חדש], תשל"ג-1973</w:t>
        </w:r>
      </w:hyperlink>
      <w:r w:rsidRPr="00D33A18">
        <w:rPr>
          <w:rFonts w:ascii="FrankRuehl" w:hAnsi="FrankRuehl" w:cs="FrankRuehl"/>
          <w:rtl/>
        </w:rPr>
        <w:t xml:space="preserve">: סע'  </w:t>
      </w:r>
      <w:hyperlink r:id="rId8" w:history="1">
        <w:r w:rsidRPr="00D33A18">
          <w:rPr>
            <w:rFonts w:ascii="FrankRuehl" w:hAnsi="FrankRuehl" w:cs="FrankRuehl"/>
            <w:color w:val="0000FF"/>
            <w:rtl/>
          </w:rPr>
          <w:t>13</w:t>
        </w:r>
      </w:hyperlink>
      <w:r w:rsidRPr="00D33A18">
        <w:rPr>
          <w:rFonts w:ascii="FrankRuehl" w:hAnsi="FrankRuehl" w:cs="FrankRuehl"/>
          <w:rtl/>
        </w:rPr>
        <w:t xml:space="preserve">, </w:t>
      </w:r>
      <w:hyperlink r:id="rId9" w:history="1">
        <w:r w:rsidRPr="00D33A18">
          <w:rPr>
            <w:rFonts w:ascii="FrankRuehl" w:hAnsi="FrankRuehl" w:cs="FrankRuehl"/>
            <w:color w:val="0000FF"/>
            <w:rtl/>
          </w:rPr>
          <w:t>19.א</w:t>
        </w:r>
      </w:hyperlink>
    </w:p>
    <w:p w14:paraId="50FE9739" w14:textId="77777777" w:rsidR="00D33A18" w:rsidRPr="00D33A18" w:rsidRDefault="00D33A18" w:rsidP="00D33A18">
      <w:pPr>
        <w:spacing w:before="120" w:after="120" w:line="240" w:lineRule="exact"/>
        <w:ind w:left="283" w:hanging="283"/>
        <w:jc w:val="both"/>
        <w:rPr>
          <w:rFonts w:ascii="FrankRuehl" w:hAnsi="FrankRuehl" w:cs="FrankRuehl"/>
          <w:rtl/>
        </w:rPr>
      </w:pPr>
      <w:hyperlink r:id="rId10" w:history="1">
        <w:r w:rsidRPr="00D33A18">
          <w:rPr>
            <w:rFonts w:ascii="FrankRuehl" w:hAnsi="FrankRuehl" w:cs="FrankRuehl"/>
            <w:color w:val="0000FF"/>
            <w:rtl/>
          </w:rPr>
          <w:t>חוק העונשין, תשל"ז-1977</w:t>
        </w:r>
      </w:hyperlink>
      <w:r w:rsidRPr="00D33A18">
        <w:rPr>
          <w:rFonts w:ascii="FrankRuehl" w:hAnsi="FrankRuehl" w:cs="FrankRuehl"/>
          <w:rtl/>
        </w:rPr>
        <w:t xml:space="preserve">: סע'  </w:t>
      </w:r>
      <w:hyperlink r:id="rId11" w:history="1">
        <w:r w:rsidRPr="00D33A18">
          <w:rPr>
            <w:rFonts w:ascii="FrankRuehl" w:hAnsi="FrankRuehl" w:cs="FrankRuehl"/>
            <w:color w:val="0000FF"/>
            <w:rtl/>
          </w:rPr>
          <w:t>40ד</w:t>
        </w:r>
      </w:hyperlink>
      <w:r w:rsidRPr="00D33A18">
        <w:rPr>
          <w:rFonts w:ascii="FrankRuehl" w:hAnsi="FrankRuehl" w:cs="FrankRuehl"/>
          <w:rtl/>
        </w:rPr>
        <w:t xml:space="preserve">, </w:t>
      </w:r>
      <w:hyperlink r:id="rId12" w:history="1">
        <w:r w:rsidRPr="00D33A18">
          <w:rPr>
            <w:rFonts w:ascii="FrankRuehl" w:hAnsi="FrankRuehl" w:cs="FrankRuehl"/>
            <w:color w:val="0000FF"/>
            <w:rtl/>
          </w:rPr>
          <w:t>384</w:t>
        </w:r>
      </w:hyperlink>
    </w:p>
    <w:p w14:paraId="51FC3F2C" w14:textId="77777777" w:rsidR="00D33A18" w:rsidRPr="00D33A18" w:rsidRDefault="00D33A18" w:rsidP="00D33A18">
      <w:pPr>
        <w:jc w:val="both"/>
        <w:rPr>
          <w:rtl/>
        </w:rPr>
      </w:pPr>
      <w:bookmarkStart w:id="4" w:name="LawTable_End"/>
      <w:bookmarkEnd w:id="4"/>
    </w:p>
    <w:p w14:paraId="5510502D" w14:textId="77777777" w:rsidR="00E31D20" w:rsidRPr="001F1E88" w:rsidRDefault="00E31D20" w:rsidP="001F1E88">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1D20" w14:paraId="43314F3A" w14:textId="77777777" w:rsidTr="00E31D20">
        <w:trPr>
          <w:trHeight w:val="355"/>
          <w:jc w:val="center"/>
        </w:trPr>
        <w:tc>
          <w:tcPr>
            <w:tcW w:w="8820" w:type="dxa"/>
            <w:tcBorders>
              <w:top w:val="nil"/>
              <w:left w:val="nil"/>
              <w:bottom w:val="nil"/>
              <w:right w:val="nil"/>
            </w:tcBorders>
            <w:shd w:val="clear" w:color="auto" w:fill="auto"/>
          </w:tcPr>
          <w:p w14:paraId="6DE0BC57" w14:textId="77777777" w:rsidR="00EF6D34" w:rsidRPr="00EF6D34" w:rsidRDefault="00EF6D34" w:rsidP="00EF6D34">
            <w:pPr>
              <w:jc w:val="center"/>
              <w:rPr>
                <w:rFonts w:ascii="Arial" w:hAnsi="Arial"/>
                <w:b/>
                <w:bCs/>
                <w:sz w:val="28"/>
                <w:szCs w:val="28"/>
                <w:u w:val="single"/>
                <w:rtl/>
              </w:rPr>
            </w:pPr>
            <w:bookmarkStart w:id="5" w:name="PsakDin" w:colFirst="0" w:colLast="0"/>
            <w:r w:rsidRPr="00EF6D34">
              <w:rPr>
                <w:rFonts w:ascii="Arial" w:hAnsi="Arial"/>
                <w:b/>
                <w:bCs/>
                <w:sz w:val="28"/>
                <w:szCs w:val="28"/>
                <w:u w:val="single"/>
                <w:rtl/>
              </w:rPr>
              <w:t>גזר דין</w:t>
            </w:r>
          </w:p>
          <w:p w14:paraId="61A64852" w14:textId="77777777" w:rsidR="00E31D20" w:rsidRPr="00EF6D34" w:rsidRDefault="00E31D20" w:rsidP="00EF6D34">
            <w:pPr>
              <w:jc w:val="center"/>
              <w:rPr>
                <w:rFonts w:ascii="Arial" w:hAnsi="Arial"/>
                <w:bCs/>
                <w:sz w:val="28"/>
                <w:szCs w:val="28"/>
                <w:u w:val="single"/>
                <w:rtl/>
              </w:rPr>
            </w:pPr>
          </w:p>
        </w:tc>
      </w:tr>
      <w:bookmarkEnd w:id="5"/>
    </w:tbl>
    <w:p w14:paraId="55B92AF4" w14:textId="77777777" w:rsidR="00E31D20" w:rsidRDefault="00E31D20" w:rsidP="00E31D20">
      <w:pPr>
        <w:pStyle w:val="a9"/>
        <w:spacing w:line="360" w:lineRule="auto"/>
        <w:ind w:left="0"/>
        <w:jc w:val="both"/>
        <w:rPr>
          <w:rFonts w:ascii="David" w:hAnsi="David"/>
          <w:b/>
          <w:bCs/>
          <w:u w:val="single"/>
        </w:rPr>
      </w:pPr>
    </w:p>
    <w:p w14:paraId="3BB1A609" w14:textId="77777777" w:rsidR="00E31D20" w:rsidRDefault="00E31D20" w:rsidP="00E31D20">
      <w:pPr>
        <w:pStyle w:val="a9"/>
        <w:numPr>
          <w:ilvl w:val="0"/>
          <w:numId w:val="2"/>
        </w:numPr>
        <w:spacing w:after="160" w:line="360" w:lineRule="auto"/>
        <w:ind w:left="0" w:hanging="482"/>
        <w:jc w:val="both"/>
        <w:rPr>
          <w:rFonts w:ascii="David" w:hAnsi="David"/>
        </w:rPr>
      </w:pPr>
      <w:bookmarkStart w:id="6" w:name="ABSTRACT_START"/>
      <w:bookmarkEnd w:id="6"/>
      <w:r w:rsidRPr="00622969">
        <w:rPr>
          <w:rFonts w:ascii="David" w:hAnsi="David"/>
          <w:rtl/>
        </w:rPr>
        <w:t xml:space="preserve">הנאשם </w:t>
      </w:r>
      <w:r w:rsidRPr="00622969">
        <w:rPr>
          <w:rFonts w:ascii="David" w:hAnsi="David" w:hint="cs"/>
          <w:rtl/>
        </w:rPr>
        <w:t>ה</w:t>
      </w:r>
      <w:r w:rsidRPr="00622969">
        <w:rPr>
          <w:rFonts w:ascii="David" w:hAnsi="David"/>
          <w:rtl/>
        </w:rPr>
        <w:t>ורשע על יסוד הודאתו בעובדות כתב האישום</w:t>
      </w:r>
      <w:r w:rsidRPr="00622969">
        <w:rPr>
          <w:rFonts w:ascii="David" w:hAnsi="David" w:hint="cs"/>
          <w:rtl/>
        </w:rPr>
        <w:t>,</w:t>
      </w:r>
      <w:r w:rsidRPr="00622969">
        <w:rPr>
          <w:rFonts w:ascii="David" w:hAnsi="David"/>
          <w:rtl/>
        </w:rPr>
        <w:t xml:space="preserve"> כמות שהוא</w:t>
      </w:r>
      <w:r w:rsidRPr="00622969">
        <w:rPr>
          <w:rFonts w:ascii="David" w:hAnsi="David" w:hint="cs"/>
          <w:rtl/>
        </w:rPr>
        <w:t xml:space="preserve">, </w:t>
      </w:r>
      <w:r w:rsidRPr="00622969">
        <w:rPr>
          <w:rFonts w:ascii="David" w:hAnsi="David"/>
          <w:rtl/>
        </w:rPr>
        <w:t xml:space="preserve">בעבירה של סחר בסם, לפי סעיף </w:t>
      </w:r>
      <w:hyperlink r:id="rId13" w:history="1">
        <w:r w:rsidR="004769F5" w:rsidRPr="004769F5">
          <w:rPr>
            <w:rStyle w:val="Hyperlink"/>
            <w:rFonts w:ascii="David" w:hAnsi="David"/>
            <w:rtl/>
          </w:rPr>
          <w:t>13 + 19א</w:t>
        </w:r>
      </w:hyperlink>
      <w:r w:rsidRPr="00622969">
        <w:rPr>
          <w:rFonts w:ascii="David" w:hAnsi="David"/>
          <w:rtl/>
        </w:rPr>
        <w:t xml:space="preserve"> ל</w:t>
      </w:r>
      <w:hyperlink r:id="rId14" w:history="1">
        <w:r w:rsidR="00EF6D34" w:rsidRPr="00EF6D34">
          <w:rPr>
            <w:rFonts w:ascii="David" w:hAnsi="David"/>
            <w:color w:val="0000FF"/>
            <w:u w:val="single"/>
            <w:rtl/>
          </w:rPr>
          <w:t>פקודת הסמים המסוכנים</w:t>
        </w:r>
      </w:hyperlink>
      <w:r w:rsidRPr="00622969">
        <w:rPr>
          <w:rFonts w:ascii="David" w:hAnsi="David"/>
          <w:rtl/>
        </w:rPr>
        <w:t xml:space="preserve"> [נוסח חדש], תשל"ג- 1973</w:t>
      </w:r>
      <w:r w:rsidRPr="00622969">
        <w:rPr>
          <w:rFonts w:ascii="David" w:hAnsi="David" w:hint="cs"/>
          <w:rtl/>
        </w:rPr>
        <w:t>.</w:t>
      </w:r>
      <w:r w:rsidRPr="00622969">
        <w:rPr>
          <w:rFonts w:ascii="David" w:hAnsi="David"/>
          <w:rtl/>
        </w:rPr>
        <w:t xml:space="preserve"> </w:t>
      </w:r>
    </w:p>
    <w:p w14:paraId="293B877B" w14:textId="77777777" w:rsidR="00E31D20" w:rsidRPr="00622969" w:rsidRDefault="00E31D20" w:rsidP="00E31D20">
      <w:pPr>
        <w:pStyle w:val="a9"/>
        <w:spacing w:after="160" w:line="360" w:lineRule="auto"/>
        <w:ind w:left="0"/>
        <w:jc w:val="both"/>
        <w:rPr>
          <w:rFonts w:ascii="David" w:hAnsi="David"/>
          <w:rtl/>
        </w:rPr>
      </w:pPr>
      <w:r w:rsidRPr="00622969">
        <w:rPr>
          <w:rFonts w:ascii="David" w:hAnsi="David"/>
          <w:rtl/>
        </w:rPr>
        <w:t>בנוסף, צירף הנאשם תיק נוסף</w:t>
      </w:r>
      <w:r w:rsidRPr="00622969">
        <w:rPr>
          <w:rFonts w:ascii="David" w:hAnsi="David" w:hint="cs"/>
          <w:rtl/>
        </w:rPr>
        <w:t xml:space="preserve">, </w:t>
      </w:r>
      <w:hyperlink r:id="rId15" w:history="1">
        <w:r w:rsidR="00EF6D34" w:rsidRPr="00EF6D34">
          <w:rPr>
            <w:rFonts w:ascii="David" w:hAnsi="David"/>
            <w:color w:val="0000FF"/>
            <w:u w:val="single"/>
            <w:rtl/>
          </w:rPr>
          <w:t>ת"פ 3499-05-19</w:t>
        </w:r>
      </w:hyperlink>
      <w:r w:rsidRPr="00622969">
        <w:rPr>
          <w:rFonts w:ascii="David" w:hAnsi="David" w:hint="cs"/>
          <w:rtl/>
        </w:rPr>
        <w:t>,</w:t>
      </w:r>
      <w:r w:rsidRPr="00622969">
        <w:rPr>
          <w:rFonts w:ascii="David" w:hAnsi="David"/>
          <w:rtl/>
        </w:rPr>
        <w:t xml:space="preserve"> בו הודה ב</w:t>
      </w:r>
      <w:r w:rsidRPr="00622969">
        <w:rPr>
          <w:rFonts w:ascii="David" w:hAnsi="David" w:hint="cs"/>
          <w:rtl/>
        </w:rPr>
        <w:t xml:space="preserve">עובדות </w:t>
      </w:r>
      <w:r w:rsidRPr="00622969">
        <w:rPr>
          <w:rFonts w:ascii="David" w:hAnsi="David"/>
          <w:rtl/>
        </w:rPr>
        <w:t>כתב האישום</w:t>
      </w:r>
      <w:r w:rsidRPr="00622969">
        <w:rPr>
          <w:rFonts w:ascii="David" w:hAnsi="David" w:hint="cs"/>
          <w:rtl/>
        </w:rPr>
        <w:t>,</w:t>
      </w:r>
      <w:r w:rsidRPr="00622969">
        <w:rPr>
          <w:rFonts w:ascii="David" w:hAnsi="David"/>
          <w:rtl/>
        </w:rPr>
        <w:t xml:space="preserve"> כמות שהוא</w:t>
      </w:r>
      <w:r w:rsidRPr="00622969">
        <w:rPr>
          <w:rFonts w:ascii="David" w:hAnsi="David" w:hint="cs"/>
          <w:rtl/>
        </w:rPr>
        <w:t>,</w:t>
      </w:r>
      <w:r w:rsidRPr="00622969">
        <w:rPr>
          <w:rFonts w:ascii="David" w:hAnsi="David"/>
          <w:rtl/>
        </w:rPr>
        <w:t xml:space="preserve"> והורשע בעבירה של גניבה, לפי </w:t>
      </w:r>
      <w:hyperlink r:id="rId16" w:history="1">
        <w:r w:rsidR="004769F5" w:rsidRPr="004769F5">
          <w:rPr>
            <w:rStyle w:val="Hyperlink"/>
            <w:rFonts w:ascii="David" w:hAnsi="David"/>
            <w:rtl/>
          </w:rPr>
          <w:t>סעיף 384</w:t>
        </w:r>
      </w:hyperlink>
      <w:r>
        <w:rPr>
          <w:rFonts w:ascii="David" w:hAnsi="David"/>
          <w:rtl/>
        </w:rPr>
        <w:t xml:space="preserve"> ל</w:t>
      </w:r>
      <w:hyperlink r:id="rId17" w:history="1">
        <w:r w:rsidR="00EF6D34" w:rsidRPr="00EF6D34">
          <w:rPr>
            <w:rFonts w:ascii="David" w:hAnsi="David"/>
            <w:color w:val="0000FF"/>
            <w:u w:val="single"/>
            <w:rtl/>
          </w:rPr>
          <w:t>חוק העונשין</w:t>
        </w:r>
      </w:hyperlink>
      <w:r>
        <w:rPr>
          <w:rFonts w:ascii="David" w:hAnsi="David"/>
          <w:rtl/>
        </w:rPr>
        <w:t>, תשל"ז- 1977</w:t>
      </w:r>
      <w:r>
        <w:rPr>
          <w:rFonts w:ascii="David" w:hAnsi="David" w:hint="cs"/>
          <w:rtl/>
        </w:rPr>
        <w:t>.</w:t>
      </w:r>
    </w:p>
    <w:p w14:paraId="6BC935D9" w14:textId="77777777" w:rsidR="00E31D20" w:rsidRPr="00622969" w:rsidRDefault="00E31D20" w:rsidP="00E31D20">
      <w:pPr>
        <w:pStyle w:val="a9"/>
        <w:spacing w:after="160" w:line="360" w:lineRule="auto"/>
        <w:ind w:left="0"/>
        <w:jc w:val="both"/>
        <w:rPr>
          <w:rFonts w:ascii="David" w:hAnsi="David"/>
        </w:rPr>
      </w:pPr>
    </w:p>
    <w:p w14:paraId="2123C091" w14:textId="77777777" w:rsidR="00E31D20" w:rsidRDefault="00E31D20" w:rsidP="00E31D20">
      <w:pPr>
        <w:pStyle w:val="a9"/>
        <w:numPr>
          <w:ilvl w:val="0"/>
          <w:numId w:val="2"/>
        </w:numPr>
        <w:spacing w:after="160" w:line="360" w:lineRule="auto"/>
        <w:ind w:left="0" w:hanging="482"/>
        <w:jc w:val="both"/>
        <w:rPr>
          <w:rFonts w:ascii="David" w:hAnsi="David"/>
          <w:b/>
          <w:bCs/>
          <w:u w:val="single"/>
        </w:rPr>
      </w:pPr>
      <w:bookmarkStart w:id="7" w:name="ABSTRACT_END"/>
      <w:bookmarkEnd w:id="7"/>
      <w:r>
        <w:rPr>
          <w:rFonts w:ascii="David" w:hAnsi="David"/>
          <w:rtl/>
        </w:rPr>
        <w:t xml:space="preserve">למקרא עובדות כתב האישום בתיק המוביל עולה כי בתאריך 07.06.20 </w:t>
      </w:r>
      <w:r>
        <w:rPr>
          <w:rFonts w:ascii="David" w:hAnsi="David" w:hint="cs"/>
          <w:rtl/>
        </w:rPr>
        <w:t xml:space="preserve">סחר הנאשם אל מול אחר בסם מסוג קנביס במשקל של 10.66 גרם בתמורה ל- 500 ₪, ברחוב סוקולוב בתל אביב. </w:t>
      </w:r>
    </w:p>
    <w:p w14:paraId="739F4287" w14:textId="77777777" w:rsidR="00E31D20" w:rsidRPr="009612AC" w:rsidRDefault="00E31D20" w:rsidP="00E31D20">
      <w:pPr>
        <w:pStyle w:val="a9"/>
        <w:spacing w:after="160" w:line="360" w:lineRule="auto"/>
        <w:ind w:left="0"/>
        <w:jc w:val="both"/>
        <w:rPr>
          <w:rFonts w:ascii="David" w:hAnsi="David"/>
          <w:b/>
          <w:bCs/>
          <w:u w:val="single"/>
        </w:rPr>
      </w:pPr>
    </w:p>
    <w:p w14:paraId="3FC83CAA" w14:textId="77777777" w:rsidR="00E31D20" w:rsidRDefault="00E31D20" w:rsidP="00E31D20">
      <w:pPr>
        <w:pStyle w:val="a9"/>
        <w:numPr>
          <w:ilvl w:val="0"/>
          <w:numId w:val="2"/>
        </w:numPr>
        <w:spacing w:after="160" w:line="360" w:lineRule="auto"/>
        <w:ind w:left="0" w:hanging="482"/>
        <w:jc w:val="both"/>
        <w:rPr>
          <w:rFonts w:ascii="David" w:hAnsi="David"/>
        </w:rPr>
      </w:pPr>
      <w:r w:rsidRPr="008C1100">
        <w:rPr>
          <w:rFonts w:ascii="David" w:hAnsi="David" w:hint="cs"/>
          <w:rtl/>
        </w:rPr>
        <w:t>למקרא עובדות כתב האישום בתיק ה</w:t>
      </w:r>
      <w:r>
        <w:rPr>
          <w:rFonts w:ascii="David" w:hAnsi="David" w:hint="cs"/>
          <w:rtl/>
        </w:rPr>
        <w:t>צירוף</w:t>
      </w:r>
      <w:r w:rsidRPr="008C1100">
        <w:rPr>
          <w:rFonts w:ascii="David" w:hAnsi="David" w:hint="cs"/>
          <w:rtl/>
        </w:rPr>
        <w:t xml:space="preserve"> עולה כי ביום 12.12.18 נסע הנאשם במונית, בה נהג המתלונן, ברחוב דרך בר לב בתל אביב. </w:t>
      </w:r>
    </w:p>
    <w:p w14:paraId="7FCC16E7" w14:textId="77777777" w:rsidR="00E31D20" w:rsidRDefault="00E31D20" w:rsidP="00E31D20">
      <w:pPr>
        <w:pStyle w:val="a9"/>
        <w:spacing w:after="160" w:line="360" w:lineRule="auto"/>
        <w:ind w:left="0"/>
        <w:jc w:val="both"/>
        <w:rPr>
          <w:rFonts w:ascii="David" w:hAnsi="David"/>
        </w:rPr>
      </w:pPr>
      <w:r w:rsidRPr="008C1100">
        <w:rPr>
          <w:rFonts w:ascii="David" w:hAnsi="David" w:hint="cs"/>
          <w:rtl/>
        </w:rPr>
        <w:t>הנאשם ביקש מהמתלונן לערוך שיחת טלפון מהמכשיר שבר</w:t>
      </w:r>
      <w:r>
        <w:rPr>
          <w:rFonts w:ascii="David" w:hAnsi="David" w:hint="cs"/>
          <w:rtl/>
        </w:rPr>
        <w:t>שותו, באמתלה כי הסוללה שבמכשירו</w:t>
      </w:r>
      <w:r w:rsidRPr="008C1100">
        <w:rPr>
          <w:rFonts w:ascii="David" w:hAnsi="David" w:hint="cs"/>
          <w:rtl/>
        </w:rPr>
        <w:t xml:space="preserve"> התרוקנה. המתלונן מסר לידיו של הנאשם את הטלפון הנייד אותו רכש מספר חודשי</w:t>
      </w:r>
      <w:r>
        <w:rPr>
          <w:rFonts w:ascii="David" w:hAnsi="David" w:hint="cs"/>
          <w:rtl/>
        </w:rPr>
        <w:t>ם</w:t>
      </w:r>
      <w:r w:rsidRPr="008C1100">
        <w:rPr>
          <w:rFonts w:ascii="David" w:hAnsi="David" w:hint="cs"/>
          <w:rtl/>
        </w:rPr>
        <w:t xml:space="preserve"> קודם לכן תמורת סך של 3439 ₪, הנאשם נטל את הטלפון הנייד ונמלט בריצה מהמונית, תוך כוונה לשלילת </w:t>
      </w:r>
      <w:r>
        <w:rPr>
          <w:rFonts w:ascii="David" w:hAnsi="David" w:hint="cs"/>
          <w:rtl/>
        </w:rPr>
        <w:t>קבע</w:t>
      </w:r>
      <w:r w:rsidRPr="008C1100">
        <w:rPr>
          <w:rFonts w:ascii="David" w:hAnsi="David" w:hint="cs"/>
          <w:rtl/>
        </w:rPr>
        <w:t>.</w:t>
      </w:r>
    </w:p>
    <w:p w14:paraId="53979141" w14:textId="77777777" w:rsidR="00E31D20" w:rsidRPr="008C1100" w:rsidRDefault="00E31D20" w:rsidP="00E31D20">
      <w:pPr>
        <w:pStyle w:val="a9"/>
        <w:rPr>
          <w:rFonts w:ascii="David" w:hAnsi="David"/>
          <w:rtl/>
        </w:rPr>
      </w:pPr>
    </w:p>
    <w:p w14:paraId="78AC55D5"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lastRenderedPageBreak/>
        <w:t>בין הצדדים לא נקשר הסדר עונשי והנאשם נשלח לקבלת תסקיר מאת שירות המבחן וחוו"ד הממונה על עבודות השירות.</w:t>
      </w:r>
    </w:p>
    <w:p w14:paraId="0665C9D0" w14:textId="77777777" w:rsidR="00E31D20" w:rsidRDefault="00E31D20" w:rsidP="00E31D20">
      <w:pPr>
        <w:pStyle w:val="a9"/>
        <w:spacing w:after="160" w:line="360" w:lineRule="auto"/>
        <w:ind w:left="0"/>
        <w:jc w:val="both"/>
        <w:rPr>
          <w:rFonts w:ascii="David" w:hAnsi="David"/>
        </w:rPr>
      </w:pPr>
    </w:p>
    <w:p w14:paraId="09FBE6BD" w14:textId="77777777" w:rsidR="00E31D20" w:rsidRDefault="00E31D20" w:rsidP="00E31D20">
      <w:pPr>
        <w:pStyle w:val="a9"/>
        <w:numPr>
          <w:ilvl w:val="0"/>
          <w:numId w:val="2"/>
        </w:numPr>
        <w:spacing w:after="160" w:line="360" w:lineRule="auto"/>
        <w:ind w:left="0" w:hanging="482"/>
        <w:jc w:val="both"/>
        <w:rPr>
          <w:rFonts w:ascii="David" w:hAnsi="David"/>
        </w:rPr>
      </w:pPr>
      <w:r w:rsidRPr="00D9150A">
        <w:rPr>
          <w:rFonts w:ascii="David" w:hAnsi="David" w:hint="cs"/>
          <w:b/>
          <w:bCs/>
          <w:rtl/>
        </w:rPr>
        <w:t>התובעת המלומדת</w:t>
      </w:r>
      <w:r>
        <w:rPr>
          <w:rFonts w:ascii="David" w:hAnsi="David" w:hint="cs"/>
          <w:rtl/>
        </w:rPr>
        <w:t xml:space="preserve"> עמדה על נסיבות ביצוע העבירות, הערכים המוגנים לצד הפגיעה בהם ועתרה לקביעת מתחם עונשי הולם  בתיק המוביל אשר לעסקת הסם הנע בין 5 חודשי מאסר ועד ל- 12 חודשי מאסר ואילו בתיק הגניבה עתרה לקביעת מתחם הנע בין מספר חודשים ועד ל- 10 חודשי מאסר. הפנה להזדמנויות שניתנו לנאשם להתייצב בפני הממונה וזה לא עשה כן. הפנתה לתסקירי שירות המבחן ולעברו הפלילי של הנאשם (ת/1) בין השנים 2015 </w:t>
      </w:r>
      <w:r>
        <w:rPr>
          <w:rFonts w:ascii="David" w:hAnsi="David"/>
          <w:rtl/>
        </w:rPr>
        <w:t>–</w:t>
      </w:r>
      <w:r>
        <w:rPr>
          <w:rFonts w:ascii="David" w:hAnsi="David" w:hint="cs"/>
          <w:rtl/>
        </w:rPr>
        <w:t xml:space="preserve"> 2022, בעבירות מגוונות מתחום הרכוש והאלימות. הפנתה להעדר היציבות המאפיינת את הנאשם ולעובדה כי הועזב מהטיפול בקהילת "רטורנו". התביעה ציינה כי ערה היא לפסק הדין שניתן כנגד הנאשם במסגרת הרשעתו האחרונה </w:t>
      </w:r>
      <w:r w:rsidRPr="00303F88">
        <w:rPr>
          <w:rFonts w:ascii="David" w:hAnsi="David" w:hint="cs"/>
          <w:b/>
          <w:bCs/>
          <w:rtl/>
        </w:rPr>
        <w:t>(ס/2)</w:t>
      </w:r>
      <w:r>
        <w:rPr>
          <w:rFonts w:ascii="David" w:hAnsi="David" w:hint="cs"/>
          <w:rtl/>
        </w:rPr>
        <w:t xml:space="preserve"> יחד עם זאת גם שם לא סטה בית המשפט מהעונש מטעמי שיקום. התביעה ציינה כי אין המדובר בהליך שיקומי המצדיק סטיי</w:t>
      </w:r>
      <w:r>
        <w:rPr>
          <w:rFonts w:ascii="David" w:hAnsi="David" w:hint="eastAsia"/>
          <w:rtl/>
        </w:rPr>
        <w:t>ה</w:t>
      </w:r>
      <w:r>
        <w:rPr>
          <w:rFonts w:ascii="David" w:hAnsi="David" w:hint="cs"/>
          <w:rtl/>
        </w:rPr>
        <w:t xml:space="preserve">  ממתחמי הענישה להם עתרה. ביקשה למקם את הנאשם במרכז כל מתחם לו עתרה ולהשית על הנאשם ענישה כוללת של שנת מאסר לריצוי בפועל.</w:t>
      </w:r>
    </w:p>
    <w:p w14:paraId="1FCFA0A7" w14:textId="77777777" w:rsidR="00E31D20" w:rsidRDefault="00E31D20" w:rsidP="00E31D20">
      <w:pPr>
        <w:pStyle w:val="a9"/>
        <w:spacing w:after="160" w:line="360" w:lineRule="auto"/>
        <w:ind w:left="0"/>
        <w:jc w:val="both"/>
        <w:rPr>
          <w:rFonts w:ascii="David" w:hAnsi="David"/>
        </w:rPr>
      </w:pPr>
    </w:p>
    <w:p w14:paraId="7B52DEC9" w14:textId="77777777" w:rsidR="00E31D20" w:rsidRDefault="00E31D20" w:rsidP="00E31D20">
      <w:pPr>
        <w:pStyle w:val="a9"/>
        <w:numPr>
          <w:ilvl w:val="0"/>
          <w:numId w:val="2"/>
        </w:numPr>
        <w:spacing w:after="160" w:line="360" w:lineRule="auto"/>
        <w:ind w:left="0" w:hanging="482"/>
        <w:jc w:val="both"/>
        <w:rPr>
          <w:rFonts w:ascii="David" w:hAnsi="David"/>
        </w:rPr>
      </w:pPr>
      <w:r w:rsidRPr="00C544F0">
        <w:rPr>
          <w:rFonts w:ascii="David" w:hAnsi="David" w:hint="cs"/>
          <w:b/>
          <w:bCs/>
          <w:rtl/>
        </w:rPr>
        <w:t>הסנגור המלומד</w:t>
      </w:r>
      <w:r>
        <w:rPr>
          <w:rFonts w:ascii="David" w:hAnsi="David" w:hint="cs"/>
          <w:rtl/>
        </w:rPr>
        <w:t xml:space="preserve"> עמד על נסיבותיו האישיות של הנאשם, גירושי הוריו כשהיה בגיל צעיר והתמכרות האב לסמים. פציעתו הקשה של אחיו הקטן של הנאשם והעובדה כי האח מרותק לכיסא גלגלים, טראומה שהובילה את הנאשם לפנות לשימוש בסם. ציין כי הנאשם החליט לעשות שינוי בחייו החל משנת 2019 ופנה למרכז לנפגעי סמים באשדוד (ס/1). הפנה לכך שבנו של הנאשם, כיום בן 5, מצוי על הרצף האוטיסטי. הפנה לכך כי הנאשם עבר גמילה פיזית מסמים ולאחר מכן הגיע לטיפול ביחידה להתמכרויות. העו"ס מתרשמת כי הנאשם ניחן במוטיבציה גבוהה לשמור על ניקיונ</w:t>
      </w:r>
      <w:r>
        <w:rPr>
          <w:rFonts w:ascii="David" w:hAnsi="David" w:hint="eastAsia"/>
          <w:rtl/>
        </w:rPr>
        <w:t>ו</w:t>
      </w:r>
      <w:r>
        <w:rPr>
          <w:rFonts w:ascii="David" w:hAnsi="David" w:hint="cs"/>
          <w:rtl/>
        </w:rPr>
        <w:t xml:space="preserve"> מסמים. הפנה לפסק דינו של כב' השופט אמיר דורון מבית המשפט השלום בבאר שבע (ס/2), ולעובדה שהפרקליטות הסכימה שם, נוכח ההליך השיקומי שעובר הנאשם, לחרוג מהמתחם. הסנגור ציין כי הופתע כי תיקנו לא צורף לבית המשפט השלום בבאר שבע. המדינה השלימה עם גזר הדין. עמד על מצבו הרפואי של הנאשם בהינתן שעשוי הוא לקבל בעת הקרובה היתר לשימוש בקנביס רפואי. הנאשם נוסע פעמיים בשבוע לבאר שבע להיפגש עם בנו הקטין ועד לאחרונה שהה בתנאים מגבילים במעצר בית לילי. הנאשם שוחרר ביום המעצר ומשכך לא שהה במעצר. הסנגור עתר לאמץ את המלצותיו של שירות המבחן ולהשית על הנאשם צו מבחן, שלמעשה המדובר בצו הארכה לתיק מבאר שבע,  לצד ענישה הצופה פני עתיד.</w:t>
      </w:r>
    </w:p>
    <w:p w14:paraId="3539C719" w14:textId="77777777" w:rsidR="00E31D20" w:rsidRPr="004470E1" w:rsidRDefault="00E31D20" w:rsidP="00E31D20">
      <w:pPr>
        <w:pStyle w:val="a9"/>
        <w:rPr>
          <w:rFonts w:ascii="David" w:hAnsi="David"/>
          <w:rtl/>
        </w:rPr>
      </w:pPr>
    </w:p>
    <w:p w14:paraId="0497CA26" w14:textId="77777777" w:rsidR="00E31D20" w:rsidRDefault="00E31D20" w:rsidP="00E31D20">
      <w:pPr>
        <w:pStyle w:val="a9"/>
        <w:numPr>
          <w:ilvl w:val="0"/>
          <w:numId w:val="2"/>
        </w:numPr>
        <w:spacing w:after="160" w:line="360" w:lineRule="auto"/>
        <w:ind w:left="0" w:hanging="482"/>
        <w:jc w:val="both"/>
        <w:rPr>
          <w:rFonts w:ascii="David" w:hAnsi="David"/>
        </w:rPr>
      </w:pPr>
      <w:r w:rsidRPr="004470E1">
        <w:rPr>
          <w:rFonts w:ascii="David" w:hAnsi="David" w:hint="cs"/>
          <w:b/>
          <w:bCs/>
          <w:rtl/>
        </w:rPr>
        <w:t>הנאשם בדברו האחרון</w:t>
      </w:r>
      <w:r>
        <w:rPr>
          <w:rFonts w:ascii="David" w:hAnsi="David" w:hint="cs"/>
          <w:rtl/>
        </w:rPr>
        <w:t xml:space="preserve"> עמד על הרקע לביצוע העבירות ושימוש שערך בסם, תרופות מרשם ובמדבקות. הנאשם עמד על מצבו כיום, בכך שהינו עובד עם אחיו בחנות "הסטוק", מוסר בדיקות שתן והולך לקבוצת ה- </w:t>
      </w:r>
      <w:r>
        <w:rPr>
          <w:rFonts w:ascii="David" w:hAnsi="David" w:hint="cs"/>
        </w:rPr>
        <w:t>NA</w:t>
      </w:r>
      <w:r>
        <w:rPr>
          <w:rFonts w:ascii="David" w:hAnsi="David" w:hint="cs"/>
          <w:rtl/>
        </w:rPr>
        <w:t>.</w:t>
      </w:r>
    </w:p>
    <w:p w14:paraId="4E32D2E5" w14:textId="77777777" w:rsidR="00E31D20" w:rsidRDefault="00E31D20" w:rsidP="00E31D20">
      <w:pPr>
        <w:pStyle w:val="a9"/>
        <w:spacing w:after="160" w:line="360" w:lineRule="auto"/>
        <w:ind w:left="0"/>
        <w:jc w:val="both"/>
        <w:rPr>
          <w:rFonts w:ascii="David" w:hAnsi="David"/>
          <w:b/>
          <w:bCs/>
          <w:u w:val="single"/>
          <w:rtl/>
        </w:rPr>
      </w:pPr>
    </w:p>
    <w:p w14:paraId="0ED172C9" w14:textId="77777777" w:rsidR="00E31D20" w:rsidRPr="00FE2F5B" w:rsidRDefault="00E31D20" w:rsidP="00E31D20">
      <w:pPr>
        <w:pStyle w:val="a9"/>
        <w:spacing w:after="160" w:line="360" w:lineRule="auto"/>
        <w:ind w:left="-482"/>
        <w:jc w:val="both"/>
        <w:rPr>
          <w:rFonts w:ascii="David" w:hAnsi="David"/>
        </w:rPr>
      </w:pPr>
      <w:r w:rsidRPr="00FE2F5B">
        <w:rPr>
          <w:rFonts w:ascii="David" w:hAnsi="David" w:hint="cs"/>
          <w:b/>
          <w:bCs/>
          <w:u w:val="single"/>
          <w:rtl/>
        </w:rPr>
        <w:t>דיון והכרעה</w:t>
      </w:r>
    </w:p>
    <w:p w14:paraId="142D4976" w14:textId="77777777" w:rsidR="00E31D20" w:rsidRPr="004470E1" w:rsidRDefault="00E31D20" w:rsidP="00E31D20">
      <w:pPr>
        <w:pStyle w:val="a9"/>
        <w:rPr>
          <w:rFonts w:ascii="David" w:hAnsi="David"/>
          <w:rtl/>
        </w:rPr>
      </w:pPr>
    </w:p>
    <w:p w14:paraId="2867EF70"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על פי תיקון 113 ל</w:t>
      </w:r>
      <w:hyperlink r:id="rId18" w:history="1">
        <w:r w:rsidR="00EF6D34" w:rsidRPr="00EF6D34">
          <w:rPr>
            <w:rFonts w:ascii="David" w:hAnsi="David"/>
            <w:color w:val="0000FF"/>
            <w:u w:val="single"/>
            <w:rtl/>
          </w:rPr>
          <w:t>חוק העונשין</w:t>
        </w:r>
      </w:hyperlink>
      <w:r>
        <w:rPr>
          <w:rFonts w:ascii="David" w:hAnsi="David" w:hint="cs"/>
          <w:rtl/>
        </w:rPr>
        <w:t>, העיקרון המנחה בענישה הוא עיקרון הלימה, אשר מכוון ליצירת יחס הולם בין חומרת מעשי העבירה בנסיבותיה ומידת אשמו של הנאשם ובין סוג ומידת העונש שיוטל עליו. על בית המשפט, בקביעת מתחם העונש ההולם, להתייחס לנסיבות ביצוע העבירה, הערך המוגן שבבסיס העבירה ומידת הפגיעה בו ובמדיניות הענישה הנוהגת.</w:t>
      </w:r>
    </w:p>
    <w:p w14:paraId="36595EAD" w14:textId="77777777" w:rsidR="00E31D20" w:rsidRDefault="00E31D20" w:rsidP="00E31D20">
      <w:pPr>
        <w:pStyle w:val="a9"/>
        <w:spacing w:after="160" w:line="360" w:lineRule="auto"/>
        <w:ind w:left="0"/>
        <w:jc w:val="both"/>
        <w:rPr>
          <w:rFonts w:ascii="David" w:hAnsi="David"/>
        </w:rPr>
      </w:pPr>
    </w:p>
    <w:p w14:paraId="1D91D529"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מעשיו של הנאשם מלמדים על חומרה. הנאשם סחר בסם הקנביס במשקל של 10.6 גרם אל מול אחר בתל אביב וקיבל תמורתם סך של 500 ₪, זאת ביום 7.6.20.</w:t>
      </w:r>
    </w:p>
    <w:p w14:paraId="7EAB5637" w14:textId="77777777" w:rsidR="00E31D20" w:rsidRPr="007F7B04" w:rsidRDefault="00E31D20" w:rsidP="00E31D20">
      <w:pPr>
        <w:pStyle w:val="a9"/>
        <w:rPr>
          <w:rFonts w:ascii="David" w:hAnsi="David"/>
          <w:rtl/>
        </w:rPr>
      </w:pPr>
    </w:p>
    <w:p w14:paraId="0E177165" w14:textId="77777777" w:rsidR="00E31D20" w:rsidRDefault="00E31D20" w:rsidP="00E31D20">
      <w:pPr>
        <w:pStyle w:val="a9"/>
        <w:spacing w:after="160" w:line="360" w:lineRule="auto"/>
        <w:ind w:left="0"/>
        <w:jc w:val="both"/>
        <w:rPr>
          <w:rFonts w:ascii="David" w:hAnsi="David"/>
          <w:rtl/>
        </w:rPr>
      </w:pPr>
      <w:r>
        <w:rPr>
          <w:rFonts w:ascii="David" w:hAnsi="David" w:hint="cs"/>
          <w:rtl/>
        </w:rPr>
        <w:t>בתיק הצירוף הנאשם גנב את מכשיר הטלפון של המתלונן, נהג מונית בה ישב הנאשם כנוסע, באמתלה כי במכשירו התרוקנה הסוללה, המתלונן פתח את ליבו והגיש לנאשם את מכשירו, או-אז הנאשם נטל את המכשיר ונמלט מהמונית. המדובר במעשה גניבה שלווה בתכנון והצגת אמתלה למתלונן. המדובר בגניבה בשווי של מעל ל- 3000 ₪.</w:t>
      </w:r>
    </w:p>
    <w:p w14:paraId="3465FB72" w14:textId="77777777" w:rsidR="00E31D20" w:rsidRDefault="00E31D20" w:rsidP="00E31D20">
      <w:pPr>
        <w:pStyle w:val="a9"/>
        <w:spacing w:after="160" w:line="360" w:lineRule="auto"/>
        <w:ind w:left="0"/>
        <w:jc w:val="both"/>
        <w:rPr>
          <w:rFonts w:ascii="David" w:hAnsi="David"/>
          <w:rtl/>
        </w:rPr>
      </w:pPr>
      <w:r>
        <w:rPr>
          <w:rFonts w:ascii="David" w:hAnsi="David" w:hint="cs"/>
          <w:rtl/>
        </w:rPr>
        <w:t>עם זאת, אין המדובר בביצוע עבירת רכוש בחבורה או שימוש באמצעים מיוחדים או חס ושלום שימוש באלימות או איומים.</w:t>
      </w:r>
    </w:p>
    <w:p w14:paraId="476C1064" w14:textId="77777777" w:rsidR="00E31D20" w:rsidRDefault="00E31D20" w:rsidP="00E31D20">
      <w:pPr>
        <w:pStyle w:val="a9"/>
        <w:spacing w:after="160" w:line="360" w:lineRule="auto"/>
        <w:ind w:left="0"/>
        <w:jc w:val="both"/>
        <w:rPr>
          <w:rFonts w:ascii="David" w:hAnsi="David"/>
          <w:rtl/>
        </w:rPr>
      </w:pPr>
    </w:p>
    <w:p w14:paraId="17BDAD37" w14:textId="77777777" w:rsidR="00E31D20" w:rsidRPr="007305C0" w:rsidRDefault="00E31D20" w:rsidP="00E31D20">
      <w:pPr>
        <w:pStyle w:val="a9"/>
        <w:spacing w:after="160" w:line="360" w:lineRule="auto"/>
        <w:ind w:left="0"/>
        <w:jc w:val="both"/>
        <w:rPr>
          <w:rFonts w:ascii="David" w:hAnsi="David"/>
          <w:b/>
          <w:bCs/>
        </w:rPr>
      </w:pPr>
      <w:r>
        <w:rPr>
          <w:rFonts w:ascii="David" w:hAnsi="David" w:hint="cs"/>
          <w:rtl/>
        </w:rPr>
        <w:t xml:space="preserve">על הקלות הבלתי נסבלת של ביצוע עבירות הרכוש, ראו והשוו </w:t>
      </w:r>
      <w:hyperlink r:id="rId19" w:history="1">
        <w:r w:rsidR="00EF6D34" w:rsidRPr="00EF6D34">
          <w:rPr>
            <w:rFonts w:ascii="David" w:hAnsi="David"/>
            <w:b/>
            <w:bCs/>
            <w:color w:val="0000FF"/>
            <w:u w:val="single"/>
            <w:rtl/>
          </w:rPr>
          <w:t>בש"פ 45/10</w:t>
        </w:r>
      </w:hyperlink>
      <w:r w:rsidRPr="007305C0">
        <w:rPr>
          <w:rFonts w:ascii="David" w:hAnsi="David" w:hint="cs"/>
          <w:b/>
          <w:bCs/>
          <w:rtl/>
        </w:rPr>
        <w:t xml:space="preserve"> פאדי מסארווה נ' מדינת ישראל (8.1.10) </w:t>
      </w:r>
      <w:r>
        <w:rPr>
          <w:rFonts w:ascii="David" w:hAnsi="David" w:hint="cs"/>
          <w:rtl/>
        </w:rPr>
        <w:t xml:space="preserve">וכן על היבטי החומרה שבגניבת טלפון נייד, בו מאוחסן מידע רב אודות האדם לצד פגיעה בפרטיות </w:t>
      </w:r>
      <w:r>
        <w:rPr>
          <w:rFonts w:ascii="David" w:hAnsi="David"/>
          <w:rtl/>
        </w:rPr>
        <w:t>–</w:t>
      </w:r>
      <w:r>
        <w:rPr>
          <w:rFonts w:ascii="David" w:hAnsi="David" w:hint="cs"/>
          <w:rtl/>
        </w:rPr>
        <w:t xml:space="preserve"> ראו בין היתר </w:t>
      </w:r>
      <w:hyperlink r:id="rId20" w:history="1">
        <w:r w:rsidR="00EF6D34" w:rsidRPr="00EF6D34">
          <w:rPr>
            <w:rFonts w:ascii="David" w:hAnsi="David"/>
            <w:b/>
            <w:bCs/>
            <w:color w:val="0000FF"/>
            <w:u w:val="single"/>
            <w:rtl/>
          </w:rPr>
          <w:t>ע"פ 8627/14</w:t>
        </w:r>
      </w:hyperlink>
      <w:r w:rsidRPr="007305C0">
        <w:rPr>
          <w:rFonts w:ascii="David" w:hAnsi="David" w:hint="cs"/>
          <w:b/>
          <w:bCs/>
          <w:rtl/>
        </w:rPr>
        <w:t xml:space="preserve"> דביר נ' מדינת ישרא</w:t>
      </w:r>
      <w:r>
        <w:rPr>
          <w:rFonts w:ascii="David" w:hAnsi="David" w:hint="cs"/>
          <w:b/>
          <w:bCs/>
          <w:rtl/>
        </w:rPr>
        <w:t>ל (14.7.15).</w:t>
      </w:r>
      <w:r w:rsidRPr="007305C0">
        <w:rPr>
          <w:rFonts w:ascii="David" w:hAnsi="David" w:hint="cs"/>
          <w:b/>
          <w:bCs/>
          <w:rtl/>
        </w:rPr>
        <w:t xml:space="preserve"> </w:t>
      </w:r>
    </w:p>
    <w:p w14:paraId="62AAC522" w14:textId="77777777" w:rsidR="00E31D20" w:rsidRPr="007F7B04" w:rsidRDefault="00E31D20" w:rsidP="00E31D20">
      <w:pPr>
        <w:pStyle w:val="a9"/>
        <w:rPr>
          <w:rFonts w:ascii="David" w:hAnsi="David"/>
          <w:rtl/>
        </w:rPr>
      </w:pPr>
    </w:p>
    <w:p w14:paraId="4C59A55C"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הערכים המוגנים הינו ערכי שמירת הקניין והרכוש אשר לתיק הצירוף, כאשר טלפון נייד בשווי ניכר נגנב מהמתלונן, תוך פגיעה באמון שנתן בנאשם, שבאמתלה ביקש לעשות שימוש במכשיר הטלפון, נטלו וברח מהמונית.</w:t>
      </w:r>
    </w:p>
    <w:p w14:paraId="26298580" w14:textId="77777777" w:rsidR="00E31D20" w:rsidRDefault="00E31D20" w:rsidP="00E31D20">
      <w:pPr>
        <w:pStyle w:val="a9"/>
        <w:spacing w:after="160" w:line="360" w:lineRule="auto"/>
        <w:ind w:left="0"/>
        <w:jc w:val="both"/>
        <w:rPr>
          <w:rFonts w:ascii="David" w:hAnsi="David"/>
        </w:rPr>
      </w:pPr>
    </w:p>
    <w:p w14:paraId="21F3597E" w14:textId="77777777" w:rsidR="00E31D20" w:rsidRPr="00F05678" w:rsidRDefault="00E31D20" w:rsidP="00E31D20">
      <w:pPr>
        <w:pStyle w:val="a9"/>
        <w:numPr>
          <w:ilvl w:val="0"/>
          <w:numId w:val="2"/>
        </w:numPr>
        <w:spacing w:after="160" w:line="360" w:lineRule="auto"/>
        <w:ind w:left="0" w:hanging="482"/>
        <w:jc w:val="both"/>
        <w:rPr>
          <w:rFonts w:ascii="David" w:hAnsi="David"/>
          <w:rtl/>
        </w:rPr>
      </w:pPr>
      <w:r w:rsidRPr="00F05678">
        <w:rPr>
          <w:rFonts w:ascii="David" w:hAnsi="David" w:hint="cs"/>
          <w:rtl/>
        </w:rPr>
        <w:t xml:space="preserve">לעניין </w:t>
      </w:r>
      <w:r>
        <w:rPr>
          <w:rFonts w:ascii="David" w:hAnsi="David" w:hint="cs"/>
          <w:rtl/>
        </w:rPr>
        <w:t xml:space="preserve">עבירת הסם, </w:t>
      </w:r>
      <w:r w:rsidRPr="00F05678">
        <w:rPr>
          <w:rFonts w:ascii="David" w:hAnsi="David"/>
          <w:rtl/>
        </w:rPr>
        <w:t>כידוע נזקי הסמים ופגיעתם בחברה, משתרעים על מרחבים ניכרים. נראה כי עבירות הס</w:t>
      </w:r>
      <w:r w:rsidRPr="00F05678">
        <w:rPr>
          <w:rFonts w:ascii="David" w:hAnsi="David" w:hint="cs"/>
          <w:rtl/>
        </w:rPr>
        <w:t>מי</w:t>
      </w:r>
      <w:r w:rsidRPr="00F05678">
        <w:rPr>
          <w:rFonts w:ascii="David" w:hAnsi="David"/>
          <w:rtl/>
        </w:rPr>
        <w:t>ם מכלות כל חלקה טובה בחברתנו.</w:t>
      </w:r>
    </w:p>
    <w:p w14:paraId="0FBCF006" w14:textId="77777777" w:rsidR="00E31D20" w:rsidRDefault="00E31D20" w:rsidP="00E31D20">
      <w:pPr>
        <w:spacing w:after="160" w:line="360" w:lineRule="auto"/>
        <w:contextualSpacing/>
        <w:jc w:val="both"/>
        <w:rPr>
          <w:rFonts w:ascii="David" w:hAnsi="David"/>
          <w:rtl/>
        </w:rPr>
      </w:pPr>
      <w:r>
        <w:rPr>
          <w:rFonts w:ascii="David" w:hAnsi="David"/>
          <w:rtl/>
        </w:rPr>
        <w:t xml:space="preserve">פגיעתם של הסמים בחברה רחב היקף, הן באשר למשתמש הבודד, משפחתו והמעגל קרוב והן באשר לחברה כולה לאור הפעילות הפלילית של הצרכן המבקש לספק את הדחף לסם ומבצע, לעיתים, על הדרך עבירות נוספות, בעיקר מתחם הרכוש. </w:t>
      </w:r>
    </w:p>
    <w:p w14:paraId="5E50C0F6" w14:textId="77777777" w:rsidR="00E31D20" w:rsidRDefault="00E31D20" w:rsidP="00E31D20">
      <w:pPr>
        <w:spacing w:after="160" w:line="360" w:lineRule="auto"/>
        <w:contextualSpacing/>
        <w:jc w:val="both"/>
        <w:rPr>
          <w:rFonts w:ascii="David" w:hAnsi="David"/>
          <w:rtl/>
        </w:rPr>
      </w:pPr>
      <w:r>
        <w:rPr>
          <w:rFonts w:ascii="David" w:hAnsi="David"/>
          <w:rtl/>
        </w:rPr>
        <w:t>בנוסף מעגלי הייצור והשיווק של הסם, מייצרים כשלעצמם פעילות עבריינית נרחבת.</w:t>
      </w:r>
    </w:p>
    <w:p w14:paraId="5B0792B4" w14:textId="77777777" w:rsidR="00E31D20" w:rsidRDefault="00E31D20" w:rsidP="00E31D20">
      <w:pPr>
        <w:spacing w:after="160" w:line="360" w:lineRule="auto"/>
        <w:contextualSpacing/>
        <w:jc w:val="both"/>
        <w:rPr>
          <w:rFonts w:ascii="David" w:hAnsi="David"/>
        </w:rPr>
      </w:pPr>
    </w:p>
    <w:p w14:paraId="4C93EE76" w14:textId="77777777" w:rsidR="00E31D20" w:rsidRDefault="00E31D20" w:rsidP="00E31D20">
      <w:pPr>
        <w:spacing w:after="160" w:line="360" w:lineRule="auto"/>
        <w:contextualSpacing/>
        <w:jc w:val="both"/>
        <w:rPr>
          <w:rFonts w:ascii="David" w:hAnsi="David"/>
          <w:rtl/>
        </w:rPr>
      </w:pPr>
      <w:r>
        <w:rPr>
          <w:rFonts w:ascii="David" w:hAnsi="David"/>
          <w:rtl/>
        </w:rPr>
        <w:t>הגם שמדובר בסחר בסם "קל", בעגה העממית, מושג שלא בא זכרו בפקודת הסמים, סם הוא סם (!) , אין להקל ראש בדברים. המדובר בפגיעה של ממש בערך החברתי ובפעילות אסורה ומזיקה ויש ליתן משקל להיקפה ולנזק הפוטנציאלי והקונקרטי.</w:t>
      </w:r>
    </w:p>
    <w:p w14:paraId="6230145C" w14:textId="77777777" w:rsidR="00E31D20" w:rsidRDefault="00E31D20" w:rsidP="00E31D20">
      <w:pPr>
        <w:spacing w:after="160" w:line="360" w:lineRule="auto"/>
        <w:ind w:left="720"/>
        <w:contextualSpacing/>
        <w:jc w:val="both"/>
        <w:rPr>
          <w:rFonts w:ascii="David" w:hAnsi="David"/>
        </w:rPr>
      </w:pPr>
    </w:p>
    <w:p w14:paraId="6989F20C" w14:textId="77777777" w:rsidR="00E31D20" w:rsidRDefault="00E31D20" w:rsidP="00E31D20">
      <w:pPr>
        <w:spacing w:after="160" w:line="360" w:lineRule="auto"/>
        <w:contextualSpacing/>
        <w:jc w:val="both"/>
        <w:rPr>
          <w:rFonts w:ascii="David" w:hAnsi="David"/>
          <w:rtl/>
        </w:rPr>
      </w:pPr>
      <w:r>
        <w:rPr>
          <w:rFonts w:ascii="David" w:hAnsi="David"/>
          <w:rtl/>
        </w:rPr>
        <w:t xml:space="preserve">בית המשפט המחוזי בתל אביב, שב וקבע כי בעבירות סחר בסמים מסוג דא, הענישה חייבת לכלול בתוכה רכיב של מאסר ולו בעבודות שירות, ראו בין היתר - </w:t>
      </w:r>
      <w:hyperlink r:id="rId21" w:history="1">
        <w:r w:rsidR="00EF6D34" w:rsidRPr="00EF6D34">
          <w:rPr>
            <w:rFonts w:ascii="David" w:hAnsi="David"/>
            <w:b/>
            <w:bCs/>
            <w:color w:val="0000FF"/>
            <w:u w:val="single"/>
            <w:rtl/>
          </w:rPr>
          <w:t>עפ"ג (תל-אביב) 13736-12-18</w:t>
        </w:r>
      </w:hyperlink>
      <w:r>
        <w:rPr>
          <w:rFonts w:ascii="David" w:hAnsi="David"/>
          <w:b/>
          <w:bCs/>
          <w:rtl/>
        </w:rPr>
        <w:t xml:space="preserve"> מדינת ישראל נ' תומר אשכנזי </w:t>
      </w:r>
      <w:r>
        <w:rPr>
          <w:rFonts w:ascii="David" w:hAnsi="David"/>
          <w:rtl/>
        </w:rPr>
        <w:t>(25.3.19).</w:t>
      </w:r>
    </w:p>
    <w:p w14:paraId="6C17B463" w14:textId="77777777" w:rsidR="00E31D20" w:rsidRPr="00380D22" w:rsidRDefault="00E31D20" w:rsidP="00E31D20"/>
    <w:p w14:paraId="647027BC" w14:textId="77777777" w:rsidR="00E31D20" w:rsidRDefault="00E31D20" w:rsidP="00E31D20">
      <w:pPr>
        <w:pStyle w:val="a9"/>
        <w:numPr>
          <w:ilvl w:val="0"/>
          <w:numId w:val="2"/>
        </w:numPr>
        <w:spacing w:after="160" w:line="360" w:lineRule="auto"/>
        <w:ind w:left="0" w:hanging="482"/>
        <w:jc w:val="both"/>
        <w:rPr>
          <w:rFonts w:ascii="David" w:hAnsi="David"/>
        </w:rPr>
      </w:pPr>
      <w:r w:rsidRPr="00F05678">
        <w:rPr>
          <w:rFonts w:ascii="David" w:hAnsi="David" w:hint="cs"/>
          <w:rtl/>
        </w:rPr>
        <w:t xml:space="preserve">המדובר בשני אירועים נפרדים, בזמנים אחרים לצד ערכים מוגנים שונים ומכאן מצאתי לקבוע מתחם עונשי נפרד לכל מעשה. </w:t>
      </w:r>
    </w:p>
    <w:p w14:paraId="3DB1352F" w14:textId="77777777" w:rsidR="00E31D20" w:rsidRPr="00AA6E95" w:rsidRDefault="00E31D20" w:rsidP="00E31D20">
      <w:pPr>
        <w:pStyle w:val="a9"/>
        <w:spacing w:after="160" w:line="360" w:lineRule="auto"/>
        <w:ind w:left="0"/>
        <w:jc w:val="both"/>
        <w:rPr>
          <w:rFonts w:ascii="David" w:hAnsi="David"/>
          <w:b/>
          <w:bCs/>
          <w:rtl/>
        </w:rPr>
      </w:pPr>
      <w:r>
        <w:rPr>
          <w:rFonts w:ascii="David" w:hAnsi="David" w:hint="cs"/>
          <w:rtl/>
        </w:rPr>
        <w:t xml:space="preserve">לאחר ששמעתי ברוב קשב טיעוני הצדדים, עמדתי על נסיבות ביצוע עבירת הסחר בתיק המוביל, הערכים המוגנים לצד הפגיעה בהם ובשים לב למדיניות הענישה הנוהגת, </w:t>
      </w:r>
      <w:r w:rsidRPr="00AA6E95">
        <w:rPr>
          <w:rFonts w:ascii="David" w:hAnsi="David" w:hint="cs"/>
          <w:b/>
          <w:bCs/>
          <w:rtl/>
        </w:rPr>
        <w:t>מצאתי לקבוע מתחם עונשי הנע ממאסר ולו קצר שיכול וירוצה בדרך של עבודות שירות ועד ל- 12 חודשי מאסר לריצוי בפועל לצד ענישה נלווית.</w:t>
      </w:r>
    </w:p>
    <w:p w14:paraId="52521667" w14:textId="77777777" w:rsidR="00E31D20" w:rsidRDefault="00E31D20" w:rsidP="00E31D20">
      <w:pPr>
        <w:pStyle w:val="a9"/>
        <w:spacing w:after="160" w:line="360" w:lineRule="auto"/>
        <w:ind w:left="0"/>
        <w:jc w:val="both"/>
        <w:rPr>
          <w:rFonts w:ascii="David" w:hAnsi="David"/>
          <w:rtl/>
        </w:rPr>
      </w:pPr>
    </w:p>
    <w:p w14:paraId="32324E74" w14:textId="77777777" w:rsidR="00E31D20" w:rsidRDefault="00E31D20" w:rsidP="00E31D20">
      <w:pPr>
        <w:pStyle w:val="a9"/>
        <w:spacing w:after="160" w:line="360" w:lineRule="auto"/>
        <w:ind w:left="0"/>
        <w:jc w:val="both"/>
        <w:rPr>
          <w:rFonts w:ascii="David" w:hAnsi="David"/>
          <w:b/>
          <w:bCs/>
          <w:rtl/>
        </w:rPr>
      </w:pPr>
      <w:r>
        <w:rPr>
          <w:rFonts w:ascii="David" w:hAnsi="David" w:hint="cs"/>
          <w:rtl/>
        </w:rPr>
        <w:t xml:space="preserve">ראו בין היתר: </w:t>
      </w:r>
      <w:hyperlink r:id="rId22" w:history="1">
        <w:r w:rsidR="00EF6D34" w:rsidRPr="00EF6D34">
          <w:rPr>
            <w:rFonts w:ascii="David" w:hAnsi="David"/>
            <w:b/>
            <w:bCs/>
            <w:color w:val="0000FF"/>
            <w:u w:val="single"/>
            <w:rtl/>
          </w:rPr>
          <w:t>רע"פ 957/22</w:t>
        </w:r>
      </w:hyperlink>
      <w:r w:rsidRPr="00AA6E95">
        <w:rPr>
          <w:rFonts w:ascii="David" w:hAnsi="David" w:hint="cs"/>
          <w:b/>
          <w:bCs/>
          <w:rtl/>
        </w:rPr>
        <w:t xml:space="preserve"> חבושה נ' מדינת ישראל (8.2.22); </w:t>
      </w:r>
      <w:hyperlink r:id="rId23" w:history="1">
        <w:r w:rsidR="00EF6D34" w:rsidRPr="00EF6D34">
          <w:rPr>
            <w:rFonts w:ascii="David" w:hAnsi="David"/>
            <w:b/>
            <w:bCs/>
            <w:color w:val="0000FF"/>
            <w:u w:val="single"/>
            <w:rtl/>
          </w:rPr>
          <w:t>רע"פ 4687/15</w:t>
        </w:r>
      </w:hyperlink>
      <w:r w:rsidRPr="00AA6E95">
        <w:rPr>
          <w:rFonts w:ascii="David" w:hAnsi="David" w:hint="cs"/>
          <w:b/>
          <w:bCs/>
          <w:rtl/>
        </w:rPr>
        <w:t xml:space="preserve"> אייל פלג נ' מדינת ישראל (13.8.15);</w:t>
      </w:r>
      <w:hyperlink r:id="rId24" w:history="1">
        <w:r w:rsidR="00EF6D34" w:rsidRPr="00EF6D34">
          <w:rPr>
            <w:rFonts w:ascii="David" w:hAnsi="David"/>
            <w:b/>
            <w:bCs/>
            <w:color w:val="0000FF"/>
            <w:u w:val="single"/>
            <w:rtl/>
          </w:rPr>
          <w:t>רע"פ 5712/16</w:t>
        </w:r>
      </w:hyperlink>
      <w:r w:rsidRPr="00AA6E95">
        <w:rPr>
          <w:rFonts w:ascii="David" w:hAnsi="David" w:hint="cs"/>
          <w:b/>
          <w:bCs/>
          <w:rtl/>
        </w:rPr>
        <w:t xml:space="preserve"> אייזנבאך נ' מדינת ישראל (17.8.16); </w:t>
      </w:r>
      <w:hyperlink r:id="rId25" w:history="1">
        <w:r w:rsidR="00EF6D34" w:rsidRPr="00EF6D34">
          <w:rPr>
            <w:rFonts w:ascii="David" w:hAnsi="David"/>
            <w:b/>
            <w:bCs/>
            <w:color w:val="0000FF"/>
            <w:u w:val="single"/>
            <w:rtl/>
          </w:rPr>
          <w:t>עפ"ג (תל אביב)</w:t>
        </w:r>
        <w:r w:rsidR="00EF6D34" w:rsidRPr="00EF6D34">
          <w:rPr>
            <w:rFonts w:ascii="David" w:hAnsi="David"/>
            <w:b/>
            <w:bCs/>
            <w:color w:val="0000FF"/>
            <w:u w:val="single"/>
            <w:rtl/>
          </w:rPr>
          <w:cr/>
          <w:t>13736-12-18</w:t>
        </w:r>
      </w:hyperlink>
      <w:r w:rsidRPr="00AA6E95">
        <w:rPr>
          <w:rFonts w:ascii="David" w:hAnsi="David" w:hint="cs"/>
          <w:b/>
          <w:bCs/>
          <w:rtl/>
        </w:rPr>
        <w:t xml:space="preserve"> מדינת ישראל נ' אשכנזי (25.3.19); </w:t>
      </w:r>
      <w:hyperlink r:id="rId26" w:history="1">
        <w:r w:rsidR="00EF6D34" w:rsidRPr="00EF6D34">
          <w:rPr>
            <w:rFonts w:ascii="David" w:hAnsi="David"/>
            <w:b/>
            <w:bCs/>
            <w:color w:val="0000FF"/>
            <w:u w:val="single"/>
            <w:rtl/>
          </w:rPr>
          <w:t>עפ"ג (תל אביב) 28791-06-20</w:t>
        </w:r>
      </w:hyperlink>
      <w:r w:rsidRPr="00AA6E95">
        <w:rPr>
          <w:rFonts w:ascii="David" w:hAnsi="David" w:hint="cs"/>
          <w:b/>
          <w:bCs/>
          <w:rtl/>
        </w:rPr>
        <w:t xml:space="preserve"> מושייב נ' מדינת ישראל (30.7.20).</w:t>
      </w:r>
    </w:p>
    <w:p w14:paraId="4EF8743C" w14:textId="77777777" w:rsidR="00E31D20" w:rsidRPr="00AA6E95" w:rsidRDefault="00E31D20" w:rsidP="00E31D20">
      <w:pPr>
        <w:pStyle w:val="a9"/>
        <w:spacing w:after="160" w:line="360" w:lineRule="auto"/>
        <w:ind w:left="0"/>
        <w:jc w:val="both"/>
        <w:rPr>
          <w:rFonts w:ascii="David" w:hAnsi="David"/>
          <w:b/>
          <w:bCs/>
        </w:rPr>
      </w:pPr>
    </w:p>
    <w:p w14:paraId="2C8FEF33" w14:textId="77777777" w:rsidR="00E31D20" w:rsidRPr="00AA6E95" w:rsidRDefault="00E31D20" w:rsidP="00E31D20">
      <w:pPr>
        <w:pStyle w:val="a9"/>
        <w:numPr>
          <w:ilvl w:val="0"/>
          <w:numId w:val="2"/>
        </w:numPr>
        <w:spacing w:after="160" w:line="360" w:lineRule="auto"/>
        <w:ind w:left="0" w:hanging="482"/>
        <w:jc w:val="both"/>
        <w:rPr>
          <w:rFonts w:ascii="David" w:hAnsi="David"/>
          <w:b/>
          <w:bCs/>
        </w:rPr>
      </w:pPr>
      <w:r>
        <w:rPr>
          <w:rFonts w:ascii="David" w:hAnsi="David" w:hint="cs"/>
          <w:rtl/>
        </w:rPr>
        <w:t xml:space="preserve">לאחר שממעתי ברוב קשב טיעוני הצדדים בתיק הגניבה, עמדתי על הנסיבות, הערכים המוגנים לצד הפגיעה בהם ובשים לב למדיניות הענישה הנוהגת, </w:t>
      </w:r>
      <w:r w:rsidRPr="00AA6E95">
        <w:rPr>
          <w:rFonts w:ascii="David" w:hAnsi="David" w:hint="cs"/>
          <w:b/>
          <w:bCs/>
          <w:rtl/>
        </w:rPr>
        <w:t>מצאתי לקבוע מתחם עונשי הנע בין מאסר על תנאי ועד ל- 8 חודשי מאסר.</w:t>
      </w:r>
    </w:p>
    <w:p w14:paraId="28D8435B" w14:textId="77777777" w:rsidR="00E31D20" w:rsidRDefault="00E31D20" w:rsidP="00E31D20">
      <w:pPr>
        <w:pStyle w:val="a9"/>
        <w:spacing w:after="160" w:line="360" w:lineRule="auto"/>
        <w:ind w:left="0"/>
        <w:jc w:val="both"/>
        <w:rPr>
          <w:rFonts w:ascii="David" w:hAnsi="David"/>
          <w:rtl/>
        </w:rPr>
      </w:pPr>
    </w:p>
    <w:p w14:paraId="0B9CCD02" w14:textId="77777777" w:rsidR="00E31D20" w:rsidRDefault="00E31D20" w:rsidP="00E31D20">
      <w:pPr>
        <w:pStyle w:val="a9"/>
        <w:spacing w:after="160" w:line="360" w:lineRule="auto"/>
        <w:ind w:left="0"/>
        <w:jc w:val="both"/>
        <w:rPr>
          <w:rFonts w:ascii="David" w:hAnsi="David"/>
          <w:b/>
          <w:bCs/>
          <w:rtl/>
        </w:rPr>
      </w:pPr>
      <w:r>
        <w:rPr>
          <w:rFonts w:ascii="David" w:hAnsi="David" w:hint="cs"/>
          <w:rtl/>
        </w:rPr>
        <w:t xml:space="preserve">ראו בין היתר: </w:t>
      </w:r>
      <w:hyperlink r:id="rId27" w:history="1">
        <w:r w:rsidR="00EF6D34" w:rsidRPr="00EF6D34">
          <w:rPr>
            <w:rFonts w:ascii="David" w:hAnsi="David"/>
            <w:b/>
            <w:bCs/>
            <w:color w:val="0000FF"/>
            <w:u w:val="single"/>
            <w:rtl/>
          </w:rPr>
          <w:t>רע"פ 7869/19</w:t>
        </w:r>
      </w:hyperlink>
      <w:r w:rsidRPr="00672F9F">
        <w:rPr>
          <w:rFonts w:ascii="David" w:hAnsi="David" w:hint="cs"/>
          <w:b/>
          <w:bCs/>
          <w:rtl/>
        </w:rPr>
        <w:t xml:space="preserve"> נאטי נ' מדינת ישראל (23.12.19); </w:t>
      </w:r>
      <w:hyperlink r:id="rId28" w:history="1">
        <w:r w:rsidR="00EF6D34" w:rsidRPr="00EF6D34">
          <w:rPr>
            <w:rFonts w:ascii="David" w:hAnsi="David"/>
            <w:b/>
            <w:bCs/>
            <w:color w:val="0000FF"/>
            <w:u w:val="single"/>
            <w:rtl/>
          </w:rPr>
          <w:t>עפ"ג (מרכז) 48487-12-15</w:t>
        </w:r>
      </w:hyperlink>
      <w:r w:rsidRPr="00672F9F">
        <w:rPr>
          <w:rFonts w:ascii="David" w:hAnsi="David" w:hint="cs"/>
          <w:b/>
          <w:bCs/>
          <w:rtl/>
        </w:rPr>
        <w:t xml:space="preserve"> אסף נ' מדינת ישראל (14.2.16); </w:t>
      </w:r>
      <w:hyperlink r:id="rId29" w:history="1">
        <w:r w:rsidR="00EF6D34" w:rsidRPr="00EF6D34">
          <w:rPr>
            <w:rFonts w:ascii="David" w:hAnsi="David"/>
            <w:b/>
            <w:bCs/>
            <w:color w:val="0000FF"/>
            <w:u w:val="single"/>
            <w:rtl/>
          </w:rPr>
          <w:t>ת"פ 35991-06-13</w:t>
        </w:r>
      </w:hyperlink>
      <w:r w:rsidRPr="00672F9F">
        <w:rPr>
          <w:rFonts w:ascii="David" w:hAnsi="David" w:hint="cs"/>
          <w:b/>
          <w:bCs/>
          <w:rtl/>
        </w:rPr>
        <w:t xml:space="preserve"> מדינת ישראל נ' זבניה (27.11.14);</w:t>
      </w:r>
    </w:p>
    <w:p w14:paraId="19717C21" w14:textId="77777777" w:rsidR="00E31D20" w:rsidRDefault="00EF6D34" w:rsidP="00E31D20">
      <w:pPr>
        <w:pStyle w:val="a9"/>
        <w:spacing w:after="160" w:line="360" w:lineRule="auto"/>
        <w:ind w:left="0"/>
        <w:jc w:val="both"/>
        <w:rPr>
          <w:rFonts w:ascii="David" w:hAnsi="David"/>
          <w:b/>
          <w:bCs/>
          <w:rtl/>
        </w:rPr>
      </w:pPr>
      <w:hyperlink r:id="rId30" w:history="1">
        <w:r w:rsidRPr="00EF6D34">
          <w:rPr>
            <w:rFonts w:ascii="David" w:hAnsi="David"/>
            <w:b/>
            <w:bCs/>
            <w:color w:val="0000FF"/>
            <w:u w:val="single"/>
            <w:rtl/>
          </w:rPr>
          <w:t>ת"פ 3976-01-16</w:t>
        </w:r>
      </w:hyperlink>
      <w:r w:rsidR="00E31D20" w:rsidRPr="00672F9F">
        <w:rPr>
          <w:rFonts w:ascii="David" w:hAnsi="David" w:hint="cs"/>
          <w:b/>
          <w:bCs/>
          <w:rtl/>
        </w:rPr>
        <w:t xml:space="preserve"> מדינת ישראל נ' עטיאס (9.7.18). </w:t>
      </w:r>
      <w:hyperlink r:id="rId31" w:history="1">
        <w:r w:rsidRPr="00EF6D34">
          <w:rPr>
            <w:rFonts w:ascii="David" w:hAnsi="David"/>
            <w:b/>
            <w:bCs/>
            <w:color w:val="0000FF"/>
            <w:u w:val="single"/>
            <w:rtl/>
          </w:rPr>
          <w:t>ת"פ 24407-02-17</w:t>
        </w:r>
      </w:hyperlink>
      <w:r w:rsidR="00E31D20" w:rsidRPr="00672F9F">
        <w:rPr>
          <w:rFonts w:ascii="David" w:hAnsi="David" w:hint="cs"/>
          <w:b/>
          <w:bCs/>
          <w:rtl/>
        </w:rPr>
        <w:t xml:space="preserve"> מדינת ישראל נ' דוקרקר (5.7.18).</w:t>
      </w:r>
    </w:p>
    <w:p w14:paraId="31B3AC85" w14:textId="77777777" w:rsidR="00E31D20" w:rsidRPr="00672F9F" w:rsidRDefault="00E31D20" w:rsidP="00E31D20">
      <w:pPr>
        <w:pStyle w:val="a9"/>
        <w:spacing w:after="160" w:line="360" w:lineRule="auto"/>
        <w:ind w:left="0"/>
        <w:jc w:val="both"/>
        <w:rPr>
          <w:rFonts w:ascii="David" w:hAnsi="David"/>
          <w:b/>
          <w:bCs/>
          <w:rtl/>
        </w:rPr>
      </w:pPr>
    </w:p>
    <w:p w14:paraId="54EE3C70" w14:textId="77777777" w:rsidR="00E31D20" w:rsidRPr="00672F9F" w:rsidRDefault="00E31D20" w:rsidP="00E31D20">
      <w:pPr>
        <w:pStyle w:val="a9"/>
        <w:spacing w:after="160" w:line="360" w:lineRule="auto"/>
        <w:ind w:left="-482"/>
        <w:jc w:val="both"/>
        <w:rPr>
          <w:rFonts w:ascii="David" w:hAnsi="David"/>
          <w:b/>
          <w:bCs/>
          <w:u w:val="single"/>
        </w:rPr>
      </w:pPr>
      <w:r w:rsidRPr="00672F9F">
        <w:rPr>
          <w:rFonts w:ascii="David" w:hAnsi="David" w:hint="cs"/>
          <w:b/>
          <w:bCs/>
          <w:u w:val="single"/>
          <w:rtl/>
        </w:rPr>
        <w:t>מיקומו של הנאשם בתחום המתחמים</w:t>
      </w:r>
    </w:p>
    <w:p w14:paraId="52917186"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 xml:space="preserve">הנאשם בן 32, גרוש ואב לקטין כבן 5, אשר נמצא על הרצף האוטיסטי. </w:t>
      </w:r>
    </w:p>
    <w:p w14:paraId="30BCFD8B" w14:textId="77777777" w:rsidR="00E31D20" w:rsidRDefault="00E31D20" w:rsidP="00E31D20">
      <w:pPr>
        <w:pStyle w:val="a9"/>
        <w:spacing w:after="160" w:line="360" w:lineRule="auto"/>
        <w:ind w:left="0"/>
        <w:jc w:val="both"/>
        <w:rPr>
          <w:rFonts w:ascii="David" w:hAnsi="David"/>
        </w:rPr>
      </w:pPr>
      <w:r>
        <w:rPr>
          <w:rFonts w:ascii="David" w:hAnsi="David" w:hint="cs"/>
          <w:rtl/>
        </w:rPr>
        <w:t>הודה בפתח משפטו, נטל אחריות, חסך בזמן שיפוטי ניכר ובזמנה של התביעה הכללית כמו גם בזמנם של עדי התביעה, תוך שצירף תיק נוסף.</w:t>
      </w:r>
    </w:p>
    <w:p w14:paraId="5D578B7F" w14:textId="77777777" w:rsidR="00E31D20" w:rsidRDefault="00E31D20" w:rsidP="00E31D20">
      <w:pPr>
        <w:pStyle w:val="a9"/>
        <w:spacing w:after="160" w:line="360" w:lineRule="auto"/>
        <w:ind w:left="0"/>
        <w:jc w:val="both"/>
        <w:rPr>
          <w:rFonts w:ascii="David" w:hAnsi="David"/>
          <w:rtl/>
        </w:rPr>
      </w:pPr>
      <w:r>
        <w:rPr>
          <w:rFonts w:ascii="David" w:hAnsi="David" w:hint="cs"/>
          <w:rtl/>
        </w:rPr>
        <w:t>הנאשם שהה בתנאים מגבילים תקופה ניכרת, ללא הפרות.</w:t>
      </w:r>
    </w:p>
    <w:p w14:paraId="028F645A" w14:textId="77777777" w:rsidR="00E31D20" w:rsidRDefault="00E31D20" w:rsidP="00E31D20">
      <w:pPr>
        <w:pStyle w:val="a9"/>
        <w:spacing w:after="160" w:line="360" w:lineRule="auto"/>
        <w:ind w:left="0"/>
        <w:jc w:val="both"/>
        <w:rPr>
          <w:rFonts w:ascii="David" w:hAnsi="David"/>
        </w:rPr>
      </w:pPr>
    </w:p>
    <w:p w14:paraId="520982AC"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לנאשם עבר פלילי (ת/1) הכולל הרשעות מתחום האלימות והרכוש (2022-2015), בינואר האחרון נדון במסגרת הרשעתו האחרונה למאסר על תנאי לצד צו מבחן, בגין עבירות מתחום המרמה (ס/2).</w:t>
      </w:r>
    </w:p>
    <w:p w14:paraId="51E6E03F" w14:textId="77777777" w:rsidR="00E31D20" w:rsidRDefault="00E31D20" w:rsidP="00E31D20">
      <w:pPr>
        <w:pStyle w:val="a9"/>
        <w:spacing w:after="160" w:line="360" w:lineRule="auto"/>
        <w:ind w:left="0"/>
        <w:jc w:val="both"/>
        <w:rPr>
          <w:rFonts w:ascii="David" w:hAnsi="David"/>
        </w:rPr>
      </w:pPr>
    </w:p>
    <w:p w14:paraId="2135A09D"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לתיק הוגשו שני תסקירים מאת שירות המבחן הסוקרים את נסיבותיו האישיות של הנאשם. הנאשם הינו השני בסדר הלידה במשפחת מוצאו מבין 4 אחים. אמו של הנאשם נכה החולה בטרשת נפוצה וסובלת מתחלואים נוספים. הוריו התגרשו עת היה פעוט ואביו התמכר לסמים, כאשר הקשר בין הנאשם לאביו לאורך השנים מורכב. אחיו של הנאשם ספג כוויות לאחר תאונה בה התפוצץ בלון על גופו ונותר נכה בכיסא גלגלים. הנאשם לא גויס לצה"ל לאור מעורבות</w:t>
      </w:r>
      <w:r>
        <w:rPr>
          <w:rFonts w:ascii="David" w:hAnsi="David" w:hint="eastAsia"/>
          <w:rtl/>
        </w:rPr>
        <w:t>ו</w:t>
      </w:r>
      <w:r>
        <w:rPr>
          <w:rFonts w:ascii="David" w:hAnsi="David" w:hint="cs"/>
          <w:rtl/>
        </w:rPr>
        <w:t xml:space="preserve"> בפלילים. הנאשם החל לצרוך סמים מגיל 14, בעקבות החשיפה לאביו. הנאשם הופנה לשירות המבחן בעקבות תיק המרמה של בית המשפט השלום בבאר שבע (ס/2). בתחילה הופנה לתחנה לנפגעי סמים באשדוד ובהמשך לקהילה הטיפולית "רטורנו". הנאשם הועזב מהקהילה כעבור מספר חודשים לאחר שחזר לשימוש בסם.</w:t>
      </w:r>
    </w:p>
    <w:p w14:paraId="215F64B4" w14:textId="77777777" w:rsidR="00E31D20" w:rsidRPr="003F7E89" w:rsidRDefault="00E31D20" w:rsidP="00E31D20">
      <w:pPr>
        <w:pStyle w:val="a9"/>
        <w:rPr>
          <w:rFonts w:ascii="David" w:hAnsi="David"/>
          <w:rtl/>
        </w:rPr>
      </w:pPr>
    </w:p>
    <w:p w14:paraId="63A713AC" w14:textId="77777777" w:rsidR="00E31D20" w:rsidRDefault="00E31D20" w:rsidP="00E31D20">
      <w:pPr>
        <w:pStyle w:val="a9"/>
        <w:spacing w:after="160" w:line="360" w:lineRule="auto"/>
        <w:ind w:left="0"/>
        <w:jc w:val="both"/>
        <w:rPr>
          <w:rFonts w:ascii="David" w:hAnsi="David"/>
          <w:rtl/>
        </w:rPr>
      </w:pPr>
      <w:r>
        <w:rPr>
          <w:rFonts w:ascii="David" w:hAnsi="David" w:hint="cs"/>
          <w:rtl/>
        </w:rPr>
        <w:t>בהמשך עבר גמילה פיזית באשפוזית ושב לקהילה אך לאור התנהלות כוחנית הוחלט על סיום הטיפול והנאשם השתלב בהוסטל "מכורים לחיים", שהינו הוסטל פרטי בפיקוח משרד הבריאות. לאחר שנגזר דינו בתיק של בית המשפט השלום בבאר שבע, הנאשם נמצא בקשר טיפולי מעקבי מול העו"ס המלווה אותו מהיחידה להתמכרויות, עם זאת השירות מציין כי הנאשם לא מסר בדיקות שתן בחודשים האחרונים. הנאשם הודה בביצוע העבירה המיוחסת לו, ציין כי באותה תקופה היה משתמש בסמים באופן אינטנסיבי.  השירות מתרשם מנאשם עם דפוסים אימפולסיביים המתקשה להתמודד במצבי דחק ותחושות שליליות, בנוסף חוסר הבהירות כיום בנוגע למצב השימוש בסמים. מנגד הנאשם הצליח לשמור על ניקיון מסמים לאורך יותר משנה, מגלה חשיבות בנוגע לתפקודו האבהי ולטיפול בבנו. בנסיבת אלה עתר השירות לדחות את הדיון בשלושה חודשים, על מנת להפנות את הנאשם לעריכת בדיקות שתן עדכניות בתחנה לנפגעי סמים באשדוד.</w:t>
      </w:r>
    </w:p>
    <w:p w14:paraId="1BAA95DD" w14:textId="77777777" w:rsidR="00E31D20" w:rsidRDefault="00E31D20" w:rsidP="00E31D20">
      <w:pPr>
        <w:pStyle w:val="a9"/>
        <w:spacing w:after="160" w:line="360" w:lineRule="auto"/>
        <w:ind w:left="0"/>
        <w:jc w:val="both"/>
        <w:rPr>
          <w:rFonts w:ascii="David" w:hAnsi="David"/>
          <w:rtl/>
        </w:rPr>
      </w:pPr>
      <w:r>
        <w:rPr>
          <w:rFonts w:ascii="David" w:hAnsi="David" w:hint="cs"/>
          <w:rtl/>
        </w:rPr>
        <w:t>בתסקירו העדכני, מציין השירות כי הנאשם שיתפו בעובדה כי אחיו, המשמש לו עוגן כלכלי עתיד לעזוב את הארץ לארה"ב, הנאשם עבד בחנותו של האח, וקיבל משכורת גם בזמנים שלא עבד. הנאשם שיתף כי סובל מפריצות דיסק בגבו, דבר המשפיע על תפקודו הפיזי. הנאשם חידש את הקשר עם היחידה לנפגעי סמים באשדוד. עם זאת הנאשם החל להשתמש בקנביס, ללא אישור רשמי. בדיקות השתן הראו כי נקי הוא מסמים אחרים ולא נפתחו כנגדו בתקופת הביניים תיקים חדשים. השירות מתרשם מנאשם המאופיי</w:t>
      </w:r>
      <w:r>
        <w:rPr>
          <w:rFonts w:ascii="David" w:hAnsi="David" w:hint="eastAsia"/>
          <w:rtl/>
        </w:rPr>
        <w:t>ן</w:t>
      </w:r>
      <w:r>
        <w:rPr>
          <w:rFonts w:ascii="David" w:hAnsi="David" w:hint="cs"/>
          <w:rtl/>
        </w:rPr>
        <w:t xml:space="preserve"> באישיות מורכבת, חוויות ילדות קשות לצד התמכרות לסם לאורך שנים, כאשר הימצאותו כיום בקשר עם התחנה לטיפול בנפגעי סמים, עשויה לצמצם במידה מסוימת את רמת הסיכון בעניינו. השירות ממליץ על הטלת צו מבחן למשך שנה לצד הטלת מאסר מותנה. השירות טעה לחשוב כי על הנאשם הוטל מאסר בדרך של עבודות שירות במסגרת הרשעתו האחרונה מבית המשפט השלום בבאר שבע (ראו פסקה אחרונה בעמ' 3 לתסקיר העדכני).</w:t>
      </w:r>
    </w:p>
    <w:p w14:paraId="7A43F3BB" w14:textId="77777777" w:rsidR="00E31D20" w:rsidRDefault="00E31D20" w:rsidP="00E31D20"/>
    <w:p w14:paraId="1BEA52D5" w14:textId="77777777" w:rsidR="00E31D20" w:rsidRPr="001F2879" w:rsidRDefault="00E31D20" w:rsidP="00E31D20">
      <w:pPr>
        <w:pStyle w:val="a9"/>
        <w:numPr>
          <w:ilvl w:val="0"/>
          <w:numId w:val="2"/>
        </w:numPr>
        <w:spacing w:after="160" w:line="360" w:lineRule="auto"/>
        <w:ind w:left="0" w:hanging="482"/>
        <w:rPr>
          <w:rFonts w:ascii="David" w:hAnsi="David"/>
        </w:rPr>
      </w:pPr>
      <w:r>
        <w:rPr>
          <w:rFonts w:ascii="David" w:hAnsi="David" w:hint="cs"/>
          <w:rtl/>
        </w:rPr>
        <w:t>א</w:t>
      </w:r>
      <w:r w:rsidRPr="001F2879">
        <w:rPr>
          <w:rFonts w:ascii="David" w:hAnsi="David" w:hint="cs"/>
          <w:rtl/>
        </w:rPr>
        <w:t xml:space="preserve">כן, האינטרס הנוגע לשיקומו של הנאשם אינו מהווה אינטרס שלו בלבד, אלא משרת גם את החברה בכללותה. יחד עם זאת, אינטרס זה מהווה </w:t>
      </w:r>
      <w:r w:rsidRPr="001F2879">
        <w:rPr>
          <w:rFonts w:ascii="David" w:hAnsi="David" w:hint="cs"/>
          <w:b/>
          <w:bCs/>
          <w:rtl/>
        </w:rPr>
        <w:t>שיקול אחד</w:t>
      </w:r>
      <w:r w:rsidRPr="001F2879">
        <w:rPr>
          <w:rFonts w:ascii="David" w:hAnsi="David" w:hint="cs"/>
          <w:rtl/>
        </w:rPr>
        <w:t xml:space="preserve"> מבין מכלול השיקולים העומדים בפני בית המשפט בבואו לגזור את עונשו של הנאשם – ראו והשוו </w:t>
      </w:r>
      <w:hyperlink r:id="rId32" w:history="1">
        <w:r w:rsidR="00EF6D34" w:rsidRPr="00EF6D34">
          <w:rPr>
            <w:rFonts w:ascii="David" w:hAnsi="David"/>
            <w:b/>
            <w:bCs/>
            <w:color w:val="0000FF"/>
            <w:u w:val="single"/>
            <w:rtl/>
          </w:rPr>
          <w:t>רע"פ 1787/15</w:t>
        </w:r>
      </w:hyperlink>
      <w:r w:rsidRPr="001F2879">
        <w:rPr>
          <w:rFonts w:ascii="David" w:hAnsi="David" w:hint="cs"/>
          <w:rtl/>
        </w:rPr>
        <w:t xml:space="preserve"> </w:t>
      </w:r>
      <w:r w:rsidRPr="001F2879">
        <w:rPr>
          <w:rFonts w:ascii="David" w:hAnsi="David" w:hint="cs"/>
          <w:b/>
          <w:bCs/>
          <w:rtl/>
        </w:rPr>
        <w:t>עמר נ' מדינת ישראל</w:t>
      </w:r>
      <w:r w:rsidRPr="001F2879">
        <w:rPr>
          <w:rFonts w:ascii="David" w:hAnsi="David" w:hint="cs"/>
          <w:rtl/>
        </w:rPr>
        <w:t xml:space="preserve"> </w:t>
      </w:r>
      <w:r w:rsidRPr="001F2879">
        <w:rPr>
          <w:rFonts w:ascii="David" w:hAnsi="David" w:hint="cs"/>
          <w:b/>
          <w:bCs/>
          <w:rtl/>
        </w:rPr>
        <w:t>(24/03/15)</w:t>
      </w:r>
      <w:r w:rsidRPr="001F2879">
        <w:rPr>
          <w:rFonts w:ascii="David" w:hAnsi="David" w:hint="cs"/>
          <w:rtl/>
        </w:rPr>
        <w:t>.</w:t>
      </w:r>
    </w:p>
    <w:p w14:paraId="07787FA3" w14:textId="77777777" w:rsidR="00E31D20" w:rsidRPr="001F2879" w:rsidRDefault="00E31D20" w:rsidP="00E31D20">
      <w:pPr>
        <w:pStyle w:val="a9"/>
        <w:spacing w:after="160" w:line="360" w:lineRule="auto"/>
        <w:ind w:left="0"/>
        <w:rPr>
          <w:rFonts w:ascii="David" w:hAnsi="David"/>
          <w:rtl/>
        </w:rPr>
      </w:pPr>
    </w:p>
    <w:p w14:paraId="34C543EB" w14:textId="77777777" w:rsidR="00E31D20" w:rsidRDefault="00E31D20" w:rsidP="00E31D20">
      <w:pPr>
        <w:pStyle w:val="a9"/>
        <w:spacing w:after="160" w:line="360" w:lineRule="auto"/>
        <w:ind w:left="0"/>
        <w:rPr>
          <w:rFonts w:ascii="David" w:hAnsi="David"/>
          <w:rtl/>
        </w:rPr>
      </w:pPr>
      <w:r w:rsidRPr="001F2879">
        <w:rPr>
          <w:rFonts w:ascii="David" w:hAnsi="David" w:hint="cs"/>
          <w:rtl/>
        </w:rPr>
        <w:t xml:space="preserve">בהינתן כך, ולאחר ששמעתי טיעוני הצדדים, לא מצאתי כי תיק זה מצדיק סטייה ממתחם העונש ההולם אליבא דסעיף </w:t>
      </w:r>
      <w:hyperlink r:id="rId33" w:history="1">
        <w:r w:rsidR="004769F5" w:rsidRPr="004769F5">
          <w:rPr>
            <w:rStyle w:val="Hyperlink"/>
            <w:rFonts w:ascii="David" w:hAnsi="David"/>
            <w:rtl/>
          </w:rPr>
          <w:t>40ד</w:t>
        </w:r>
      </w:hyperlink>
      <w:r w:rsidRPr="001F2879">
        <w:rPr>
          <w:rFonts w:ascii="David" w:hAnsi="David" w:hint="cs"/>
          <w:rtl/>
        </w:rPr>
        <w:t xml:space="preserve"> ל</w:t>
      </w:r>
      <w:hyperlink r:id="rId34" w:history="1">
        <w:r w:rsidR="00EF6D34" w:rsidRPr="00EF6D34">
          <w:rPr>
            <w:rFonts w:ascii="David" w:hAnsi="David"/>
            <w:color w:val="0000FF"/>
            <w:u w:val="single"/>
            <w:rtl/>
          </w:rPr>
          <w:t>חוק העונשין</w:t>
        </w:r>
      </w:hyperlink>
      <w:r w:rsidRPr="001F2879">
        <w:rPr>
          <w:rFonts w:ascii="David" w:hAnsi="David" w:hint="cs"/>
          <w:rtl/>
        </w:rPr>
        <w:t>.</w:t>
      </w:r>
    </w:p>
    <w:p w14:paraId="0ECB4E97" w14:textId="77777777" w:rsidR="00E31D20" w:rsidRPr="001F2879" w:rsidRDefault="00E31D20" w:rsidP="00E31D20">
      <w:pPr>
        <w:pStyle w:val="a9"/>
        <w:spacing w:after="160" w:line="360" w:lineRule="auto"/>
        <w:ind w:left="0"/>
        <w:rPr>
          <w:rFonts w:ascii="David" w:hAnsi="David"/>
          <w:rtl/>
        </w:rPr>
      </w:pPr>
    </w:p>
    <w:p w14:paraId="28929D85"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ההגנה בחרה, מנסיבותיה שלה, לא לצרף תיקנו לתיק בית המשפט השלום בבאר שבע או להיפך. שם נקבעה ענישה אשר לנסיבות ולמצב העדכני נכון למועד גזר הדין. בהתאם לתסקיר העדכני שבפני, הנאשם שב לשימוש בסמים מסוג קנביס, ללא אישור רשמי. מכלול זה, לצד עברו הפלילי של הנאשם, עבר רלוונטי בתחום הרכוש, אינם מאפשרים למקמו בתחתית מתחמי הענישה אותם קבעתי בתיק המוביל ובתיק הצירוף.</w:t>
      </w:r>
    </w:p>
    <w:p w14:paraId="1BB1C6AB" w14:textId="77777777" w:rsidR="00E31D20" w:rsidRDefault="00E31D20" w:rsidP="00E31D20">
      <w:pPr>
        <w:pStyle w:val="a9"/>
        <w:spacing w:after="160" w:line="360" w:lineRule="auto"/>
        <w:ind w:left="0"/>
        <w:jc w:val="both"/>
        <w:rPr>
          <w:rFonts w:ascii="David" w:hAnsi="David"/>
        </w:rPr>
      </w:pPr>
    </w:p>
    <w:p w14:paraId="0E1F4F50"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עם זאת, אתחשב בכלל הטעמים הצריכים לעניין ובתוך כך נסיבות שאינן קשורות בביצוע העבירות, ובכלל זה גילו של הנאשם, נטילת אחריות וצירוף התיק, העדר הפרות ואי פתיחת תיקי מב"ד חדשים, חסכון בזמן שיפוטי ניכר והמאמצים שעשה ועושה הנאשם תוך שיתוף פעולה עם היחידה להתמכרויות באשדוד, ובשים לב לצו המבחן שהוטל עליו במסגרת הרשעתו האחרונה (ס/2), מצבו הרפואי של הנאשם ומצבו של בנו הקטין. מכלל טעמים אלה מצאתי למקם את הנאשם בשליש התחתון של מתחם העונש ההולם.</w:t>
      </w:r>
    </w:p>
    <w:p w14:paraId="62326496" w14:textId="77777777" w:rsidR="00E31D20" w:rsidRPr="00C74661" w:rsidRDefault="00E31D20" w:rsidP="00E31D20">
      <w:pPr>
        <w:pStyle w:val="a9"/>
        <w:rPr>
          <w:rFonts w:ascii="David" w:hAnsi="David"/>
          <w:rtl/>
        </w:rPr>
      </w:pPr>
    </w:p>
    <w:p w14:paraId="4249B4FF" w14:textId="77777777" w:rsidR="00E31D20" w:rsidRDefault="00E31D20" w:rsidP="00E31D20">
      <w:pPr>
        <w:pStyle w:val="a9"/>
        <w:numPr>
          <w:ilvl w:val="0"/>
          <w:numId w:val="2"/>
        </w:numPr>
        <w:spacing w:after="160" w:line="360" w:lineRule="auto"/>
        <w:ind w:left="0" w:hanging="482"/>
        <w:jc w:val="both"/>
        <w:rPr>
          <w:rFonts w:ascii="David" w:hAnsi="David"/>
        </w:rPr>
      </w:pPr>
      <w:r>
        <w:rPr>
          <w:rFonts w:ascii="David" w:hAnsi="David" w:hint="cs"/>
          <w:rtl/>
        </w:rPr>
        <w:t>אשר על כן מצאתי לגזור על הנאשם עונש אחד וכולל בגין האירועים מושא התיק המוביל ותיק הצירוף ולמקם את הנאשם בשליש התחתון של המתחם העיקרי, בתיק הסמים.</w:t>
      </w:r>
    </w:p>
    <w:p w14:paraId="20B160B2" w14:textId="77777777" w:rsidR="00E31D20" w:rsidRDefault="00E31D20" w:rsidP="00E31D20">
      <w:pPr>
        <w:pStyle w:val="a9"/>
        <w:rPr>
          <w:rFonts w:ascii="David" w:hAnsi="David"/>
          <w:rtl/>
        </w:rPr>
      </w:pPr>
    </w:p>
    <w:p w14:paraId="4FD76022" w14:textId="77777777" w:rsidR="00E31D20" w:rsidRDefault="00E31D20" w:rsidP="00E31D20">
      <w:pPr>
        <w:pStyle w:val="a9"/>
        <w:rPr>
          <w:rFonts w:ascii="David" w:hAnsi="David"/>
          <w:rtl/>
        </w:rPr>
      </w:pPr>
    </w:p>
    <w:p w14:paraId="148FDF88" w14:textId="77777777" w:rsidR="00E31D20" w:rsidRDefault="00E31D20" w:rsidP="00E31D20">
      <w:pPr>
        <w:pStyle w:val="a9"/>
        <w:rPr>
          <w:rFonts w:ascii="David" w:hAnsi="David"/>
          <w:rtl/>
        </w:rPr>
      </w:pPr>
    </w:p>
    <w:p w14:paraId="6E7F1C73" w14:textId="77777777" w:rsidR="00E31D20" w:rsidRDefault="00E31D20" w:rsidP="00E31D20">
      <w:pPr>
        <w:pStyle w:val="a9"/>
        <w:rPr>
          <w:rFonts w:ascii="David" w:hAnsi="David"/>
          <w:rtl/>
        </w:rPr>
      </w:pPr>
    </w:p>
    <w:p w14:paraId="1D7362E3" w14:textId="77777777" w:rsidR="00E31D20" w:rsidRPr="00C74661" w:rsidRDefault="00E31D20" w:rsidP="00E31D20">
      <w:pPr>
        <w:pStyle w:val="a9"/>
        <w:rPr>
          <w:rFonts w:ascii="David" w:hAnsi="David"/>
          <w:rtl/>
        </w:rPr>
      </w:pPr>
    </w:p>
    <w:p w14:paraId="6EA562B9" w14:textId="77777777" w:rsidR="00E31D20" w:rsidRPr="008C1100" w:rsidRDefault="00E31D20" w:rsidP="00E31D20">
      <w:pPr>
        <w:pStyle w:val="a9"/>
        <w:spacing w:after="160" w:line="360" w:lineRule="auto"/>
        <w:ind w:left="0"/>
        <w:jc w:val="both"/>
        <w:rPr>
          <w:rFonts w:ascii="David" w:hAnsi="David"/>
        </w:rPr>
      </w:pPr>
    </w:p>
    <w:p w14:paraId="59C93F41" w14:textId="77777777" w:rsidR="00E31D20" w:rsidRDefault="00E31D20" w:rsidP="00E31D20">
      <w:pPr>
        <w:pStyle w:val="a9"/>
        <w:ind w:left="0"/>
        <w:jc w:val="both"/>
        <w:rPr>
          <w:rFonts w:ascii="David" w:hAnsi="David"/>
          <w:b/>
          <w:bCs/>
          <w:u w:val="single"/>
        </w:rPr>
      </w:pPr>
    </w:p>
    <w:p w14:paraId="188C77C2" w14:textId="77777777" w:rsidR="00E31D20" w:rsidRDefault="00E31D20" w:rsidP="00E31D20">
      <w:pPr>
        <w:pStyle w:val="a9"/>
        <w:spacing w:line="360" w:lineRule="auto"/>
        <w:ind w:left="0"/>
        <w:jc w:val="both"/>
        <w:rPr>
          <w:rFonts w:ascii="David" w:hAnsi="David"/>
          <w:b/>
          <w:bCs/>
          <w:rtl/>
        </w:rPr>
      </w:pPr>
    </w:p>
    <w:p w14:paraId="5FDB0A77" w14:textId="77777777" w:rsidR="00E31D20" w:rsidRPr="00B05847" w:rsidRDefault="00E31D20" w:rsidP="00E31D20">
      <w:pPr>
        <w:spacing w:line="360" w:lineRule="auto"/>
        <w:jc w:val="both"/>
        <w:rPr>
          <w:rtl/>
        </w:rPr>
      </w:pPr>
    </w:p>
    <w:p w14:paraId="712D71E3" w14:textId="77777777" w:rsidR="00E31D20" w:rsidRPr="000F13CD" w:rsidRDefault="00E31D20" w:rsidP="00E31D20">
      <w:pPr>
        <w:spacing w:line="360" w:lineRule="auto"/>
        <w:jc w:val="both"/>
        <w:rPr>
          <w:b/>
          <w:bCs/>
          <w:rtl/>
        </w:rPr>
      </w:pPr>
      <w:r w:rsidRPr="000F13CD">
        <w:rPr>
          <w:rFonts w:hint="cs"/>
          <w:b/>
          <w:bCs/>
          <w:rtl/>
        </w:rPr>
        <w:t>אשר על כן אני גוזר על הנאשם את העונשים הבאים:</w:t>
      </w:r>
    </w:p>
    <w:p w14:paraId="7776F890" w14:textId="77777777" w:rsidR="00E31D20" w:rsidRDefault="00E31D20" w:rsidP="00E31D20">
      <w:pPr>
        <w:spacing w:line="360" w:lineRule="auto"/>
        <w:jc w:val="both"/>
        <w:rPr>
          <w:rtl/>
        </w:rPr>
      </w:pPr>
    </w:p>
    <w:p w14:paraId="2A2AAA1E" w14:textId="77777777" w:rsidR="00E31D20" w:rsidRDefault="00E31D20" w:rsidP="00E31D20">
      <w:pPr>
        <w:pStyle w:val="a9"/>
        <w:numPr>
          <w:ilvl w:val="0"/>
          <w:numId w:val="1"/>
        </w:numPr>
        <w:spacing w:line="360" w:lineRule="auto"/>
        <w:jc w:val="both"/>
      </w:pPr>
      <w:r>
        <w:rPr>
          <w:rFonts w:hint="cs"/>
          <w:rtl/>
        </w:rPr>
        <w:t>מאסר לתקופה של 60 ימים שירוצו בדרך של עבודות שירות במגבלותיו הרפואיות של הנאשם בהתאם לחוו"ד הממונה שהוגשה לתיק.</w:t>
      </w:r>
    </w:p>
    <w:p w14:paraId="41CD19D7" w14:textId="77777777" w:rsidR="00E31D20" w:rsidRDefault="00E31D20" w:rsidP="00E31D20">
      <w:pPr>
        <w:pStyle w:val="a9"/>
        <w:spacing w:line="360" w:lineRule="auto"/>
        <w:jc w:val="both"/>
      </w:pPr>
      <w:r>
        <w:rPr>
          <w:rFonts w:hint="cs"/>
          <w:rtl/>
        </w:rPr>
        <w:t xml:space="preserve">על הנאשם להתייצב לריצוי עבודות השירות ביום 1.8.22, עד לשעה 08:30, כשהוא מצויד בתעודת זהות, במפקדת שב"ס, מחוז המרכז </w:t>
      </w:r>
      <w:r>
        <w:rPr>
          <w:rtl/>
        </w:rPr>
        <w:t>–</w:t>
      </w:r>
      <w:r>
        <w:rPr>
          <w:rFonts w:hint="cs"/>
          <w:rtl/>
        </w:rPr>
        <w:t xml:space="preserve"> יחידת עבודות השירות רמלה.</w:t>
      </w:r>
    </w:p>
    <w:p w14:paraId="746517E2" w14:textId="77777777" w:rsidR="00E31D20" w:rsidRDefault="00E31D20" w:rsidP="00E31D20">
      <w:pPr>
        <w:pStyle w:val="a9"/>
        <w:spacing w:line="360" w:lineRule="auto"/>
        <w:jc w:val="both"/>
        <w:rPr>
          <w:b/>
          <w:bCs/>
          <w:rtl/>
        </w:rPr>
      </w:pPr>
      <w:r w:rsidRPr="000F13CD">
        <w:rPr>
          <w:rFonts w:hint="cs"/>
          <w:b/>
          <w:bCs/>
          <w:rtl/>
        </w:rPr>
        <w:t>אני מזהיר את הנאשם כי אי מילוי עבודות השירות עלול להוביל להפסקתן וריצוי יתרת התקופה מאחורי סורג ובריח.</w:t>
      </w:r>
    </w:p>
    <w:p w14:paraId="65521D94" w14:textId="77777777" w:rsidR="00E31D20" w:rsidRPr="000F13CD" w:rsidRDefault="00E31D20" w:rsidP="00E31D20">
      <w:pPr>
        <w:pStyle w:val="a9"/>
        <w:spacing w:line="360" w:lineRule="auto"/>
        <w:jc w:val="both"/>
        <w:rPr>
          <w:b/>
          <w:bCs/>
        </w:rPr>
      </w:pPr>
    </w:p>
    <w:p w14:paraId="1A45A6F0" w14:textId="77777777" w:rsidR="00E31D20" w:rsidRDefault="00E31D20" w:rsidP="00E31D20">
      <w:pPr>
        <w:pStyle w:val="a9"/>
        <w:numPr>
          <w:ilvl w:val="0"/>
          <w:numId w:val="1"/>
        </w:numPr>
        <w:spacing w:line="360" w:lineRule="auto"/>
        <w:jc w:val="both"/>
      </w:pPr>
      <w:r>
        <w:rPr>
          <w:rFonts w:hint="cs"/>
          <w:rtl/>
        </w:rPr>
        <w:t>מאסר על תנאי בן 4 חודשים למשך שנתיים מהיום והתנאי שלא יעבור עבירה על פקודת הסמים מסוג פשע או עבירות רכוש, למעט החזקת נכס החשוד כגנוב.</w:t>
      </w:r>
    </w:p>
    <w:p w14:paraId="7D21F570" w14:textId="77777777" w:rsidR="00E31D20" w:rsidRDefault="00E31D20" w:rsidP="00E31D20">
      <w:pPr>
        <w:pStyle w:val="a9"/>
        <w:spacing w:line="360" w:lineRule="auto"/>
        <w:jc w:val="both"/>
      </w:pPr>
    </w:p>
    <w:p w14:paraId="1AD1C8FE" w14:textId="77777777" w:rsidR="00E31D20" w:rsidRDefault="00E31D20" w:rsidP="00E31D20">
      <w:pPr>
        <w:pStyle w:val="a9"/>
        <w:numPr>
          <w:ilvl w:val="0"/>
          <w:numId w:val="1"/>
        </w:numPr>
        <w:spacing w:line="360" w:lineRule="auto"/>
        <w:jc w:val="both"/>
      </w:pPr>
      <w:r>
        <w:rPr>
          <w:rFonts w:hint="cs"/>
          <w:rtl/>
        </w:rPr>
        <w:t>פיצוי למתלונן, מושא תיק הצירוף, ע"ת 1 ב</w:t>
      </w:r>
      <w:hyperlink r:id="rId35" w:history="1">
        <w:r w:rsidR="00EF6D34" w:rsidRPr="00EF6D34">
          <w:rPr>
            <w:color w:val="0000FF"/>
            <w:u w:val="single"/>
            <w:rtl/>
          </w:rPr>
          <w:t>ת"פ 3499-05-19</w:t>
        </w:r>
      </w:hyperlink>
      <w:r>
        <w:rPr>
          <w:rFonts w:hint="cs"/>
          <w:rtl/>
        </w:rPr>
        <w:t>, ע"ס 1000 ₪, שיופקד עד ולא יאוחר מיום 1.8.22.</w:t>
      </w:r>
    </w:p>
    <w:p w14:paraId="7D188320" w14:textId="77777777" w:rsidR="00E31D20" w:rsidRDefault="00E31D20" w:rsidP="00E31D20">
      <w:pPr>
        <w:pStyle w:val="ab"/>
        <w:spacing w:line="360" w:lineRule="auto"/>
        <w:jc w:val="both"/>
        <w:rPr>
          <w:rFonts w:ascii="David" w:hAnsi="David" w:cs="David"/>
          <w:rtl/>
        </w:rPr>
      </w:pPr>
    </w:p>
    <w:p w14:paraId="306B4E13" w14:textId="77777777" w:rsidR="00E31D20" w:rsidRDefault="00E31D20" w:rsidP="00E31D20">
      <w:pPr>
        <w:pStyle w:val="ab"/>
        <w:spacing w:line="360" w:lineRule="auto"/>
        <w:jc w:val="both"/>
        <w:rPr>
          <w:rFonts w:ascii="David" w:hAnsi="David" w:cs="David"/>
          <w:rtl/>
        </w:rPr>
      </w:pPr>
      <w:r w:rsidRPr="00FB288A">
        <w:rPr>
          <w:rFonts w:ascii="David" w:hAnsi="David" w:cs="David"/>
          <w:rtl/>
        </w:rPr>
        <w:t>צו כללי למוצגים – המוצגים, ככל שישנם בתיק זה, יטופלו בהתאם להחלטת קצין משטרה מוסמך.</w:t>
      </w:r>
    </w:p>
    <w:p w14:paraId="1F9EF4AA" w14:textId="77777777" w:rsidR="00E31D20" w:rsidRPr="00FB288A" w:rsidRDefault="00E31D20" w:rsidP="00E31D20">
      <w:pPr>
        <w:pStyle w:val="ab"/>
        <w:spacing w:line="360" w:lineRule="auto"/>
        <w:jc w:val="both"/>
        <w:rPr>
          <w:rFonts w:ascii="David" w:hAnsi="David" w:cs="David"/>
        </w:rPr>
      </w:pPr>
    </w:p>
    <w:p w14:paraId="301CD55B" w14:textId="77777777" w:rsidR="00E31D20" w:rsidRDefault="00E31D20" w:rsidP="00E31D20">
      <w:pPr>
        <w:pStyle w:val="ab"/>
        <w:spacing w:line="360" w:lineRule="auto"/>
        <w:jc w:val="both"/>
        <w:rPr>
          <w:rFonts w:ascii="David" w:hAnsi="David" w:cs="David"/>
          <w:rtl/>
        </w:rPr>
      </w:pPr>
      <w:r w:rsidRPr="00FB288A">
        <w:rPr>
          <w:rFonts w:ascii="David" w:hAnsi="David" w:cs="David"/>
          <w:rtl/>
        </w:rPr>
        <w:t xml:space="preserve">ככל שקיימת הפקדה בתיק זה או בתיקים קשורים – מ"י/מ"ת, </w:t>
      </w:r>
      <w:r>
        <w:rPr>
          <w:rFonts w:ascii="David" w:hAnsi="David" w:cs="David" w:hint="cs"/>
          <w:rtl/>
        </w:rPr>
        <w:t>הפיצוי יקוזז מההפקדה, בהסכמת ההגנה באולם, וככל שתיוותר יתרה תושב</w:t>
      </w:r>
      <w:r w:rsidRPr="00FB288A">
        <w:rPr>
          <w:rFonts w:ascii="David" w:hAnsi="David" w:cs="David"/>
          <w:rtl/>
        </w:rPr>
        <w:t xml:space="preserve"> לנאשם או למי מטעמו, בכפוף לכל דין או החלטה אחרת. </w:t>
      </w:r>
    </w:p>
    <w:p w14:paraId="5D31D55B" w14:textId="77777777" w:rsidR="00E31D20" w:rsidRPr="00FB288A" w:rsidRDefault="00E31D20" w:rsidP="00E31D20">
      <w:pPr>
        <w:pStyle w:val="ab"/>
        <w:spacing w:line="360" w:lineRule="auto"/>
        <w:jc w:val="both"/>
        <w:rPr>
          <w:rFonts w:ascii="David" w:hAnsi="David" w:cs="David"/>
          <w:rtl/>
        </w:rPr>
      </w:pPr>
    </w:p>
    <w:p w14:paraId="5BD2E0F8" w14:textId="77777777" w:rsidR="00E31D20" w:rsidRPr="00FB288A" w:rsidRDefault="00E31D20" w:rsidP="00E31D20">
      <w:pPr>
        <w:pStyle w:val="ab"/>
        <w:spacing w:line="360" w:lineRule="auto"/>
        <w:jc w:val="both"/>
        <w:rPr>
          <w:rFonts w:ascii="David" w:hAnsi="David" w:cs="David"/>
          <w:b/>
          <w:bCs/>
        </w:rPr>
      </w:pPr>
      <w:r w:rsidRPr="00FB288A">
        <w:rPr>
          <w:rFonts w:ascii="David" w:hAnsi="David" w:cs="David"/>
          <w:b/>
          <w:bCs/>
          <w:rtl/>
        </w:rPr>
        <w:t>זכות ערעור לבית המשפט המחוזי בתל אביב בתוך 45 ימים מהיום.</w:t>
      </w:r>
    </w:p>
    <w:p w14:paraId="440D6CED" w14:textId="77777777" w:rsidR="00E31D20" w:rsidRDefault="00E31D20" w:rsidP="00E31D20">
      <w:pPr>
        <w:spacing w:line="360" w:lineRule="auto"/>
        <w:jc w:val="both"/>
        <w:rPr>
          <w:rtl/>
        </w:rPr>
      </w:pPr>
    </w:p>
    <w:p w14:paraId="521889FA" w14:textId="77777777" w:rsidR="00E31D20" w:rsidRDefault="00E31D20" w:rsidP="00E31D20">
      <w:pPr>
        <w:spacing w:line="360" w:lineRule="auto"/>
        <w:jc w:val="both"/>
        <w:rPr>
          <w:rtl/>
        </w:rPr>
      </w:pPr>
      <w:r>
        <w:rPr>
          <w:rFonts w:hint="cs"/>
          <w:rtl/>
        </w:rPr>
        <w:t>המזכירות תעביר העתק מגזר הדין לשירות המבחן ולממונה על עבודות השירות.</w:t>
      </w:r>
    </w:p>
    <w:p w14:paraId="12721969" w14:textId="77777777" w:rsidR="00E31D20" w:rsidRPr="00B05847" w:rsidRDefault="00E31D20" w:rsidP="00E31D20">
      <w:pPr>
        <w:spacing w:line="360" w:lineRule="auto"/>
        <w:jc w:val="both"/>
        <w:rPr>
          <w:rtl/>
        </w:rPr>
      </w:pPr>
    </w:p>
    <w:p w14:paraId="3E457F9A" w14:textId="77777777" w:rsidR="00E31D20" w:rsidRPr="00B05847" w:rsidRDefault="00E31D20" w:rsidP="00E31D20">
      <w:pPr>
        <w:jc w:val="both"/>
        <w:rPr>
          <w:rtl/>
        </w:rPr>
      </w:pPr>
    </w:p>
    <w:p w14:paraId="0B3D021A" w14:textId="77777777" w:rsidR="00E31D20" w:rsidRPr="00B05847" w:rsidRDefault="00E31D20" w:rsidP="00E31D20">
      <w:pPr>
        <w:jc w:val="both"/>
        <w:rPr>
          <w:rtl/>
        </w:rPr>
      </w:pPr>
    </w:p>
    <w:p w14:paraId="3E865A0A" w14:textId="77777777" w:rsidR="00E31D20" w:rsidRPr="00B05847" w:rsidRDefault="00E31D20" w:rsidP="00E31D20">
      <w:pPr>
        <w:jc w:val="both"/>
        <w:rPr>
          <w:rtl/>
        </w:rPr>
      </w:pPr>
    </w:p>
    <w:p w14:paraId="43390D1F" w14:textId="77777777" w:rsidR="00E31D20" w:rsidRDefault="00EF6D34" w:rsidP="00E31D20">
      <w:pPr>
        <w:spacing w:line="360" w:lineRule="auto"/>
        <w:jc w:val="both"/>
        <w:rPr>
          <w:rtl/>
        </w:rPr>
      </w:pPr>
      <w:bookmarkStart w:id="8" w:name="Nitan"/>
      <w:r w:rsidRPr="00EF6D34">
        <w:rPr>
          <w:rFonts w:ascii="Arial" w:hAnsi="Arial"/>
          <w:color w:val="FFFFFF"/>
          <w:sz w:val="2"/>
          <w:szCs w:val="2"/>
          <w:rtl/>
        </w:rPr>
        <w:t>5129371</w:t>
      </w:r>
      <w:r>
        <w:rPr>
          <w:rFonts w:ascii="Arial" w:hAnsi="Arial"/>
          <w:rtl/>
        </w:rPr>
        <w:t xml:space="preserve">ניתן היום,  כ"ט אייר תשפ"ב, 30 מאי 2022, במעמד הצדדים. </w:t>
      </w:r>
      <w:bookmarkEnd w:id="8"/>
    </w:p>
    <w:p w14:paraId="7EB92FC8" w14:textId="77777777" w:rsidR="00E31D20" w:rsidRPr="00EF6D34" w:rsidRDefault="00EF6D34" w:rsidP="00E31D20">
      <w:pPr>
        <w:spacing w:line="360" w:lineRule="auto"/>
        <w:jc w:val="both"/>
        <w:rPr>
          <w:color w:val="FFFFFF"/>
          <w:sz w:val="2"/>
          <w:szCs w:val="2"/>
          <w:rtl/>
        </w:rPr>
      </w:pPr>
      <w:r w:rsidRPr="00EF6D34">
        <w:rPr>
          <w:color w:val="FFFFFF"/>
          <w:sz w:val="2"/>
          <w:szCs w:val="2"/>
          <w:rtl/>
        </w:rPr>
        <w:t>54678313</w:t>
      </w:r>
    </w:p>
    <w:p w14:paraId="216AFD79" w14:textId="77777777" w:rsidR="00E31D20" w:rsidRPr="00250B83" w:rsidRDefault="00E31D20" w:rsidP="00EF6D34">
      <w:pPr>
        <w:jc w:val="right"/>
      </w:pPr>
      <w:r>
        <w:rPr>
          <w:rFonts w:hint="cs"/>
          <w:rtl/>
        </w:rPr>
        <w:t xml:space="preserve">          </w:t>
      </w: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Pr>
          <w:rFonts w:hint="cs"/>
          <w:rtl/>
        </w:rPr>
        <w:t xml:space="preserve">     </w:t>
      </w:r>
      <w:r w:rsidRPr="00250B83">
        <w:rPr>
          <w:rFonts w:hint="cs"/>
          <w:rtl/>
        </w:rPr>
        <w:tab/>
      </w:r>
    </w:p>
    <w:p w14:paraId="208AE180" w14:textId="77777777" w:rsidR="00E31D20" w:rsidRPr="00250B83" w:rsidRDefault="00E31D20" w:rsidP="00E31D20">
      <w:pPr>
        <w:jc w:val="right"/>
        <w:rPr>
          <w:rFonts w:ascii="Arial" w:hAnsi="Arial"/>
          <w:rtl/>
        </w:rPr>
      </w:pPr>
    </w:p>
    <w:p w14:paraId="0AF9BD7A" w14:textId="77777777" w:rsidR="00E31D20" w:rsidRPr="00250B83" w:rsidRDefault="00E31D20" w:rsidP="00E31D20">
      <w:pPr>
        <w:jc w:val="both"/>
        <w:rPr>
          <w:rtl/>
        </w:rPr>
      </w:pPr>
    </w:p>
    <w:p w14:paraId="29E699DC" w14:textId="77777777" w:rsidR="00E31D20" w:rsidRPr="004769F5" w:rsidRDefault="004769F5" w:rsidP="00E31D20">
      <w:pPr>
        <w:pStyle w:val="a3"/>
        <w:jc w:val="both"/>
        <w:rPr>
          <w:color w:val="FFFFFF"/>
          <w:sz w:val="2"/>
          <w:szCs w:val="2"/>
          <w:rtl/>
        </w:rPr>
      </w:pPr>
      <w:r w:rsidRPr="004769F5">
        <w:rPr>
          <w:color w:val="FFFFFF"/>
          <w:sz w:val="2"/>
          <w:szCs w:val="2"/>
          <w:rtl/>
        </w:rPr>
        <w:t>5129371</w:t>
      </w:r>
    </w:p>
    <w:p w14:paraId="0EA94AAB" w14:textId="77777777" w:rsidR="00EF6D34" w:rsidRDefault="004769F5" w:rsidP="00EF6D34">
      <w:r w:rsidRPr="004769F5">
        <w:rPr>
          <w:rFonts w:ascii="David" w:hAnsi="David"/>
          <w:color w:val="FFFFFF"/>
          <w:sz w:val="2"/>
          <w:szCs w:val="2"/>
          <w:rtl/>
        </w:rPr>
        <w:t>54678313</w:t>
      </w:r>
    </w:p>
    <w:p w14:paraId="0FA22903" w14:textId="77777777" w:rsidR="00EF6D34" w:rsidRDefault="00EF6D34" w:rsidP="00EF6D34">
      <w:pPr>
        <w:rPr>
          <w:rtl/>
        </w:rPr>
      </w:pPr>
    </w:p>
    <w:p w14:paraId="5B0C15FB" w14:textId="77777777" w:rsidR="00EF6D34" w:rsidRDefault="00EF6D34" w:rsidP="00EF6D34">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9B4195E" w14:textId="77777777" w:rsidR="004769F5" w:rsidRPr="004769F5" w:rsidRDefault="004769F5" w:rsidP="004769F5">
      <w:pPr>
        <w:keepNext/>
        <w:rPr>
          <w:rFonts w:ascii="David" w:hAnsi="David"/>
          <w:color w:val="000000"/>
          <w:sz w:val="22"/>
          <w:szCs w:val="22"/>
          <w:rtl/>
        </w:rPr>
      </w:pPr>
    </w:p>
    <w:p w14:paraId="0D3E2D87" w14:textId="77777777" w:rsidR="004769F5" w:rsidRPr="004769F5" w:rsidRDefault="004769F5" w:rsidP="004769F5">
      <w:pPr>
        <w:keepNext/>
        <w:rPr>
          <w:rFonts w:ascii="David" w:hAnsi="David"/>
          <w:color w:val="000000"/>
          <w:sz w:val="22"/>
          <w:szCs w:val="22"/>
          <w:rtl/>
        </w:rPr>
      </w:pPr>
      <w:r w:rsidRPr="004769F5">
        <w:rPr>
          <w:rFonts w:ascii="David" w:hAnsi="David"/>
          <w:color w:val="000000"/>
          <w:sz w:val="22"/>
          <w:szCs w:val="22"/>
          <w:rtl/>
        </w:rPr>
        <w:t>ס. רועי פרי 54678313-/</w:t>
      </w:r>
    </w:p>
    <w:p w14:paraId="2565499E" w14:textId="77777777" w:rsidR="00EF6D34" w:rsidRPr="00EF6D34" w:rsidRDefault="004769F5" w:rsidP="004769F5">
      <w:pPr>
        <w:rPr>
          <w:color w:val="0000FF"/>
          <w:u w:val="single"/>
        </w:rPr>
      </w:pPr>
      <w:r w:rsidRPr="004769F5">
        <w:rPr>
          <w:color w:val="000000"/>
          <w:u w:val="single"/>
          <w:rtl/>
        </w:rPr>
        <w:t>נוסח מסמך זה כפוף לשינויי ניסוח ועריכה</w:t>
      </w:r>
    </w:p>
    <w:sectPr w:rsidR="00EF6D34" w:rsidRPr="00EF6D34" w:rsidSect="004769F5">
      <w:headerReference w:type="even" r:id="rId37"/>
      <w:headerReference w:type="default" r:id="rId38"/>
      <w:footerReference w:type="even" r:id="rId39"/>
      <w:footerReference w:type="default" r:id="rId4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1188F" w14:textId="77777777" w:rsidR="00F840F7" w:rsidRDefault="00F840F7" w:rsidP="00680C8E">
      <w:r>
        <w:separator/>
      </w:r>
    </w:p>
  </w:endnote>
  <w:endnote w:type="continuationSeparator" w:id="0">
    <w:p w14:paraId="097B1969" w14:textId="77777777" w:rsidR="00F840F7" w:rsidRDefault="00F840F7" w:rsidP="0068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C2280" w14:textId="77777777" w:rsidR="004769F5" w:rsidRDefault="004769F5" w:rsidP="004769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844F9B" w14:textId="77777777" w:rsidR="00BD1B5C" w:rsidRPr="004769F5" w:rsidRDefault="004769F5" w:rsidP="004769F5">
    <w:pPr>
      <w:pStyle w:val="a5"/>
      <w:pBdr>
        <w:top w:val="single" w:sz="4" w:space="1" w:color="auto"/>
        <w:between w:val="single" w:sz="4" w:space="0" w:color="auto"/>
      </w:pBdr>
      <w:spacing w:after="60"/>
      <w:jc w:val="center"/>
      <w:rPr>
        <w:rFonts w:ascii="FrankRuehl" w:hAnsi="FrankRuehl" w:cs="FrankRuehl"/>
        <w:color w:val="000000"/>
      </w:rPr>
    </w:pPr>
    <w:r w:rsidRPr="004769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59585" w14:textId="77777777" w:rsidR="004769F5" w:rsidRDefault="004769F5" w:rsidP="004769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6FE1">
      <w:rPr>
        <w:rFonts w:ascii="FrankRuehl" w:hAnsi="FrankRuehl" w:cs="FrankRuehl"/>
        <w:noProof/>
        <w:rtl/>
      </w:rPr>
      <w:t>1</w:t>
    </w:r>
    <w:r>
      <w:rPr>
        <w:rFonts w:ascii="FrankRuehl" w:hAnsi="FrankRuehl" w:cs="FrankRuehl"/>
        <w:rtl/>
      </w:rPr>
      <w:fldChar w:fldCharType="end"/>
    </w:r>
  </w:p>
  <w:p w14:paraId="4AC5CC9B" w14:textId="77777777" w:rsidR="00BD1B5C" w:rsidRPr="004769F5" w:rsidRDefault="004769F5" w:rsidP="004769F5">
    <w:pPr>
      <w:pStyle w:val="a5"/>
      <w:pBdr>
        <w:top w:val="single" w:sz="4" w:space="1" w:color="auto"/>
        <w:between w:val="single" w:sz="4" w:space="0" w:color="auto"/>
      </w:pBdr>
      <w:spacing w:after="60"/>
      <w:jc w:val="center"/>
      <w:rPr>
        <w:rFonts w:ascii="FrankRuehl" w:hAnsi="FrankRuehl" w:cs="FrankRuehl"/>
        <w:color w:val="000000"/>
      </w:rPr>
    </w:pPr>
    <w:r w:rsidRPr="004769F5">
      <w:rPr>
        <w:rFonts w:ascii="FrankRuehl" w:hAnsi="FrankRuehl" w:cs="FrankRuehl"/>
        <w:color w:val="000000"/>
      </w:rPr>
      <w:pict w14:anchorId="0D96A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57A3C" w14:textId="77777777" w:rsidR="00F840F7" w:rsidRDefault="00F840F7" w:rsidP="00680C8E">
      <w:r>
        <w:separator/>
      </w:r>
    </w:p>
  </w:footnote>
  <w:footnote w:type="continuationSeparator" w:id="0">
    <w:p w14:paraId="4C81C39C" w14:textId="77777777" w:rsidR="00F840F7" w:rsidRDefault="00F840F7" w:rsidP="00680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7B6F" w14:textId="77777777" w:rsidR="00EF6D34" w:rsidRPr="004769F5" w:rsidRDefault="004769F5" w:rsidP="004769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30386-06-20</w:t>
    </w:r>
    <w:r>
      <w:rPr>
        <w:rFonts w:ascii="David" w:hAnsi="David"/>
        <w:color w:val="000000"/>
        <w:sz w:val="22"/>
        <w:szCs w:val="22"/>
        <w:rtl/>
      </w:rPr>
      <w:tab/>
      <w:t xml:space="preserve"> מדינת ישראל נ' יהודה חמיאס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3B9BF" w14:textId="77777777" w:rsidR="00EF6D34" w:rsidRPr="004769F5" w:rsidRDefault="004769F5" w:rsidP="004769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30386-06-20</w:t>
    </w:r>
    <w:r>
      <w:rPr>
        <w:rFonts w:ascii="David" w:hAnsi="David"/>
        <w:color w:val="000000"/>
        <w:sz w:val="22"/>
        <w:szCs w:val="22"/>
        <w:rtl/>
      </w:rPr>
      <w:tab/>
      <w:t xml:space="preserve"> מדינת ישראל נ' יהודה חמיאס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83FFC"/>
    <w:multiLevelType w:val="hybridMultilevel"/>
    <w:tmpl w:val="3D4E43D0"/>
    <w:lvl w:ilvl="0" w:tplc="56AA29F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7AB75B6"/>
    <w:multiLevelType w:val="hybridMultilevel"/>
    <w:tmpl w:val="7F74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422675">
    <w:abstractNumId w:val="1"/>
  </w:num>
  <w:num w:numId="2" w16cid:durableId="97271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1D20"/>
    <w:rsid w:val="001B5A3B"/>
    <w:rsid w:val="001F1E88"/>
    <w:rsid w:val="00330D35"/>
    <w:rsid w:val="004769F5"/>
    <w:rsid w:val="00486FE1"/>
    <w:rsid w:val="00680C8E"/>
    <w:rsid w:val="008A5EF6"/>
    <w:rsid w:val="00BD1B5C"/>
    <w:rsid w:val="00D33A18"/>
    <w:rsid w:val="00DF796D"/>
    <w:rsid w:val="00E23214"/>
    <w:rsid w:val="00E31D20"/>
    <w:rsid w:val="00E77F89"/>
    <w:rsid w:val="00EF6D34"/>
    <w:rsid w:val="00F01772"/>
    <w:rsid w:val="00F84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CC9BAE"/>
  <w15:chartTrackingRefBased/>
  <w15:docId w15:val="{B96056A7-4EA9-405F-AF6C-7CDDB0A4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D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1D20"/>
    <w:pPr>
      <w:tabs>
        <w:tab w:val="center" w:pos="4153"/>
        <w:tab w:val="right" w:pos="8306"/>
      </w:tabs>
    </w:pPr>
  </w:style>
  <w:style w:type="character" w:customStyle="1" w:styleId="a4">
    <w:name w:val="כותרת עליונה תו"/>
    <w:link w:val="a3"/>
    <w:rsid w:val="00E31D20"/>
    <w:rPr>
      <w:rFonts w:ascii="Times New Roman" w:eastAsia="Times New Roman" w:hAnsi="Times New Roman" w:cs="David"/>
      <w:sz w:val="24"/>
      <w:szCs w:val="24"/>
    </w:rPr>
  </w:style>
  <w:style w:type="paragraph" w:styleId="a5">
    <w:name w:val="footer"/>
    <w:basedOn w:val="a"/>
    <w:link w:val="a6"/>
    <w:rsid w:val="00E31D20"/>
    <w:pPr>
      <w:tabs>
        <w:tab w:val="center" w:pos="4153"/>
        <w:tab w:val="right" w:pos="8306"/>
      </w:tabs>
    </w:pPr>
  </w:style>
  <w:style w:type="character" w:customStyle="1" w:styleId="a6">
    <w:name w:val="כותרת תחתונה תו"/>
    <w:link w:val="a5"/>
    <w:rsid w:val="00E31D20"/>
    <w:rPr>
      <w:rFonts w:ascii="Times New Roman" w:eastAsia="Times New Roman" w:hAnsi="Times New Roman" w:cs="David"/>
      <w:sz w:val="24"/>
      <w:szCs w:val="24"/>
    </w:rPr>
  </w:style>
  <w:style w:type="table" w:styleId="a7">
    <w:name w:val="Table Grid"/>
    <w:basedOn w:val="a1"/>
    <w:rsid w:val="00E31D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1D20"/>
  </w:style>
  <w:style w:type="paragraph" w:styleId="a9">
    <w:name w:val="List Paragraph"/>
    <w:basedOn w:val="a"/>
    <w:link w:val="aa"/>
    <w:qFormat/>
    <w:rsid w:val="00E31D20"/>
    <w:pPr>
      <w:ind w:left="720"/>
      <w:contextualSpacing/>
    </w:pPr>
  </w:style>
  <w:style w:type="paragraph" w:styleId="ab">
    <w:name w:val="No Spacing"/>
    <w:qFormat/>
    <w:rsid w:val="00E31D20"/>
    <w:pPr>
      <w:bidi/>
    </w:pPr>
    <w:rPr>
      <w:rFonts w:ascii="Times New Roman" w:eastAsia="Times New Roman" w:hAnsi="Times New Roman" w:cs="Times New Roman"/>
      <w:sz w:val="24"/>
      <w:szCs w:val="24"/>
    </w:rPr>
  </w:style>
  <w:style w:type="character" w:customStyle="1" w:styleId="aa">
    <w:name w:val="פיסקת רשימה תו"/>
    <w:link w:val="a9"/>
    <w:locked/>
    <w:rsid w:val="00E31D20"/>
    <w:rPr>
      <w:rFonts w:ascii="Times New Roman" w:eastAsia="Times New Roman" w:hAnsi="Times New Roman" w:cs="David"/>
      <w:sz w:val="24"/>
      <w:szCs w:val="24"/>
    </w:rPr>
  </w:style>
  <w:style w:type="character" w:styleId="Hyperlink">
    <w:name w:val="Hyperlink"/>
    <w:rsid w:val="00EF6D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6749949" TargetMode="External"/><Relationship Id="rId39" Type="http://schemas.openxmlformats.org/officeDocument/2006/relationships/footer" Target="footer1.xml"/><Relationship Id="rId21" Type="http://schemas.openxmlformats.org/officeDocument/2006/relationships/hyperlink" Target="http://www.nevo.co.il/case/25207995" TargetMode="External"/><Relationship Id="rId34" Type="http://schemas.openxmlformats.org/officeDocument/2006/relationships/hyperlink" Target="http://www.nevo.co.il/law/70301"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84" TargetMode="External"/><Relationship Id="rId20" Type="http://schemas.openxmlformats.org/officeDocument/2006/relationships/hyperlink" Target="http://www.nevo.co.il/case/18739556" TargetMode="External"/><Relationship Id="rId29" Type="http://schemas.openxmlformats.org/officeDocument/2006/relationships/hyperlink" Target="http://www.nevo.co.il/case/788140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1477472" TargetMode="External"/><Relationship Id="rId32" Type="http://schemas.openxmlformats.org/officeDocument/2006/relationships/hyperlink" Target="http://www.nevo.co.il/case/20111708"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5659772" TargetMode="External"/><Relationship Id="rId23" Type="http://schemas.openxmlformats.org/officeDocument/2006/relationships/hyperlink" Target="http://www.nevo.co.il/case/20420496" TargetMode="External"/><Relationship Id="rId28" Type="http://schemas.openxmlformats.org/officeDocument/2006/relationships/hyperlink" Target="http://www.nevo.co.il/case/20818373"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673356" TargetMode="External"/><Relationship Id="rId31" Type="http://schemas.openxmlformats.org/officeDocument/2006/relationships/hyperlink" Target="http://www.nevo.co.il/case/22238997"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8303615" TargetMode="External"/><Relationship Id="rId27" Type="http://schemas.openxmlformats.org/officeDocument/2006/relationships/hyperlink" Target="http://www.nevo.co.il/case/26226466" TargetMode="External"/><Relationship Id="rId30" Type="http://schemas.openxmlformats.org/officeDocument/2006/relationships/hyperlink" Target="http://www.nevo.co.il/case/20854482" TargetMode="External"/><Relationship Id="rId35" Type="http://schemas.openxmlformats.org/officeDocument/2006/relationships/hyperlink" Target="http://www.nevo.co.il/case/25659772" TargetMode="Externa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207995" TargetMode="External"/><Relationship Id="rId33" Type="http://schemas.openxmlformats.org/officeDocument/2006/relationships/hyperlink" Target="http://www.nevo.co.il/law/70301/40d"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2251</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13482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3801203</vt:i4>
      </vt:variant>
      <vt:variant>
        <vt:i4>84</vt:i4>
      </vt:variant>
      <vt:variant>
        <vt:i4>0</vt:i4>
      </vt:variant>
      <vt:variant>
        <vt:i4>5</vt:i4>
      </vt:variant>
      <vt:variant>
        <vt:lpwstr>http://www.nevo.co.il/case/25659772</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3276914</vt:i4>
      </vt:variant>
      <vt:variant>
        <vt:i4>75</vt:i4>
      </vt:variant>
      <vt:variant>
        <vt:i4>0</vt:i4>
      </vt:variant>
      <vt:variant>
        <vt:i4>5</vt:i4>
      </vt:variant>
      <vt:variant>
        <vt:lpwstr>http://www.nevo.co.il/case/20111708</vt:lpwstr>
      </vt:variant>
      <vt:variant>
        <vt:lpwstr/>
      </vt:variant>
      <vt:variant>
        <vt:i4>3211388</vt:i4>
      </vt:variant>
      <vt:variant>
        <vt:i4>72</vt:i4>
      </vt:variant>
      <vt:variant>
        <vt:i4>0</vt:i4>
      </vt:variant>
      <vt:variant>
        <vt:i4>5</vt:i4>
      </vt:variant>
      <vt:variant>
        <vt:lpwstr>http://www.nevo.co.il/case/22238997</vt:lpwstr>
      </vt:variant>
      <vt:variant>
        <vt:lpwstr/>
      </vt:variant>
      <vt:variant>
        <vt:i4>3539061</vt:i4>
      </vt:variant>
      <vt:variant>
        <vt:i4>69</vt:i4>
      </vt:variant>
      <vt:variant>
        <vt:i4>0</vt:i4>
      </vt:variant>
      <vt:variant>
        <vt:i4>5</vt:i4>
      </vt:variant>
      <vt:variant>
        <vt:lpwstr>http://www.nevo.co.il/case/20854482</vt:lpwstr>
      </vt:variant>
      <vt:variant>
        <vt:lpwstr/>
      </vt:variant>
      <vt:variant>
        <vt:i4>3932285</vt:i4>
      </vt:variant>
      <vt:variant>
        <vt:i4>66</vt:i4>
      </vt:variant>
      <vt:variant>
        <vt:i4>0</vt:i4>
      </vt:variant>
      <vt:variant>
        <vt:i4>5</vt:i4>
      </vt:variant>
      <vt:variant>
        <vt:lpwstr>http://www.nevo.co.il/case/7881407</vt:lpwstr>
      </vt:variant>
      <vt:variant>
        <vt:lpwstr/>
      </vt:variant>
      <vt:variant>
        <vt:i4>3473526</vt:i4>
      </vt:variant>
      <vt:variant>
        <vt:i4>63</vt:i4>
      </vt:variant>
      <vt:variant>
        <vt:i4>0</vt:i4>
      </vt:variant>
      <vt:variant>
        <vt:i4>5</vt:i4>
      </vt:variant>
      <vt:variant>
        <vt:lpwstr>http://www.nevo.co.il/case/20818373</vt:lpwstr>
      </vt:variant>
      <vt:variant>
        <vt:lpwstr/>
      </vt:variant>
      <vt:variant>
        <vt:i4>3145844</vt:i4>
      </vt:variant>
      <vt:variant>
        <vt:i4>60</vt:i4>
      </vt:variant>
      <vt:variant>
        <vt:i4>0</vt:i4>
      </vt:variant>
      <vt:variant>
        <vt:i4>5</vt:i4>
      </vt:variant>
      <vt:variant>
        <vt:lpwstr>http://www.nevo.co.il/case/26226466</vt:lpwstr>
      </vt:variant>
      <vt:variant>
        <vt:lpwstr/>
      </vt:variant>
      <vt:variant>
        <vt:i4>3670143</vt:i4>
      </vt:variant>
      <vt:variant>
        <vt:i4>57</vt:i4>
      </vt:variant>
      <vt:variant>
        <vt:i4>0</vt:i4>
      </vt:variant>
      <vt:variant>
        <vt:i4>5</vt:i4>
      </vt:variant>
      <vt:variant>
        <vt:lpwstr>http://www.nevo.co.il/case/26749949</vt:lpwstr>
      </vt:variant>
      <vt:variant>
        <vt:lpwstr/>
      </vt:variant>
      <vt:variant>
        <vt:i4>4063352</vt:i4>
      </vt:variant>
      <vt:variant>
        <vt:i4>54</vt:i4>
      </vt:variant>
      <vt:variant>
        <vt:i4>0</vt:i4>
      </vt:variant>
      <vt:variant>
        <vt:i4>5</vt:i4>
      </vt:variant>
      <vt:variant>
        <vt:lpwstr>http://www.nevo.co.il/case/25207995</vt:lpwstr>
      </vt:variant>
      <vt:variant>
        <vt:lpwstr/>
      </vt:variant>
      <vt:variant>
        <vt:i4>3539062</vt:i4>
      </vt:variant>
      <vt:variant>
        <vt:i4>51</vt:i4>
      </vt:variant>
      <vt:variant>
        <vt:i4>0</vt:i4>
      </vt:variant>
      <vt:variant>
        <vt:i4>5</vt:i4>
      </vt:variant>
      <vt:variant>
        <vt:lpwstr>http://www.nevo.co.il/case/21477472</vt:lpwstr>
      </vt:variant>
      <vt:variant>
        <vt:lpwstr/>
      </vt:variant>
      <vt:variant>
        <vt:i4>4128882</vt:i4>
      </vt:variant>
      <vt:variant>
        <vt:i4>48</vt:i4>
      </vt:variant>
      <vt:variant>
        <vt:i4>0</vt:i4>
      </vt:variant>
      <vt:variant>
        <vt:i4>5</vt:i4>
      </vt:variant>
      <vt:variant>
        <vt:lpwstr>http://www.nevo.co.il/case/20420496</vt:lpwstr>
      </vt:variant>
      <vt:variant>
        <vt:lpwstr/>
      </vt:variant>
      <vt:variant>
        <vt:i4>3342458</vt:i4>
      </vt:variant>
      <vt:variant>
        <vt:i4>45</vt:i4>
      </vt:variant>
      <vt:variant>
        <vt:i4>0</vt:i4>
      </vt:variant>
      <vt:variant>
        <vt:i4>5</vt:i4>
      </vt:variant>
      <vt:variant>
        <vt:lpwstr>http://www.nevo.co.il/case/28303615</vt:lpwstr>
      </vt:variant>
      <vt:variant>
        <vt:lpwstr/>
      </vt:variant>
      <vt:variant>
        <vt:i4>4063352</vt:i4>
      </vt:variant>
      <vt:variant>
        <vt:i4>42</vt:i4>
      </vt:variant>
      <vt:variant>
        <vt:i4>0</vt:i4>
      </vt:variant>
      <vt:variant>
        <vt:i4>5</vt:i4>
      </vt:variant>
      <vt:variant>
        <vt:lpwstr>http://www.nevo.co.il/case/25207995</vt:lpwstr>
      </vt:variant>
      <vt:variant>
        <vt:lpwstr/>
      </vt:variant>
      <vt:variant>
        <vt:i4>3801210</vt:i4>
      </vt:variant>
      <vt:variant>
        <vt:i4>39</vt:i4>
      </vt:variant>
      <vt:variant>
        <vt:i4>0</vt:i4>
      </vt:variant>
      <vt:variant>
        <vt:i4>5</vt:i4>
      </vt:variant>
      <vt:variant>
        <vt:lpwstr>http://www.nevo.co.il/case/18739556</vt:lpwstr>
      </vt:variant>
      <vt:variant>
        <vt:lpwstr/>
      </vt:variant>
      <vt:variant>
        <vt:i4>3604596</vt:i4>
      </vt:variant>
      <vt:variant>
        <vt:i4>36</vt:i4>
      </vt:variant>
      <vt:variant>
        <vt:i4>0</vt:i4>
      </vt:variant>
      <vt:variant>
        <vt:i4>5</vt:i4>
      </vt:variant>
      <vt:variant>
        <vt:lpwstr>http://www.nevo.co.il/case/5673356</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7143526</vt:i4>
      </vt:variant>
      <vt:variant>
        <vt:i4>27</vt:i4>
      </vt:variant>
      <vt:variant>
        <vt:i4>0</vt:i4>
      </vt:variant>
      <vt:variant>
        <vt:i4>5</vt:i4>
      </vt:variant>
      <vt:variant>
        <vt:lpwstr>http://www.nevo.co.il/law/70301/384</vt:lpwstr>
      </vt:variant>
      <vt:variant>
        <vt:lpwstr/>
      </vt:variant>
      <vt:variant>
        <vt:i4>3801203</vt:i4>
      </vt:variant>
      <vt:variant>
        <vt:i4>24</vt:i4>
      </vt:variant>
      <vt:variant>
        <vt:i4>0</vt:i4>
      </vt:variant>
      <vt:variant>
        <vt:i4>5</vt:i4>
      </vt:variant>
      <vt:variant>
        <vt:lpwstr>http://www.nevo.co.il/case/25659772</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2025-04-23T00:36:00Z</dcterms:created>
  <dcterms:modified xsi:type="dcterms:W3CDTF">2025-04-23T00:36:00Z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30386</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יהודה חמיאס</vt:lpwstr>
  </property>
  <property fmtid="{D5CDD505-2E9C-101B-9397-08002B2CF9AE}" pid="10" name="LAWYER">
    <vt:lpwstr>שמואל פלישמן;מיטל סטי</vt:lpwstr>
  </property>
  <property fmtid="{D5CDD505-2E9C-101B-9397-08002B2CF9AE}" pid="11" name="JUDGE">
    <vt:lpwstr>ס. רועי פרי</vt:lpwstr>
  </property>
  <property fmtid="{D5CDD505-2E9C-101B-9397-08002B2CF9AE}" pid="12" name="CITY">
    <vt:lpwstr>ת"א</vt:lpwstr>
  </property>
  <property fmtid="{D5CDD505-2E9C-101B-9397-08002B2CF9AE}" pid="13" name="DATE">
    <vt:lpwstr>20220530</vt:lpwstr>
  </property>
  <property fmtid="{D5CDD505-2E9C-101B-9397-08002B2CF9AE}" pid="14" name="TYPE_N_DATE">
    <vt:lpwstr>38020220530</vt:lpwstr>
  </property>
  <property fmtid="{D5CDD505-2E9C-101B-9397-08002B2CF9AE}" pid="15" name="WORDNUMPAGES">
    <vt:lpwstr>7</vt:lpwstr>
  </property>
  <property fmtid="{D5CDD505-2E9C-101B-9397-08002B2CF9AE}" pid="16" name="TYPE_ABS_DATE">
    <vt:lpwstr>380020220530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25659772:2;5673356;18739556;25207995:2;28303615;20420496;21477472;26749949;26226466;20818373;7881407;20854482;22238997;20111708</vt:lpwstr>
  </property>
  <property fmtid="{D5CDD505-2E9C-101B-9397-08002B2CF9AE}" pid="36" name="LAWLISTTMP1">
    <vt:lpwstr>4216/013;019.a</vt:lpwstr>
  </property>
  <property fmtid="{D5CDD505-2E9C-101B-9397-08002B2CF9AE}" pid="37" name="LAWLISTTMP2">
    <vt:lpwstr>70301/384;040d</vt:lpwstr>
  </property>
</Properties>
</file>