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971C1" w:rsidRPr="002B64D8" w14:paraId="3446CC85" w14:textId="77777777" w:rsidTr="002B64D8">
        <w:trPr>
          <w:gridAfter w:val="1"/>
          <w:wAfter w:w="99" w:type="dxa"/>
          <w:trHeight w:hRule="exact" w:val="418"/>
          <w:jc w:val="center"/>
        </w:trPr>
        <w:tc>
          <w:tcPr>
            <w:tcW w:w="8721" w:type="dxa"/>
            <w:gridSpan w:val="4"/>
          </w:tcPr>
          <w:p w14:paraId="267D698B" w14:textId="77777777" w:rsidR="009971C1" w:rsidRPr="002B64D8" w:rsidRDefault="009971C1" w:rsidP="002656E1">
            <w:pPr>
              <w:pStyle w:val="a4"/>
              <w:jc w:val="center"/>
              <w:rPr>
                <w:rFonts w:ascii="Tahoma" w:hAnsi="Tahoma"/>
                <w:color w:val="000080"/>
                <w:rtl/>
              </w:rPr>
            </w:pPr>
            <w:bookmarkStart w:id="0" w:name="FirstLawyer"/>
            <w:bookmarkStart w:id="1" w:name="LastJudge"/>
            <w:r w:rsidRPr="002B64D8">
              <w:rPr>
                <w:rFonts w:ascii="Tahoma" w:hAnsi="Tahoma"/>
                <w:b/>
                <w:bCs/>
                <w:color w:val="000080"/>
                <w:rtl/>
              </w:rPr>
              <w:t>בית משפט השלום בבאר שבע</w:t>
            </w:r>
          </w:p>
        </w:tc>
      </w:tr>
      <w:tr w:rsidR="009971C1" w:rsidRPr="002B64D8" w14:paraId="17C1E355" w14:textId="77777777" w:rsidTr="002B64D8">
        <w:trPr>
          <w:gridAfter w:val="1"/>
          <w:wAfter w:w="99" w:type="dxa"/>
          <w:trHeight w:val="337"/>
          <w:jc w:val="center"/>
        </w:trPr>
        <w:tc>
          <w:tcPr>
            <w:tcW w:w="5054" w:type="dxa"/>
            <w:gridSpan w:val="3"/>
          </w:tcPr>
          <w:p w14:paraId="1B20C7AF" w14:textId="77777777" w:rsidR="009971C1" w:rsidRPr="002B64D8" w:rsidRDefault="009971C1" w:rsidP="002656E1">
            <w:pPr>
              <w:rPr>
                <w:sz w:val="28"/>
                <w:szCs w:val="28"/>
                <w:rtl/>
              </w:rPr>
            </w:pPr>
            <w:r w:rsidRPr="002B64D8">
              <w:rPr>
                <w:sz w:val="28"/>
                <w:szCs w:val="28"/>
                <w:rtl/>
              </w:rPr>
              <w:t>ת"פ</w:t>
            </w:r>
            <w:r w:rsidRPr="002B64D8">
              <w:rPr>
                <w:rFonts w:hint="cs"/>
                <w:sz w:val="28"/>
                <w:szCs w:val="28"/>
                <w:rtl/>
              </w:rPr>
              <w:t xml:space="preserve"> </w:t>
            </w:r>
            <w:r w:rsidRPr="002B64D8">
              <w:rPr>
                <w:sz w:val="28"/>
                <w:szCs w:val="28"/>
                <w:rtl/>
              </w:rPr>
              <w:t>55430-06-20</w:t>
            </w:r>
            <w:r w:rsidRPr="002B64D8">
              <w:rPr>
                <w:rFonts w:hint="cs"/>
                <w:sz w:val="28"/>
                <w:szCs w:val="28"/>
                <w:rtl/>
              </w:rPr>
              <w:t xml:space="preserve"> </w:t>
            </w:r>
            <w:r w:rsidRPr="002B64D8">
              <w:rPr>
                <w:sz w:val="28"/>
                <w:szCs w:val="28"/>
                <w:rtl/>
              </w:rPr>
              <w:t>מדינת ישראל נ' בן שושן</w:t>
            </w:r>
          </w:p>
          <w:p w14:paraId="53995559" w14:textId="77777777" w:rsidR="009971C1" w:rsidRPr="002B64D8" w:rsidRDefault="009971C1" w:rsidP="002656E1">
            <w:pPr>
              <w:pStyle w:val="a4"/>
              <w:rPr>
                <w:sz w:val="28"/>
                <w:szCs w:val="28"/>
                <w:rtl/>
              </w:rPr>
            </w:pPr>
          </w:p>
        </w:tc>
        <w:tc>
          <w:tcPr>
            <w:tcW w:w="3667" w:type="dxa"/>
          </w:tcPr>
          <w:p w14:paraId="3C6C09D4" w14:textId="77777777" w:rsidR="009971C1" w:rsidRPr="002B64D8" w:rsidRDefault="009971C1" w:rsidP="002656E1">
            <w:pPr>
              <w:pStyle w:val="a4"/>
              <w:jc w:val="right"/>
              <w:rPr>
                <w:sz w:val="28"/>
                <w:szCs w:val="28"/>
                <w:rtl/>
              </w:rPr>
            </w:pPr>
          </w:p>
        </w:tc>
      </w:tr>
      <w:tr w:rsidR="009971C1" w:rsidRPr="002B64D8" w14:paraId="3E3EE668" w14:textId="77777777" w:rsidTr="002B6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43AFB24" w14:textId="77777777" w:rsidR="009971C1" w:rsidRPr="002B64D8" w:rsidRDefault="009971C1" w:rsidP="009971C1">
            <w:pPr>
              <w:jc w:val="both"/>
              <w:rPr>
                <w:rFonts w:ascii="David" w:hAnsi="David"/>
                <w:sz w:val="26"/>
                <w:szCs w:val="26"/>
              </w:rPr>
            </w:pPr>
            <w:r w:rsidRPr="002B64D8">
              <w:rPr>
                <w:rFonts w:hint="cs"/>
                <w:rtl/>
              </w:rPr>
              <w:t xml:space="preserve"> </w:t>
            </w:r>
            <w:r w:rsidRPr="002B64D8">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5C13D96" w14:textId="77777777" w:rsidR="009971C1" w:rsidRPr="002B64D8" w:rsidRDefault="009971C1" w:rsidP="002656E1">
            <w:pPr>
              <w:rPr>
                <w:rFonts w:ascii="David" w:hAnsi="David"/>
                <w:b/>
                <w:bCs/>
                <w:sz w:val="26"/>
                <w:szCs w:val="26"/>
                <w:rtl/>
              </w:rPr>
            </w:pPr>
            <w:r w:rsidRPr="002B64D8">
              <w:rPr>
                <w:rFonts w:ascii="David" w:hAnsi="David"/>
                <w:b/>
                <w:bCs/>
                <w:sz w:val="26"/>
                <w:szCs w:val="26"/>
                <w:rtl/>
              </w:rPr>
              <w:t>כבוד השופט  יניב בן הרוש</w:t>
            </w:r>
          </w:p>
          <w:p w14:paraId="41649575" w14:textId="77777777" w:rsidR="009971C1" w:rsidRPr="002B64D8" w:rsidRDefault="009971C1" w:rsidP="002656E1">
            <w:pPr>
              <w:rPr>
                <w:rFonts w:ascii="David" w:hAnsi="David"/>
                <w:sz w:val="26"/>
                <w:szCs w:val="26"/>
                <w:rtl/>
              </w:rPr>
            </w:pPr>
          </w:p>
          <w:p w14:paraId="4AC68DE8" w14:textId="77777777" w:rsidR="009971C1" w:rsidRPr="002B64D8" w:rsidRDefault="009971C1" w:rsidP="009971C1">
            <w:pPr>
              <w:jc w:val="both"/>
              <w:rPr>
                <w:rFonts w:ascii="David" w:hAnsi="David"/>
                <w:sz w:val="26"/>
                <w:szCs w:val="26"/>
              </w:rPr>
            </w:pPr>
          </w:p>
        </w:tc>
      </w:tr>
      <w:tr w:rsidR="009971C1" w:rsidRPr="002B64D8" w14:paraId="5A6359C8" w14:textId="77777777" w:rsidTr="002B6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19F78E" w14:textId="77777777" w:rsidR="009971C1" w:rsidRPr="002B64D8" w:rsidRDefault="009971C1" w:rsidP="009971C1">
            <w:pPr>
              <w:jc w:val="both"/>
              <w:rPr>
                <w:rFonts w:ascii="David" w:hAnsi="David"/>
                <w:sz w:val="26"/>
                <w:szCs w:val="26"/>
              </w:rPr>
            </w:pPr>
            <w:bookmarkStart w:id="2" w:name="FirstAppellant"/>
            <w:r w:rsidRPr="002B64D8">
              <w:rPr>
                <w:rFonts w:ascii="David" w:hAnsi="David"/>
                <w:sz w:val="26"/>
                <w:szCs w:val="26"/>
                <w:rtl/>
              </w:rPr>
              <w:t>בעניין:</w:t>
            </w:r>
          </w:p>
        </w:tc>
        <w:tc>
          <w:tcPr>
            <w:tcW w:w="3219" w:type="dxa"/>
            <w:tcBorders>
              <w:top w:val="nil"/>
              <w:left w:val="nil"/>
              <w:bottom w:val="nil"/>
              <w:right w:val="nil"/>
            </w:tcBorders>
            <w:shd w:val="clear" w:color="auto" w:fill="auto"/>
          </w:tcPr>
          <w:p w14:paraId="153AB8E9" w14:textId="77777777" w:rsidR="009971C1" w:rsidRPr="002B64D8" w:rsidRDefault="009971C1" w:rsidP="009971C1">
            <w:pPr>
              <w:suppressLineNumbers/>
            </w:pPr>
            <w:r w:rsidRPr="002B64D8">
              <w:rPr>
                <w:rFonts w:ascii="Arial" w:hAnsi="Arial" w:hint="cs"/>
                <w:b/>
                <w:bCs/>
                <w:sz w:val="26"/>
                <w:szCs w:val="26"/>
                <w:rtl/>
              </w:rPr>
              <w:t>ה</w:t>
            </w:r>
            <w:r w:rsidRPr="002B64D8">
              <w:rPr>
                <w:rFonts w:ascii="Arial" w:hAnsi="Arial"/>
                <w:b/>
                <w:bCs/>
                <w:sz w:val="26"/>
                <w:szCs w:val="26"/>
                <w:rtl/>
              </w:rPr>
              <w:t>מאשימה</w:t>
            </w:r>
          </w:p>
          <w:p w14:paraId="08D49093" w14:textId="77777777" w:rsidR="009971C1" w:rsidRPr="002B64D8" w:rsidRDefault="009971C1" w:rsidP="002656E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DBB0748" w14:textId="77777777" w:rsidR="009971C1" w:rsidRPr="002B64D8" w:rsidRDefault="009971C1" w:rsidP="009971C1">
            <w:pPr>
              <w:suppressLineNumbers/>
              <w:rPr>
                <w:rFonts w:ascii="David" w:hAnsi="David"/>
                <w:b/>
                <w:bCs/>
                <w:sz w:val="26"/>
                <w:szCs w:val="26"/>
              </w:rPr>
            </w:pPr>
            <w:r w:rsidRPr="002B64D8">
              <w:rPr>
                <w:rFonts w:ascii="Arial" w:hAnsi="Arial"/>
                <w:b/>
                <w:bCs/>
                <w:sz w:val="26"/>
                <w:szCs w:val="26"/>
                <w:rtl/>
              </w:rPr>
              <w:t>מדינת ישראל</w:t>
            </w:r>
            <w:r w:rsidRPr="002B64D8">
              <w:rPr>
                <w:rFonts w:ascii="Arial" w:hAnsi="Arial" w:hint="cs"/>
                <w:b/>
                <w:bCs/>
                <w:sz w:val="26"/>
                <w:szCs w:val="26"/>
                <w:rtl/>
              </w:rPr>
              <w:t xml:space="preserve"> </w:t>
            </w:r>
            <w:r w:rsidRPr="002B64D8">
              <w:rPr>
                <w:rFonts w:ascii="Arial" w:hAnsi="Arial"/>
                <w:b/>
                <w:bCs/>
                <w:sz w:val="26"/>
                <w:szCs w:val="26"/>
                <w:rtl/>
              </w:rPr>
              <w:t>ע"י ב"כ עוה"ד</w:t>
            </w:r>
            <w:r w:rsidRPr="002B64D8">
              <w:rPr>
                <w:rFonts w:ascii="David" w:hAnsi="David" w:hint="cs"/>
                <w:sz w:val="26"/>
                <w:szCs w:val="26"/>
                <w:rtl/>
              </w:rPr>
              <w:t xml:space="preserve"> </w:t>
            </w:r>
            <w:r w:rsidRPr="002B64D8">
              <w:rPr>
                <w:rFonts w:ascii="David" w:hAnsi="David" w:hint="cs"/>
                <w:b/>
                <w:bCs/>
                <w:sz w:val="26"/>
                <w:szCs w:val="26"/>
                <w:rtl/>
              </w:rPr>
              <w:t>דוד ז'נבה ועו"ד חיים לב</w:t>
            </w:r>
          </w:p>
          <w:p w14:paraId="6B13319E" w14:textId="77777777" w:rsidR="009971C1" w:rsidRPr="002B64D8" w:rsidRDefault="009971C1" w:rsidP="002656E1">
            <w:pPr>
              <w:rPr>
                <w:rFonts w:ascii="David" w:hAnsi="David"/>
                <w:sz w:val="26"/>
                <w:szCs w:val="26"/>
              </w:rPr>
            </w:pPr>
          </w:p>
        </w:tc>
      </w:tr>
      <w:bookmarkEnd w:id="2"/>
      <w:tr w:rsidR="009971C1" w:rsidRPr="002B64D8" w14:paraId="2FD3EBED" w14:textId="77777777" w:rsidTr="002B6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783057" w14:textId="77777777" w:rsidR="009971C1" w:rsidRPr="002B64D8" w:rsidRDefault="009971C1" w:rsidP="009971C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DE3358D" w14:textId="77777777" w:rsidR="009971C1" w:rsidRPr="002B64D8" w:rsidRDefault="009971C1" w:rsidP="009971C1">
            <w:pPr>
              <w:jc w:val="center"/>
              <w:rPr>
                <w:rFonts w:ascii="David" w:hAnsi="David"/>
                <w:b/>
                <w:bCs/>
                <w:sz w:val="26"/>
                <w:szCs w:val="26"/>
                <w:rtl/>
              </w:rPr>
            </w:pPr>
          </w:p>
          <w:p w14:paraId="608A21AF" w14:textId="77777777" w:rsidR="009971C1" w:rsidRPr="002B64D8" w:rsidRDefault="009971C1" w:rsidP="009971C1">
            <w:pPr>
              <w:jc w:val="center"/>
              <w:rPr>
                <w:rFonts w:ascii="David" w:hAnsi="David"/>
                <w:b/>
                <w:bCs/>
                <w:sz w:val="26"/>
                <w:szCs w:val="26"/>
                <w:rtl/>
              </w:rPr>
            </w:pPr>
            <w:r w:rsidRPr="002B64D8">
              <w:rPr>
                <w:rFonts w:ascii="David" w:hAnsi="David"/>
                <w:b/>
                <w:bCs/>
                <w:sz w:val="26"/>
                <w:szCs w:val="26"/>
                <w:rtl/>
              </w:rPr>
              <w:t>נגד</w:t>
            </w:r>
          </w:p>
          <w:p w14:paraId="2E3B3102" w14:textId="77777777" w:rsidR="009971C1" w:rsidRPr="002B64D8" w:rsidRDefault="009971C1" w:rsidP="009971C1">
            <w:pPr>
              <w:jc w:val="both"/>
              <w:rPr>
                <w:rFonts w:ascii="David" w:hAnsi="David"/>
                <w:sz w:val="26"/>
                <w:szCs w:val="26"/>
              </w:rPr>
            </w:pPr>
          </w:p>
        </w:tc>
      </w:tr>
      <w:tr w:rsidR="009971C1" w:rsidRPr="002B64D8" w14:paraId="3E8B8F8C" w14:textId="77777777" w:rsidTr="002B6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0EA089" w14:textId="77777777" w:rsidR="009971C1" w:rsidRPr="002B64D8" w:rsidRDefault="009971C1" w:rsidP="002656E1">
            <w:pPr>
              <w:rPr>
                <w:rFonts w:ascii="David" w:hAnsi="David"/>
                <w:sz w:val="26"/>
                <w:szCs w:val="26"/>
                <w:rtl/>
              </w:rPr>
            </w:pPr>
          </w:p>
        </w:tc>
        <w:tc>
          <w:tcPr>
            <w:tcW w:w="3219" w:type="dxa"/>
            <w:tcBorders>
              <w:top w:val="nil"/>
              <w:left w:val="nil"/>
              <w:bottom w:val="nil"/>
              <w:right w:val="nil"/>
            </w:tcBorders>
            <w:shd w:val="clear" w:color="auto" w:fill="auto"/>
          </w:tcPr>
          <w:p w14:paraId="7C31A5DF" w14:textId="77777777" w:rsidR="009971C1" w:rsidRPr="002B64D8" w:rsidRDefault="009971C1" w:rsidP="002656E1">
            <w:pPr>
              <w:rPr>
                <w:rFonts w:ascii="Arial" w:hAnsi="Arial"/>
                <w:b/>
                <w:bCs/>
                <w:sz w:val="26"/>
                <w:szCs w:val="26"/>
                <w:rtl/>
              </w:rPr>
            </w:pPr>
            <w:r w:rsidRPr="002B64D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7B550D4" w14:textId="77777777" w:rsidR="009971C1" w:rsidRPr="002B64D8" w:rsidRDefault="009971C1" w:rsidP="009971C1">
            <w:pPr>
              <w:suppressLineNumbers/>
              <w:rPr>
                <w:b/>
                <w:bCs/>
                <w:sz w:val="26"/>
                <w:szCs w:val="26"/>
              </w:rPr>
            </w:pPr>
            <w:r w:rsidRPr="002B64D8">
              <w:rPr>
                <w:rFonts w:ascii="Arial" w:hAnsi="Arial"/>
                <w:b/>
                <w:bCs/>
                <w:sz w:val="26"/>
                <w:szCs w:val="26"/>
                <w:rtl/>
              </w:rPr>
              <w:t>אוריאל בן שושן</w:t>
            </w:r>
            <w:r w:rsidRPr="002B64D8">
              <w:rPr>
                <w:rFonts w:ascii="Arial" w:hAnsi="Arial" w:hint="cs"/>
                <w:b/>
                <w:bCs/>
                <w:sz w:val="26"/>
                <w:szCs w:val="26"/>
                <w:rtl/>
              </w:rPr>
              <w:t xml:space="preserve"> </w:t>
            </w:r>
            <w:r w:rsidRPr="002B64D8">
              <w:rPr>
                <w:rFonts w:ascii="Arial" w:hAnsi="Arial"/>
                <w:b/>
                <w:bCs/>
                <w:sz w:val="26"/>
                <w:szCs w:val="26"/>
                <w:rtl/>
              </w:rPr>
              <w:t>ע"י ב"כ עוה"ד</w:t>
            </w:r>
            <w:r w:rsidRPr="002B64D8">
              <w:rPr>
                <w:rFonts w:hint="cs"/>
                <w:rtl/>
              </w:rPr>
              <w:t xml:space="preserve"> </w:t>
            </w:r>
            <w:r w:rsidRPr="002B64D8">
              <w:rPr>
                <w:rFonts w:hint="cs"/>
                <w:b/>
                <w:bCs/>
                <w:sz w:val="26"/>
                <w:szCs w:val="26"/>
                <w:rtl/>
              </w:rPr>
              <w:t>רינת אפרים יהב</w:t>
            </w:r>
          </w:p>
          <w:p w14:paraId="21EA8F63" w14:textId="77777777" w:rsidR="009971C1" w:rsidRPr="002B64D8" w:rsidRDefault="009971C1" w:rsidP="002656E1">
            <w:pPr>
              <w:rPr>
                <w:rFonts w:ascii="David" w:hAnsi="David"/>
                <w:sz w:val="26"/>
                <w:szCs w:val="26"/>
              </w:rPr>
            </w:pPr>
          </w:p>
        </w:tc>
      </w:tr>
    </w:tbl>
    <w:p w14:paraId="0B0ECBC0" w14:textId="77777777" w:rsidR="002B64D8" w:rsidRDefault="002B64D8" w:rsidP="005154A4">
      <w:pPr>
        <w:rPr>
          <w:sz w:val="26"/>
          <w:szCs w:val="26"/>
          <w:rtl/>
        </w:rPr>
      </w:pPr>
    </w:p>
    <w:p w14:paraId="51AB28B7" w14:textId="77777777" w:rsidR="002B64D8" w:rsidRPr="002B64D8" w:rsidRDefault="002B64D8" w:rsidP="002B64D8">
      <w:pPr>
        <w:spacing w:after="120" w:line="240" w:lineRule="exact"/>
        <w:ind w:left="283" w:hanging="283"/>
        <w:jc w:val="both"/>
        <w:rPr>
          <w:rFonts w:ascii="FrankRuehl" w:hAnsi="FrankRuehl" w:cs="FrankRuehl"/>
          <w:rtl/>
        </w:rPr>
      </w:pPr>
    </w:p>
    <w:p w14:paraId="2E45D584" w14:textId="77777777" w:rsidR="007E7286" w:rsidRPr="007E7286" w:rsidRDefault="007E7286" w:rsidP="007E7286">
      <w:pPr>
        <w:spacing w:before="120" w:after="120" w:line="240" w:lineRule="exact"/>
        <w:ind w:left="283" w:hanging="283"/>
        <w:jc w:val="both"/>
        <w:rPr>
          <w:rFonts w:ascii="FrankRuehl" w:hAnsi="FrankRuehl" w:cs="FrankRuehl"/>
          <w:rtl/>
        </w:rPr>
      </w:pPr>
    </w:p>
    <w:p w14:paraId="481CE50C" w14:textId="77777777" w:rsidR="00B565C1" w:rsidRDefault="00B565C1" w:rsidP="00B565C1">
      <w:pPr>
        <w:rPr>
          <w:sz w:val="26"/>
          <w:szCs w:val="26"/>
          <w:rtl/>
        </w:rPr>
      </w:pPr>
      <w:bookmarkStart w:id="3" w:name="LawTable"/>
      <w:bookmarkEnd w:id="3"/>
    </w:p>
    <w:p w14:paraId="178BCAC3" w14:textId="77777777" w:rsidR="00B565C1" w:rsidRPr="00B565C1" w:rsidRDefault="00B565C1" w:rsidP="00B565C1">
      <w:pPr>
        <w:spacing w:before="120" w:after="120" w:line="240" w:lineRule="exact"/>
        <w:ind w:left="283" w:hanging="283"/>
        <w:jc w:val="both"/>
        <w:rPr>
          <w:rFonts w:ascii="FrankRuehl" w:hAnsi="FrankRuehl" w:cs="FrankRuehl"/>
          <w:rtl/>
        </w:rPr>
      </w:pPr>
    </w:p>
    <w:p w14:paraId="68EE66AA" w14:textId="77777777" w:rsidR="00B565C1" w:rsidRPr="00B565C1" w:rsidRDefault="00B565C1" w:rsidP="00B565C1">
      <w:pPr>
        <w:spacing w:before="120" w:after="120" w:line="240" w:lineRule="exact"/>
        <w:ind w:left="283" w:hanging="283"/>
        <w:jc w:val="both"/>
        <w:rPr>
          <w:rFonts w:ascii="FrankRuehl" w:hAnsi="FrankRuehl" w:cs="FrankRuehl"/>
          <w:rtl/>
        </w:rPr>
      </w:pPr>
    </w:p>
    <w:p w14:paraId="1CE58112" w14:textId="77777777" w:rsidR="00B565C1" w:rsidRPr="00B565C1" w:rsidRDefault="00B565C1" w:rsidP="00B565C1">
      <w:pPr>
        <w:spacing w:before="120" w:after="120" w:line="240" w:lineRule="exact"/>
        <w:ind w:left="283" w:hanging="283"/>
        <w:jc w:val="both"/>
        <w:rPr>
          <w:rFonts w:ascii="FrankRuehl" w:hAnsi="FrankRuehl" w:cs="FrankRuehl"/>
          <w:rtl/>
        </w:rPr>
      </w:pPr>
      <w:r w:rsidRPr="00B565C1">
        <w:rPr>
          <w:rFonts w:ascii="FrankRuehl" w:hAnsi="FrankRuehl" w:cs="FrankRuehl"/>
          <w:rtl/>
        </w:rPr>
        <w:t xml:space="preserve">חקיקה שאוזכרה: </w:t>
      </w:r>
    </w:p>
    <w:p w14:paraId="2B9545F0" w14:textId="77777777" w:rsidR="00B565C1" w:rsidRPr="00B565C1" w:rsidRDefault="00B565C1" w:rsidP="00B565C1">
      <w:pPr>
        <w:spacing w:before="120" w:after="120" w:line="240" w:lineRule="exact"/>
        <w:ind w:left="283" w:hanging="283"/>
        <w:jc w:val="both"/>
        <w:rPr>
          <w:rFonts w:ascii="FrankRuehl" w:hAnsi="FrankRuehl" w:cs="FrankRuehl"/>
          <w:rtl/>
        </w:rPr>
      </w:pPr>
      <w:hyperlink r:id="rId7" w:history="1">
        <w:r w:rsidRPr="00B565C1">
          <w:rPr>
            <w:rFonts w:ascii="FrankRuehl" w:hAnsi="FrankRuehl" w:cs="FrankRuehl"/>
            <w:color w:val="0000FF"/>
            <w:rtl/>
          </w:rPr>
          <w:t>פקודת הסמים המסוכנים [נוסח חדש], תשל"ג-1973</w:t>
        </w:r>
      </w:hyperlink>
      <w:r w:rsidRPr="00B565C1">
        <w:rPr>
          <w:rFonts w:ascii="FrankRuehl" w:hAnsi="FrankRuehl" w:cs="FrankRuehl"/>
          <w:rtl/>
        </w:rPr>
        <w:t xml:space="preserve">: סע'  </w:t>
      </w:r>
      <w:hyperlink r:id="rId8" w:history="1">
        <w:r w:rsidRPr="00B565C1">
          <w:rPr>
            <w:rFonts w:ascii="FrankRuehl" w:hAnsi="FrankRuehl" w:cs="FrankRuehl"/>
            <w:color w:val="0000FF"/>
            <w:rtl/>
          </w:rPr>
          <w:t>6</w:t>
        </w:r>
      </w:hyperlink>
    </w:p>
    <w:p w14:paraId="18A8DD15" w14:textId="77777777" w:rsidR="00B565C1" w:rsidRPr="00B565C1" w:rsidRDefault="00B565C1" w:rsidP="00B565C1">
      <w:pPr>
        <w:spacing w:before="120" w:after="120" w:line="240" w:lineRule="exact"/>
        <w:ind w:left="283" w:hanging="283"/>
        <w:jc w:val="both"/>
        <w:rPr>
          <w:rFonts w:ascii="FrankRuehl" w:hAnsi="FrankRuehl" w:cs="FrankRuehl"/>
          <w:rtl/>
        </w:rPr>
      </w:pPr>
      <w:hyperlink r:id="rId9" w:history="1">
        <w:r w:rsidRPr="00B565C1">
          <w:rPr>
            <w:rFonts w:ascii="FrankRuehl" w:hAnsi="FrankRuehl" w:cs="FrankRuehl"/>
            <w:color w:val="0000FF"/>
            <w:rtl/>
          </w:rPr>
          <w:t>חוק סדר הדין הפלילי [נוסח משולב], תשמ"ב-1982</w:t>
        </w:r>
      </w:hyperlink>
      <w:r w:rsidRPr="00B565C1">
        <w:rPr>
          <w:rFonts w:ascii="FrankRuehl" w:hAnsi="FrankRuehl" w:cs="FrankRuehl"/>
          <w:rtl/>
        </w:rPr>
        <w:t xml:space="preserve">: סע'  </w:t>
      </w:r>
      <w:hyperlink r:id="rId10" w:history="1">
        <w:r w:rsidRPr="00B565C1">
          <w:rPr>
            <w:rFonts w:ascii="FrankRuehl" w:hAnsi="FrankRuehl" w:cs="FrankRuehl"/>
            <w:color w:val="0000FF"/>
            <w:rtl/>
          </w:rPr>
          <w:t>192א</w:t>
        </w:r>
      </w:hyperlink>
    </w:p>
    <w:p w14:paraId="213640C1" w14:textId="77777777" w:rsidR="00B565C1" w:rsidRPr="00B565C1" w:rsidRDefault="00B565C1" w:rsidP="00B565C1">
      <w:pPr>
        <w:spacing w:before="120" w:after="120" w:line="240" w:lineRule="exact"/>
        <w:ind w:left="283" w:hanging="283"/>
        <w:jc w:val="both"/>
        <w:rPr>
          <w:rFonts w:ascii="FrankRuehl" w:hAnsi="FrankRuehl" w:cs="FrankRuehl"/>
          <w:rtl/>
        </w:rPr>
      </w:pPr>
      <w:hyperlink r:id="rId11" w:history="1">
        <w:r w:rsidRPr="00B565C1">
          <w:rPr>
            <w:rFonts w:ascii="FrankRuehl" w:hAnsi="FrankRuehl" w:cs="FrankRuehl"/>
            <w:color w:val="0000FF"/>
            <w:rtl/>
          </w:rPr>
          <w:t>פקודת המבחן [נוסח חדש], תשכ"ט-1969</w:t>
        </w:r>
      </w:hyperlink>
      <w:r w:rsidRPr="00B565C1">
        <w:rPr>
          <w:rFonts w:ascii="FrankRuehl" w:hAnsi="FrankRuehl" w:cs="FrankRuehl"/>
          <w:rtl/>
        </w:rPr>
        <w:t xml:space="preserve">: סע'  </w:t>
      </w:r>
      <w:hyperlink r:id="rId12" w:history="1">
        <w:r w:rsidRPr="00B565C1">
          <w:rPr>
            <w:rFonts w:ascii="FrankRuehl" w:hAnsi="FrankRuehl" w:cs="FrankRuehl"/>
            <w:color w:val="0000FF"/>
            <w:rtl/>
          </w:rPr>
          <w:t>1(2)</w:t>
        </w:r>
      </w:hyperlink>
    </w:p>
    <w:p w14:paraId="395EE296" w14:textId="77777777" w:rsidR="00B565C1" w:rsidRPr="00B565C1" w:rsidRDefault="00B565C1" w:rsidP="00B565C1">
      <w:pPr>
        <w:spacing w:before="120" w:after="120" w:line="240" w:lineRule="exact"/>
        <w:ind w:left="283" w:hanging="283"/>
        <w:jc w:val="both"/>
        <w:rPr>
          <w:rFonts w:ascii="FrankRuehl" w:hAnsi="FrankRuehl" w:cs="FrankRuehl"/>
          <w:rtl/>
        </w:rPr>
      </w:pPr>
      <w:hyperlink r:id="rId13" w:history="1">
        <w:r w:rsidRPr="00B565C1">
          <w:rPr>
            <w:rFonts w:ascii="FrankRuehl" w:hAnsi="FrankRuehl" w:cs="FrankRuehl"/>
            <w:color w:val="0000FF"/>
            <w:rtl/>
          </w:rPr>
          <w:t>חוק העונשין, תשל"ז-1977</w:t>
        </w:r>
      </w:hyperlink>
      <w:r w:rsidRPr="00B565C1">
        <w:rPr>
          <w:rFonts w:ascii="FrankRuehl" w:hAnsi="FrankRuehl" w:cs="FrankRuehl"/>
          <w:rtl/>
        </w:rPr>
        <w:t xml:space="preserve">: סע'  </w:t>
      </w:r>
      <w:hyperlink r:id="rId14" w:history="1">
        <w:r w:rsidRPr="00B565C1">
          <w:rPr>
            <w:rFonts w:ascii="FrankRuehl" w:hAnsi="FrankRuehl" w:cs="FrankRuehl"/>
            <w:color w:val="0000FF"/>
            <w:rtl/>
          </w:rPr>
          <w:t>40 ט'</w:t>
        </w:r>
      </w:hyperlink>
      <w:r w:rsidRPr="00B565C1">
        <w:rPr>
          <w:rFonts w:ascii="FrankRuehl" w:hAnsi="FrankRuehl" w:cs="FrankRuehl"/>
          <w:rtl/>
        </w:rPr>
        <w:t xml:space="preserve">, </w:t>
      </w:r>
      <w:hyperlink r:id="rId15" w:history="1">
        <w:r w:rsidRPr="00B565C1">
          <w:rPr>
            <w:rFonts w:ascii="FrankRuehl" w:hAnsi="FrankRuehl" w:cs="FrankRuehl"/>
            <w:color w:val="0000FF"/>
            <w:rtl/>
          </w:rPr>
          <w:t>71א</w:t>
        </w:r>
      </w:hyperlink>
    </w:p>
    <w:p w14:paraId="0827705C" w14:textId="77777777" w:rsidR="00B565C1" w:rsidRPr="00B565C1" w:rsidRDefault="00B565C1" w:rsidP="00B565C1">
      <w:pPr>
        <w:rPr>
          <w:sz w:val="26"/>
          <w:szCs w:val="26"/>
          <w:rtl/>
        </w:rPr>
      </w:pPr>
      <w:bookmarkStart w:id="4" w:name="LawTable_End"/>
      <w:bookmarkEnd w:id="4"/>
    </w:p>
    <w:p w14:paraId="6C0E210E" w14:textId="77777777" w:rsidR="009971C1" w:rsidRPr="007E7286" w:rsidRDefault="009971C1" w:rsidP="007E728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71C1" w:rsidRPr="002B64D8" w14:paraId="46004C21" w14:textId="77777777" w:rsidTr="009971C1">
        <w:trPr>
          <w:trHeight w:val="355"/>
          <w:jc w:val="center"/>
        </w:trPr>
        <w:tc>
          <w:tcPr>
            <w:tcW w:w="8820" w:type="dxa"/>
            <w:tcBorders>
              <w:top w:val="nil"/>
              <w:left w:val="nil"/>
              <w:bottom w:val="nil"/>
              <w:right w:val="nil"/>
            </w:tcBorders>
            <w:shd w:val="clear" w:color="auto" w:fill="auto"/>
          </w:tcPr>
          <w:p w14:paraId="751719A8" w14:textId="77777777" w:rsidR="005154A4" w:rsidRPr="002B64D8" w:rsidRDefault="005154A4" w:rsidP="005154A4">
            <w:pPr>
              <w:jc w:val="center"/>
              <w:rPr>
                <w:rFonts w:ascii="David" w:hAnsi="David"/>
                <w:b/>
                <w:bCs/>
                <w:sz w:val="32"/>
                <w:szCs w:val="32"/>
                <w:u w:val="single"/>
                <w:rtl/>
              </w:rPr>
            </w:pPr>
            <w:bookmarkStart w:id="5" w:name="PsakDin" w:colFirst="0" w:colLast="0"/>
            <w:bookmarkEnd w:id="0"/>
            <w:bookmarkEnd w:id="1"/>
            <w:r w:rsidRPr="002B64D8">
              <w:rPr>
                <w:rFonts w:ascii="David" w:hAnsi="David"/>
                <w:b/>
                <w:bCs/>
                <w:sz w:val="32"/>
                <w:szCs w:val="32"/>
                <w:u w:val="single"/>
                <w:rtl/>
              </w:rPr>
              <w:t>גזר דין</w:t>
            </w:r>
          </w:p>
          <w:p w14:paraId="124040BD" w14:textId="77777777" w:rsidR="009971C1" w:rsidRPr="002B64D8" w:rsidRDefault="009971C1" w:rsidP="005154A4">
            <w:pPr>
              <w:jc w:val="center"/>
              <w:rPr>
                <w:rFonts w:ascii="David" w:hAnsi="David"/>
                <w:bCs/>
                <w:sz w:val="32"/>
                <w:szCs w:val="32"/>
                <w:u w:val="single"/>
                <w:rtl/>
              </w:rPr>
            </w:pPr>
          </w:p>
        </w:tc>
      </w:tr>
      <w:bookmarkEnd w:id="5"/>
    </w:tbl>
    <w:p w14:paraId="1475740B" w14:textId="77777777" w:rsidR="009971C1" w:rsidRPr="002B64D8" w:rsidRDefault="009971C1" w:rsidP="009971C1">
      <w:pPr>
        <w:rPr>
          <w:rFonts w:ascii="Arial" w:hAnsi="Arial"/>
          <w:b/>
          <w:bCs/>
          <w:sz w:val="26"/>
          <w:szCs w:val="26"/>
          <w:rtl/>
        </w:rPr>
      </w:pPr>
    </w:p>
    <w:p w14:paraId="78F18C9B" w14:textId="77777777" w:rsidR="009971C1" w:rsidRPr="002B64D8" w:rsidRDefault="009971C1" w:rsidP="009971C1">
      <w:pPr>
        <w:numPr>
          <w:ilvl w:val="0"/>
          <w:numId w:val="2"/>
        </w:numPr>
        <w:spacing w:before="240" w:line="360" w:lineRule="auto"/>
        <w:jc w:val="both"/>
        <w:rPr>
          <w:rFonts w:ascii="David" w:hAnsi="David"/>
          <w:sz w:val="22"/>
          <w:szCs w:val="22"/>
        </w:rPr>
      </w:pPr>
      <w:bookmarkStart w:id="6" w:name="ABSTRACT_START"/>
      <w:bookmarkEnd w:id="6"/>
      <w:r w:rsidRPr="002B64D8">
        <w:rPr>
          <w:rFonts w:ascii="David" w:hAnsi="David"/>
          <w:rtl/>
        </w:rPr>
        <w:t xml:space="preserve">ביום 23.6.22 הורשע הנאשם במסגרת ההסדר הודה הנאשם בעובדות כתב האישום המתוקן, בעבירה של גידול סמים מסוכנים לפי </w:t>
      </w:r>
      <w:hyperlink r:id="rId16" w:history="1">
        <w:r w:rsidR="002B64D8" w:rsidRPr="002B64D8">
          <w:rPr>
            <w:rStyle w:val="Hyperlink"/>
            <w:rFonts w:ascii="David" w:hAnsi="David"/>
            <w:rtl/>
          </w:rPr>
          <w:t>סעיף 6</w:t>
        </w:r>
      </w:hyperlink>
      <w:r w:rsidRPr="002B64D8">
        <w:rPr>
          <w:rFonts w:ascii="David" w:hAnsi="David"/>
          <w:rtl/>
        </w:rPr>
        <w:t xml:space="preserve"> </w:t>
      </w:r>
      <w:r w:rsidRPr="002B64D8">
        <w:rPr>
          <w:rFonts w:ascii="David" w:hAnsi="David"/>
          <w:b/>
          <w:bCs/>
          <w:rtl/>
        </w:rPr>
        <w:t>ל</w:t>
      </w:r>
      <w:hyperlink r:id="rId17" w:history="1">
        <w:r w:rsidR="005154A4" w:rsidRPr="002B64D8">
          <w:rPr>
            <w:rFonts w:ascii="David" w:hAnsi="David"/>
            <w:b/>
            <w:bCs/>
            <w:color w:val="0000FF"/>
            <w:u w:val="single"/>
            <w:rtl/>
          </w:rPr>
          <w:t>פקודת הסמים המסוכנים</w:t>
        </w:r>
      </w:hyperlink>
      <w:r w:rsidRPr="002B64D8">
        <w:rPr>
          <w:rFonts w:ascii="David" w:hAnsi="David"/>
          <w:rtl/>
        </w:rPr>
        <w:t xml:space="preserve">, (נוסח חדש) תשל"ג -1973. </w:t>
      </w:r>
    </w:p>
    <w:p w14:paraId="65AC0281" w14:textId="77777777" w:rsidR="009971C1" w:rsidRPr="002B64D8" w:rsidRDefault="009971C1" w:rsidP="009971C1">
      <w:pPr>
        <w:numPr>
          <w:ilvl w:val="0"/>
          <w:numId w:val="2"/>
        </w:numPr>
        <w:spacing w:before="240" w:line="360" w:lineRule="auto"/>
        <w:jc w:val="both"/>
        <w:rPr>
          <w:rFonts w:ascii="David" w:hAnsi="David"/>
        </w:rPr>
      </w:pPr>
      <w:r w:rsidRPr="002B64D8">
        <w:rPr>
          <w:rFonts w:ascii="David" w:hAnsi="David"/>
          <w:rtl/>
        </w:rPr>
        <w:t>בהתאם לעובדות כתב האישום המתוקן, ביום 1.9.19 גידל הנאשם שני שתילים של סם הקנבוס במשקל כולל של 110 גרם, מבלי שניתן לו רישיון לכך.</w:t>
      </w:r>
    </w:p>
    <w:p w14:paraId="12E8F3CB" w14:textId="77777777" w:rsidR="009971C1" w:rsidRPr="002B64D8" w:rsidRDefault="009971C1" w:rsidP="009971C1">
      <w:pPr>
        <w:spacing w:line="360" w:lineRule="auto"/>
        <w:jc w:val="both"/>
        <w:rPr>
          <w:rFonts w:ascii="David" w:hAnsi="David"/>
        </w:rPr>
      </w:pPr>
      <w:bookmarkStart w:id="7" w:name="ABSTRACT_END"/>
      <w:bookmarkEnd w:id="7"/>
    </w:p>
    <w:p w14:paraId="0DDD7FED" w14:textId="77777777" w:rsidR="009971C1" w:rsidRPr="002B64D8" w:rsidRDefault="009971C1" w:rsidP="009971C1">
      <w:pPr>
        <w:spacing w:line="360" w:lineRule="auto"/>
        <w:jc w:val="both"/>
        <w:rPr>
          <w:rFonts w:ascii="David" w:hAnsi="David"/>
          <w:b/>
          <w:bCs/>
          <w:u w:val="single"/>
          <w:rtl/>
        </w:rPr>
      </w:pPr>
      <w:r w:rsidRPr="002B64D8">
        <w:rPr>
          <w:rFonts w:ascii="David" w:hAnsi="David"/>
          <w:b/>
          <w:bCs/>
          <w:u w:val="single"/>
          <w:rtl/>
        </w:rPr>
        <w:t>טיעוני הצדדים</w:t>
      </w:r>
    </w:p>
    <w:p w14:paraId="05815E06"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lastRenderedPageBreak/>
        <w:t xml:space="preserve">ב"כ המאשימה תיאר את העבירות שביצע הנאשם, את חומרתן ואת הערכים החברתיים שנפגעו. עוד טען כי בנסיבות התיק אין מקום לביטול הרשעת הנאשם. עתר למתחם ענישה הנע בין מאסר קצר שיכול וירוצה בעבודות שירות לבין 8 חודשי מאסר בפועל ועתר לגזירת עונשו של הנאשם בתחתית המתחם – 3 ח' מאסר שיכול וירוצו בעבודות שירות. </w:t>
      </w:r>
    </w:p>
    <w:p w14:paraId="4F00C520" w14:textId="77777777" w:rsidR="009971C1" w:rsidRPr="002B64D8" w:rsidRDefault="009971C1" w:rsidP="009971C1">
      <w:pPr>
        <w:pStyle w:val="ab"/>
        <w:spacing w:after="0" w:line="360" w:lineRule="auto"/>
        <w:ind w:left="360"/>
        <w:jc w:val="both"/>
        <w:rPr>
          <w:rFonts w:ascii="David" w:hAnsi="David" w:cs="David"/>
          <w:sz w:val="24"/>
          <w:szCs w:val="24"/>
        </w:rPr>
      </w:pPr>
    </w:p>
    <w:p w14:paraId="6B973843" w14:textId="77777777" w:rsidR="009971C1" w:rsidRPr="002B64D8" w:rsidRDefault="009971C1" w:rsidP="009971C1">
      <w:pPr>
        <w:pStyle w:val="ab"/>
        <w:numPr>
          <w:ilvl w:val="0"/>
          <w:numId w:val="2"/>
        </w:numPr>
        <w:spacing w:after="0" w:line="360" w:lineRule="auto"/>
        <w:jc w:val="both"/>
        <w:rPr>
          <w:rFonts w:ascii="David" w:hAnsi="David" w:cs="David"/>
          <w:sz w:val="24"/>
          <w:szCs w:val="24"/>
        </w:rPr>
      </w:pPr>
      <w:r w:rsidRPr="002B64D8">
        <w:rPr>
          <w:rFonts w:ascii="David" w:hAnsi="David" w:cs="David"/>
          <w:sz w:val="24"/>
          <w:szCs w:val="24"/>
          <w:rtl/>
        </w:rPr>
        <w:t xml:space="preserve">ב"כ הנאשם טענה כי הנאשם גידל את הסמים לצריכתו העצמית. הפנתה לצורך כך לחקירת הנאשם במשטרה (נ/1), דו"ח חיפוש (נ/2) ושובר העברה (נ/3). עתרה לביטול הרשעת הנאשם נוכח מגמת הגמשה שלטענתה התרחשה בשנים האחרונות ביחס לדרישת הוכחת הנזק הקונקרטי. הפנתה למספר פסקי דין בהם בית המשפט ביטל הרשעה. </w:t>
      </w:r>
    </w:p>
    <w:p w14:paraId="235641CD" w14:textId="77777777" w:rsidR="009971C1" w:rsidRPr="002B64D8" w:rsidRDefault="009971C1" w:rsidP="009971C1">
      <w:pPr>
        <w:pStyle w:val="ab"/>
        <w:rPr>
          <w:rFonts w:ascii="David" w:hAnsi="David" w:cs="David"/>
          <w:sz w:val="24"/>
          <w:szCs w:val="24"/>
        </w:rPr>
      </w:pPr>
    </w:p>
    <w:p w14:paraId="3F2718D5"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הנאשם בחר שלא להוסיף דברים. </w:t>
      </w:r>
    </w:p>
    <w:p w14:paraId="59F08888" w14:textId="77777777" w:rsidR="009971C1" w:rsidRPr="002B64D8" w:rsidRDefault="009971C1" w:rsidP="009971C1">
      <w:pPr>
        <w:spacing w:line="360" w:lineRule="auto"/>
        <w:jc w:val="both"/>
        <w:rPr>
          <w:rFonts w:ascii="David" w:hAnsi="David"/>
          <w:b/>
          <w:bCs/>
          <w:u w:val="single"/>
        </w:rPr>
      </w:pPr>
    </w:p>
    <w:p w14:paraId="7BB2AB7C" w14:textId="77777777" w:rsidR="009971C1" w:rsidRPr="002B64D8" w:rsidRDefault="009971C1" w:rsidP="009971C1">
      <w:pPr>
        <w:spacing w:line="360" w:lineRule="auto"/>
        <w:jc w:val="both"/>
        <w:rPr>
          <w:rFonts w:ascii="David" w:hAnsi="David"/>
          <w:b/>
          <w:bCs/>
          <w:u w:val="single"/>
          <w:rtl/>
        </w:rPr>
      </w:pPr>
      <w:r w:rsidRPr="002B64D8">
        <w:rPr>
          <w:rFonts w:ascii="David" w:hAnsi="David"/>
          <w:b/>
          <w:bCs/>
          <w:u w:val="single"/>
          <w:rtl/>
        </w:rPr>
        <w:t>הכרעה במחלוקת בין הצדדים ביחס לטיב הגידול</w:t>
      </w:r>
    </w:p>
    <w:p w14:paraId="1069AB56"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באופן רגיל, משנכרת בין הצדדים הסדר טיעון במסגרתו מוצג כתב אישום מתוקן, חזקה על הצדדים כי שיקללו לתוך כתב האישום המתוקן את כלל הנסיבות לקולא ולחומרא אל תוך כתב האישום והלכה כי אל לו לבית המשפט להידרש לנסיבות שלא מצאו דרכן לכתב האישום המתוקן. ראו למשל </w:t>
      </w:r>
      <w:hyperlink r:id="rId18" w:history="1">
        <w:r w:rsidR="005154A4" w:rsidRPr="002B64D8">
          <w:rPr>
            <w:rFonts w:ascii="David" w:hAnsi="David" w:cs="David"/>
            <w:color w:val="0000FF"/>
            <w:sz w:val="24"/>
            <w:szCs w:val="24"/>
            <w:u w:val="single"/>
            <w:rtl/>
          </w:rPr>
          <w:t>רע"פ 1931/15</w:t>
        </w:r>
      </w:hyperlink>
      <w:r w:rsidRPr="002B64D8">
        <w:rPr>
          <w:rFonts w:ascii="David" w:hAnsi="David" w:cs="David"/>
          <w:sz w:val="24"/>
          <w:szCs w:val="24"/>
          <w:rtl/>
        </w:rPr>
        <w:t xml:space="preserve"> </w:t>
      </w:r>
      <w:r w:rsidRPr="002B64D8">
        <w:rPr>
          <w:rFonts w:ascii="David" w:hAnsi="David" w:cs="David"/>
          <w:b/>
          <w:bCs/>
          <w:sz w:val="24"/>
          <w:szCs w:val="24"/>
          <w:rtl/>
        </w:rPr>
        <w:t>מויסקקו נ' מדינת ישראל.</w:t>
      </w:r>
    </w:p>
    <w:p w14:paraId="40DEBC50" w14:textId="77777777" w:rsidR="009971C1" w:rsidRPr="002B64D8" w:rsidRDefault="009971C1" w:rsidP="009971C1">
      <w:pPr>
        <w:pStyle w:val="ab"/>
        <w:spacing w:after="0" w:line="360" w:lineRule="auto"/>
        <w:ind w:left="360"/>
        <w:jc w:val="both"/>
        <w:rPr>
          <w:rFonts w:ascii="David" w:hAnsi="David" w:cs="David"/>
          <w:sz w:val="24"/>
          <w:szCs w:val="24"/>
        </w:rPr>
      </w:pPr>
    </w:p>
    <w:p w14:paraId="3BEB1A23" w14:textId="77777777" w:rsidR="009971C1" w:rsidRPr="002B64D8" w:rsidRDefault="009971C1" w:rsidP="009971C1">
      <w:pPr>
        <w:pStyle w:val="ab"/>
        <w:numPr>
          <w:ilvl w:val="0"/>
          <w:numId w:val="2"/>
        </w:numPr>
        <w:spacing w:after="0" w:line="360" w:lineRule="auto"/>
        <w:jc w:val="both"/>
        <w:rPr>
          <w:rFonts w:ascii="David" w:hAnsi="David" w:cs="David"/>
          <w:sz w:val="24"/>
          <w:szCs w:val="24"/>
        </w:rPr>
      </w:pPr>
      <w:r w:rsidRPr="002B64D8">
        <w:rPr>
          <w:rFonts w:ascii="David" w:hAnsi="David" w:cs="David"/>
          <w:sz w:val="24"/>
          <w:szCs w:val="24"/>
          <w:rtl/>
        </w:rPr>
        <w:t xml:space="preserve">במקרה זה הסכימה התביעה, לכך שההגנה תוכל לטעון מצידה שגידול הסם היה לצריכה עצמית.  </w:t>
      </w:r>
    </w:p>
    <w:p w14:paraId="455678B9" w14:textId="77777777" w:rsidR="009971C1" w:rsidRPr="002B64D8" w:rsidRDefault="009971C1" w:rsidP="009971C1">
      <w:pPr>
        <w:pStyle w:val="ab"/>
        <w:rPr>
          <w:rFonts w:ascii="David" w:hAnsi="David" w:cs="David"/>
          <w:sz w:val="24"/>
          <w:szCs w:val="24"/>
        </w:rPr>
      </w:pPr>
    </w:p>
    <w:p w14:paraId="21621A0A"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עיינתי במסמכי ההגנה נ/1-נ/3 ולא התרשמתי כי יש בהם להוכיח כי הגידול בוצע למטרת צריכה עצמית דווקא. ודוק, משום שלא מדובר ביסוד מיסודות העבירה, ואף משום שלא מדובר בטענת הגנה המעוגנת בחוק, לא די בכך שההגנה תעורר ספק סביר לגבי התקיימות טענת ההגנה, אלא עליה לעמוד בנטל של מאזן ההסתברויות.</w:t>
      </w:r>
    </w:p>
    <w:p w14:paraId="4B8DBA63" w14:textId="77777777" w:rsidR="009971C1" w:rsidRPr="002B64D8" w:rsidRDefault="009971C1" w:rsidP="009971C1">
      <w:pPr>
        <w:pStyle w:val="ab"/>
        <w:rPr>
          <w:rFonts w:ascii="David" w:hAnsi="David" w:cs="David"/>
          <w:sz w:val="24"/>
          <w:szCs w:val="24"/>
        </w:rPr>
      </w:pPr>
    </w:p>
    <w:p w14:paraId="1734501E"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משזה נאמר, אציין כי אלו הן עובדות כתב האישום עצמו המלמדות על נסיבות של גידול לא מסחרי במהותו, ללא ציוד ייעודי, בכמות קטנה מאוד, הן מבחינת המשקל והן מבחינת כמות השתילים. אלא שכל אלו, גם אם יכולים במקרים מסוימים להתיישב עם גידול לצריכה עצמית, לא בהכרח מוכיחים כי כך היה בענייננו. </w:t>
      </w:r>
    </w:p>
    <w:p w14:paraId="4CF254CE" w14:textId="77777777" w:rsidR="009971C1" w:rsidRPr="002B64D8" w:rsidRDefault="009971C1" w:rsidP="009971C1">
      <w:pPr>
        <w:pStyle w:val="ab"/>
        <w:rPr>
          <w:rFonts w:ascii="David" w:hAnsi="David" w:cs="David"/>
          <w:sz w:val="24"/>
          <w:szCs w:val="24"/>
        </w:rPr>
      </w:pPr>
    </w:p>
    <w:p w14:paraId="07AC4EBD"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כך או אחרת, הקטגוריה של גידול לצריכה עצמית אינה מוכרת על ידי החוק וממילא אין בה כדי להוביל להקלה קטגוריאלית, מלבד זו הנבחנת במסגרת נסיבות ביצוע העבירה, דבר שאעשה בבוא העת בקביעת מתחם העונש ההולם. </w:t>
      </w:r>
    </w:p>
    <w:p w14:paraId="78554B59" w14:textId="77777777" w:rsidR="009971C1" w:rsidRPr="002B64D8" w:rsidRDefault="009971C1" w:rsidP="009971C1">
      <w:pPr>
        <w:spacing w:line="360" w:lineRule="auto"/>
        <w:jc w:val="both"/>
        <w:rPr>
          <w:rFonts w:ascii="David" w:hAnsi="David"/>
          <w:b/>
          <w:bCs/>
          <w:u w:val="single"/>
        </w:rPr>
      </w:pPr>
    </w:p>
    <w:p w14:paraId="7B38995A" w14:textId="77777777" w:rsidR="009971C1" w:rsidRPr="002B64D8" w:rsidRDefault="009971C1" w:rsidP="009971C1">
      <w:pPr>
        <w:spacing w:line="360" w:lineRule="auto"/>
        <w:jc w:val="both"/>
        <w:rPr>
          <w:rFonts w:ascii="David" w:hAnsi="David"/>
          <w:b/>
          <w:bCs/>
          <w:u w:val="single"/>
          <w:rtl/>
        </w:rPr>
      </w:pPr>
      <w:r w:rsidRPr="002B64D8">
        <w:rPr>
          <w:rFonts w:ascii="David" w:hAnsi="David"/>
          <w:b/>
          <w:bCs/>
          <w:u w:val="single"/>
          <w:rtl/>
        </w:rPr>
        <w:lastRenderedPageBreak/>
        <w:t>סוגיית אי הרשעה</w:t>
      </w:r>
    </w:p>
    <w:p w14:paraId="456013FF"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בהתאם </w:t>
      </w:r>
      <w:hyperlink r:id="rId19" w:history="1">
        <w:r w:rsidR="002B64D8" w:rsidRPr="002B64D8">
          <w:rPr>
            <w:rStyle w:val="Hyperlink"/>
            <w:rFonts w:ascii="David" w:hAnsi="David" w:cs="David"/>
            <w:sz w:val="24"/>
            <w:szCs w:val="24"/>
            <w:rtl/>
          </w:rPr>
          <w:t>לסעיף 192א</w:t>
        </w:r>
      </w:hyperlink>
      <w:r w:rsidRPr="002B64D8">
        <w:rPr>
          <w:rFonts w:ascii="David" w:hAnsi="David" w:cs="David"/>
          <w:sz w:val="24"/>
          <w:szCs w:val="24"/>
          <w:rtl/>
        </w:rPr>
        <w:t xml:space="preserve"> ל</w:t>
      </w:r>
      <w:hyperlink r:id="rId20" w:history="1">
        <w:r w:rsidR="005154A4" w:rsidRPr="002B64D8">
          <w:rPr>
            <w:rFonts w:ascii="David" w:hAnsi="David" w:cs="David"/>
            <w:color w:val="0000FF"/>
            <w:sz w:val="24"/>
            <w:szCs w:val="24"/>
            <w:u w:val="single"/>
            <w:rtl/>
          </w:rPr>
          <w:t>חוק סדר הדין הפלילי</w:t>
        </w:r>
      </w:hyperlink>
      <w:r w:rsidRPr="002B64D8">
        <w:rPr>
          <w:rFonts w:ascii="David" w:hAnsi="David" w:cs="David"/>
          <w:sz w:val="24"/>
          <w:szCs w:val="24"/>
          <w:rtl/>
        </w:rPr>
        <w:t xml:space="preserve"> [נוסח משולב], תשמ"ב-1982, </w:t>
      </w:r>
      <w:hyperlink r:id="rId21" w:history="1">
        <w:r w:rsidR="002B64D8" w:rsidRPr="002B64D8">
          <w:rPr>
            <w:rStyle w:val="Hyperlink"/>
            <w:rFonts w:ascii="David" w:hAnsi="David" w:cs="David"/>
            <w:sz w:val="24"/>
            <w:szCs w:val="24"/>
            <w:rtl/>
          </w:rPr>
          <w:t>לסעיף 1(2)</w:t>
        </w:r>
      </w:hyperlink>
      <w:r w:rsidRPr="002B64D8">
        <w:rPr>
          <w:rFonts w:ascii="David" w:hAnsi="David" w:cs="David"/>
          <w:sz w:val="24"/>
          <w:szCs w:val="24"/>
          <w:rtl/>
        </w:rPr>
        <w:t xml:space="preserve"> ל</w:t>
      </w:r>
      <w:hyperlink r:id="rId22" w:history="1">
        <w:r w:rsidR="005154A4" w:rsidRPr="002B64D8">
          <w:rPr>
            <w:rFonts w:ascii="David" w:hAnsi="David" w:cs="David"/>
            <w:color w:val="0000FF"/>
            <w:sz w:val="24"/>
            <w:szCs w:val="24"/>
            <w:u w:val="single"/>
            <w:rtl/>
          </w:rPr>
          <w:t>פקודת המבחן</w:t>
        </w:r>
      </w:hyperlink>
      <w:r w:rsidRPr="002B64D8">
        <w:rPr>
          <w:rFonts w:ascii="David" w:hAnsi="David" w:cs="David"/>
          <w:sz w:val="24"/>
          <w:szCs w:val="24"/>
          <w:rtl/>
        </w:rPr>
        <w:t xml:space="preserve"> [נוסח חדש], תשכ"ט -1969 ולסעיף </w:t>
      </w:r>
      <w:hyperlink r:id="rId23" w:history="1">
        <w:r w:rsidR="002B64D8" w:rsidRPr="002B64D8">
          <w:rPr>
            <w:rStyle w:val="Hyperlink"/>
            <w:rFonts w:ascii="David" w:hAnsi="David" w:cs="David"/>
            <w:sz w:val="24"/>
            <w:szCs w:val="24"/>
            <w:rtl/>
          </w:rPr>
          <w:t>71א</w:t>
        </w:r>
      </w:hyperlink>
      <w:r w:rsidRPr="002B64D8">
        <w:rPr>
          <w:rFonts w:ascii="David" w:hAnsi="David" w:cs="David"/>
          <w:sz w:val="24"/>
          <w:szCs w:val="24"/>
          <w:rtl/>
        </w:rPr>
        <w:t xml:space="preserve"> ל</w:t>
      </w:r>
      <w:hyperlink r:id="rId24" w:history="1">
        <w:r w:rsidR="005154A4" w:rsidRPr="002B64D8">
          <w:rPr>
            <w:rFonts w:ascii="David" w:hAnsi="David" w:cs="David"/>
            <w:color w:val="0000FF"/>
            <w:sz w:val="24"/>
            <w:szCs w:val="24"/>
            <w:u w:val="single"/>
            <w:rtl/>
          </w:rPr>
          <w:t>חוק העונשין</w:t>
        </w:r>
      </w:hyperlink>
      <w:r w:rsidRPr="002B64D8">
        <w:rPr>
          <w:rFonts w:ascii="David" w:hAnsi="David" w:cs="David"/>
          <w:sz w:val="24"/>
          <w:szCs w:val="24"/>
          <w:rtl/>
        </w:rPr>
        <w:t xml:space="preserve">, בית המשפט מוסמך ליתן צו מבחן או צו לשירות לתועלת הציבור, תוך הימנעות מהרשעה.  </w:t>
      </w:r>
    </w:p>
    <w:p w14:paraId="11EBF2AF" w14:textId="77777777" w:rsidR="009971C1" w:rsidRPr="002B64D8" w:rsidRDefault="009971C1" w:rsidP="009971C1">
      <w:pPr>
        <w:pStyle w:val="ab"/>
        <w:spacing w:after="0" w:line="360" w:lineRule="auto"/>
        <w:jc w:val="both"/>
        <w:rPr>
          <w:rFonts w:cs="David"/>
          <w:sz w:val="24"/>
          <w:szCs w:val="24"/>
        </w:rPr>
      </w:pPr>
    </w:p>
    <w:p w14:paraId="23C9DD45" w14:textId="77777777" w:rsidR="009971C1" w:rsidRPr="002B64D8" w:rsidRDefault="009971C1" w:rsidP="009971C1">
      <w:pPr>
        <w:pStyle w:val="ab"/>
        <w:numPr>
          <w:ilvl w:val="0"/>
          <w:numId w:val="2"/>
        </w:numPr>
        <w:spacing w:after="0" w:line="360" w:lineRule="auto"/>
        <w:jc w:val="both"/>
        <w:rPr>
          <w:rFonts w:ascii="David" w:hAnsi="David" w:cs="David"/>
          <w:sz w:val="24"/>
          <w:szCs w:val="24"/>
        </w:rPr>
      </w:pPr>
      <w:r w:rsidRPr="002B64D8">
        <w:rPr>
          <w:rFonts w:ascii="David" w:hAnsi="David" w:cs="David"/>
          <w:sz w:val="24"/>
          <w:szCs w:val="24"/>
          <w:rtl/>
        </w:rPr>
        <w:t>ב</w:t>
      </w:r>
      <w:hyperlink r:id="rId25" w:history="1">
        <w:r w:rsidR="005154A4" w:rsidRPr="002B64D8">
          <w:rPr>
            <w:rFonts w:ascii="David" w:hAnsi="David" w:cs="David"/>
            <w:color w:val="0000FF"/>
            <w:sz w:val="24"/>
            <w:szCs w:val="24"/>
            <w:u w:val="single"/>
            <w:rtl/>
          </w:rPr>
          <w:t>ע"פ 2083/96</w:t>
        </w:r>
      </w:hyperlink>
      <w:r w:rsidR="005154A4" w:rsidRPr="002B64D8">
        <w:rPr>
          <w:rFonts w:ascii="David" w:hAnsi="David" w:cs="David"/>
          <w:sz w:val="24"/>
          <w:szCs w:val="24"/>
          <w:rtl/>
        </w:rPr>
        <w:t xml:space="preserve"> </w:t>
      </w:r>
      <w:r w:rsidRPr="002B64D8">
        <w:rPr>
          <w:rFonts w:ascii="David" w:hAnsi="David" w:cs="David"/>
          <w:b/>
          <w:bCs/>
          <w:sz w:val="24"/>
          <w:szCs w:val="24"/>
          <w:rtl/>
        </w:rPr>
        <w:t>כתב נ' מדינת ישראל</w:t>
      </w:r>
      <w:r w:rsidRPr="002B64D8">
        <w:rPr>
          <w:rFonts w:ascii="David" w:hAnsi="David" w:cs="David"/>
          <w:sz w:val="24"/>
          <w:szCs w:val="24"/>
          <w:rtl/>
        </w:rPr>
        <w:t xml:space="preserve"> (להלן: "</w:t>
      </w:r>
      <w:r w:rsidRPr="002B64D8">
        <w:rPr>
          <w:rFonts w:ascii="David" w:hAnsi="David" w:cs="David"/>
          <w:b/>
          <w:bCs/>
          <w:sz w:val="24"/>
          <w:szCs w:val="24"/>
          <w:rtl/>
        </w:rPr>
        <w:t>הלכת כתב</w:t>
      </w:r>
      <w:r w:rsidRPr="002B64D8">
        <w:rPr>
          <w:rFonts w:ascii="David" w:hAnsi="David" w:cs="David"/>
          <w:sz w:val="24"/>
          <w:szCs w:val="24"/>
          <w:rtl/>
        </w:rPr>
        <w:t xml:space="preserve">") נקבע, כי משהוכח ביצועה של עבירה, יש להרשיע את הנאשם, זולת מקרים יוצאי דופן בהם אין יחס סביר בין הנזק הצפוי לנאשם מן ההרשעה לבין חומרתה של העבירה. זאת על מנת שלא לפגוע בחובת מיצוי הדין עם עבריינים (ראו </w:t>
      </w:r>
      <w:hyperlink r:id="rId26" w:history="1">
        <w:r w:rsidR="005154A4" w:rsidRPr="002B64D8">
          <w:rPr>
            <w:rFonts w:ascii="David" w:hAnsi="David" w:cs="David"/>
            <w:color w:val="0000FF"/>
            <w:sz w:val="24"/>
            <w:szCs w:val="24"/>
            <w:u w:val="single"/>
            <w:rtl/>
          </w:rPr>
          <w:t>ע״פ 2669/00</w:t>
        </w:r>
      </w:hyperlink>
      <w:r w:rsidR="005154A4" w:rsidRPr="002B64D8">
        <w:rPr>
          <w:rFonts w:ascii="David" w:hAnsi="David" w:cs="David"/>
          <w:sz w:val="24"/>
          <w:szCs w:val="24"/>
          <w:rtl/>
        </w:rPr>
        <w:t xml:space="preserve"> </w:t>
      </w:r>
      <w:r w:rsidRPr="002B64D8">
        <w:rPr>
          <w:rFonts w:ascii="David" w:hAnsi="David" w:cs="David"/>
          <w:b/>
          <w:bCs/>
          <w:sz w:val="24"/>
          <w:szCs w:val="24"/>
          <w:rtl/>
        </w:rPr>
        <w:t>מדינת ישראל נ׳ פלוני</w:t>
      </w:r>
      <w:r w:rsidRPr="002B64D8">
        <w:rPr>
          <w:rFonts w:ascii="David" w:hAnsi="David" w:cs="David"/>
          <w:sz w:val="24"/>
          <w:szCs w:val="24"/>
          <w:rtl/>
        </w:rPr>
        <w:t>), וכן על מנת שלא לגרום לפגיעה מהותית בעקרון השוויון בפני החוק ובשיקולי ענישה אחרים, (ראו</w:t>
      </w:r>
      <w:r w:rsidR="005154A4" w:rsidRPr="002B64D8">
        <w:rPr>
          <w:rFonts w:ascii="David" w:hAnsi="David" w:cs="David"/>
          <w:sz w:val="24"/>
          <w:szCs w:val="24"/>
          <w:rtl/>
        </w:rPr>
        <w:t xml:space="preserve"> </w:t>
      </w:r>
      <w:r w:rsidRPr="002B64D8">
        <w:rPr>
          <w:rFonts w:ascii="David" w:hAnsi="David" w:cs="David"/>
          <w:color w:val="000000"/>
          <w:sz w:val="24"/>
          <w:szCs w:val="24"/>
          <w:rtl/>
        </w:rPr>
        <w:t xml:space="preserve">ע"פ </w:t>
      </w:r>
      <w:hyperlink r:id="rId27" w:history="1">
        <w:r w:rsidR="007E7286" w:rsidRPr="007E7286">
          <w:rPr>
            <w:rFonts w:ascii="David" w:hAnsi="David" w:cs="David"/>
            <w:color w:val="0000FF"/>
            <w:sz w:val="24"/>
            <w:szCs w:val="24"/>
            <w:u w:val="single"/>
            <w:rtl/>
          </w:rPr>
          <w:t xml:space="preserve">1082/06 </w:t>
        </w:r>
      </w:hyperlink>
      <w:r w:rsidR="005154A4" w:rsidRPr="002B64D8">
        <w:rPr>
          <w:rFonts w:ascii="David" w:hAnsi="David" w:cs="David"/>
          <w:sz w:val="24"/>
          <w:szCs w:val="24"/>
          <w:rtl/>
        </w:rPr>
        <w:t xml:space="preserve"> </w:t>
      </w:r>
      <w:r w:rsidRPr="002B64D8">
        <w:rPr>
          <w:rFonts w:ascii="David" w:hAnsi="David" w:cs="David"/>
          <w:b/>
          <w:bCs/>
          <w:sz w:val="24"/>
          <w:szCs w:val="24"/>
          <w:rtl/>
        </w:rPr>
        <w:t>מיכאל שוראקי נ' מדינת ישראל)</w:t>
      </w:r>
    </w:p>
    <w:p w14:paraId="123A74AA" w14:textId="77777777" w:rsidR="009971C1" w:rsidRPr="002B64D8" w:rsidRDefault="009971C1" w:rsidP="009971C1">
      <w:pPr>
        <w:pStyle w:val="ab"/>
        <w:spacing w:after="0" w:line="360" w:lineRule="auto"/>
        <w:ind w:left="360"/>
        <w:jc w:val="both"/>
        <w:rPr>
          <w:rFonts w:ascii="David" w:hAnsi="David" w:cs="David"/>
          <w:sz w:val="24"/>
          <w:szCs w:val="24"/>
          <w:rtl/>
        </w:rPr>
      </w:pPr>
    </w:p>
    <w:p w14:paraId="679A5401"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הלכה היא כי על המבקש לבטל את הרשעתו, הנטל להוכיח כי מתקיימים בעניינו שני תנאים מצטברים. הראשון, הוא שההרשעה תוביל לפגיעה חמורה בשיקומו. והשני, הוא שסוג העבירה מאפשר בנסיבות המקרה לבטל את ההרשעה מבלי לפגוע באופן מהותי בשיקולי הענישה האחרים וביניהם התועלת שתושג לאינטרס הציבורי-חברתי מההרשעה</w:t>
      </w:r>
      <w:r w:rsidRPr="002B64D8">
        <w:rPr>
          <w:rFonts w:cs="David"/>
          <w:sz w:val="24"/>
          <w:szCs w:val="24"/>
          <w:rtl/>
        </w:rPr>
        <w:t xml:space="preserve">. </w:t>
      </w:r>
      <w:r w:rsidRPr="002B64D8">
        <w:rPr>
          <w:rFonts w:ascii="David" w:hAnsi="David" w:cs="David"/>
          <w:sz w:val="24"/>
          <w:szCs w:val="24"/>
          <w:rtl/>
        </w:rPr>
        <w:t xml:space="preserve">(ראו </w:t>
      </w:r>
      <w:hyperlink r:id="rId28" w:history="1">
        <w:r w:rsidR="005154A4" w:rsidRPr="002B64D8">
          <w:rPr>
            <w:rFonts w:ascii="David" w:hAnsi="David" w:cs="David"/>
            <w:color w:val="0000FF"/>
            <w:sz w:val="24"/>
            <w:szCs w:val="24"/>
            <w:u w:val="single"/>
            <w:rtl/>
          </w:rPr>
          <w:t>ע"פ 4318/20</w:t>
        </w:r>
      </w:hyperlink>
      <w:r w:rsidRPr="002B64D8">
        <w:rPr>
          <w:rFonts w:ascii="David" w:hAnsi="David" w:cs="David"/>
          <w:b/>
          <w:bCs/>
          <w:sz w:val="24"/>
          <w:szCs w:val="24"/>
          <w:rtl/>
        </w:rPr>
        <w:t xml:space="preserve"> מדינת ישראל נ' אלון חסן</w:t>
      </w:r>
      <w:r w:rsidRPr="002B64D8">
        <w:rPr>
          <w:rFonts w:ascii="David" w:hAnsi="David" w:cs="David"/>
          <w:sz w:val="24"/>
          <w:szCs w:val="24"/>
          <w:rtl/>
        </w:rPr>
        <w:t xml:space="preserve">) </w:t>
      </w:r>
    </w:p>
    <w:p w14:paraId="269597AF" w14:textId="77777777" w:rsidR="009971C1" w:rsidRPr="002B64D8" w:rsidRDefault="009971C1" w:rsidP="009971C1">
      <w:pPr>
        <w:pStyle w:val="ab"/>
        <w:jc w:val="both"/>
        <w:rPr>
          <w:rFonts w:ascii="David" w:hAnsi="David" w:cs="David"/>
          <w:sz w:val="24"/>
          <w:szCs w:val="24"/>
        </w:rPr>
      </w:pPr>
    </w:p>
    <w:p w14:paraId="53E8EEF0"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על המבקש לבטל את הרשעתו להוכיח קיומו של נזק קונקרטי שעלול להיגרם לפרנסתו כתוצאה מהרשעתו. וכך נקבע ב</w:t>
      </w:r>
      <w:hyperlink r:id="rId29" w:history="1">
        <w:r w:rsidR="005154A4" w:rsidRPr="002B64D8">
          <w:rPr>
            <w:rFonts w:ascii="David" w:hAnsi="David" w:cs="David"/>
            <w:color w:val="0000FF"/>
            <w:sz w:val="24"/>
            <w:szCs w:val="24"/>
            <w:u w:val="single"/>
            <w:rtl/>
          </w:rPr>
          <w:t>רע"פ 7224/14</w:t>
        </w:r>
      </w:hyperlink>
      <w:r w:rsidRPr="002B64D8">
        <w:rPr>
          <w:rFonts w:ascii="David" w:hAnsi="David" w:cs="David"/>
          <w:sz w:val="24"/>
          <w:szCs w:val="24"/>
          <w:rtl/>
        </w:rPr>
        <w:t xml:space="preserve"> </w:t>
      </w:r>
      <w:r w:rsidRPr="002B64D8">
        <w:rPr>
          <w:rFonts w:ascii="David" w:hAnsi="David" w:cs="David"/>
          <w:b/>
          <w:bCs/>
          <w:sz w:val="24"/>
          <w:szCs w:val="24"/>
          <w:rtl/>
        </w:rPr>
        <w:t>משה פרנסקי נ' מדינת ישראל</w:t>
      </w:r>
      <w:r w:rsidRPr="002B64D8">
        <w:rPr>
          <w:rFonts w:ascii="David" w:hAnsi="David" w:cs="David"/>
          <w:sz w:val="24"/>
          <w:szCs w:val="24"/>
          <w:rtl/>
        </w:rPr>
        <w:t xml:space="preserve">: </w:t>
      </w:r>
    </w:p>
    <w:p w14:paraId="2A234947" w14:textId="77777777" w:rsidR="009971C1" w:rsidRPr="002B64D8" w:rsidRDefault="009971C1" w:rsidP="009971C1">
      <w:pPr>
        <w:pStyle w:val="ab"/>
        <w:jc w:val="both"/>
        <w:rPr>
          <w:rFonts w:ascii="David" w:hAnsi="David" w:cs="David"/>
          <w:sz w:val="24"/>
          <w:szCs w:val="24"/>
        </w:rPr>
      </w:pPr>
    </w:p>
    <w:p w14:paraId="26BEE556" w14:textId="77777777" w:rsidR="009971C1" w:rsidRPr="002B64D8" w:rsidRDefault="009971C1" w:rsidP="009971C1">
      <w:pPr>
        <w:pStyle w:val="ab"/>
        <w:spacing w:after="0" w:line="360" w:lineRule="auto"/>
        <w:ind w:left="1134" w:right="850"/>
        <w:jc w:val="both"/>
        <w:rPr>
          <w:rFonts w:ascii="David" w:hAnsi="David" w:cs="David"/>
          <w:sz w:val="24"/>
          <w:szCs w:val="24"/>
          <w:rtl/>
        </w:rPr>
      </w:pPr>
      <w:r w:rsidRPr="002B64D8">
        <w:rPr>
          <w:rFonts w:ascii="David" w:hAnsi="David" w:cs="David"/>
          <w:b/>
          <w:bCs/>
          <w:sz w:val="24"/>
          <w:szCs w:val="24"/>
          <w:rtl/>
        </w:rPr>
        <w:t>"החובה להצביע על קיומו של נזק קונקרטי, מתיישבת עם אופיו המצומצם של החריג שעניינו הימנעות מהרשעה, אשר נועד לחול אך במקרים מיוחדים בהם קיימים טעמים כבדי משקל הנוגעים לצורכי שיקומו של הנאשם</w:t>
      </w:r>
      <w:r w:rsidRPr="002B64D8">
        <w:rPr>
          <w:rFonts w:ascii="David" w:hAnsi="David" w:cs="David"/>
          <w:sz w:val="24"/>
          <w:szCs w:val="24"/>
          <w:rtl/>
        </w:rPr>
        <w:t>".</w:t>
      </w:r>
    </w:p>
    <w:p w14:paraId="0470E518" w14:textId="77777777" w:rsidR="009971C1" w:rsidRPr="002B64D8" w:rsidRDefault="009971C1" w:rsidP="009971C1">
      <w:pPr>
        <w:spacing w:line="360" w:lineRule="auto"/>
        <w:jc w:val="both"/>
        <w:rPr>
          <w:rFonts w:ascii="David" w:hAnsi="David"/>
        </w:rPr>
      </w:pPr>
    </w:p>
    <w:p w14:paraId="7A117CD1" w14:textId="77777777" w:rsidR="009971C1" w:rsidRPr="002B64D8" w:rsidRDefault="009971C1" w:rsidP="009971C1">
      <w:pPr>
        <w:pStyle w:val="ab"/>
        <w:numPr>
          <w:ilvl w:val="0"/>
          <w:numId w:val="2"/>
        </w:numPr>
        <w:spacing w:after="0" w:line="360" w:lineRule="auto"/>
        <w:jc w:val="both"/>
        <w:rPr>
          <w:rFonts w:cs="David"/>
          <w:b/>
          <w:bCs/>
          <w:sz w:val="24"/>
          <w:szCs w:val="24"/>
          <w:rtl/>
        </w:rPr>
      </w:pPr>
      <w:r w:rsidRPr="002B64D8">
        <w:rPr>
          <w:rFonts w:ascii="David" w:hAnsi="David" w:cs="David"/>
          <w:sz w:val="24"/>
          <w:szCs w:val="24"/>
          <w:rtl/>
        </w:rPr>
        <w:t>הנאשם, למעשה, לא טען לנזק קונקרטי שייגרם לו כתוצאה מהרשעתו. הנאשם עובד כמתקין בחברת הוט וממילא לא טען בפני כי הרשעתו תפגע בפרנסתו. יחד עם זאת טענה באת כוחו כי: "</w:t>
      </w:r>
      <w:r w:rsidRPr="002B64D8">
        <w:rPr>
          <w:rFonts w:ascii="David" w:hAnsi="David" w:cs="David"/>
          <w:b/>
          <w:bCs/>
          <w:sz w:val="24"/>
          <w:szCs w:val="24"/>
          <w:rtl/>
        </w:rPr>
        <w:t>אם הוא יחליט שהוא רוצה ללמוד או יהיה שכיר, ירצה ללמוד עבודה סוציאלית או תחום אחר, משפטים, אז יש כאן פגיעה מבחינה פוטנציאלית</w:t>
      </w:r>
      <w:r w:rsidRPr="002B64D8">
        <w:rPr>
          <w:rFonts w:ascii="David" w:hAnsi="David" w:cs="David"/>
          <w:sz w:val="24"/>
          <w:szCs w:val="24"/>
          <w:rtl/>
        </w:rPr>
        <w:t xml:space="preserve">". הנה כי כן הטענה הינה בדבר נזק פוטנציאלי, שבשלב זה הינו תיאורטי בלבד. </w:t>
      </w:r>
    </w:p>
    <w:p w14:paraId="0BEE597C" w14:textId="77777777" w:rsidR="009971C1" w:rsidRPr="002B64D8" w:rsidRDefault="009971C1" w:rsidP="009971C1">
      <w:pPr>
        <w:pStyle w:val="ab"/>
        <w:spacing w:after="0" w:line="360" w:lineRule="auto"/>
        <w:ind w:left="360"/>
        <w:jc w:val="both"/>
        <w:rPr>
          <w:rFonts w:cs="David"/>
          <w:b/>
          <w:bCs/>
          <w:sz w:val="24"/>
          <w:szCs w:val="24"/>
        </w:rPr>
      </w:pPr>
    </w:p>
    <w:p w14:paraId="51EBB1C1" w14:textId="77777777" w:rsidR="009971C1" w:rsidRPr="002B64D8" w:rsidRDefault="009971C1" w:rsidP="009971C1">
      <w:pPr>
        <w:pStyle w:val="ab"/>
        <w:numPr>
          <w:ilvl w:val="0"/>
          <w:numId w:val="2"/>
        </w:numPr>
        <w:spacing w:after="0" w:line="360" w:lineRule="auto"/>
        <w:jc w:val="both"/>
        <w:rPr>
          <w:rFonts w:ascii="David" w:hAnsi="David" w:cs="David"/>
          <w:sz w:val="24"/>
          <w:szCs w:val="24"/>
        </w:rPr>
      </w:pPr>
      <w:r w:rsidRPr="002B64D8">
        <w:rPr>
          <w:rFonts w:ascii="David" w:hAnsi="David" w:cs="David"/>
          <w:sz w:val="24"/>
          <w:szCs w:val="24"/>
          <w:rtl/>
        </w:rPr>
        <w:t>ב</w:t>
      </w:r>
      <w:hyperlink r:id="rId30" w:history="1">
        <w:r w:rsidR="005154A4" w:rsidRPr="002B64D8">
          <w:rPr>
            <w:rFonts w:ascii="David" w:hAnsi="David" w:cs="David"/>
            <w:color w:val="0000FF"/>
            <w:sz w:val="24"/>
            <w:szCs w:val="24"/>
            <w:u w:val="single"/>
            <w:rtl/>
          </w:rPr>
          <w:t>רע"פ 3589/14</w:t>
        </w:r>
      </w:hyperlink>
      <w:r w:rsidRPr="002B64D8">
        <w:rPr>
          <w:rFonts w:ascii="David" w:hAnsi="David" w:cs="David"/>
          <w:sz w:val="24"/>
          <w:szCs w:val="24"/>
          <w:rtl/>
        </w:rPr>
        <w:t xml:space="preserve"> </w:t>
      </w:r>
      <w:r w:rsidRPr="002B64D8">
        <w:rPr>
          <w:rFonts w:ascii="David" w:hAnsi="David" w:cs="David"/>
          <w:b/>
          <w:bCs/>
          <w:sz w:val="24"/>
          <w:szCs w:val="24"/>
          <w:rtl/>
        </w:rPr>
        <w:t>שרון לוזון נ' מדינת ישראל</w:t>
      </w:r>
      <w:r w:rsidRPr="002B64D8">
        <w:rPr>
          <w:rFonts w:ascii="David" w:hAnsi="David" w:cs="David"/>
          <w:sz w:val="24"/>
          <w:szCs w:val="24"/>
          <w:rtl/>
        </w:rPr>
        <w:t xml:space="preserve"> חזר בית המשפט העליון על ההלכה הידועה: </w:t>
      </w:r>
    </w:p>
    <w:p w14:paraId="5A0F0C6F" w14:textId="77777777" w:rsidR="009971C1" w:rsidRPr="002B64D8" w:rsidRDefault="009971C1" w:rsidP="009971C1">
      <w:pPr>
        <w:pStyle w:val="ab"/>
        <w:jc w:val="both"/>
        <w:rPr>
          <w:rFonts w:ascii="David" w:hAnsi="David" w:cs="David"/>
          <w:sz w:val="24"/>
          <w:szCs w:val="24"/>
        </w:rPr>
      </w:pPr>
    </w:p>
    <w:p w14:paraId="0E5CD791" w14:textId="77777777" w:rsidR="009971C1" w:rsidRPr="002B64D8" w:rsidRDefault="009971C1" w:rsidP="009971C1">
      <w:pPr>
        <w:pStyle w:val="ab"/>
        <w:spacing w:after="0" w:line="360" w:lineRule="auto"/>
        <w:ind w:left="1134" w:right="1077"/>
        <w:jc w:val="both"/>
        <w:rPr>
          <w:rFonts w:ascii="David" w:hAnsi="David" w:cs="David"/>
          <w:b/>
          <w:bCs/>
          <w:sz w:val="24"/>
          <w:szCs w:val="24"/>
          <w:rtl/>
        </w:rPr>
      </w:pPr>
      <w:r w:rsidRPr="002B64D8">
        <w:rPr>
          <w:rFonts w:ascii="David" w:hAnsi="David" w:cs="David"/>
          <w:b/>
          <w:bCs/>
          <w:sz w:val="24"/>
          <w:szCs w:val="24"/>
          <w:rtl/>
        </w:rPr>
        <w:t xml:space="preserve">"בשורה ארוכה של פסקי דין נקבע, כי על העותר לאי-הרשעה מוטלת החובה להצביע על כך שהרשעתו תביא לפגיעה קשה וקונקרטית בסיכויי שיקומו, ולתמוך את טענותיו בתשתית ראייתית מתאימה" </w:t>
      </w:r>
    </w:p>
    <w:p w14:paraId="1AC695F8" w14:textId="77777777" w:rsidR="009971C1" w:rsidRPr="002B64D8" w:rsidRDefault="009971C1" w:rsidP="009971C1">
      <w:pPr>
        <w:pStyle w:val="ab"/>
        <w:spacing w:after="0" w:line="360" w:lineRule="auto"/>
        <w:ind w:left="360"/>
        <w:jc w:val="both"/>
        <w:rPr>
          <w:rFonts w:cs="David"/>
          <w:b/>
          <w:bCs/>
          <w:sz w:val="24"/>
          <w:szCs w:val="24"/>
        </w:rPr>
      </w:pPr>
    </w:p>
    <w:p w14:paraId="4F73F8B9" w14:textId="77777777" w:rsidR="009971C1" w:rsidRPr="002B64D8" w:rsidRDefault="009971C1" w:rsidP="009971C1">
      <w:pPr>
        <w:pStyle w:val="ab"/>
        <w:numPr>
          <w:ilvl w:val="0"/>
          <w:numId w:val="2"/>
        </w:numPr>
        <w:spacing w:after="0" w:line="360" w:lineRule="auto"/>
        <w:jc w:val="both"/>
        <w:rPr>
          <w:rFonts w:ascii="David" w:hAnsi="David" w:cs="David"/>
          <w:sz w:val="24"/>
          <w:szCs w:val="24"/>
        </w:rPr>
      </w:pPr>
      <w:r w:rsidRPr="002B64D8">
        <w:rPr>
          <w:rFonts w:ascii="David" w:hAnsi="David" w:cs="David"/>
          <w:sz w:val="24"/>
          <w:szCs w:val="24"/>
          <w:rtl/>
        </w:rPr>
        <w:t>טענת הנאשם כי הרשעתו עלולה לפגוע בו ככל שבעתיד יחליט ללמוד לימודי עבודה סוציאלית או משפטים, הינה בבחינת "</w:t>
      </w:r>
      <w:r w:rsidRPr="002B64D8">
        <w:rPr>
          <w:rFonts w:ascii="David" w:hAnsi="David" w:cs="David"/>
          <w:b/>
          <w:bCs/>
          <w:sz w:val="24"/>
          <w:szCs w:val="24"/>
          <w:rtl/>
        </w:rPr>
        <w:t>תרחיש תיאורטי</w:t>
      </w:r>
      <w:r w:rsidRPr="002B64D8">
        <w:rPr>
          <w:rFonts w:ascii="David" w:hAnsi="David" w:cs="David"/>
          <w:sz w:val="24"/>
          <w:szCs w:val="24"/>
          <w:rtl/>
        </w:rPr>
        <w:t>" והלכה היא כי: "</w:t>
      </w:r>
      <w:r w:rsidRPr="002B64D8">
        <w:rPr>
          <w:rFonts w:ascii="David" w:hAnsi="David" w:cs="David"/>
          <w:b/>
          <w:bCs/>
          <w:sz w:val="24"/>
          <w:szCs w:val="24"/>
          <w:rtl/>
        </w:rPr>
        <w:t>אין להידרש לאפשרויות תיאורטיות, על פיהן עלול להיגרם נזק כלשהו בעתיד</w:t>
      </w:r>
      <w:r w:rsidRPr="002B64D8">
        <w:rPr>
          <w:rFonts w:ascii="David" w:hAnsi="David" w:cs="David"/>
          <w:sz w:val="24"/>
          <w:szCs w:val="24"/>
          <w:rtl/>
        </w:rPr>
        <w:t xml:space="preserve">". ובעניין זה ראו </w:t>
      </w:r>
      <w:hyperlink r:id="rId31" w:history="1">
        <w:r w:rsidR="005154A4" w:rsidRPr="002B64D8">
          <w:rPr>
            <w:rFonts w:ascii="David" w:hAnsi="David" w:cs="David"/>
            <w:color w:val="0000FF"/>
            <w:sz w:val="24"/>
            <w:szCs w:val="24"/>
            <w:u w:val="single"/>
            <w:rtl/>
          </w:rPr>
          <w:t>רע"פ 5261/18</w:t>
        </w:r>
      </w:hyperlink>
      <w:r w:rsidRPr="002B64D8">
        <w:rPr>
          <w:rFonts w:ascii="David" w:hAnsi="David" w:cs="David"/>
          <w:sz w:val="24"/>
          <w:szCs w:val="24"/>
          <w:rtl/>
        </w:rPr>
        <w:t xml:space="preserve"> </w:t>
      </w:r>
      <w:r w:rsidRPr="002B64D8">
        <w:rPr>
          <w:rFonts w:ascii="David" w:hAnsi="David" w:cs="David"/>
          <w:b/>
          <w:bCs/>
          <w:sz w:val="24"/>
          <w:szCs w:val="24"/>
          <w:rtl/>
        </w:rPr>
        <w:t>דוידוף נ' מדינת ישראל</w:t>
      </w:r>
      <w:r w:rsidRPr="002B64D8">
        <w:rPr>
          <w:rFonts w:ascii="David" w:hAnsi="David" w:cs="David"/>
          <w:sz w:val="24"/>
          <w:szCs w:val="24"/>
          <w:rtl/>
        </w:rPr>
        <w:t xml:space="preserve"> וכן רע"פ </w:t>
      </w:r>
      <w:hyperlink r:id="rId32" w:history="1">
        <w:r w:rsidR="007E7286" w:rsidRPr="007E7286">
          <w:rPr>
            <w:rFonts w:ascii="David" w:hAnsi="David" w:cs="David"/>
            <w:color w:val="0000FF"/>
            <w:sz w:val="24"/>
            <w:szCs w:val="24"/>
            <w:u w:val="single"/>
            <w:rtl/>
          </w:rPr>
          <w:t xml:space="preserve">54/15 </w:t>
        </w:r>
      </w:hyperlink>
      <w:r w:rsidRPr="002B64D8">
        <w:rPr>
          <w:rFonts w:ascii="David" w:hAnsi="David" w:cs="David"/>
          <w:sz w:val="24"/>
          <w:szCs w:val="24"/>
          <w:rtl/>
        </w:rPr>
        <w:t xml:space="preserve"> </w:t>
      </w:r>
      <w:r w:rsidRPr="002B64D8">
        <w:rPr>
          <w:rFonts w:ascii="David" w:hAnsi="David" w:cs="David"/>
          <w:b/>
          <w:bCs/>
          <w:sz w:val="24"/>
          <w:szCs w:val="24"/>
          <w:rtl/>
        </w:rPr>
        <w:t>פלוני</w:t>
      </w:r>
      <w:r w:rsidRPr="002B64D8">
        <w:rPr>
          <w:rFonts w:ascii="David" w:hAnsi="David" w:cs="David"/>
          <w:sz w:val="24"/>
          <w:szCs w:val="24"/>
          <w:rtl/>
        </w:rPr>
        <w:t xml:space="preserve"> </w:t>
      </w:r>
      <w:r w:rsidRPr="002B64D8">
        <w:rPr>
          <w:rFonts w:ascii="David" w:hAnsi="David" w:cs="David"/>
          <w:b/>
          <w:bCs/>
          <w:sz w:val="24"/>
          <w:szCs w:val="24"/>
          <w:rtl/>
        </w:rPr>
        <w:t>נ'</w:t>
      </w:r>
      <w:r w:rsidRPr="002B64D8">
        <w:rPr>
          <w:rFonts w:ascii="David" w:hAnsi="David" w:cs="David"/>
          <w:sz w:val="24"/>
          <w:szCs w:val="24"/>
          <w:rtl/>
        </w:rPr>
        <w:t xml:space="preserve"> </w:t>
      </w:r>
      <w:r w:rsidRPr="002B64D8">
        <w:rPr>
          <w:rFonts w:ascii="David" w:hAnsi="David" w:cs="David"/>
          <w:b/>
          <w:bCs/>
          <w:sz w:val="24"/>
          <w:szCs w:val="24"/>
          <w:rtl/>
        </w:rPr>
        <w:t>מדינת</w:t>
      </w:r>
      <w:r w:rsidRPr="002B64D8">
        <w:rPr>
          <w:rFonts w:ascii="David" w:hAnsi="David" w:cs="David"/>
          <w:sz w:val="24"/>
          <w:szCs w:val="24"/>
          <w:rtl/>
        </w:rPr>
        <w:t xml:space="preserve"> </w:t>
      </w:r>
      <w:r w:rsidRPr="002B64D8">
        <w:rPr>
          <w:rFonts w:ascii="David" w:hAnsi="David" w:cs="David"/>
          <w:b/>
          <w:bCs/>
          <w:sz w:val="24"/>
          <w:szCs w:val="24"/>
          <w:rtl/>
        </w:rPr>
        <w:t>ישראל</w:t>
      </w:r>
      <w:r w:rsidRPr="002B64D8">
        <w:rPr>
          <w:rFonts w:ascii="David" w:hAnsi="David" w:cs="David"/>
          <w:sz w:val="24"/>
          <w:szCs w:val="24"/>
          <w:rtl/>
        </w:rPr>
        <w:t>. ודוק, נקבע לא אחת, גם ביחס לאלו שכבר רכשו השכלה בתחום עיסוק מסוים כי: "</w:t>
      </w:r>
      <w:r w:rsidRPr="002B64D8">
        <w:rPr>
          <w:rFonts w:ascii="David" w:hAnsi="David" w:cs="David"/>
          <w:b/>
          <w:bCs/>
          <w:sz w:val="24"/>
          <w:szCs w:val="24"/>
          <w:rtl/>
        </w:rPr>
        <w:t>רכישת השכלה או עיסוק במקצוע בהם עשויה להיות נפקות לרישום פלילי, אינם מקימים חסינות מפני הרשעה</w:t>
      </w:r>
      <w:r w:rsidRPr="002B64D8">
        <w:rPr>
          <w:rFonts w:ascii="David" w:hAnsi="David" w:cs="David"/>
          <w:sz w:val="24"/>
          <w:szCs w:val="24"/>
          <w:rtl/>
        </w:rPr>
        <w:t xml:space="preserve">". ראו למשל </w:t>
      </w:r>
      <w:hyperlink r:id="rId33" w:history="1">
        <w:r w:rsidR="005154A4" w:rsidRPr="002B64D8">
          <w:rPr>
            <w:rFonts w:ascii="David" w:hAnsi="David" w:cs="David"/>
            <w:color w:val="0000FF"/>
            <w:sz w:val="24"/>
            <w:szCs w:val="24"/>
            <w:u w:val="single"/>
            <w:rtl/>
          </w:rPr>
          <w:t>רע"פ 8755/21</w:t>
        </w:r>
      </w:hyperlink>
      <w:r w:rsidRPr="002B64D8">
        <w:rPr>
          <w:rFonts w:ascii="David" w:hAnsi="David" w:cs="David"/>
          <w:sz w:val="24"/>
          <w:szCs w:val="24"/>
          <w:rtl/>
        </w:rPr>
        <w:t xml:space="preserve"> </w:t>
      </w:r>
      <w:r w:rsidRPr="002B64D8">
        <w:rPr>
          <w:rFonts w:ascii="David" w:hAnsi="David" w:cs="David"/>
          <w:b/>
          <w:bCs/>
          <w:sz w:val="24"/>
          <w:szCs w:val="24"/>
          <w:rtl/>
        </w:rPr>
        <w:t xml:space="preserve">עראר נ' מדינת ישראל. </w:t>
      </w:r>
      <w:r w:rsidRPr="002B64D8">
        <w:rPr>
          <w:rFonts w:ascii="David" w:hAnsi="David" w:cs="David"/>
          <w:sz w:val="24"/>
          <w:szCs w:val="24"/>
          <w:rtl/>
        </w:rPr>
        <w:t xml:space="preserve"> </w:t>
      </w:r>
    </w:p>
    <w:p w14:paraId="2F19C2CD" w14:textId="77777777" w:rsidR="009971C1" w:rsidRPr="002B64D8" w:rsidRDefault="009971C1" w:rsidP="009971C1">
      <w:pPr>
        <w:pStyle w:val="ab"/>
        <w:spacing w:after="0" w:line="360" w:lineRule="auto"/>
        <w:ind w:left="360"/>
        <w:jc w:val="both"/>
        <w:rPr>
          <w:rFonts w:ascii="David" w:hAnsi="David" w:cs="David"/>
          <w:sz w:val="24"/>
          <w:szCs w:val="24"/>
        </w:rPr>
      </w:pPr>
    </w:p>
    <w:p w14:paraId="0A52F40A" w14:textId="77777777" w:rsidR="009971C1" w:rsidRPr="002B64D8" w:rsidRDefault="009971C1" w:rsidP="009971C1">
      <w:pPr>
        <w:pStyle w:val="ab"/>
        <w:numPr>
          <w:ilvl w:val="0"/>
          <w:numId w:val="2"/>
        </w:numPr>
        <w:spacing w:after="0" w:line="360" w:lineRule="auto"/>
        <w:jc w:val="both"/>
        <w:rPr>
          <w:rFonts w:ascii="David" w:hAnsi="David" w:cs="David"/>
          <w:sz w:val="24"/>
          <w:szCs w:val="24"/>
        </w:rPr>
      </w:pPr>
      <w:r w:rsidRPr="002B64D8">
        <w:rPr>
          <w:rFonts w:ascii="David" w:hAnsi="David" w:cs="David"/>
          <w:sz w:val="24"/>
          <w:szCs w:val="24"/>
          <w:rtl/>
        </w:rPr>
        <w:t>באת כוח הנאשם הפנתה למספר פסקי דין מבתי משפט השלום בהם ביטלו בתי המשפט הרשעות במגוון עבירות. בין השאר הפנתה ל</w:t>
      </w:r>
      <w:hyperlink r:id="rId34" w:history="1">
        <w:r w:rsidR="005154A4" w:rsidRPr="002B64D8">
          <w:rPr>
            <w:rFonts w:ascii="David" w:hAnsi="David" w:cs="David"/>
            <w:color w:val="0000FF"/>
            <w:sz w:val="24"/>
            <w:szCs w:val="24"/>
            <w:u w:val="single"/>
            <w:rtl/>
          </w:rPr>
          <w:t>ת"פ 55996-11-18</w:t>
        </w:r>
      </w:hyperlink>
      <w:r w:rsidRPr="002B64D8">
        <w:rPr>
          <w:rFonts w:ascii="David" w:hAnsi="David" w:cs="David"/>
          <w:sz w:val="24"/>
          <w:szCs w:val="24"/>
          <w:rtl/>
        </w:rPr>
        <w:t xml:space="preserve"> שם הסתפק בית המשפט ב"</w:t>
      </w:r>
      <w:r w:rsidRPr="002B64D8">
        <w:rPr>
          <w:rFonts w:ascii="David" w:hAnsi="David" w:cs="David"/>
          <w:b/>
          <w:bCs/>
          <w:sz w:val="24"/>
          <w:szCs w:val="24"/>
          <w:rtl/>
        </w:rPr>
        <w:t>פוטנציאל נזק לשיקום",</w:t>
      </w:r>
      <w:r w:rsidRPr="002B64D8">
        <w:rPr>
          <w:rFonts w:ascii="David" w:hAnsi="David" w:cs="David"/>
          <w:sz w:val="24"/>
          <w:szCs w:val="24"/>
          <w:rtl/>
        </w:rPr>
        <w:t xml:space="preserve"> אלא שבית המשפט לא תמך את החלטתו בפסיקה מתאימה ולפיכך משום שפסיקת בית משפט השלום אינה מחייבת ואף אינה מנחה, וודאי היא נסוגה מפני הלכת בית המשפט העליון הברורה בדבר הצורך בהוכחת </w:t>
      </w:r>
      <w:r w:rsidRPr="002B64D8">
        <w:rPr>
          <w:rFonts w:ascii="David" w:hAnsi="David" w:cs="David"/>
          <w:b/>
          <w:bCs/>
          <w:sz w:val="24"/>
          <w:szCs w:val="24"/>
          <w:rtl/>
        </w:rPr>
        <w:t xml:space="preserve">נזק קונקרטי. </w:t>
      </w:r>
      <w:r w:rsidRPr="002B64D8">
        <w:rPr>
          <w:rFonts w:ascii="David" w:hAnsi="David" w:cs="David"/>
          <w:sz w:val="24"/>
          <w:szCs w:val="24"/>
          <w:rtl/>
        </w:rPr>
        <w:t>עוד הפנתה ל</w:t>
      </w:r>
      <w:hyperlink r:id="rId35" w:history="1">
        <w:r w:rsidR="005154A4" w:rsidRPr="002B64D8">
          <w:rPr>
            <w:rFonts w:ascii="David" w:hAnsi="David" w:cs="David"/>
            <w:color w:val="0000FF"/>
            <w:sz w:val="24"/>
            <w:szCs w:val="24"/>
            <w:u w:val="single"/>
            <w:rtl/>
          </w:rPr>
          <w:t>ת"פ 42341-11-18</w:t>
        </w:r>
      </w:hyperlink>
      <w:r w:rsidRPr="002B64D8">
        <w:rPr>
          <w:rFonts w:ascii="David" w:hAnsi="David" w:cs="David"/>
          <w:sz w:val="24"/>
          <w:szCs w:val="24"/>
          <w:rtl/>
        </w:rPr>
        <w:t xml:space="preserve"> שם היה מדובר בבגיר צעיר שבית המשפט התרשם כי יש מקום להימנע מהרשעתו נוכח הליך טיפולי בו השתלב ונוכח הסיכוי שהרשעה בדין תפגע בעתידו התעסוקתי, בענייננו לא מדובר בנאשם שהינו בגיר צעיר, לא מדובר בנאשם שעבר הליך טיפולי ולא התרשמתי כי הרשעתו תפגע בעתידו התעסוקתי ולפיכך אינני מוצא את פסק הדין רלוונטי לענייננו. לבסוף הפנתה אף ל</w:t>
      </w:r>
      <w:hyperlink r:id="rId36" w:history="1">
        <w:r w:rsidR="005154A4" w:rsidRPr="002B64D8">
          <w:rPr>
            <w:rFonts w:ascii="David" w:hAnsi="David" w:cs="David"/>
            <w:color w:val="0000FF"/>
            <w:sz w:val="24"/>
            <w:szCs w:val="24"/>
            <w:u w:val="single"/>
            <w:rtl/>
          </w:rPr>
          <w:t>ת"פ 48336-02-18</w:t>
        </w:r>
      </w:hyperlink>
      <w:r w:rsidRPr="002B64D8">
        <w:rPr>
          <w:rFonts w:ascii="David" w:hAnsi="David" w:cs="David"/>
          <w:sz w:val="24"/>
          <w:szCs w:val="24"/>
          <w:rtl/>
        </w:rPr>
        <w:t xml:space="preserve"> שם קבע בית המשפט כי: </w:t>
      </w:r>
      <w:r w:rsidRPr="002B64D8">
        <w:rPr>
          <w:rFonts w:ascii="David" w:hAnsi="David" w:cs="David"/>
          <w:b/>
          <w:bCs/>
          <w:sz w:val="24"/>
          <w:szCs w:val="24"/>
          <w:rtl/>
        </w:rPr>
        <w:t>"ברבות השנים</w:t>
      </w:r>
      <w:r w:rsidRPr="002B64D8">
        <w:rPr>
          <w:rFonts w:ascii="David" w:hAnsi="David" w:cs="David"/>
          <w:sz w:val="24"/>
          <w:szCs w:val="24"/>
          <w:rtl/>
        </w:rPr>
        <w:t xml:space="preserve"> </w:t>
      </w:r>
      <w:r w:rsidRPr="002B64D8">
        <w:rPr>
          <w:rFonts w:ascii="David" w:hAnsi="David" w:cs="David"/>
          <w:b/>
          <w:bCs/>
          <w:sz w:val="24"/>
          <w:szCs w:val="24"/>
          <w:rtl/>
        </w:rPr>
        <w:t>הפסיקה הגמישה את הדרישה להוכחת נזק קונקרטי לעתיד התעסוקתי של הנאשם כתוצאה מהרשעה</w:t>
      </w:r>
      <w:r w:rsidRPr="002B64D8">
        <w:rPr>
          <w:rFonts w:ascii="David" w:hAnsi="David" w:cs="David"/>
          <w:sz w:val="24"/>
          <w:szCs w:val="24"/>
          <w:rtl/>
        </w:rPr>
        <w:t xml:space="preserve">", אך לא הפנה לפסקי דין המלמדים על מגמת הגמשה שכזו. </w:t>
      </w:r>
    </w:p>
    <w:p w14:paraId="2B68D4A3" w14:textId="77777777" w:rsidR="009971C1" w:rsidRPr="002B64D8" w:rsidRDefault="009971C1" w:rsidP="009971C1">
      <w:pPr>
        <w:pStyle w:val="ab"/>
        <w:rPr>
          <w:rFonts w:ascii="David" w:hAnsi="David" w:cs="David"/>
          <w:sz w:val="24"/>
          <w:szCs w:val="24"/>
        </w:rPr>
      </w:pPr>
    </w:p>
    <w:p w14:paraId="6FB2431C"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לא אוכל לקבל את הטענה לפיה קיימת בשנים האחרונות מגמה של הגמשה בדרישה לקיומו של נזק קונקרטי. ההלכה בדבר הצורך בקיומו של נזק קונקרטי נקבעה על ידי בית המשפט העליון בפסקי דין רבים מספור. ראו למשל </w:t>
      </w:r>
      <w:hyperlink r:id="rId37" w:history="1">
        <w:r w:rsidR="005154A4" w:rsidRPr="002B64D8">
          <w:rPr>
            <w:rFonts w:ascii="David" w:hAnsi="David" w:cs="David"/>
            <w:color w:val="0000FF"/>
            <w:sz w:val="24"/>
            <w:szCs w:val="24"/>
            <w:u w:val="single"/>
            <w:rtl/>
          </w:rPr>
          <w:t>רע"פ 6485/20</w:t>
        </w:r>
      </w:hyperlink>
      <w:r w:rsidRPr="002B64D8">
        <w:rPr>
          <w:rFonts w:ascii="David" w:hAnsi="David" w:cs="David"/>
          <w:sz w:val="24"/>
          <w:szCs w:val="24"/>
          <w:rtl/>
        </w:rPr>
        <w:t xml:space="preserve"> </w:t>
      </w:r>
      <w:r w:rsidRPr="002B64D8">
        <w:rPr>
          <w:rFonts w:ascii="David" w:hAnsi="David" w:cs="David"/>
          <w:b/>
          <w:bCs/>
          <w:sz w:val="24"/>
          <w:szCs w:val="24"/>
          <w:rtl/>
        </w:rPr>
        <w:t>ביטון נ' מדינת ישראל</w:t>
      </w:r>
      <w:r w:rsidRPr="002B64D8">
        <w:rPr>
          <w:rFonts w:ascii="David" w:hAnsi="David" w:cs="David"/>
          <w:sz w:val="24"/>
          <w:szCs w:val="24"/>
          <w:rtl/>
        </w:rPr>
        <w:t xml:space="preserve">, </w:t>
      </w:r>
      <w:hyperlink r:id="rId38" w:history="1">
        <w:r w:rsidR="005154A4" w:rsidRPr="002B64D8">
          <w:rPr>
            <w:rFonts w:ascii="David" w:hAnsi="David" w:cs="David"/>
            <w:color w:val="0000FF"/>
            <w:sz w:val="24"/>
            <w:szCs w:val="24"/>
            <w:u w:val="single"/>
            <w:rtl/>
          </w:rPr>
          <w:t>רע"פ 5018/18</w:t>
        </w:r>
      </w:hyperlink>
      <w:r w:rsidRPr="002B64D8">
        <w:rPr>
          <w:rFonts w:ascii="David" w:hAnsi="David" w:cs="David"/>
          <w:sz w:val="24"/>
          <w:szCs w:val="24"/>
          <w:rtl/>
        </w:rPr>
        <w:t xml:space="preserve"> </w:t>
      </w:r>
      <w:r w:rsidRPr="002B64D8">
        <w:rPr>
          <w:rFonts w:ascii="David" w:hAnsi="David" w:cs="David"/>
          <w:b/>
          <w:bCs/>
          <w:sz w:val="24"/>
          <w:szCs w:val="24"/>
          <w:rtl/>
        </w:rPr>
        <w:t>בוזגלו נ' מדינת ישראל</w:t>
      </w:r>
      <w:r w:rsidRPr="002B64D8">
        <w:rPr>
          <w:rFonts w:ascii="David" w:hAnsi="David" w:cs="David"/>
          <w:sz w:val="24"/>
          <w:szCs w:val="24"/>
          <w:rtl/>
        </w:rPr>
        <w:t xml:space="preserve">, </w:t>
      </w:r>
      <w:hyperlink r:id="rId39" w:history="1">
        <w:r w:rsidR="005154A4" w:rsidRPr="002B64D8">
          <w:rPr>
            <w:rFonts w:ascii="David" w:hAnsi="David" w:cs="David"/>
            <w:color w:val="0000FF"/>
            <w:sz w:val="24"/>
            <w:szCs w:val="24"/>
            <w:u w:val="single"/>
            <w:rtl/>
          </w:rPr>
          <w:t>רע"פ 1097/18</w:t>
        </w:r>
      </w:hyperlink>
      <w:r w:rsidRPr="002B64D8">
        <w:rPr>
          <w:rFonts w:ascii="David" w:hAnsi="David" w:cs="David"/>
          <w:sz w:val="24"/>
          <w:szCs w:val="24"/>
          <w:rtl/>
        </w:rPr>
        <w:t xml:space="preserve"> </w:t>
      </w:r>
      <w:r w:rsidRPr="002B64D8">
        <w:rPr>
          <w:rFonts w:ascii="David" w:hAnsi="David" w:cs="David"/>
          <w:b/>
          <w:bCs/>
          <w:sz w:val="24"/>
          <w:szCs w:val="24"/>
          <w:rtl/>
        </w:rPr>
        <w:t>בצלאל נ' מדינת ישראל</w:t>
      </w:r>
      <w:r w:rsidRPr="002B64D8">
        <w:rPr>
          <w:rFonts w:ascii="David" w:hAnsi="David" w:cs="David"/>
          <w:sz w:val="24"/>
          <w:szCs w:val="24"/>
          <w:rtl/>
        </w:rPr>
        <w:t xml:space="preserve">, </w:t>
      </w:r>
      <w:hyperlink r:id="rId40" w:history="1">
        <w:r w:rsidR="005154A4" w:rsidRPr="002B64D8">
          <w:rPr>
            <w:rFonts w:ascii="David" w:hAnsi="David" w:cs="David"/>
            <w:color w:val="0000FF"/>
            <w:sz w:val="24"/>
            <w:szCs w:val="24"/>
            <w:u w:val="single"/>
            <w:rtl/>
          </w:rPr>
          <w:t>רע"פ 3589/14</w:t>
        </w:r>
      </w:hyperlink>
      <w:r w:rsidRPr="002B64D8">
        <w:rPr>
          <w:rFonts w:ascii="David" w:hAnsi="David" w:cs="David"/>
          <w:sz w:val="24"/>
          <w:szCs w:val="24"/>
          <w:rtl/>
        </w:rPr>
        <w:t xml:space="preserve"> </w:t>
      </w:r>
      <w:r w:rsidRPr="002B64D8">
        <w:rPr>
          <w:rFonts w:ascii="David" w:hAnsi="David" w:cs="David"/>
          <w:b/>
          <w:bCs/>
          <w:sz w:val="24"/>
          <w:szCs w:val="24"/>
          <w:rtl/>
        </w:rPr>
        <w:t>שרון לוזון נ' מדינת ישראל</w:t>
      </w:r>
      <w:r w:rsidRPr="002B64D8">
        <w:rPr>
          <w:rFonts w:ascii="David" w:hAnsi="David" w:cs="David"/>
          <w:sz w:val="24"/>
          <w:szCs w:val="24"/>
          <w:rtl/>
        </w:rPr>
        <w:t xml:space="preserve">, </w:t>
      </w:r>
      <w:hyperlink r:id="rId41" w:history="1">
        <w:r w:rsidR="005154A4" w:rsidRPr="002B64D8">
          <w:rPr>
            <w:rFonts w:ascii="David" w:hAnsi="David" w:cs="David"/>
            <w:color w:val="0000FF"/>
            <w:sz w:val="24"/>
            <w:szCs w:val="24"/>
            <w:u w:val="single"/>
            <w:rtl/>
          </w:rPr>
          <w:t>רע"פ 5860/15</w:t>
        </w:r>
      </w:hyperlink>
      <w:r w:rsidRPr="002B64D8">
        <w:rPr>
          <w:rFonts w:ascii="David" w:hAnsi="David" w:cs="David"/>
          <w:sz w:val="24"/>
          <w:szCs w:val="24"/>
          <w:rtl/>
        </w:rPr>
        <w:t xml:space="preserve"> </w:t>
      </w:r>
      <w:r w:rsidRPr="002B64D8">
        <w:rPr>
          <w:rFonts w:ascii="David" w:hAnsi="David" w:cs="David"/>
          <w:b/>
          <w:bCs/>
          <w:sz w:val="24"/>
          <w:szCs w:val="24"/>
          <w:rtl/>
        </w:rPr>
        <w:t>סגל נ' מדינת ישראל,</w:t>
      </w:r>
      <w:r w:rsidRPr="002B64D8">
        <w:rPr>
          <w:rFonts w:ascii="David" w:hAnsi="David" w:cs="David"/>
          <w:sz w:val="24"/>
          <w:szCs w:val="24"/>
          <w:rtl/>
        </w:rPr>
        <w:t xml:space="preserve"> </w:t>
      </w:r>
      <w:hyperlink r:id="rId42" w:history="1">
        <w:r w:rsidR="005154A4" w:rsidRPr="002B64D8">
          <w:rPr>
            <w:rFonts w:ascii="David" w:hAnsi="David" w:cs="David"/>
            <w:color w:val="0000FF"/>
            <w:sz w:val="24"/>
            <w:szCs w:val="24"/>
            <w:u w:val="single"/>
            <w:rtl/>
          </w:rPr>
          <w:t>רע"פ 7224/14</w:t>
        </w:r>
      </w:hyperlink>
      <w:r w:rsidRPr="002B64D8">
        <w:rPr>
          <w:rFonts w:ascii="David" w:hAnsi="David" w:cs="David"/>
          <w:sz w:val="24"/>
          <w:szCs w:val="24"/>
          <w:rtl/>
        </w:rPr>
        <w:t xml:space="preserve"> </w:t>
      </w:r>
      <w:r w:rsidRPr="002B64D8">
        <w:rPr>
          <w:rFonts w:ascii="David" w:hAnsi="David" w:cs="David"/>
          <w:b/>
          <w:bCs/>
          <w:sz w:val="24"/>
          <w:szCs w:val="24"/>
          <w:rtl/>
        </w:rPr>
        <w:t>משה פרנסקי נ' מדינת ישראל</w:t>
      </w:r>
      <w:r w:rsidRPr="002B64D8">
        <w:rPr>
          <w:rFonts w:ascii="David" w:hAnsi="David" w:cs="David"/>
          <w:sz w:val="24"/>
          <w:szCs w:val="24"/>
          <w:rtl/>
        </w:rPr>
        <w:t xml:space="preserve">. </w:t>
      </w:r>
    </w:p>
    <w:p w14:paraId="24C57778" w14:textId="77777777" w:rsidR="009971C1" w:rsidRPr="002B64D8" w:rsidRDefault="009971C1" w:rsidP="009971C1">
      <w:pPr>
        <w:pStyle w:val="ab"/>
        <w:rPr>
          <w:rFonts w:ascii="David" w:hAnsi="David" w:cs="David"/>
          <w:sz w:val="24"/>
          <w:szCs w:val="24"/>
        </w:rPr>
      </w:pPr>
    </w:p>
    <w:p w14:paraId="4684F875"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ודוק, הדרישה לנזק קונקרטי בפסיקת בית המשפט העליון הינה כה נוקשה עד כי: "</w:t>
      </w:r>
      <w:r w:rsidRPr="002B64D8">
        <w:rPr>
          <w:rFonts w:ascii="David" w:hAnsi="David" w:cs="David"/>
          <w:b/>
          <w:bCs/>
          <w:sz w:val="24"/>
          <w:szCs w:val="24"/>
          <w:rtl/>
        </w:rPr>
        <w:t>גם כאשר מדובר בנאשם צעיר המצוי בתחילת חייו הבוגרים, יש להציג נזק מוחשי-קונקרטי שייגרם כתוצאה מההרשעה</w:t>
      </w:r>
      <w:r w:rsidRPr="002B64D8">
        <w:rPr>
          <w:rFonts w:ascii="David" w:hAnsi="David" w:cs="David"/>
          <w:sz w:val="24"/>
          <w:szCs w:val="24"/>
          <w:rtl/>
        </w:rPr>
        <w:t xml:space="preserve">." ראו </w:t>
      </w:r>
      <w:hyperlink r:id="rId43" w:history="1">
        <w:r w:rsidR="005154A4" w:rsidRPr="002B64D8">
          <w:rPr>
            <w:rFonts w:ascii="David" w:hAnsi="David" w:cs="David"/>
            <w:color w:val="0000FF"/>
            <w:sz w:val="24"/>
            <w:szCs w:val="24"/>
            <w:u w:val="single"/>
            <w:rtl/>
          </w:rPr>
          <w:t>רע"פ 7109/14</w:t>
        </w:r>
      </w:hyperlink>
      <w:r w:rsidRPr="002B64D8">
        <w:rPr>
          <w:rFonts w:ascii="David" w:hAnsi="David" w:cs="David"/>
          <w:sz w:val="24"/>
          <w:szCs w:val="24"/>
          <w:rtl/>
        </w:rPr>
        <w:t xml:space="preserve"> </w:t>
      </w:r>
      <w:r w:rsidRPr="002B64D8">
        <w:rPr>
          <w:rFonts w:ascii="David" w:hAnsi="David" w:cs="David"/>
          <w:b/>
          <w:bCs/>
          <w:sz w:val="24"/>
          <w:szCs w:val="24"/>
          <w:rtl/>
        </w:rPr>
        <w:t xml:space="preserve">סייג נ' מדינת ישראל. </w:t>
      </w:r>
      <w:r w:rsidRPr="002B64D8">
        <w:rPr>
          <w:rFonts w:ascii="David" w:hAnsi="David" w:cs="David"/>
          <w:sz w:val="24"/>
          <w:szCs w:val="24"/>
          <w:rtl/>
        </w:rPr>
        <w:t>יצוין, כי בית המשפט העליון חזר והדגיש כי אף לאחר כניסת תיקון 113 ל</w:t>
      </w:r>
      <w:hyperlink r:id="rId44" w:history="1">
        <w:r w:rsidR="005154A4" w:rsidRPr="002B64D8">
          <w:rPr>
            <w:rFonts w:ascii="David" w:hAnsi="David" w:cs="David"/>
            <w:color w:val="0000FF"/>
            <w:sz w:val="24"/>
            <w:szCs w:val="24"/>
            <w:u w:val="single"/>
            <w:rtl/>
          </w:rPr>
          <w:t>חוק העונשין</w:t>
        </w:r>
      </w:hyperlink>
      <w:r w:rsidRPr="002B64D8">
        <w:rPr>
          <w:rFonts w:ascii="David" w:hAnsi="David" w:cs="David"/>
          <w:sz w:val="24"/>
          <w:szCs w:val="24"/>
          <w:rtl/>
        </w:rPr>
        <w:t xml:space="preserve"> לתוקף, תנאי בלעדיו אין לביטול הרשעה הוא שהרשעתו של הנאשם: "</w:t>
      </w:r>
      <w:r w:rsidRPr="002B64D8">
        <w:rPr>
          <w:rFonts w:ascii="David" w:hAnsi="David" w:cs="David"/>
          <w:b/>
          <w:bCs/>
          <w:sz w:val="24"/>
          <w:szCs w:val="24"/>
          <w:rtl/>
        </w:rPr>
        <w:t>צפויה לפגוע פגיעה חמורה בשיקומו או בעתידו</w:t>
      </w:r>
      <w:r w:rsidRPr="002B64D8">
        <w:rPr>
          <w:rFonts w:ascii="David" w:hAnsi="David" w:cs="David"/>
          <w:sz w:val="24"/>
          <w:szCs w:val="24"/>
          <w:rtl/>
        </w:rPr>
        <w:t xml:space="preserve">". ראו </w:t>
      </w:r>
      <w:hyperlink r:id="rId45" w:history="1">
        <w:r w:rsidR="005154A4" w:rsidRPr="002B64D8">
          <w:rPr>
            <w:rFonts w:ascii="David" w:hAnsi="David" w:cs="David"/>
            <w:color w:val="0000FF"/>
            <w:sz w:val="24"/>
            <w:szCs w:val="24"/>
            <w:u w:val="single"/>
            <w:rtl/>
          </w:rPr>
          <w:t>רע"פ 2327/19</w:t>
        </w:r>
      </w:hyperlink>
      <w:r w:rsidRPr="002B64D8">
        <w:rPr>
          <w:rFonts w:ascii="David" w:hAnsi="David" w:cs="David"/>
          <w:sz w:val="24"/>
          <w:szCs w:val="24"/>
          <w:rtl/>
        </w:rPr>
        <w:t xml:space="preserve"> </w:t>
      </w:r>
      <w:r w:rsidRPr="002B64D8">
        <w:rPr>
          <w:rFonts w:ascii="David" w:hAnsi="David" w:cs="David"/>
          <w:b/>
          <w:bCs/>
          <w:sz w:val="24"/>
          <w:szCs w:val="24"/>
          <w:rtl/>
        </w:rPr>
        <w:t xml:space="preserve">אדוארדו נ' מדינת ישראל. </w:t>
      </w:r>
      <w:r w:rsidRPr="002B64D8">
        <w:rPr>
          <w:rFonts w:ascii="David" w:hAnsi="David" w:cs="David"/>
          <w:sz w:val="24"/>
          <w:szCs w:val="24"/>
          <w:rtl/>
        </w:rPr>
        <w:t xml:space="preserve"> </w:t>
      </w:r>
    </w:p>
    <w:p w14:paraId="763C6D61" w14:textId="77777777" w:rsidR="009971C1" w:rsidRPr="002B64D8" w:rsidRDefault="009971C1" w:rsidP="009971C1">
      <w:pPr>
        <w:pStyle w:val="ab"/>
        <w:rPr>
          <w:rFonts w:ascii="David" w:hAnsi="David" w:cs="David"/>
          <w:b/>
          <w:bCs/>
          <w:sz w:val="24"/>
          <w:szCs w:val="24"/>
        </w:rPr>
      </w:pPr>
    </w:p>
    <w:p w14:paraId="073D0A05"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לא נעלם מעיניי </w:t>
      </w:r>
      <w:hyperlink r:id="rId46" w:history="1">
        <w:r w:rsidR="005154A4" w:rsidRPr="002B64D8">
          <w:rPr>
            <w:rFonts w:ascii="David" w:hAnsi="David" w:cs="David"/>
            <w:color w:val="0000FF"/>
            <w:sz w:val="24"/>
            <w:szCs w:val="24"/>
            <w:u w:val="single"/>
            <w:rtl/>
          </w:rPr>
          <w:t>עפ"ג 66903-07-20</w:t>
        </w:r>
      </w:hyperlink>
      <w:r w:rsidRPr="002B64D8">
        <w:rPr>
          <w:rFonts w:ascii="David" w:hAnsi="David" w:cs="David"/>
          <w:sz w:val="24"/>
          <w:szCs w:val="24"/>
          <w:rtl/>
        </w:rPr>
        <w:t xml:space="preserve"> </w:t>
      </w:r>
      <w:r w:rsidRPr="002B64D8">
        <w:rPr>
          <w:rFonts w:ascii="David" w:hAnsi="David" w:cs="David"/>
          <w:b/>
          <w:bCs/>
          <w:sz w:val="24"/>
          <w:szCs w:val="24"/>
          <w:rtl/>
        </w:rPr>
        <w:t>אבו מדיעם נ' מדינת ישראל</w:t>
      </w:r>
      <w:r w:rsidRPr="002B64D8">
        <w:rPr>
          <w:rFonts w:ascii="David" w:hAnsi="David" w:cs="David"/>
          <w:sz w:val="24"/>
          <w:szCs w:val="24"/>
          <w:rtl/>
        </w:rPr>
        <w:t xml:space="preserve"> שם קבע בית המשפט המחוזי הנכבד מקבילית מוחות בין חומרת העבירה לבין עוצמת הנזק שיש להוכיח. באותו עניין, יש לזכור, נדון עניינו של נאשם שסיים לימודי רפואה ואשר היה קבוע לו מועד למבחני משרד הבריאות לקראת התמחות הרופאים. זה וודאי אינו המקרה בענייננו. הנאשם שבפני לא רק שלא הוכיח קיומו של נזק קונקרטי, או נזק כללי, אלא אף לא הוכיח קיומה של "</w:t>
      </w:r>
      <w:r w:rsidRPr="002B64D8">
        <w:rPr>
          <w:rFonts w:ascii="David" w:hAnsi="David" w:cs="David"/>
          <w:b/>
          <w:bCs/>
          <w:sz w:val="24"/>
          <w:szCs w:val="24"/>
          <w:rtl/>
        </w:rPr>
        <w:t>השפעה שלילית</w:t>
      </w:r>
      <w:r w:rsidRPr="002B64D8">
        <w:rPr>
          <w:rFonts w:ascii="David" w:hAnsi="David" w:cs="David"/>
          <w:sz w:val="24"/>
          <w:szCs w:val="24"/>
          <w:rtl/>
        </w:rPr>
        <w:t>" על עתידו המקצועי, (כלשון בית המשפט ב</w:t>
      </w:r>
      <w:hyperlink r:id="rId47" w:history="1">
        <w:r w:rsidR="005154A4" w:rsidRPr="002B64D8">
          <w:rPr>
            <w:rFonts w:ascii="David" w:hAnsi="David" w:cs="David"/>
            <w:color w:val="0000FF"/>
            <w:sz w:val="24"/>
            <w:szCs w:val="24"/>
            <w:u w:val="single"/>
            <w:rtl/>
          </w:rPr>
          <w:t>רע"פ 8215/16</w:t>
        </w:r>
      </w:hyperlink>
      <w:r w:rsidRPr="002B64D8">
        <w:rPr>
          <w:rFonts w:ascii="David" w:hAnsi="David" w:cs="David"/>
          <w:sz w:val="24"/>
          <w:szCs w:val="24"/>
          <w:rtl/>
        </w:rPr>
        <w:t xml:space="preserve"> </w:t>
      </w:r>
      <w:r w:rsidRPr="002B64D8">
        <w:rPr>
          <w:rFonts w:ascii="David" w:hAnsi="David" w:cs="David"/>
          <w:b/>
          <w:bCs/>
          <w:sz w:val="24"/>
          <w:szCs w:val="24"/>
          <w:rtl/>
        </w:rPr>
        <w:t>יצחק נ' מדינת ישראל</w:t>
      </w:r>
      <w:r w:rsidRPr="002B64D8">
        <w:rPr>
          <w:rFonts w:ascii="David" w:hAnsi="David" w:cs="David"/>
          <w:sz w:val="24"/>
          <w:szCs w:val="24"/>
          <w:rtl/>
        </w:rPr>
        <w:t xml:space="preserve">). כל שעשה הנאשם בענייננו היה לטעון טענה תיאורטית בעלמא, כי הוא עשוי לרצות ללמוד לימודי משפטים או עבודה סוציאלית בעתיד. </w:t>
      </w:r>
    </w:p>
    <w:p w14:paraId="4BB604F5" w14:textId="77777777" w:rsidR="009971C1" w:rsidRPr="002B64D8" w:rsidRDefault="009971C1" w:rsidP="009971C1">
      <w:pPr>
        <w:pStyle w:val="ab"/>
        <w:rPr>
          <w:rFonts w:ascii="David" w:hAnsi="David" w:cs="David"/>
          <w:sz w:val="24"/>
          <w:szCs w:val="24"/>
        </w:rPr>
      </w:pPr>
    </w:p>
    <w:p w14:paraId="20E90C1D"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בשולי הדברים, ובמלוא הזהירות והענווה המתבקשת, אציין כי התפיסה לפיה קיימת מקבילית כוחות בין חומרת העבירה לבין מידת הנזק הקונקרטי שעל הנאשם להוכיח, עלולה לעמוד באי הלימה מסוימת </w:t>
      </w:r>
      <w:r w:rsidRPr="002B64D8">
        <w:rPr>
          <w:rFonts w:ascii="David" w:hAnsi="David" w:cs="David"/>
          <w:b/>
          <w:bCs/>
          <w:sz w:val="24"/>
          <w:szCs w:val="24"/>
          <w:rtl/>
        </w:rPr>
        <w:t xml:space="preserve">להלכת כתב. </w:t>
      </w:r>
      <w:r w:rsidRPr="002B64D8">
        <w:rPr>
          <w:rFonts w:ascii="David" w:hAnsi="David" w:cs="David"/>
          <w:sz w:val="24"/>
          <w:szCs w:val="24"/>
          <w:rtl/>
        </w:rPr>
        <w:t xml:space="preserve">כזכור, </w:t>
      </w:r>
      <w:r w:rsidRPr="002B64D8">
        <w:rPr>
          <w:rFonts w:ascii="David" w:hAnsi="David" w:cs="David"/>
          <w:b/>
          <w:bCs/>
          <w:sz w:val="24"/>
          <w:szCs w:val="24"/>
          <w:rtl/>
        </w:rPr>
        <w:t>בהלכת כתב</w:t>
      </w:r>
      <w:r w:rsidRPr="002B64D8">
        <w:rPr>
          <w:rFonts w:ascii="David" w:hAnsi="David" w:cs="David"/>
          <w:sz w:val="24"/>
          <w:szCs w:val="24"/>
          <w:rtl/>
        </w:rPr>
        <w:t xml:space="preserve"> נקבע כי על מנת לבטל הרשעה, על הנאשם לעמוד בשני תנאים מצטברים. האחד הוא ש: "</w:t>
      </w:r>
      <w:r w:rsidRPr="002B64D8">
        <w:rPr>
          <w:rFonts w:ascii="David" w:hAnsi="David" w:cs="David"/>
          <w:b/>
          <w:bCs/>
          <w:sz w:val="24"/>
          <w:szCs w:val="24"/>
          <w:rtl/>
        </w:rPr>
        <w:t>על ההרשעה לפגוע פגיעה חמורה בשיקום הנאשם</w:t>
      </w:r>
      <w:r w:rsidRPr="002B64D8">
        <w:rPr>
          <w:rFonts w:ascii="David" w:hAnsi="David" w:cs="David"/>
          <w:sz w:val="24"/>
          <w:szCs w:val="24"/>
          <w:rtl/>
        </w:rPr>
        <w:t xml:space="preserve">" והשני הוא ש: </w:t>
      </w:r>
      <w:r w:rsidRPr="002B64D8">
        <w:rPr>
          <w:rFonts w:ascii="David" w:hAnsi="David" w:cs="David"/>
          <w:b/>
          <w:bCs/>
          <w:sz w:val="24"/>
          <w:szCs w:val="24"/>
          <w:rtl/>
        </w:rPr>
        <w:t>"סוג העבירה מאפשר לוותר בנסיבות המקרה המסוים על ההרשעה מבלי לפגוע באופן מהותי בשיקולי הענישה האחרים</w:t>
      </w:r>
      <w:r w:rsidRPr="002B64D8">
        <w:rPr>
          <w:rFonts w:ascii="David" w:hAnsi="David" w:cs="David"/>
          <w:sz w:val="24"/>
          <w:szCs w:val="24"/>
          <w:rtl/>
        </w:rPr>
        <w:t>." צא ולמד, ככל שסוג העבירה מאפשר לוותר על הרשעה, אין משמעות הדבר שניתן להסתפק בהשפעה תיאורטית על עתיד הנאשם, ועדיין יש להצביע על "</w:t>
      </w:r>
      <w:r w:rsidRPr="002B64D8">
        <w:rPr>
          <w:rFonts w:ascii="David" w:hAnsi="David" w:cs="David"/>
          <w:b/>
          <w:bCs/>
          <w:sz w:val="24"/>
          <w:szCs w:val="24"/>
          <w:rtl/>
        </w:rPr>
        <w:t>פגיעה חמורה בשיקום הנאשם</w:t>
      </w:r>
      <w:r w:rsidRPr="002B64D8">
        <w:rPr>
          <w:rFonts w:ascii="David" w:hAnsi="David" w:cs="David"/>
          <w:sz w:val="24"/>
          <w:szCs w:val="24"/>
          <w:rtl/>
        </w:rPr>
        <w:t xml:space="preserve">" כתוצאה מהרשעתו. זה טיבם של תנאים מצטברים, ומכאן בדיוק התבססה לה ההלכה בדבר דרישת הנזק הקונקרטי בפסיקתו של בית המשפט העליון, כפי שפירטתי בהרחבה לעיל. </w:t>
      </w:r>
    </w:p>
    <w:p w14:paraId="27827799" w14:textId="77777777" w:rsidR="009971C1" w:rsidRPr="002B64D8" w:rsidRDefault="009971C1" w:rsidP="009971C1">
      <w:pPr>
        <w:pStyle w:val="ab"/>
        <w:rPr>
          <w:rFonts w:ascii="David" w:hAnsi="David" w:cs="David"/>
          <w:sz w:val="24"/>
          <w:szCs w:val="24"/>
        </w:rPr>
      </w:pPr>
    </w:p>
    <w:p w14:paraId="5332F1DC"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האמור לעיל אף עולה בקנה אחד עם עיקרון היסוד שבבסיס </w:t>
      </w:r>
      <w:r w:rsidRPr="002B64D8">
        <w:rPr>
          <w:rFonts w:ascii="David" w:hAnsi="David" w:cs="David"/>
          <w:b/>
          <w:bCs/>
          <w:sz w:val="24"/>
          <w:szCs w:val="24"/>
          <w:rtl/>
        </w:rPr>
        <w:t>הלכת כתב</w:t>
      </w:r>
      <w:r w:rsidRPr="002B64D8">
        <w:rPr>
          <w:rFonts w:ascii="David" w:hAnsi="David" w:cs="David"/>
          <w:sz w:val="24"/>
          <w:szCs w:val="24"/>
          <w:rtl/>
        </w:rPr>
        <w:t xml:space="preserve"> לפיו ביטול הרשעה שמור רק ל:</w:t>
      </w:r>
      <w:r w:rsidRPr="002B64D8">
        <w:rPr>
          <w:rFonts w:cs="David"/>
          <w:rtl/>
        </w:rPr>
        <w:t xml:space="preserve"> "</w:t>
      </w:r>
      <w:r w:rsidRPr="002B64D8">
        <w:rPr>
          <w:rFonts w:ascii="David" w:hAnsi="David" w:cs="David"/>
          <w:b/>
          <w:bCs/>
          <w:sz w:val="24"/>
          <w:szCs w:val="24"/>
          <w:rtl/>
        </w:rPr>
        <w:t>מקרים חריגים שבהם הצטברות הנסיבות הקשורות בנאשם ובעבירה שעבר מצדיקה שלא להטביע בנאשם אות קלון של פליליות</w:t>
      </w:r>
      <w:r w:rsidRPr="002B64D8">
        <w:rPr>
          <w:rFonts w:cs="David"/>
          <w:rtl/>
        </w:rPr>
        <w:t>"</w:t>
      </w:r>
      <w:r w:rsidRPr="002B64D8">
        <w:rPr>
          <w:rFonts w:ascii="David" w:hAnsi="David" w:cs="David"/>
          <w:sz w:val="24"/>
          <w:szCs w:val="24"/>
          <w:rtl/>
        </w:rPr>
        <w:t>. ייחוס משקל מכריע לקולת העבירה, ככזו המפחיתה קטגוריאלית את הצורך בהוכחת נזק, עלול להפוך את ביטול ההרשעה לדרך המלך בעבירות הפחות חמורות ב</w:t>
      </w:r>
      <w:hyperlink r:id="rId48" w:history="1">
        <w:r w:rsidR="005154A4" w:rsidRPr="002B64D8">
          <w:rPr>
            <w:rFonts w:ascii="David" w:hAnsi="David" w:cs="David"/>
            <w:color w:val="0000FF"/>
            <w:sz w:val="24"/>
            <w:szCs w:val="24"/>
            <w:u w:val="single"/>
            <w:rtl/>
          </w:rPr>
          <w:t>חוק העונשין</w:t>
        </w:r>
      </w:hyperlink>
      <w:r w:rsidRPr="002B64D8">
        <w:rPr>
          <w:rFonts w:ascii="David" w:hAnsi="David" w:cs="David"/>
          <w:sz w:val="24"/>
          <w:szCs w:val="24"/>
          <w:rtl/>
        </w:rPr>
        <w:t>, וכאלה יש רבות. וזו תוצאה אליה וודאי לא התכוון המחוקק ואף לא בית המשפט העליון.</w:t>
      </w:r>
    </w:p>
    <w:p w14:paraId="6475777C" w14:textId="77777777" w:rsidR="009971C1" w:rsidRPr="002B64D8" w:rsidRDefault="009971C1" w:rsidP="009971C1">
      <w:pPr>
        <w:pStyle w:val="ab"/>
        <w:rPr>
          <w:rFonts w:ascii="David" w:hAnsi="David" w:cs="David"/>
          <w:sz w:val="24"/>
          <w:szCs w:val="24"/>
        </w:rPr>
      </w:pPr>
    </w:p>
    <w:p w14:paraId="0975C5D6"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משכל זה נאמר, וודאי השאלה העובדתית מהי: "</w:t>
      </w:r>
      <w:r w:rsidRPr="002B64D8">
        <w:rPr>
          <w:rFonts w:ascii="David" w:hAnsi="David" w:cs="David"/>
          <w:b/>
          <w:bCs/>
          <w:sz w:val="24"/>
          <w:szCs w:val="24"/>
          <w:rtl/>
        </w:rPr>
        <w:t>פגיעה חמורה בשיקום הנאשם</w:t>
      </w:r>
      <w:r w:rsidRPr="002B64D8">
        <w:rPr>
          <w:rFonts w:ascii="David" w:hAnsi="David" w:cs="David"/>
          <w:sz w:val="24"/>
          <w:szCs w:val="24"/>
          <w:rtl/>
        </w:rPr>
        <w:t>", ובהתאמה מהי עוצמת ומסוימות הנזק שעל הנאשם להוכיח על מנת להצדיק את ביטול הרשעתו, נתונה לפרשנות בית המשפט הדן בתיק עצמו, והיא תלוית כלל נסיבות המקרה, לרבות טיב השיקום שעבר הנאשם, גילו של הנאשם, יחסו לעבירה, מידת פגיעת העבירה באחרים, שיקולי הרתעה וכמובן אף חומרת המעשה.</w:t>
      </w:r>
    </w:p>
    <w:p w14:paraId="06336AE7" w14:textId="77777777" w:rsidR="009971C1" w:rsidRPr="002B64D8" w:rsidRDefault="009971C1" w:rsidP="009971C1">
      <w:pPr>
        <w:pStyle w:val="ab"/>
        <w:rPr>
          <w:rFonts w:ascii="David" w:hAnsi="David" w:cs="David"/>
          <w:sz w:val="24"/>
          <w:szCs w:val="24"/>
        </w:rPr>
      </w:pPr>
    </w:p>
    <w:p w14:paraId="7D98D051"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בכל הנוגע לחומרת העבירה, הרי שגם אם מדובר בסם שאינו מן הקשים ובגידול שעל פניו אינו בעל מאפיינים מסחריים מובהקים, עדיין יש לזכור כי המחוקק קבע לעבירה בה הורשע הנאשם עונש מקסימום של 20 שנה. אין בכך לומר כי לא ייתכנו מקרים מיוחדים בהם ניתן יהיה לבטל הרשעה בעבירה מסוג זה, ככל שהנאשם יוכיח פגיעה חמורה בשיקומו. אלא שבענייננו הנאשם לא עמד בנטל זה ולא הוכיח פגיעה חמורה ואף לא פגיעה קונקרטית אחרת.</w:t>
      </w:r>
    </w:p>
    <w:p w14:paraId="6A7CC0AA" w14:textId="77777777" w:rsidR="009971C1" w:rsidRPr="002B64D8" w:rsidRDefault="009971C1" w:rsidP="009971C1">
      <w:pPr>
        <w:pStyle w:val="ab"/>
        <w:rPr>
          <w:rFonts w:ascii="David" w:hAnsi="David" w:cs="David"/>
          <w:sz w:val="24"/>
          <w:szCs w:val="24"/>
        </w:rPr>
      </w:pPr>
    </w:p>
    <w:p w14:paraId="4EF822BB"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לאור האמור לעיל דין בקשת הנאשם לביטול הרשעתו להידחות.  </w:t>
      </w:r>
    </w:p>
    <w:p w14:paraId="20594C22" w14:textId="77777777" w:rsidR="009971C1" w:rsidRPr="002B64D8" w:rsidRDefault="009971C1" w:rsidP="009971C1">
      <w:pPr>
        <w:pStyle w:val="ab"/>
        <w:spacing w:after="0" w:line="360" w:lineRule="auto"/>
        <w:ind w:left="360"/>
        <w:jc w:val="both"/>
        <w:rPr>
          <w:rFonts w:ascii="David" w:hAnsi="David" w:cs="David"/>
          <w:sz w:val="24"/>
          <w:szCs w:val="24"/>
        </w:rPr>
      </w:pPr>
    </w:p>
    <w:p w14:paraId="1CCA72EB" w14:textId="77777777" w:rsidR="009971C1" w:rsidRPr="002B64D8" w:rsidRDefault="009971C1" w:rsidP="009971C1">
      <w:pPr>
        <w:spacing w:line="360" w:lineRule="auto"/>
        <w:jc w:val="both"/>
        <w:rPr>
          <w:rFonts w:ascii="David" w:hAnsi="David"/>
          <w:b/>
          <w:bCs/>
          <w:u w:val="single"/>
        </w:rPr>
      </w:pPr>
      <w:r w:rsidRPr="002B64D8">
        <w:rPr>
          <w:rFonts w:ascii="David" w:hAnsi="David"/>
          <w:b/>
          <w:bCs/>
          <w:u w:val="single"/>
          <w:rtl/>
        </w:rPr>
        <w:t>קביעת מתחם העונש ההולם</w:t>
      </w:r>
    </w:p>
    <w:p w14:paraId="1DA76E8D"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בקביעת מתחם העונש ההולם על בית המשפט להתחשב בערכים המוגנים, במידת הפגיעה בהם, בענישה הנוהגת ובנסיבות הקשורות בביצוע העבירה.</w:t>
      </w:r>
    </w:p>
    <w:p w14:paraId="3B48CE25" w14:textId="77777777" w:rsidR="009971C1" w:rsidRPr="002B64D8" w:rsidRDefault="009971C1" w:rsidP="009971C1">
      <w:pPr>
        <w:spacing w:line="360" w:lineRule="auto"/>
        <w:jc w:val="both"/>
        <w:rPr>
          <w:rFonts w:ascii="David" w:hAnsi="David"/>
        </w:rPr>
      </w:pPr>
    </w:p>
    <w:p w14:paraId="731940BF" w14:textId="77777777" w:rsidR="009971C1" w:rsidRPr="002B64D8" w:rsidRDefault="009971C1" w:rsidP="009971C1">
      <w:pPr>
        <w:spacing w:line="360" w:lineRule="auto"/>
        <w:jc w:val="both"/>
        <w:rPr>
          <w:rFonts w:ascii="David" w:hAnsi="David"/>
          <w:u w:val="single"/>
          <w:rtl/>
        </w:rPr>
      </w:pPr>
      <w:r w:rsidRPr="002B64D8">
        <w:rPr>
          <w:rFonts w:ascii="David" w:hAnsi="David"/>
          <w:u w:val="single"/>
          <w:rtl/>
        </w:rPr>
        <w:t>הערכים המוגנים ומידת הפגיעה בהם</w:t>
      </w:r>
    </w:p>
    <w:p w14:paraId="2AD5E164" w14:textId="77777777" w:rsidR="009971C1" w:rsidRPr="002B64D8" w:rsidRDefault="009971C1" w:rsidP="009971C1">
      <w:pPr>
        <w:spacing w:line="360" w:lineRule="auto"/>
        <w:jc w:val="both"/>
        <w:rPr>
          <w:rFonts w:ascii="David" w:hAnsi="David"/>
          <w:u w:val="single"/>
          <w:rtl/>
        </w:rPr>
      </w:pPr>
    </w:p>
    <w:p w14:paraId="6A34727F" w14:textId="77777777" w:rsidR="009971C1" w:rsidRPr="002B64D8" w:rsidRDefault="009971C1" w:rsidP="009971C1">
      <w:pPr>
        <w:pStyle w:val="ab"/>
        <w:numPr>
          <w:ilvl w:val="0"/>
          <w:numId w:val="2"/>
        </w:numPr>
        <w:spacing w:line="360" w:lineRule="auto"/>
        <w:jc w:val="both"/>
        <w:rPr>
          <w:rFonts w:cs="David"/>
          <w:rtl/>
        </w:rPr>
      </w:pPr>
      <w:r w:rsidRPr="002B64D8">
        <w:rPr>
          <w:rFonts w:ascii="David" w:hAnsi="David" w:cs="David"/>
          <w:sz w:val="24"/>
          <w:szCs w:val="24"/>
          <w:rtl/>
        </w:rPr>
        <w:t xml:space="preserve">הערך המוגן הינו ההגנה מפני הנזקים הישירים והעקיפים אשר נגרמים לחברה בכללותה עקב השימוש בסמים. </w:t>
      </w:r>
      <w:r w:rsidRPr="002B64D8">
        <w:rPr>
          <w:rFonts w:cs="David"/>
          <w:sz w:val="24"/>
          <w:szCs w:val="24"/>
          <w:rtl/>
        </w:rPr>
        <w:t xml:space="preserve">שימוש ממושך בסם מסוכן עלול לגרום לפגיעה גופנית ונפשית של המשתמש בו, כזו שתצריך טיפול רפואי שעלותו נופלת על החברה. </w:t>
      </w:r>
      <w:r w:rsidRPr="002B64D8">
        <w:rPr>
          <w:rFonts w:ascii="David" w:hAnsi="David" w:cs="David"/>
          <w:sz w:val="24"/>
          <w:szCs w:val="24"/>
          <w:rtl/>
        </w:rPr>
        <w:t xml:space="preserve">על הצורך  להילחם בנגע הסמים, עמד בית המשפט העליון לא אחת פסיקתו, </w:t>
      </w:r>
      <w:r w:rsidRPr="002B64D8">
        <w:rPr>
          <w:rFonts w:ascii="David" w:hAnsi="David" w:cs="David"/>
          <w:b/>
          <w:sz w:val="24"/>
          <w:szCs w:val="24"/>
          <w:rtl/>
        </w:rPr>
        <w:t>ובין השאר ב</w:t>
      </w:r>
      <w:hyperlink r:id="rId49" w:history="1">
        <w:r w:rsidR="005154A4" w:rsidRPr="002B64D8">
          <w:rPr>
            <w:rFonts w:ascii="David" w:hAnsi="David" w:cs="David"/>
            <w:b/>
            <w:color w:val="0000FF"/>
            <w:sz w:val="24"/>
            <w:szCs w:val="24"/>
            <w:u w:val="single"/>
            <w:rtl/>
          </w:rPr>
          <w:t>ע"פ 170/07</w:t>
        </w:r>
      </w:hyperlink>
      <w:r w:rsidRPr="002B64D8">
        <w:rPr>
          <w:rFonts w:ascii="David" w:hAnsi="David" w:cs="David"/>
          <w:b/>
          <w:sz w:val="24"/>
          <w:szCs w:val="24"/>
          <w:rtl/>
        </w:rPr>
        <w:t xml:space="preserve"> </w:t>
      </w:r>
      <w:r w:rsidRPr="002B64D8">
        <w:rPr>
          <w:rFonts w:ascii="David" w:hAnsi="David" w:cs="David"/>
          <w:bCs/>
          <w:sz w:val="24"/>
          <w:szCs w:val="24"/>
          <w:rtl/>
        </w:rPr>
        <w:t>מטיס נ' מדינת ישראל</w:t>
      </w:r>
      <w:r w:rsidRPr="002B64D8">
        <w:rPr>
          <w:rFonts w:ascii="David" w:hAnsi="David" w:cs="David"/>
          <w:b/>
          <w:sz w:val="24"/>
          <w:szCs w:val="24"/>
          <w:rtl/>
        </w:rPr>
        <w:t xml:space="preserve"> ביחס שימוש עצמי בסמים מסוג קנאביס וחשיש:</w:t>
      </w:r>
    </w:p>
    <w:p w14:paraId="791962AD" w14:textId="77777777" w:rsidR="009971C1" w:rsidRPr="002B64D8" w:rsidRDefault="009971C1" w:rsidP="009971C1">
      <w:pPr>
        <w:pStyle w:val="a"/>
        <w:numPr>
          <w:ilvl w:val="0"/>
          <w:numId w:val="0"/>
        </w:numPr>
        <w:tabs>
          <w:tab w:val="left" w:pos="720"/>
        </w:tabs>
        <w:ind w:left="1440"/>
        <w:jc w:val="both"/>
        <w:rPr>
          <w:bCs/>
        </w:rPr>
      </w:pPr>
      <w:r w:rsidRPr="002B64D8">
        <w:rPr>
          <w:rFonts w:hint="cs"/>
          <w:b/>
          <w:rtl/>
        </w:rPr>
        <w:t>"</w:t>
      </w:r>
      <w:r w:rsidRPr="002B64D8">
        <w:rPr>
          <w:rFonts w:hint="cs"/>
          <w:b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sidRPr="002B64D8">
        <w:rPr>
          <w:rFonts w:hint="cs"/>
          <w:b/>
          <w:rtl/>
        </w:rPr>
        <w:t>".</w:t>
      </w:r>
    </w:p>
    <w:p w14:paraId="5DEB804E" w14:textId="77777777" w:rsidR="009971C1" w:rsidRPr="002B64D8" w:rsidRDefault="009971C1" w:rsidP="009971C1">
      <w:pPr>
        <w:pStyle w:val="ab"/>
        <w:numPr>
          <w:ilvl w:val="0"/>
          <w:numId w:val="2"/>
        </w:numPr>
        <w:spacing w:line="360" w:lineRule="auto"/>
        <w:jc w:val="both"/>
        <w:rPr>
          <w:rFonts w:ascii="David" w:hAnsi="David" w:cs="David"/>
          <w:sz w:val="24"/>
          <w:szCs w:val="24"/>
          <w:rtl/>
        </w:rPr>
      </w:pPr>
      <w:r w:rsidRPr="002B64D8">
        <w:rPr>
          <w:rFonts w:ascii="David" w:hAnsi="David" w:cs="David"/>
          <w:sz w:val="24"/>
          <w:szCs w:val="24"/>
          <w:rtl/>
        </w:rPr>
        <w:t xml:space="preserve">לאחרונה, בית המשפט העליון שב והדגיש כי קנבוס היה ועודנו נותר סם מסוכן. ראו למשל </w:t>
      </w:r>
      <w:hyperlink r:id="rId50" w:history="1">
        <w:r w:rsidR="005154A4" w:rsidRPr="002B64D8">
          <w:rPr>
            <w:rFonts w:ascii="David" w:hAnsi="David" w:cs="David"/>
            <w:color w:val="0000FF"/>
            <w:sz w:val="24"/>
            <w:szCs w:val="24"/>
            <w:u w:val="single"/>
            <w:rtl/>
          </w:rPr>
          <w:t>רע"פ 174/21</w:t>
        </w:r>
      </w:hyperlink>
      <w:r w:rsidRPr="002B64D8">
        <w:rPr>
          <w:rFonts w:ascii="David" w:hAnsi="David" w:cs="David"/>
          <w:sz w:val="24"/>
          <w:szCs w:val="24"/>
          <w:rtl/>
        </w:rPr>
        <w:t xml:space="preserve"> </w:t>
      </w:r>
      <w:r w:rsidRPr="002B64D8">
        <w:rPr>
          <w:rFonts w:ascii="David" w:hAnsi="David" w:cs="David"/>
          <w:b/>
          <w:bCs/>
          <w:sz w:val="24"/>
          <w:szCs w:val="24"/>
          <w:rtl/>
        </w:rPr>
        <w:t>סויסה נ' מדינת ישראל</w:t>
      </w:r>
      <w:r w:rsidRPr="002B64D8">
        <w:rPr>
          <w:rFonts w:ascii="David" w:hAnsi="David" w:cs="David"/>
          <w:sz w:val="24"/>
          <w:szCs w:val="24"/>
          <w:rtl/>
        </w:rPr>
        <w:t xml:space="preserve">, וכי ככלל מגמת הענישה בעבירות סמים, היא של החמרה והרתעה. ראו </w:t>
      </w:r>
      <w:hyperlink r:id="rId51" w:history="1">
        <w:r w:rsidR="005154A4" w:rsidRPr="002B64D8">
          <w:rPr>
            <w:rFonts w:ascii="David" w:hAnsi="David" w:cs="David"/>
            <w:color w:val="0000FF"/>
            <w:sz w:val="24"/>
            <w:szCs w:val="24"/>
            <w:u w:val="single"/>
            <w:rtl/>
          </w:rPr>
          <w:t>ע"פ 8048/19</w:t>
        </w:r>
      </w:hyperlink>
      <w:r w:rsidRPr="002B64D8">
        <w:rPr>
          <w:rFonts w:ascii="David" w:hAnsi="David" w:cs="David"/>
          <w:sz w:val="24"/>
          <w:szCs w:val="24"/>
          <w:rtl/>
        </w:rPr>
        <w:t xml:space="preserve"> </w:t>
      </w:r>
      <w:r w:rsidRPr="002B64D8">
        <w:rPr>
          <w:rFonts w:ascii="David" w:hAnsi="David" w:cs="David"/>
          <w:b/>
          <w:bCs/>
          <w:sz w:val="24"/>
          <w:szCs w:val="24"/>
          <w:rtl/>
        </w:rPr>
        <w:t>פיצ'חדזה נ' מדינת ישראל</w:t>
      </w:r>
      <w:r w:rsidRPr="002B64D8">
        <w:rPr>
          <w:rFonts w:ascii="David" w:hAnsi="David" w:cs="David"/>
          <w:sz w:val="24"/>
          <w:szCs w:val="24"/>
          <w:rtl/>
        </w:rPr>
        <w:t xml:space="preserve">. משכל זה נאמר, וגם אם סם הקנבוס הינו סם מסוכן, וודאי הוא אינו מן המסוכנים שבהם.  </w:t>
      </w:r>
    </w:p>
    <w:p w14:paraId="2EA61B1C" w14:textId="77777777" w:rsidR="009971C1" w:rsidRPr="002B64D8" w:rsidRDefault="009971C1" w:rsidP="009971C1">
      <w:pPr>
        <w:pStyle w:val="ab"/>
        <w:spacing w:line="360" w:lineRule="auto"/>
        <w:ind w:left="360"/>
        <w:jc w:val="both"/>
        <w:rPr>
          <w:rFonts w:ascii="David" w:hAnsi="David" w:cs="David"/>
          <w:sz w:val="24"/>
          <w:szCs w:val="24"/>
        </w:rPr>
      </w:pPr>
    </w:p>
    <w:p w14:paraId="356AD4CB" w14:textId="77777777" w:rsidR="009971C1" w:rsidRPr="002B64D8" w:rsidRDefault="009971C1" w:rsidP="009971C1">
      <w:pPr>
        <w:spacing w:line="360" w:lineRule="auto"/>
        <w:jc w:val="both"/>
        <w:rPr>
          <w:rFonts w:ascii="David" w:hAnsi="David"/>
          <w:u w:val="single"/>
          <w:rtl/>
        </w:rPr>
      </w:pPr>
      <w:r w:rsidRPr="002B64D8">
        <w:rPr>
          <w:rFonts w:ascii="David" w:hAnsi="David"/>
          <w:u w:val="single"/>
          <w:rtl/>
        </w:rPr>
        <w:t>מדיניות הענישה הנוהגת</w:t>
      </w:r>
    </w:p>
    <w:p w14:paraId="5E723E7F"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מדיניות הענישה הנהוגה בעבירות אלה מלמדת כי המתחם נע בין מאסר על תנאי למספר חודשי מאסר בפועל שירוצו בעבודות שירות. </w:t>
      </w:r>
    </w:p>
    <w:p w14:paraId="5FD4644D" w14:textId="77777777" w:rsidR="009971C1" w:rsidRPr="002B64D8" w:rsidRDefault="009971C1" w:rsidP="009971C1">
      <w:pPr>
        <w:pStyle w:val="ab"/>
        <w:spacing w:after="0" w:line="360" w:lineRule="auto"/>
        <w:ind w:left="360"/>
        <w:jc w:val="both"/>
        <w:rPr>
          <w:rFonts w:ascii="David" w:hAnsi="David" w:cs="David"/>
          <w:sz w:val="24"/>
          <w:szCs w:val="24"/>
        </w:rPr>
      </w:pPr>
    </w:p>
    <w:p w14:paraId="7218D9D4" w14:textId="77777777" w:rsidR="009971C1" w:rsidRPr="002B64D8" w:rsidRDefault="005154A4" w:rsidP="009971C1">
      <w:pPr>
        <w:pStyle w:val="ab"/>
        <w:numPr>
          <w:ilvl w:val="1"/>
          <w:numId w:val="2"/>
        </w:numPr>
        <w:spacing w:after="0" w:line="360" w:lineRule="auto"/>
        <w:jc w:val="both"/>
        <w:rPr>
          <w:rFonts w:ascii="David" w:hAnsi="David" w:cs="David"/>
          <w:sz w:val="24"/>
          <w:szCs w:val="24"/>
          <w:rtl/>
        </w:rPr>
      </w:pPr>
      <w:hyperlink r:id="rId52" w:history="1">
        <w:r w:rsidRPr="002B64D8">
          <w:rPr>
            <w:rFonts w:ascii="David" w:hAnsi="David" w:cs="David"/>
            <w:color w:val="0000FF"/>
            <w:sz w:val="24"/>
            <w:szCs w:val="24"/>
            <w:u w:val="single"/>
            <w:rtl/>
          </w:rPr>
          <w:t>רע"פ 5261/18</w:t>
        </w:r>
      </w:hyperlink>
      <w:r w:rsidR="009971C1" w:rsidRPr="002B64D8">
        <w:rPr>
          <w:rFonts w:ascii="David" w:hAnsi="David" w:cs="David"/>
          <w:sz w:val="24"/>
          <w:szCs w:val="24"/>
          <w:rtl/>
        </w:rPr>
        <w:t xml:space="preserve"> </w:t>
      </w:r>
      <w:r w:rsidR="009971C1" w:rsidRPr="002B64D8">
        <w:rPr>
          <w:rFonts w:ascii="David" w:hAnsi="David" w:cs="David"/>
          <w:b/>
          <w:bCs/>
          <w:sz w:val="24"/>
          <w:szCs w:val="24"/>
          <w:rtl/>
        </w:rPr>
        <w:t>דוידוף נ' מדינת ישראל</w:t>
      </w:r>
      <w:r w:rsidR="009971C1" w:rsidRPr="002B64D8">
        <w:rPr>
          <w:rFonts w:ascii="David" w:hAnsi="David" w:cs="David"/>
          <w:sz w:val="24"/>
          <w:szCs w:val="24"/>
          <w:rtl/>
        </w:rPr>
        <w:t xml:space="preserve">, שם בית המשפט העליון דחה בקשה רשות ערעור של הנאשם לביטול הרשעתו, לאחר שהורשע על ידי בית המשפט השלום בתל אביב בעבירה של גידול סמים מסוכנים – 16 שתילים במשקל כולל של 1,900 גרם ובעבירת החזקה סם מסוג קנבוס במשקל של 127 גרם והוטלו עליו 4 חודשי מאסר על תנאי ו- 150 שעות של"צ. </w:t>
      </w:r>
    </w:p>
    <w:p w14:paraId="3E697D85" w14:textId="77777777" w:rsidR="009971C1" w:rsidRPr="002B64D8" w:rsidRDefault="009971C1" w:rsidP="009971C1">
      <w:pPr>
        <w:pStyle w:val="ab"/>
        <w:spacing w:after="0" w:line="360" w:lineRule="auto"/>
        <w:ind w:left="785"/>
        <w:jc w:val="both"/>
        <w:rPr>
          <w:rFonts w:ascii="David" w:hAnsi="David" w:cs="David"/>
          <w:sz w:val="24"/>
          <w:szCs w:val="24"/>
        </w:rPr>
      </w:pPr>
    </w:p>
    <w:p w14:paraId="7001398B" w14:textId="77777777" w:rsidR="009971C1" w:rsidRPr="002B64D8" w:rsidRDefault="005154A4" w:rsidP="009971C1">
      <w:pPr>
        <w:pStyle w:val="ab"/>
        <w:numPr>
          <w:ilvl w:val="1"/>
          <w:numId w:val="2"/>
        </w:numPr>
        <w:spacing w:after="0" w:line="360" w:lineRule="auto"/>
        <w:jc w:val="both"/>
        <w:rPr>
          <w:rFonts w:ascii="David" w:hAnsi="David" w:cs="David"/>
          <w:sz w:val="24"/>
          <w:szCs w:val="24"/>
        </w:rPr>
      </w:pPr>
      <w:hyperlink r:id="rId53" w:history="1">
        <w:r w:rsidRPr="002B64D8">
          <w:rPr>
            <w:rFonts w:ascii="David" w:hAnsi="David" w:cs="David"/>
            <w:color w:val="0000FF"/>
            <w:sz w:val="24"/>
            <w:szCs w:val="24"/>
            <w:u w:val="single"/>
            <w:rtl/>
          </w:rPr>
          <w:t>רע"פ 5018/18</w:t>
        </w:r>
      </w:hyperlink>
      <w:r w:rsidR="009971C1" w:rsidRPr="002B64D8">
        <w:rPr>
          <w:rFonts w:ascii="David" w:hAnsi="David" w:cs="David"/>
          <w:sz w:val="24"/>
          <w:szCs w:val="24"/>
          <w:rtl/>
        </w:rPr>
        <w:t xml:space="preserve"> </w:t>
      </w:r>
      <w:r w:rsidR="009971C1" w:rsidRPr="002B64D8">
        <w:rPr>
          <w:rFonts w:ascii="David" w:hAnsi="David" w:cs="David"/>
          <w:b/>
          <w:bCs/>
          <w:sz w:val="24"/>
          <w:szCs w:val="24"/>
          <w:rtl/>
        </w:rPr>
        <w:t>עומר בוזגלו נ' מדינת ישראל</w:t>
      </w:r>
      <w:r w:rsidR="009971C1" w:rsidRPr="002B64D8">
        <w:rPr>
          <w:rFonts w:ascii="David" w:hAnsi="David" w:cs="David"/>
          <w:sz w:val="24"/>
          <w:szCs w:val="24"/>
          <w:rtl/>
        </w:rPr>
        <w:t xml:space="preserve">, בית המשפט העליון דחה בקשת רשות ערעור של הנאשם לביטול הרשעתו, לאחר שהורשע על ידי בית המשפט השלום באילת בעבירות של גידול סמים בצוותא כשגידלו בדירתם במעבדה משוכללת שתילים במשקל של 545 גרם לערך ובהחזקה בסמים לשימוש עצמי משקל של 3.6 גרם לערך ובעבירה נוספת של הכשלת שוטרים והוטלו עליו 3 חודשי עבודות שירות ושמונה חודשי מאסר על תנאי. </w:t>
      </w:r>
    </w:p>
    <w:p w14:paraId="7A098EB7" w14:textId="77777777" w:rsidR="009971C1" w:rsidRPr="002B64D8" w:rsidRDefault="009971C1" w:rsidP="009971C1">
      <w:pPr>
        <w:pStyle w:val="ab"/>
        <w:rPr>
          <w:rFonts w:ascii="David" w:hAnsi="David" w:cs="David"/>
          <w:sz w:val="24"/>
          <w:szCs w:val="24"/>
        </w:rPr>
      </w:pPr>
    </w:p>
    <w:p w14:paraId="5BB5012F" w14:textId="77777777" w:rsidR="009971C1" w:rsidRPr="002B64D8" w:rsidRDefault="005154A4" w:rsidP="009971C1">
      <w:pPr>
        <w:pStyle w:val="ab"/>
        <w:numPr>
          <w:ilvl w:val="1"/>
          <w:numId w:val="2"/>
        </w:numPr>
        <w:spacing w:after="0" w:line="360" w:lineRule="auto"/>
        <w:jc w:val="both"/>
        <w:rPr>
          <w:rFonts w:ascii="David" w:hAnsi="David" w:cs="David"/>
          <w:sz w:val="24"/>
          <w:szCs w:val="24"/>
          <w:rtl/>
        </w:rPr>
      </w:pPr>
      <w:hyperlink r:id="rId54" w:history="1">
        <w:r w:rsidRPr="002B64D8">
          <w:rPr>
            <w:rFonts w:ascii="David" w:hAnsi="David" w:cs="David"/>
            <w:color w:val="0000FF"/>
            <w:sz w:val="24"/>
            <w:szCs w:val="24"/>
            <w:u w:val="single"/>
            <w:rtl/>
          </w:rPr>
          <w:t>ת"פ (שלום ת"א) 57089-02-19</w:t>
        </w:r>
      </w:hyperlink>
      <w:r w:rsidR="009971C1" w:rsidRPr="002B64D8">
        <w:rPr>
          <w:rFonts w:ascii="David" w:hAnsi="David" w:cs="David"/>
          <w:sz w:val="24"/>
          <w:szCs w:val="24"/>
          <w:rtl/>
        </w:rPr>
        <w:t xml:space="preserve"> </w:t>
      </w:r>
      <w:r w:rsidR="009971C1" w:rsidRPr="002B64D8">
        <w:rPr>
          <w:rFonts w:ascii="David" w:hAnsi="David" w:cs="David"/>
          <w:b/>
          <w:bCs/>
          <w:sz w:val="24"/>
          <w:szCs w:val="24"/>
          <w:rtl/>
        </w:rPr>
        <w:t>מדינת ישראל נ' גיא פנקינסקי</w:t>
      </w:r>
      <w:r w:rsidR="009971C1" w:rsidRPr="002B64D8">
        <w:rPr>
          <w:rFonts w:ascii="David" w:hAnsi="David" w:cs="David"/>
          <w:sz w:val="24"/>
          <w:szCs w:val="24"/>
          <w:rtl/>
        </w:rPr>
        <w:t xml:space="preserve"> – שם הורשע הנדסאי מכונות בעבירה של גידול סמים מסוכנים מסוג קנבוס במשקל של 2.1 ק"ג ובעבירה של החזקת סם מסוכן מסוג קנבוס במשקל של 26 גרם לערך והוטל עליו לאחר שבית המשפט דחה את בקשתו לביטול הרשעתו, 3 חודשי מאסר על תנאי לצד עונשים נלווים. </w:t>
      </w:r>
    </w:p>
    <w:p w14:paraId="49FB47E8" w14:textId="77777777" w:rsidR="009971C1" w:rsidRPr="002B64D8" w:rsidRDefault="009971C1" w:rsidP="009971C1">
      <w:pPr>
        <w:pStyle w:val="ab"/>
        <w:rPr>
          <w:rFonts w:ascii="David" w:hAnsi="David" w:cs="David"/>
          <w:sz w:val="24"/>
          <w:szCs w:val="24"/>
        </w:rPr>
      </w:pPr>
    </w:p>
    <w:p w14:paraId="48027555" w14:textId="77777777" w:rsidR="009971C1" w:rsidRPr="002B64D8" w:rsidRDefault="009971C1" w:rsidP="009971C1">
      <w:pPr>
        <w:spacing w:line="360" w:lineRule="auto"/>
        <w:jc w:val="both"/>
        <w:rPr>
          <w:rFonts w:ascii="David" w:eastAsia="Calibri" w:hAnsi="David"/>
          <w:u w:val="single"/>
          <w:rtl/>
        </w:rPr>
      </w:pPr>
      <w:r w:rsidRPr="002B64D8">
        <w:rPr>
          <w:rFonts w:ascii="David" w:hAnsi="David"/>
          <w:u w:val="single"/>
          <w:rtl/>
        </w:rPr>
        <w:t>הנסיבות הקשורות בביצוע העבירה</w:t>
      </w:r>
    </w:p>
    <w:p w14:paraId="215C26DB" w14:textId="77777777" w:rsidR="009971C1" w:rsidRPr="002B64D8" w:rsidRDefault="009971C1" w:rsidP="009971C1">
      <w:pPr>
        <w:pStyle w:val="ab"/>
        <w:numPr>
          <w:ilvl w:val="0"/>
          <w:numId w:val="2"/>
        </w:numPr>
        <w:spacing w:line="360" w:lineRule="auto"/>
        <w:jc w:val="both"/>
        <w:rPr>
          <w:rFonts w:ascii="David" w:hAnsi="David" w:cs="David"/>
          <w:sz w:val="24"/>
          <w:szCs w:val="24"/>
          <w:u w:val="single"/>
          <w:rtl/>
        </w:rPr>
      </w:pPr>
      <w:r w:rsidRPr="002B64D8">
        <w:rPr>
          <w:rFonts w:ascii="David" w:hAnsi="David" w:cs="David"/>
          <w:sz w:val="24"/>
          <w:szCs w:val="24"/>
          <w:rtl/>
        </w:rPr>
        <w:t xml:space="preserve">במסגרת בחינת הנסיבות הקשורות בביצוע העבירה בהתאם לסעיף </w:t>
      </w:r>
      <w:hyperlink r:id="rId55" w:history="1">
        <w:r w:rsidR="002B64D8" w:rsidRPr="002B64D8">
          <w:rPr>
            <w:rStyle w:val="Hyperlink"/>
            <w:rFonts w:ascii="David" w:hAnsi="David" w:cs="David"/>
            <w:sz w:val="24"/>
            <w:szCs w:val="24"/>
            <w:rtl/>
          </w:rPr>
          <w:t>40 ט'</w:t>
        </w:r>
      </w:hyperlink>
      <w:r w:rsidRPr="002B64D8">
        <w:rPr>
          <w:rFonts w:ascii="David" w:hAnsi="David" w:cs="David"/>
          <w:sz w:val="24"/>
          <w:szCs w:val="24"/>
          <w:rtl/>
        </w:rPr>
        <w:t xml:space="preserve"> לחוק, נתתי דעתי לכך שמדובר בכמות סם קטנה, במספר שתילים נמוך, בגידול ביתי שאינו במעבדה עם ציוד משוכלל שמעיד על כוונת הפצה מסחרית. </w:t>
      </w:r>
    </w:p>
    <w:p w14:paraId="674B6564" w14:textId="77777777" w:rsidR="009971C1" w:rsidRPr="002B64D8" w:rsidRDefault="009971C1" w:rsidP="009971C1">
      <w:pPr>
        <w:pStyle w:val="ab"/>
        <w:spacing w:line="360" w:lineRule="auto"/>
        <w:ind w:left="360"/>
        <w:jc w:val="both"/>
        <w:rPr>
          <w:rFonts w:ascii="David" w:hAnsi="David" w:cs="David"/>
          <w:sz w:val="24"/>
          <w:szCs w:val="24"/>
          <w:u w:val="single"/>
        </w:rPr>
      </w:pPr>
    </w:p>
    <w:p w14:paraId="527D9241" w14:textId="77777777" w:rsidR="009971C1" w:rsidRPr="002B64D8" w:rsidRDefault="009971C1" w:rsidP="009971C1">
      <w:pPr>
        <w:pStyle w:val="ab"/>
        <w:numPr>
          <w:ilvl w:val="0"/>
          <w:numId w:val="2"/>
        </w:numPr>
        <w:spacing w:after="0" w:line="360" w:lineRule="auto"/>
        <w:jc w:val="both"/>
        <w:rPr>
          <w:rFonts w:ascii="David" w:hAnsi="David" w:cs="David"/>
          <w:sz w:val="24"/>
          <w:szCs w:val="24"/>
          <w:rtl/>
        </w:rPr>
      </w:pPr>
      <w:r w:rsidRPr="002B64D8">
        <w:rPr>
          <w:rFonts w:ascii="David" w:hAnsi="David" w:cs="David"/>
          <w:sz w:val="24"/>
          <w:szCs w:val="24"/>
          <w:rtl/>
        </w:rPr>
        <w:t xml:space="preserve">לפיכך, אני קובע כי המתחם נע בין מאסר על תנאי למספר חודשי מאסר בפועל שירוצו בעבודות שירות, בצירוף ענישה נלווית. </w:t>
      </w:r>
    </w:p>
    <w:p w14:paraId="3660BB27" w14:textId="77777777" w:rsidR="009971C1" w:rsidRPr="002B64D8" w:rsidRDefault="009971C1" w:rsidP="009971C1">
      <w:pPr>
        <w:spacing w:line="360" w:lineRule="auto"/>
        <w:jc w:val="both"/>
        <w:rPr>
          <w:rFonts w:ascii="David" w:eastAsia="Calibri" w:hAnsi="David"/>
        </w:rPr>
      </w:pPr>
    </w:p>
    <w:p w14:paraId="37F8A474" w14:textId="77777777" w:rsidR="009971C1" w:rsidRPr="002B64D8" w:rsidRDefault="009971C1" w:rsidP="009971C1">
      <w:pPr>
        <w:spacing w:line="360" w:lineRule="auto"/>
        <w:jc w:val="both"/>
        <w:rPr>
          <w:rFonts w:ascii="David" w:hAnsi="David"/>
          <w:bCs/>
          <w:u w:val="single"/>
          <w:rtl/>
        </w:rPr>
      </w:pPr>
      <w:r w:rsidRPr="002B64D8">
        <w:rPr>
          <w:rFonts w:ascii="David" w:hAnsi="David"/>
          <w:bCs/>
          <w:u w:val="single"/>
          <w:rtl/>
        </w:rPr>
        <w:t>סטייה ממתחם העונש ההולם</w:t>
      </w:r>
    </w:p>
    <w:p w14:paraId="58C9D573" w14:textId="77777777" w:rsidR="009971C1" w:rsidRPr="002B64D8" w:rsidRDefault="009971C1" w:rsidP="009971C1">
      <w:pPr>
        <w:pStyle w:val="ab"/>
        <w:numPr>
          <w:ilvl w:val="0"/>
          <w:numId w:val="2"/>
        </w:numPr>
        <w:spacing w:after="0" w:line="360" w:lineRule="auto"/>
        <w:jc w:val="both"/>
        <w:rPr>
          <w:rFonts w:ascii="David" w:hAnsi="David" w:cs="David"/>
          <w:sz w:val="24"/>
          <w:szCs w:val="24"/>
        </w:rPr>
      </w:pPr>
      <w:r w:rsidRPr="002B64D8">
        <w:rPr>
          <w:rFonts w:ascii="David" w:hAnsi="David" w:cs="David"/>
          <w:sz w:val="24"/>
          <w:szCs w:val="24"/>
          <w:rtl/>
        </w:rPr>
        <w:t xml:space="preserve">בעניינו לא מצאתי מקום לחרוג ממתחם הענישה שקבעתי וזאת משום שעל נאשם המבקש לסטות לקולא ממתחם העונש ההולם הנטל להציג ראיות לכך שעבר הליך שיקומי משמעותי. ראו למשל </w:t>
      </w:r>
      <w:hyperlink r:id="rId56" w:history="1">
        <w:r w:rsidR="005154A4" w:rsidRPr="002B64D8">
          <w:rPr>
            <w:rFonts w:ascii="David" w:hAnsi="David" w:cs="David"/>
            <w:color w:val="0000FF"/>
            <w:sz w:val="24"/>
            <w:szCs w:val="24"/>
            <w:u w:val="single"/>
            <w:rtl/>
          </w:rPr>
          <w:t>רע"פ 1705/22</w:t>
        </w:r>
      </w:hyperlink>
      <w:r w:rsidRPr="002B64D8">
        <w:rPr>
          <w:rFonts w:ascii="David" w:hAnsi="David" w:cs="David"/>
          <w:sz w:val="24"/>
          <w:szCs w:val="24"/>
          <w:rtl/>
        </w:rPr>
        <w:t xml:space="preserve"> </w:t>
      </w:r>
      <w:r w:rsidRPr="002B64D8">
        <w:rPr>
          <w:rFonts w:ascii="David" w:hAnsi="David" w:cs="David"/>
          <w:b/>
          <w:bCs/>
          <w:sz w:val="24"/>
          <w:szCs w:val="24"/>
          <w:rtl/>
        </w:rPr>
        <w:t>אלצראיעה נ' מדינת ישראל</w:t>
      </w:r>
      <w:r w:rsidRPr="002B64D8">
        <w:rPr>
          <w:rFonts w:ascii="David" w:hAnsi="David" w:cs="David"/>
          <w:sz w:val="24"/>
          <w:szCs w:val="24"/>
          <w:rtl/>
        </w:rPr>
        <w:t>. כידוע, הלכה היא כי: "</w:t>
      </w:r>
      <w:r w:rsidRPr="002B64D8">
        <w:rPr>
          <w:rFonts w:ascii="David" w:hAnsi="David" w:cs="David"/>
          <w:b/>
          <w:bCs/>
          <w:sz w:val="24"/>
          <w:szCs w:val="24"/>
          <w:rtl/>
        </w:rPr>
        <w:t>לא בכל מקרה שבו תהליך טיפולי מתקדם בכיוון חיובי, יש להפעיל את הסמכות הקבועה בסעיף 40ד, שאחרת בא החריג ומרוקן את הכלל מתוכן</w:t>
      </w:r>
      <w:r w:rsidRPr="002B64D8">
        <w:rPr>
          <w:rFonts w:ascii="David" w:hAnsi="David" w:cs="David"/>
          <w:sz w:val="24"/>
          <w:szCs w:val="24"/>
          <w:rtl/>
        </w:rPr>
        <w:t xml:space="preserve">". ראו למשל </w:t>
      </w:r>
      <w:hyperlink r:id="rId57" w:history="1">
        <w:r w:rsidR="005154A4" w:rsidRPr="002B64D8">
          <w:rPr>
            <w:rFonts w:ascii="David" w:hAnsi="David" w:cs="David"/>
            <w:color w:val="0000FF"/>
            <w:sz w:val="24"/>
            <w:szCs w:val="24"/>
            <w:u w:val="single"/>
            <w:rtl/>
          </w:rPr>
          <w:t>ע"פ 7757/21</w:t>
        </w:r>
      </w:hyperlink>
      <w:r w:rsidRPr="002B64D8">
        <w:rPr>
          <w:rFonts w:ascii="David" w:hAnsi="David" w:cs="David"/>
          <w:sz w:val="24"/>
          <w:szCs w:val="24"/>
          <w:rtl/>
        </w:rPr>
        <w:t xml:space="preserve"> </w:t>
      </w:r>
      <w:r w:rsidRPr="002B64D8">
        <w:rPr>
          <w:rFonts w:ascii="David" w:hAnsi="David" w:cs="David"/>
          <w:b/>
          <w:bCs/>
          <w:sz w:val="24"/>
          <w:szCs w:val="24"/>
          <w:rtl/>
        </w:rPr>
        <w:t>אהרון קיי מרזוקי נ' מדינת ישראל</w:t>
      </w:r>
      <w:r w:rsidRPr="002B64D8">
        <w:rPr>
          <w:rFonts w:ascii="David" w:hAnsi="David" w:cs="David"/>
          <w:sz w:val="24"/>
          <w:szCs w:val="24"/>
          <w:rtl/>
        </w:rPr>
        <w:t>. בעניינו, לא היה הליך טיפולי או שיקומי מכל סוג.</w:t>
      </w:r>
    </w:p>
    <w:p w14:paraId="520E786A" w14:textId="77777777" w:rsidR="009971C1" w:rsidRPr="002B64D8" w:rsidRDefault="009971C1" w:rsidP="009971C1">
      <w:pPr>
        <w:spacing w:line="360" w:lineRule="auto"/>
        <w:jc w:val="both"/>
        <w:rPr>
          <w:rFonts w:ascii="David" w:hAnsi="David"/>
          <w:bCs/>
          <w:u w:val="single"/>
          <w:rtl/>
        </w:rPr>
      </w:pPr>
    </w:p>
    <w:p w14:paraId="102E59F8" w14:textId="77777777" w:rsidR="009971C1" w:rsidRPr="002B64D8" w:rsidRDefault="009971C1" w:rsidP="009971C1">
      <w:pPr>
        <w:spacing w:line="360" w:lineRule="auto"/>
        <w:jc w:val="both"/>
        <w:rPr>
          <w:rFonts w:ascii="David" w:hAnsi="David"/>
          <w:bCs/>
          <w:u w:val="single"/>
          <w:rtl/>
        </w:rPr>
      </w:pPr>
      <w:r w:rsidRPr="002B64D8">
        <w:rPr>
          <w:rFonts w:ascii="David" w:hAnsi="David"/>
          <w:bCs/>
          <w:u w:val="single"/>
          <w:rtl/>
        </w:rPr>
        <w:t>גזירת העונש המתאים לנאשם</w:t>
      </w:r>
    </w:p>
    <w:p w14:paraId="5D3E424E" w14:textId="77777777" w:rsidR="009971C1" w:rsidRPr="002B64D8" w:rsidRDefault="009971C1" w:rsidP="009971C1">
      <w:pPr>
        <w:pStyle w:val="ab"/>
        <w:numPr>
          <w:ilvl w:val="0"/>
          <w:numId w:val="2"/>
        </w:numPr>
        <w:spacing w:line="360" w:lineRule="auto"/>
        <w:jc w:val="both"/>
        <w:rPr>
          <w:rFonts w:ascii="David" w:hAnsi="David" w:cs="David"/>
          <w:sz w:val="24"/>
          <w:szCs w:val="24"/>
        </w:rPr>
      </w:pPr>
      <w:r w:rsidRPr="002B64D8">
        <w:rPr>
          <w:rFonts w:ascii="David" w:hAnsi="David" w:cs="David"/>
          <w:sz w:val="24"/>
          <w:szCs w:val="24"/>
          <w:rtl/>
        </w:rPr>
        <w:t xml:space="preserve">בגזירת העונש המתאים לנאשם, בגדרי מתחם העונש ההולם, יש להתחשב בנסיבות שאינן קשורות בביצוע העבירה. </w:t>
      </w:r>
    </w:p>
    <w:p w14:paraId="3882818E" w14:textId="77777777" w:rsidR="009971C1" w:rsidRPr="002B64D8" w:rsidRDefault="009971C1" w:rsidP="009971C1">
      <w:pPr>
        <w:pStyle w:val="ab"/>
        <w:spacing w:line="360" w:lineRule="auto"/>
        <w:ind w:left="360"/>
        <w:jc w:val="both"/>
        <w:rPr>
          <w:rFonts w:ascii="David" w:hAnsi="David" w:cs="David"/>
          <w:sz w:val="24"/>
          <w:szCs w:val="24"/>
        </w:rPr>
      </w:pPr>
    </w:p>
    <w:p w14:paraId="01B0E88D" w14:textId="77777777" w:rsidR="009971C1" w:rsidRPr="002B64D8" w:rsidRDefault="009971C1" w:rsidP="009971C1">
      <w:pPr>
        <w:pStyle w:val="ab"/>
        <w:numPr>
          <w:ilvl w:val="0"/>
          <w:numId w:val="2"/>
        </w:numPr>
        <w:spacing w:line="360" w:lineRule="auto"/>
        <w:jc w:val="both"/>
        <w:rPr>
          <w:rFonts w:ascii="David" w:hAnsi="David" w:cs="David"/>
          <w:sz w:val="24"/>
          <w:szCs w:val="24"/>
        </w:rPr>
      </w:pPr>
      <w:r w:rsidRPr="002B64D8">
        <w:rPr>
          <w:rFonts w:ascii="David" w:hAnsi="David" w:cs="David"/>
          <w:sz w:val="24"/>
          <w:szCs w:val="24"/>
          <w:rtl/>
        </w:rPr>
        <w:t>במסגרת זו מן הראוי לתת את הדעת לכך שמדובר בנאשם נעדר עבר פלילי. הנאשם הודה במיוחס לו ונטל אחריות למעשיו. עוד נתתי דעתי לחלוף הזמן מעת ביצוע העבירות.</w:t>
      </w:r>
    </w:p>
    <w:p w14:paraId="7AD61308" w14:textId="77777777" w:rsidR="009971C1" w:rsidRPr="002B64D8" w:rsidRDefault="009971C1" w:rsidP="009971C1">
      <w:pPr>
        <w:pStyle w:val="ab"/>
        <w:rPr>
          <w:rFonts w:ascii="David" w:hAnsi="David" w:cs="David"/>
          <w:sz w:val="24"/>
          <w:szCs w:val="24"/>
        </w:rPr>
      </w:pPr>
    </w:p>
    <w:p w14:paraId="01A50164" w14:textId="77777777" w:rsidR="009971C1" w:rsidRPr="002B64D8" w:rsidRDefault="009971C1" w:rsidP="009971C1">
      <w:pPr>
        <w:pStyle w:val="ab"/>
        <w:numPr>
          <w:ilvl w:val="0"/>
          <w:numId w:val="2"/>
        </w:numPr>
        <w:spacing w:line="360" w:lineRule="auto"/>
        <w:jc w:val="both"/>
        <w:rPr>
          <w:rFonts w:ascii="David" w:hAnsi="David" w:cs="David"/>
          <w:sz w:val="24"/>
          <w:szCs w:val="24"/>
          <w:u w:val="single"/>
          <w:rtl/>
        </w:rPr>
      </w:pPr>
      <w:r w:rsidRPr="002B64D8">
        <w:rPr>
          <w:rFonts w:ascii="David" w:hAnsi="David" w:cs="David"/>
          <w:sz w:val="24"/>
          <w:szCs w:val="24"/>
          <w:rtl/>
        </w:rPr>
        <w:t xml:space="preserve">מנגד, הנאשם לא נרתם להליך טיפולי. </w:t>
      </w:r>
    </w:p>
    <w:p w14:paraId="3232F787" w14:textId="77777777" w:rsidR="009971C1" w:rsidRPr="002B64D8" w:rsidRDefault="009971C1" w:rsidP="009971C1">
      <w:pPr>
        <w:pStyle w:val="ab"/>
        <w:spacing w:line="360" w:lineRule="auto"/>
        <w:ind w:left="360"/>
        <w:jc w:val="both"/>
        <w:rPr>
          <w:rFonts w:ascii="David" w:hAnsi="David" w:cs="David"/>
          <w:sz w:val="24"/>
          <w:szCs w:val="24"/>
        </w:rPr>
      </w:pPr>
    </w:p>
    <w:p w14:paraId="684EB13C" w14:textId="77777777" w:rsidR="009971C1" w:rsidRPr="002B64D8" w:rsidRDefault="009971C1" w:rsidP="009971C1">
      <w:pPr>
        <w:pStyle w:val="ab"/>
        <w:numPr>
          <w:ilvl w:val="0"/>
          <w:numId w:val="2"/>
        </w:numPr>
        <w:spacing w:line="360" w:lineRule="auto"/>
        <w:jc w:val="both"/>
        <w:rPr>
          <w:rFonts w:ascii="David" w:hAnsi="David" w:cs="David"/>
          <w:sz w:val="24"/>
          <w:szCs w:val="24"/>
          <w:rtl/>
        </w:rPr>
      </w:pPr>
      <w:r w:rsidRPr="002B64D8">
        <w:rPr>
          <w:rFonts w:ascii="David" w:hAnsi="David" w:cs="David"/>
          <w:sz w:val="24"/>
          <w:szCs w:val="24"/>
          <w:rtl/>
        </w:rPr>
        <w:t xml:space="preserve">באיזון בין השיקולים השונים, סבורני כי יש לגזור על הנאשם עונש בתחתית המתחם. </w:t>
      </w:r>
    </w:p>
    <w:p w14:paraId="2DF2432C" w14:textId="77777777" w:rsidR="009971C1" w:rsidRPr="002B64D8" w:rsidRDefault="009971C1" w:rsidP="009971C1">
      <w:pPr>
        <w:pStyle w:val="ab"/>
        <w:spacing w:line="360" w:lineRule="auto"/>
        <w:ind w:left="360"/>
        <w:jc w:val="both"/>
        <w:rPr>
          <w:rFonts w:ascii="David" w:hAnsi="David" w:cs="David"/>
          <w:sz w:val="24"/>
          <w:szCs w:val="24"/>
        </w:rPr>
      </w:pPr>
    </w:p>
    <w:p w14:paraId="4207AE39" w14:textId="77777777" w:rsidR="009971C1" w:rsidRPr="002B64D8" w:rsidRDefault="009971C1" w:rsidP="009971C1">
      <w:pPr>
        <w:pStyle w:val="ab"/>
        <w:numPr>
          <w:ilvl w:val="0"/>
          <w:numId w:val="2"/>
        </w:numPr>
        <w:spacing w:line="360" w:lineRule="auto"/>
        <w:jc w:val="both"/>
        <w:rPr>
          <w:rFonts w:ascii="David" w:hAnsi="David" w:cs="David"/>
          <w:sz w:val="24"/>
          <w:szCs w:val="24"/>
        </w:rPr>
      </w:pPr>
      <w:r w:rsidRPr="002B64D8">
        <w:rPr>
          <w:rFonts w:ascii="David" w:hAnsi="David" w:cs="David"/>
          <w:sz w:val="24"/>
          <w:szCs w:val="24"/>
          <w:rtl/>
        </w:rPr>
        <w:t>אשר על-כן, הריני גוזר על הנאשם את העונשים הבאים:</w:t>
      </w:r>
    </w:p>
    <w:p w14:paraId="3BB3A63C" w14:textId="77777777" w:rsidR="009971C1" w:rsidRPr="002B64D8" w:rsidRDefault="009971C1" w:rsidP="009971C1">
      <w:pPr>
        <w:pStyle w:val="ab"/>
        <w:jc w:val="both"/>
        <w:rPr>
          <w:rFonts w:ascii="David" w:hAnsi="David" w:cs="David"/>
          <w:sz w:val="24"/>
          <w:szCs w:val="24"/>
        </w:rPr>
      </w:pPr>
    </w:p>
    <w:p w14:paraId="75FD2A5A" w14:textId="77777777" w:rsidR="009971C1" w:rsidRPr="002B64D8" w:rsidRDefault="009971C1" w:rsidP="009971C1">
      <w:pPr>
        <w:pStyle w:val="ab"/>
        <w:numPr>
          <w:ilvl w:val="1"/>
          <w:numId w:val="2"/>
        </w:numPr>
        <w:spacing w:line="360" w:lineRule="auto"/>
        <w:jc w:val="both"/>
        <w:rPr>
          <w:rFonts w:ascii="David" w:hAnsi="David" w:cs="David"/>
          <w:sz w:val="24"/>
          <w:szCs w:val="24"/>
          <w:u w:val="single"/>
          <w:rtl/>
        </w:rPr>
      </w:pPr>
      <w:r w:rsidRPr="002B64D8">
        <w:rPr>
          <w:rFonts w:ascii="David" w:hAnsi="David" w:cs="David"/>
          <w:sz w:val="24"/>
          <w:szCs w:val="24"/>
          <w:rtl/>
        </w:rPr>
        <w:t xml:space="preserve">מאסר מותנה בן 3 חודשים, זאת למשך שלוש שנים מהיום, והתנאי שהנאשם לא יעבור כל עבירת סמים מסוג עוון.  </w:t>
      </w:r>
    </w:p>
    <w:p w14:paraId="0C4EC7BE" w14:textId="77777777" w:rsidR="009971C1" w:rsidRPr="002B64D8" w:rsidRDefault="009971C1" w:rsidP="009971C1">
      <w:pPr>
        <w:pStyle w:val="ab"/>
        <w:spacing w:line="360" w:lineRule="auto"/>
        <w:ind w:left="785"/>
        <w:jc w:val="both"/>
        <w:rPr>
          <w:rFonts w:ascii="David" w:hAnsi="David" w:cs="David"/>
          <w:sz w:val="24"/>
          <w:szCs w:val="24"/>
          <w:u w:val="single"/>
        </w:rPr>
      </w:pPr>
    </w:p>
    <w:p w14:paraId="4551800A" w14:textId="77777777" w:rsidR="009971C1" w:rsidRPr="002B64D8" w:rsidRDefault="009971C1" w:rsidP="009971C1">
      <w:pPr>
        <w:pStyle w:val="ab"/>
        <w:numPr>
          <w:ilvl w:val="1"/>
          <w:numId w:val="2"/>
        </w:numPr>
        <w:spacing w:line="360" w:lineRule="auto"/>
        <w:jc w:val="both"/>
        <w:rPr>
          <w:rFonts w:ascii="David" w:hAnsi="David" w:cs="David"/>
          <w:sz w:val="24"/>
          <w:szCs w:val="24"/>
          <w:u w:val="single"/>
        </w:rPr>
      </w:pPr>
      <w:r w:rsidRPr="002B64D8">
        <w:rPr>
          <w:rFonts w:ascii="David" w:hAnsi="David" w:cs="David"/>
          <w:sz w:val="24"/>
          <w:szCs w:val="24"/>
          <w:rtl/>
        </w:rPr>
        <w:t xml:space="preserve">מאסר מותנה בן 5 חודשים, זאת למשך שלוש שנים מהיום, והתנאי שהנאשם לא יעבור כל עבירת סמים מסוג פשע.  </w:t>
      </w:r>
    </w:p>
    <w:p w14:paraId="62A9EC6D" w14:textId="77777777" w:rsidR="009971C1" w:rsidRPr="002B64D8" w:rsidRDefault="009971C1" w:rsidP="009971C1">
      <w:pPr>
        <w:pStyle w:val="ab"/>
        <w:jc w:val="both"/>
        <w:rPr>
          <w:rFonts w:ascii="David" w:hAnsi="David" w:cs="David"/>
          <w:sz w:val="24"/>
          <w:szCs w:val="24"/>
          <w:u w:val="single"/>
        </w:rPr>
      </w:pPr>
    </w:p>
    <w:p w14:paraId="2BE007E9" w14:textId="77777777" w:rsidR="009971C1" w:rsidRPr="002B64D8" w:rsidRDefault="009971C1" w:rsidP="009971C1">
      <w:pPr>
        <w:pStyle w:val="ab"/>
        <w:numPr>
          <w:ilvl w:val="1"/>
          <w:numId w:val="2"/>
        </w:numPr>
        <w:spacing w:line="360" w:lineRule="auto"/>
        <w:jc w:val="both"/>
        <w:rPr>
          <w:rFonts w:ascii="David" w:hAnsi="David" w:cs="David"/>
          <w:sz w:val="24"/>
          <w:szCs w:val="24"/>
          <w:u w:val="single"/>
          <w:rtl/>
        </w:rPr>
      </w:pPr>
      <w:r w:rsidRPr="002B64D8">
        <w:rPr>
          <w:rFonts w:ascii="David" w:hAnsi="David" w:cs="David"/>
          <w:sz w:val="24"/>
          <w:szCs w:val="24"/>
          <w:rtl/>
        </w:rPr>
        <w:t>קנס בסך 1,000 ₪ שישולם עד ליום 1.3.23.</w:t>
      </w:r>
    </w:p>
    <w:p w14:paraId="4C9C4837" w14:textId="77777777" w:rsidR="009971C1" w:rsidRPr="002B64D8" w:rsidRDefault="005154A4" w:rsidP="009971C1">
      <w:pPr>
        <w:pStyle w:val="ab"/>
        <w:jc w:val="both"/>
        <w:rPr>
          <w:rFonts w:ascii="David" w:hAnsi="David" w:cs="David"/>
          <w:color w:val="FFFFFF"/>
          <w:sz w:val="2"/>
          <w:szCs w:val="2"/>
          <w:u w:val="single"/>
        </w:rPr>
      </w:pPr>
      <w:r w:rsidRPr="002B64D8">
        <w:rPr>
          <w:rFonts w:ascii="David" w:hAnsi="David" w:cs="David"/>
          <w:color w:val="FFFFFF"/>
          <w:sz w:val="2"/>
          <w:szCs w:val="2"/>
          <w:u w:val="single"/>
          <w:rtl/>
        </w:rPr>
        <w:t>5129371</w:t>
      </w:r>
    </w:p>
    <w:p w14:paraId="228B4644" w14:textId="77777777" w:rsidR="009971C1" w:rsidRPr="002B64D8" w:rsidRDefault="005154A4" w:rsidP="009971C1">
      <w:pPr>
        <w:spacing w:line="360" w:lineRule="auto"/>
        <w:jc w:val="both"/>
        <w:rPr>
          <w:rFonts w:ascii="David" w:hAnsi="David"/>
          <w:rtl/>
        </w:rPr>
      </w:pPr>
      <w:r w:rsidRPr="002B64D8">
        <w:rPr>
          <w:rFonts w:ascii="David" w:hAnsi="David"/>
          <w:color w:val="FFFFFF"/>
          <w:sz w:val="2"/>
          <w:szCs w:val="2"/>
          <w:rtl/>
        </w:rPr>
        <w:t>54678313</w:t>
      </w:r>
      <w:r w:rsidR="009971C1" w:rsidRPr="002B64D8">
        <w:rPr>
          <w:rFonts w:ascii="David" w:hAnsi="David"/>
          <w:rtl/>
        </w:rPr>
        <w:t xml:space="preserve">זכות ערעור כדין. </w:t>
      </w:r>
    </w:p>
    <w:p w14:paraId="541361D7" w14:textId="77777777" w:rsidR="009971C1" w:rsidRPr="002B64D8" w:rsidRDefault="009971C1" w:rsidP="009971C1">
      <w:pPr>
        <w:spacing w:line="360" w:lineRule="auto"/>
        <w:jc w:val="both"/>
        <w:rPr>
          <w:rFonts w:ascii="David" w:hAnsi="David"/>
          <w:rtl/>
        </w:rPr>
      </w:pPr>
    </w:p>
    <w:p w14:paraId="069D455C" w14:textId="77777777" w:rsidR="009971C1" w:rsidRPr="002B64D8" w:rsidRDefault="005154A4" w:rsidP="009971C1">
      <w:pPr>
        <w:rPr>
          <w:rFonts w:ascii="Arial" w:hAnsi="Arial"/>
          <w:b/>
          <w:bCs/>
          <w:sz w:val="26"/>
          <w:szCs w:val="26"/>
          <w:rtl/>
        </w:rPr>
      </w:pPr>
      <w:bookmarkStart w:id="8" w:name="Nitan"/>
      <w:r w:rsidRPr="002B64D8">
        <w:rPr>
          <w:rFonts w:ascii="Arial" w:hAnsi="Arial"/>
          <w:b/>
          <w:bCs/>
          <w:sz w:val="26"/>
          <w:szCs w:val="26"/>
          <w:rtl/>
        </w:rPr>
        <w:t xml:space="preserve">ניתן היום,  ט' טבת תשפ"ג, 02 ינואר 2023, במעמד הצדדים. </w:t>
      </w:r>
      <w:bookmarkEnd w:id="8"/>
    </w:p>
    <w:p w14:paraId="5A7A7C23" w14:textId="77777777" w:rsidR="009971C1" w:rsidRPr="002B64D8" w:rsidRDefault="009971C1" w:rsidP="005154A4">
      <w:pPr>
        <w:jc w:val="center"/>
      </w:pPr>
      <w:r w:rsidRPr="002B64D8">
        <w:rPr>
          <w:rFonts w:ascii="Arial" w:hAnsi="Arial"/>
          <w:b/>
          <w:bCs/>
          <w:sz w:val="26"/>
          <w:szCs w:val="26"/>
          <w:rtl/>
        </w:rPr>
        <w:t xml:space="preserve">   </w:t>
      </w:r>
      <w:r w:rsidRPr="002B64D8">
        <w:rPr>
          <w:rFonts w:ascii="Arial" w:hAnsi="Arial"/>
          <w:b/>
          <w:bCs/>
          <w:sz w:val="26"/>
          <w:szCs w:val="26"/>
          <w:rtl/>
        </w:rPr>
        <w:tab/>
      </w:r>
      <w:r w:rsidRPr="002B64D8">
        <w:rPr>
          <w:rFonts w:ascii="Arial" w:hAnsi="Arial"/>
          <w:b/>
          <w:bCs/>
          <w:sz w:val="26"/>
          <w:szCs w:val="26"/>
          <w:rtl/>
        </w:rPr>
        <w:tab/>
      </w:r>
      <w:r w:rsidRPr="002B64D8">
        <w:rPr>
          <w:rFonts w:ascii="Arial" w:hAnsi="Arial"/>
          <w:b/>
          <w:bCs/>
          <w:sz w:val="26"/>
          <w:szCs w:val="26"/>
          <w:rtl/>
        </w:rPr>
        <w:tab/>
      </w:r>
      <w:r w:rsidRPr="002B64D8">
        <w:rPr>
          <w:rFonts w:ascii="Arial" w:hAnsi="Arial"/>
          <w:b/>
          <w:bCs/>
          <w:sz w:val="26"/>
          <w:szCs w:val="26"/>
          <w:rtl/>
        </w:rPr>
        <w:tab/>
      </w:r>
      <w:r w:rsidRPr="002B64D8">
        <w:rPr>
          <w:rFonts w:ascii="Arial" w:hAnsi="Arial"/>
          <w:b/>
          <w:bCs/>
          <w:sz w:val="26"/>
          <w:szCs w:val="26"/>
          <w:rtl/>
        </w:rPr>
        <w:tab/>
      </w:r>
    </w:p>
    <w:p w14:paraId="27F940E1" w14:textId="77777777" w:rsidR="009971C1" w:rsidRPr="002B64D8" w:rsidRDefault="002B64D8" w:rsidP="009971C1">
      <w:pPr>
        <w:jc w:val="center"/>
        <w:rPr>
          <w:rFonts w:ascii="Arial" w:hAnsi="Arial"/>
          <w:b/>
          <w:bCs/>
          <w:color w:val="FFFFFF"/>
          <w:sz w:val="2"/>
          <w:szCs w:val="2"/>
          <w:rtl/>
        </w:rPr>
      </w:pPr>
      <w:r w:rsidRPr="002B64D8">
        <w:rPr>
          <w:rFonts w:ascii="Arial" w:hAnsi="Arial"/>
          <w:b/>
          <w:bCs/>
          <w:color w:val="FFFFFF"/>
          <w:sz w:val="2"/>
          <w:szCs w:val="2"/>
          <w:rtl/>
        </w:rPr>
        <w:t>5129371</w:t>
      </w:r>
    </w:p>
    <w:p w14:paraId="203ABC60" w14:textId="77777777" w:rsidR="00551F90" w:rsidRPr="002B64D8" w:rsidRDefault="002B64D8" w:rsidP="005154A4">
      <w:pPr>
        <w:keepNext/>
        <w:rPr>
          <w:rFonts w:ascii="David" w:hAnsi="David"/>
          <w:color w:val="FFFFFF"/>
          <w:sz w:val="2"/>
          <w:szCs w:val="2"/>
          <w:rtl/>
        </w:rPr>
      </w:pPr>
      <w:r w:rsidRPr="002B64D8">
        <w:rPr>
          <w:rFonts w:ascii="David" w:hAnsi="David"/>
          <w:color w:val="FFFFFF"/>
          <w:sz w:val="2"/>
          <w:szCs w:val="2"/>
          <w:rtl/>
        </w:rPr>
        <w:t>54678313</w:t>
      </w:r>
    </w:p>
    <w:p w14:paraId="0859710A" w14:textId="77777777" w:rsidR="005154A4" w:rsidRPr="002B64D8" w:rsidRDefault="005154A4" w:rsidP="005154A4">
      <w:pPr>
        <w:rPr>
          <w:rtl/>
        </w:rPr>
      </w:pPr>
    </w:p>
    <w:p w14:paraId="6A524F04" w14:textId="77777777" w:rsidR="005154A4" w:rsidRPr="002B64D8" w:rsidRDefault="005154A4" w:rsidP="005154A4">
      <w:pPr>
        <w:jc w:val="center"/>
        <w:rPr>
          <w:color w:val="0000FF"/>
          <w:u w:val="single"/>
        </w:rPr>
      </w:pPr>
      <w:hyperlink r:id="rId58" w:history="1">
        <w:r w:rsidRPr="002B64D8">
          <w:rPr>
            <w:color w:val="0000FF"/>
            <w:u w:val="single"/>
            <w:rtl/>
          </w:rPr>
          <w:t>בעניין עריכה ושינויים במסמכי פסיקה, חקיקה ועוד באתר נבו – הקש כאן</w:t>
        </w:r>
      </w:hyperlink>
    </w:p>
    <w:p w14:paraId="72AE4A1B" w14:textId="77777777" w:rsidR="002B64D8" w:rsidRPr="002B64D8" w:rsidRDefault="002B64D8" w:rsidP="002B64D8">
      <w:pPr>
        <w:keepNext/>
        <w:rPr>
          <w:rFonts w:ascii="David" w:hAnsi="David"/>
          <w:color w:val="000000"/>
          <w:sz w:val="22"/>
          <w:szCs w:val="22"/>
          <w:rtl/>
        </w:rPr>
      </w:pPr>
    </w:p>
    <w:p w14:paraId="235DDF1A" w14:textId="77777777" w:rsidR="002B64D8" w:rsidRPr="002B64D8" w:rsidRDefault="002B64D8" w:rsidP="002B64D8">
      <w:pPr>
        <w:keepNext/>
        <w:rPr>
          <w:rFonts w:ascii="David" w:hAnsi="David"/>
          <w:color w:val="000000"/>
          <w:sz w:val="22"/>
          <w:szCs w:val="22"/>
          <w:rtl/>
        </w:rPr>
      </w:pPr>
      <w:r w:rsidRPr="002B64D8">
        <w:rPr>
          <w:rFonts w:ascii="David" w:hAnsi="David"/>
          <w:color w:val="000000"/>
          <w:sz w:val="22"/>
          <w:szCs w:val="22"/>
          <w:rtl/>
        </w:rPr>
        <w:t>יניב בן הרוש 54678313-/</w:t>
      </w:r>
    </w:p>
    <w:p w14:paraId="6344B47F" w14:textId="77777777" w:rsidR="005154A4" w:rsidRPr="002B64D8" w:rsidRDefault="002B64D8" w:rsidP="002B64D8">
      <w:pPr>
        <w:rPr>
          <w:color w:val="0000FF"/>
          <w:u w:val="single"/>
        </w:rPr>
      </w:pPr>
      <w:r w:rsidRPr="002B64D8">
        <w:rPr>
          <w:color w:val="000000"/>
          <w:u w:val="single"/>
          <w:rtl/>
        </w:rPr>
        <w:t>נוסח מסמך זה כפוף לשינויי ניסוח ועריכה</w:t>
      </w:r>
    </w:p>
    <w:sectPr w:rsidR="005154A4" w:rsidRPr="002B64D8" w:rsidSect="002B64D8">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834F4" w14:textId="77777777" w:rsidR="00E5469B" w:rsidRDefault="00E5469B" w:rsidP="005973FE">
      <w:r>
        <w:separator/>
      </w:r>
    </w:p>
  </w:endnote>
  <w:endnote w:type="continuationSeparator" w:id="0">
    <w:p w14:paraId="3FD26189" w14:textId="77777777" w:rsidR="00E5469B" w:rsidRDefault="00E5469B" w:rsidP="00597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E531E" w14:textId="77777777" w:rsidR="002B64D8" w:rsidRDefault="002B64D8" w:rsidP="002B64D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E76D3B" w14:textId="77777777" w:rsidR="002656E1" w:rsidRPr="002B64D8" w:rsidRDefault="002B64D8" w:rsidP="002B64D8">
    <w:pPr>
      <w:pStyle w:val="a6"/>
      <w:pBdr>
        <w:top w:val="single" w:sz="4" w:space="1" w:color="auto"/>
        <w:between w:val="single" w:sz="4" w:space="0" w:color="auto"/>
      </w:pBdr>
      <w:spacing w:after="60"/>
      <w:jc w:val="center"/>
      <w:rPr>
        <w:rFonts w:ascii="FrankRuehl" w:hAnsi="FrankRuehl" w:cs="FrankRuehl"/>
        <w:color w:val="000000"/>
      </w:rPr>
    </w:pPr>
    <w:r w:rsidRPr="002B64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93647" w14:textId="77777777" w:rsidR="002B64D8" w:rsidRDefault="002B64D8" w:rsidP="002B64D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661D">
      <w:rPr>
        <w:rFonts w:ascii="FrankRuehl" w:hAnsi="FrankRuehl" w:cs="FrankRuehl"/>
        <w:noProof/>
        <w:rtl/>
      </w:rPr>
      <w:t>1</w:t>
    </w:r>
    <w:r>
      <w:rPr>
        <w:rFonts w:ascii="FrankRuehl" w:hAnsi="FrankRuehl" w:cs="FrankRuehl"/>
        <w:rtl/>
      </w:rPr>
      <w:fldChar w:fldCharType="end"/>
    </w:r>
  </w:p>
  <w:p w14:paraId="5BA40035" w14:textId="77777777" w:rsidR="002656E1" w:rsidRPr="002B64D8" w:rsidRDefault="002B64D8" w:rsidP="002B64D8">
    <w:pPr>
      <w:pStyle w:val="a6"/>
      <w:pBdr>
        <w:top w:val="single" w:sz="4" w:space="1" w:color="auto"/>
        <w:between w:val="single" w:sz="4" w:space="0" w:color="auto"/>
      </w:pBdr>
      <w:spacing w:after="60"/>
      <w:jc w:val="center"/>
      <w:rPr>
        <w:rFonts w:ascii="FrankRuehl" w:hAnsi="FrankRuehl" w:cs="FrankRuehl"/>
        <w:color w:val="000000"/>
      </w:rPr>
    </w:pPr>
    <w:r w:rsidRPr="002B64D8">
      <w:rPr>
        <w:rFonts w:ascii="FrankRuehl" w:hAnsi="FrankRuehl" w:cs="FrankRuehl"/>
        <w:color w:val="000000"/>
      </w:rPr>
      <w:pict w14:anchorId="24693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BE14F" w14:textId="77777777" w:rsidR="00E5469B" w:rsidRDefault="00E5469B" w:rsidP="005973FE">
      <w:r>
        <w:separator/>
      </w:r>
    </w:p>
  </w:footnote>
  <w:footnote w:type="continuationSeparator" w:id="0">
    <w:p w14:paraId="57A77F66" w14:textId="77777777" w:rsidR="00E5469B" w:rsidRDefault="00E5469B" w:rsidP="00597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24CA6" w14:textId="77777777" w:rsidR="005154A4" w:rsidRPr="002B64D8" w:rsidRDefault="002B64D8" w:rsidP="002B64D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55430-06-20</w:t>
    </w:r>
    <w:r>
      <w:rPr>
        <w:rFonts w:ascii="David" w:hAnsi="David"/>
        <w:color w:val="000000"/>
        <w:sz w:val="22"/>
        <w:szCs w:val="22"/>
        <w:rtl/>
      </w:rPr>
      <w:tab/>
      <w:t xml:space="preserve"> מדינת ישראל נ' אוריאל בן שושן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504D1" w14:textId="77777777" w:rsidR="005154A4" w:rsidRPr="002B64D8" w:rsidRDefault="002B64D8" w:rsidP="002B64D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55430-06-20</w:t>
    </w:r>
    <w:r>
      <w:rPr>
        <w:rFonts w:ascii="David" w:hAnsi="David"/>
        <w:color w:val="000000"/>
        <w:sz w:val="22"/>
        <w:szCs w:val="22"/>
        <w:rtl/>
      </w:rPr>
      <w:tab/>
      <w:t xml:space="preserve"> מדינת ישראל נ' אוריאל בן שושן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C97"/>
    <w:multiLevelType w:val="hybridMultilevel"/>
    <w:tmpl w:val="2C84096A"/>
    <w:lvl w:ilvl="0" w:tplc="32AE8638">
      <w:start w:val="1"/>
      <w:numFmt w:val="decimal"/>
      <w:lvlText w:val="%1."/>
      <w:lvlJc w:val="left"/>
      <w:pPr>
        <w:ind w:left="360" w:hanging="360"/>
      </w:pPr>
      <w:rPr>
        <w:rFonts w:ascii="Times New Roman" w:hAnsi="Times New Roman" w:cs="David" w:hint="default"/>
        <w:bCs w:val="0"/>
        <w:iCs w:val="0"/>
        <w:szCs w:val="24"/>
        <w:lang w:bidi="he-IL"/>
      </w:rPr>
    </w:lvl>
    <w:lvl w:ilvl="1" w:tplc="E76CC2E4">
      <w:start w:val="1"/>
      <w:numFmt w:val="hebrew1"/>
      <w:lvlText w:val="%2."/>
      <w:lvlJc w:val="center"/>
      <w:pPr>
        <w:ind w:left="785" w:hanging="360"/>
      </w:pPr>
      <w:rPr>
        <w:b w:val="0"/>
        <w:bCs w:val="0"/>
      </w:rPr>
    </w:lvl>
    <w:lvl w:ilvl="2" w:tplc="49A01638">
      <w:start w:val="1"/>
      <w:numFmt w:val="lowerRoman"/>
      <w:lvlText w:val="%3."/>
      <w:lvlJc w:val="right"/>
      <w:pPr>
        <w:ind w:left="2160" w:hanging="180"/>
      </w:pPr>
    </w:lvl>
    <w:lvl w:ilvl="3" w:tplc="BEA4446A">
      <w:start w:val="1"/>
      <w:numFmt w:val="decimal"/>
      <w:lvlText w:val="%4."/>
      <w:lvlJc w:val="left"/>
      <w:pPr>
        <w:ind w:left="2880" w:hanging="360"/>
      </w:pPr>
    </w:lvl>
    <w:lvl w:ilvl="4" w:tplc="2A427D62">
      <w:start w:val="1"/>
      <w:numFmt w:val="lowerLetter"/>
      <w:lvlText w:val="%5."/>
      <w:lvlJc w:val="left"/>
      <w:pPr>
        <w:ind w:left="3600" w:hanging="360"/>
      </w:pPr>
    </w:lvl>
    <w:lvl w:ilvl="5" w:tplc="86EA3C7A">
      <w:start w:val="1"/>
      <w:numFmt w:val="lowerRoman"/>
      <w:lvlText w:val="%6."/>
      <w:lvlJc w:val="right"/>
      <w:pPr>
        <w:ind w:left="4320" w:hanging="180"/>
      </w:pPr>
    </w:lvl>
    <w:lvl w:ilvl="6" w:tplc="7826C268">
      <w:start w:val="1"/>
      <w:numFmt w:val="decimal"/>
      <w:lvlText w:val="%7."/>
      <w:lvlJc w:val="left"/>
      <w:pPr>
        <w:ind w:left="5040" w:hanging="360"/>
      </w:pPr>
    </w:lvl>
    <w:lvl w:ilvl="7" w:tplc="CB76EBC0">
      <w:start w:val="1"/>
      <w:numFmt w:val="lowerLetter"/>
      <w:lvlText w:val="%8."/>
      <w:lvlJc w:val="left"/>
      <w:pPr>
        <w:ind w:left="5760" w:hanging="360"/>
      </w:pPr>
    </w:lvl>
    <w:lvl w:ilvl="8" w:tplc="D2269096">
      <w:start w:val="1"/>
      <w:numFmt w:val="lowerRoman"/>
      <w:lvlText w:val="%9."/>
      <w:lvlJc w:val="right"/>
      <w:pPr>
        <w:ind w:left="6480" w:hanging="180"/>
      </w:pPr>
    </w:lvl>
  </w:abstractNum>
  <w:abstractNum w:abstractNumId="1"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0536963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61739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71C1"/>
    <w:rsid w:val="001B5A3B"/>
    <w:rsid w:val="001C1A71"/>
    <w:rsid w:val="002656E1"/>
    <w:rsid w:val="002B64D8"/>
    <w:rsid w:val="004B15D6"/>
    <w:rsid w:val="005154A4"/>
    <w:rsid w:val="00551F90"/>
    <w:rsid w:val="005973FE"/>
    <w:rsid w:val="0062661D"/>
    <w:rsid w:val="00744118"/>
    <w:rsid w:val="007E7286"/>
    <w:rsid w:val="009971C1"/>
    <w:rsid w:val="009E3BD6"/>
    <w:rsid w:val="00B565C1"/>
    <w:rsid w:val="00CC3A7E"/>
    <w:rsid w:val="00E546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0DA813"/>
  <w15:chartTrackingRefBased/>
  <w15:docId w15:val="{106697A2-7A65-4326-9844-30D58BD6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971C1"/>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9971C1"/>
    <w:pPr>
      <w:tabs>
        <w:tab w:val="center" w:pos="4153"/>
        <w:tab w:val="right" w:pos="8306"/>
      </w:tabs>
    </w:pPr>
  </w:style>
  <w:style w:type="character" w:customStyle="1" w:styleId="a5">
    <w:name w:val="כותרת עליונה תו"/>
    <w:link w:val="a4"/>
    <w:rsid w:val="009971C1"/>
    <w:rPr>
      <w:rFonts w:ascii="Times New Roman" w:eastAsia="Times New Roman" w:hAnsi="Times New Roman" w:cs="David"/>
      <w:sz w:val="24"/>
      <w:szCs w:val="24"/>
    </w:rPr>
  </w:style>
  <w:style w:type="paragraph" w:styleId="a6">
    <w:name w:val="footer"/>
    <w:basedOn w:val="a0"/>
    <w:link w:val="a7"/>
    <w:rsid w:val="009971C1"/>
    <w:pPr>
      <w:tabs>
        <w:tab w:val="center" w:pos="4153"/>
        <w:tab w:val="right" w:pos="8306"/>
      </w:tabs>
    </w:pPr>
  </w:style>
  <w:style w:type="character" w:customStyle="1" w:styleId="a7">
    <w:name w:val="כותרת תחתונה תו"/>
    <w:link w:val="a6"/>
    <w:rsid w:val="009971C1"/>
    <w:rPr>
      <w:rFonts w:ascii="Times New Roman" w:eastAsia="Times New Roman" w:hAnsi="Times New Roman" w:cs="David"/>
      <w:sz w:val="24"/>
      <w:szCs w:val="24"/>
    </w:rPr>
  </w:style>
  <w:style w:type="table" w:styleId="a8">
    <w:name w:val="Table Grid"/>
    <w:basedOn w:val="a2"/>
    <w:rsid w:val="009971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9971C1"/>
  </w:style>
  <w:style w:type="character" w:customStyle="1" w:styleId="aa">
    <w:name w:val="פיסקת רשימה תו"/>
    <w:link w:val="ab"/>
    <w:locked/>
    <w:rsid w:val="009971C1"/>
  </w:style>
  <w:style w:type="paragraph" w:styleId="ab">
    <w:name w:val="List Paragraph"/>
    <w:basedOn w:val="a0"/>
    <w:link w:val="aa"/>
    <w:qFormat/>
    <w:rsid w:val="009971C1"/>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9971C1"/>
    <w:pPr>
      <w:numPr>
        <w:numId w:val="1"/>
      </w:numPr>
      <w:spacing w:after="120" w:line="360" w:lineRule="auto"/>
    </w:pPr>
    <w:rPr>
      <w:rFonts w:ascii="David" w:hAnsi="David"/>
      <w:color w:val="000000"/>
    </w:rPr>
  </w:style>
  <w:style w:type="character" w:styleId="Hyperlink">
    <w:name w:val="Hyperlink"/>
    <w:rsid w:val="009971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118380" TargetMode="External"/><Relationship Id="rId26" Type="http://schemas.openxmlformats.org/officeDocument/2006/relationships/hyperlink" Target="http://www.nevo.co.il/case/5849797" TargetMode="External"/><Relationship Id="rId39" Type="http://schemas.openxmlformats.org/officeDocument/2006/relationships/hyperlink" Target="http://www.nevo.co.il/case/23746048" TargetMode="External"/><Relationship Id="rId21" Type="http://schemas.openxmlformats.org/officeDocument/2006/relationships/hyperlink" Target="http://www.nevo.co.il/law/71553/1.2" TargetMode="External"/><Relationship Id="rId34" Type="http://schemas.openxmlformats.org/officeDocument/2006/relationships/hyperlink" Target="http://www.nevo.co.il/case/25173361" TargetMode="External"/><Relationship Id="rId42" Type="http://schemas.openxmlformats.org/officeDocument/2006/relationships/hyperlink" Target="http://www.nevo.co.il/case/18118854" TargetMode="External"/><Relationship Id="rId47" Type="http://schemas.openxmlformats.org/officeDocument/2006/relationships/hyperlink" Target="http://www.nevo.co.il/case/21511777" TargetMode="External"/><Relationship Id="rId50" Type="http://schemas.openxmlformats.org/officeDocument/2006/relationships/hyperlink" Target="http://www.nevo.co.il/case/27313460" TargetMode="External"/><Relationship Id="rId55" Type="http://schemas.openxmlformats.org/officeDocument/2006/relationships/hyperlink" Target="http://www.nevo.co.il/law/70301/40i"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18118854" TargetMode="External"/><Relationship Id="rId11" Type="http://schemas.openxmlformats.org/officeDocument/2006/relationships/hyperlink" Target="http://www.nevo.co.il/law/7155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9994809" TargetMode="External"/><Relationship Id="rId37" Type="http://schemas.openxmlformats.org/officeDocument/2006/relationships/hyperlink" Target="http://www.nevo.co.il/case/27008094" TargetMode="External"/><Relationship Id="rId40" Type="http://schemas.openxmlformats.org/officeDocument/2006/relationships/hyperlink" Target="http://www.nevo.co.il/case/16941543" TargetMode="External"/><Relationship Id="rId45" Type="http://schemas.openxmlformats.org/officeDocument/2006/relationships/hyperlink" Target="http://www.nevo.co.il/case/25585375" TargetMode="External"/><Relationship Id="rId53" Type="http://schemas.openxmlformats.org/officeDocument/2006/relationships/hyperlink" Target="http://www.nevo.co.il/case/24345651"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4903/192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1553" TargetMode="External"/><Relationship Id="rId27" Type="http://schemas.openxmlformats.org/officeDocument/2006/relationships/hyperlink" Target="http://www.nevo.co.il/case/5745703" TargetMode="External"/><Relationship Id="rId30" Type="http://schemas.openxmlformats.org/officeDocument/2006/relationships/hyperlink" Target="http://www.nevo.co.il/case/16941543" TargetMode="External"/><Relationship Id="rId35" Type="http://schemas.openxmlformats.org/officeDocument/2006/relationships/hyperlink" Target="http://www.nevo.co.il/case/25156962" TargetMode="External"/><Relationship Id="rId43" Type="http://schemas.openxmlformats.org/officeDocument/2006/relationships/hyperlink" Target="http://www.nevo.co.il/case/18107808"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8388215" TargetMode="External"/><Relationship Id="rId64" Type="http://schemas.openxmlformats.org/officeDocument/2006/relationships/theme" Target="theme/theme1.xml"/><Relationship Id="rId8" Type="http://schemas.openxmlformats.org/officeDocument/2006/relationships/hyperlink" Target="http://www.nevo.co.il/law/4216/6" TargetMode="External"/><Relationship Id="rId51" Type="http://schemas.openxmlformats.org/officeDocument/2006/relationships/hyperlink" Target="http://www.nevo.co.il/case/26246488" TargetMode="External"/><Relationship Id="rId3" Type="http://schemas.openxmlformats.org/officeDocument/2006/relationships/settings" Target="settings.xml"/><Relationship Id="rId12" Type="http://schemas.openxmlformats.org/officeDocument/2006/relationships/hyperlink" Target="http://www.nevo.co.il/law/71553/1.2"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810781" TargetMode="External"/><Relationship Id="rId33" Type="http://schemas.openxmlformats.org/officeDocument/2006/relationships/hyperlink" Target="http://www.nevo.co.il/case/28190926" TargetMode="External"/><Relationship Id="rId38" Type="http://schemas.openxmlformats.org/officeDocument/2006/relationships/hyperlink" Target="http://www.nevo.co.il/case/24345651" TargetMode="External"/><Relationship Id="rId46" Type="http://schemas.openxmlformats.org/officeDocument/2006/relationships/hyperlink" Target="http://www.nevo.co.il/case/26884611" TargetMode="External"/><Relationship Id="rId59" Type="http://schemas.openxmlformats.org/officeDocument/2006/relationships/header" Target="header1.xml"/><Relationship Id="rId20" Type="http://schemas.openxmlformats.org/officeDocument/2006/relationships/hyperlink" Target="http://www.nevo.co.il/law/74903" TargetMode="External"/><Relationship Id="rId41" Type="http://schemas.openxmlformats.org/officeDocument/2006/relationships/hyperlink" Target="http://www.nevo.co.il/case/20567094" TargetMode="External"/><Relationship Id="rId54" Type="http://schemas.openxmlformats.org/officeDocument/2006/relationships/hyperlink" Target="http://www.nevo.co.il/case/25478758"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71a" TargetMode="External"/><Relationship Id="rId23" Type="http://schemas.openxmlformats.org/officeDocument/2006/relationships/hyperlink" Target="http://www.nevo.co.il/law/70301/71a" TargetMode="External"/><Relationship Id="rId28" Type="http://schemas.openxmlformats.org/officeDocument/2006/relationships/hyperlink" Target="http://www.nevo.co.il/case/26793458" TargetMode="External"/><Relationship Id="rId36" Type="http://schemas.openxmlformats.org/officeDocument/2006/relationships/hyperlink" Target="http://www.nevo.co.il/case/23658814" TargetMode="External"/><Relationship Id="rId49" Type="http://schemas.openxmlformats.org/officeDocument/2006/relationships/hyperlink" Target="http://www.nevo.co.il/case/5681787" TargetMode="External"/><Relationship Id="rId57" Type="http://schemas.openxmlformats.org/officeDocument/2006/relationships/hyperlink" Target="http://www.nevo.co.il/case/28092391" TargetMode="External"/><Relationship Id="rId10" Type="http://schemas.openxmlformats.org/officeDocument/2006/relationships/hyperlink" Target="http://www.nevo.co.il/law/74903/192a" TargetMode="External"/><Relationship Id="rId31" Type="http://schemas.openxmlformats.org/officeDocument/2006/relationships/hyperlink" Target="http://www.nevo.co.il/case/24492956"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4492956"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49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2640</Words>
  <Characters>13204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15813</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3735670</vt:i4>
      </vt:variant>
      <vt:variant>
        <vt:i4>150</vt:i4>
      </vt:variant>
      <vt:variant>
        <vt:i4>0</vt:i4>
      </vt:variant>
      <vt:variant>
        <vt:i4>5</vt:i4>
      </vt:variant>
      <vt:variant>
        <vt:lpwstr>http://www.nevo.co.il/case/28092391</vt:lpwstr>
      </vt:variant>
      <vt:variant>
        <vt:lpwstr/>
      </vt:variant>
      <vt:variant>
        <vt:i4>3670134</vt:i4>
      </vt:variant>
      <vt:variant>
        <vt:i4>147</vt:i4>
      </vt:variant>
      <vt:variant>
        <vt:i4>0</vt:i4>
      </vt:variant>
      <vt:variant>
        <vt:i4>5</vt:i4>
      </vt:variant>
      <vt:variant>
        <vt:lpwstr>http://www.nevo.co.il/case/28388215</vt:lpwstr>
      </vt:variant>
      <vt:variant>
        <vt:lpwstr/>
      </vt:variant>
      <vt:variant>
        <vt:i4>6619233</vt:i4>
      </vt:variant>
      <vt:variant>
        <vt:i4>144</vt:i4>
      </vt:variant>
      <vt:variant>
        <vt:i4>0</vt:i4>
      </vt:variant>
      <vt:variant>
        <vt:i4>5</vt:i4>
      </vt:variant>
      <vt:variant>
        <vt:lpwstr>http://www.nevo.co.il/law/70301/40i</vt:lpwstr>
      </vt:variant>
      <vt:variant>
        <vt:lpwstr/>
      </vt:variant>
      <vt:variant>
        <vt:i4>3866737</vt:i4>
      </vt:variant>
      <vt:variant>
        <vt:i4>141</vt:i4>
      </vt:variant>
      <vt:variant>
        <vt:i4>0</vt:i4>
      </vt:variant>
      <vt:variant>
        <vt:i4>5</vt:i4>
      </vt:variant>
      <vt:variant>
        <vt:lpwstr>http://www.nevo.co.il/case/25478758</vt:lpwstr>
      </vt:variant>
      <vt:variant>
        <vt:lpwstr/>
      </vt:variant>
      <vt:variant>
        <vt:i4>3211378</vt:i4>
      </vt:variant>
      <vt:variant>
        <vt:i4>138</vt:i4>
      </vt:variant>
      <vt:variant>
        <vt:i4>0</vt:i4>
      </vt:variant>
      <vt:variant>
        <vt:i4>5</vt:i4>
      </vt:variant>
      <vt:variant>
        <vt:lpwstr>http://www.nevo.co.il/case/24345651</vt:lpwstr>
      </vt:variant>
      <vt:variant>
        <vt:lpwstr/>
      </vt:variant>
      <vt:variant>
        <vt:i4>3211376</vt:i4>
      </vt:variant>
      <vt:variant>
        <vt:i4>135</vt:i4>
      </vt:variant>
      <vt:variant>
        <vt:i4>0</vt:i4>
      </vt:variant>
      <vt:variant>
        <vt:i4>5</vt:i4>
      </vt:variant>
      <vt:variant>
        <vt:lpwstr>http://www.nevo.co.il/case/24492956</vt:lpwstr>
      </vt:variant>
      <vt:variant>
        <vt:lpwstr/>
      </vt:variant>
      <vt:variant>
        <vt:i4>4063346</vt:i4>
      </vt:variant>
      <vt:variant>
        <vt:i4>132</vt:i4>
      </vt:variant>
      <vt:variant>
        <vt:i4>0</vt:i4>
      </vt:variant>
      <vt:variant>
        <vt:i4>5</vt:i4>
      </vt:variant>
      <vt:variant>
        <vt:lpwstr>http://www.nevo.co.il/case/26246488</vt:lpwstr>
      </vt:variant>
      <vt:variant>
        <vt:lpwstr/>
      </vt:variant>
      <vt:variant>
        <vt:i4>3407990</vt:i4>
      </vt:variant>
      <vt:variant>
        <vt:i4>129</vt:i4>
      </vt:variant>
      <vt:variant>
        <vt:i4>0</vt:i4>
      </vt:variant>
      <vt:variant>
        <vt:i4>5</vt:i4>
      </vt:variant>
      <vt:variant>
        <vt:lpwstr>http://www.nevo.co.il/case/27313460</vt:lpwstr>
      </vt:variant>
      <vt:variant>
        <vt:lpwstr/>
      </vt:variant>
      <vt:variant>
        <vt:i4>3997819</vt:i4>
      </vt:variant>
      <vt:variant>
        <vt:i4>126</vt:i4>
      </vt:variant>
      <vt:variant>
        <vt:i4>0</vt:i4>
      </vt:variant>
      <vt:variant>
        <vt:i4>5</vt:i4>
      </vt:variant>
      <vt:variant>
        <vt:lpwstr>http://www.nevo.co.il/case/5681787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3211379</vt:i4>
      </vt:variant>
      <vt:variant>
        <vt:i4>120</vt:i4>
      </vt:variant>
      <vt:variant>
        <vt:i4>0</vt:i4>
      </vt:variant>
      <vt:variant>
        <vt:i4>5</vt:i4>
      </vt:variant>
      <vt:variant>
        <vt:lpwstr>http://www.nevo.co.il/case/21511777</vt:lpwstr>
      </vt:variant>
      <vt:variant>
        <vt:lpwstr/>
      </vt:variant>
      <vt:variant>
        <vt:i4>4128892</vt:i4>
      </vt:variant>
      <vt:variant>
        <vt:i4>117</vt:i4>
      </vt:variant>
      <vt:variant>
        <vt:i4>0</vt:i4>
      </vt:variant>
      <vt:variant>
        <vt:i4>5</vt:i4>
      </vt:variant>
      <vt:variant>
        <vt:lpwstr>http://www.nevo.co.il/case/26884611</vt:lpwstr>
      </vt:variant>
      <vt:variant>
        <vt:lpwstr/>
      </vt:variant>
      <vt:variant>
        <vt:i4>3473530</vt:i4>
      </vt:variant>
      <vt:variant>
        <vt:i4>114</vt:i4>
      </vt:variant>
      <vt:variant>
        <vt:i4>0</vt:i4>
      </vt:variant>
      <vt:variant>
        <vt:i4>5</vt:i4>
      </vt:variant>
      <vt:variant>
        <vt:lpwstr>http://www.nevo.co.il/case/25585375</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3604596</vt:i4>
      </vt:variant>
      <vt:variant>
        <vt:i4>108</vt:i4>
      </vt:variant>
      <vt:variant>
        <vt:i4>0</vt:i4>
      </vt:variant>
      <vt:variant>
        <vt:i4>5</vt:i4>
      </vt:variant>
      <vt:variant>
        <vt:lpwstr>http://www.nevo.co.il/case/18107808</vt:lpwstr>
      </vt:variant>
      <vt:variant>
        <vt:lpwstr/>
      </vt:variant>
      <vt:variant>
        <vt:i4>3997813</vt:i4>
      </vt:variant>
      <vt:variant>
        <vt:i4>105</vt:i4>
      </vt:variant>
      <vt:variant>
        <vt:i4>0</vt:i4>
      </vt:variant>
      <vt:variant>
        <vt:i4>5</vt:i4>
      </vt:variant>
      <vt:variant>
        <vt:lpwstr>http://www.nevo.co.il/case/18118854</vt:lpwstr>
      </vt:variant>
      <vt:variant>
        <vt:lpwstr/>
      </vt:variant>
      <vt:variant>
        <vt:i4>3735666</vt:i4>
      </vt:variant>
      <vt:variant>
        <vt:i4>102</vt:i4>
      </vt:variant>
      <vt:variant>
        <vt:i4>0</vt:i4>
      </vt:variant>
      <vt:variant>
        <vt:i4>5</vt:i4>
      </vt:variant>
      <vt:variant>
        <vt:lpwstr>http://www.nevo.co.il/case/20567094</vt:lpwstr>
      </vt:variant>
      <vt:variant>
        <vt:lpwstr/>
      </vt:variant>
      <vt:variant>
        <vt:i4>3997811</vt:i4>
      </vt:variant>
      <vt:variant>
        <vt:i4>99</vt:i4>
      </vt:variant>
      <vt:variant>
        <vt:i4>0</vt:i4>
      </vt:variant>
      <vt:variant>
        <vt:i4>5</vt:i4>
      </vt:variant>
      <vt:variant>
        <vt:lpwstr>http://www.nevo.co.il/case/16941543</vt:lpwstr>
      </vt:variant>
      <vt:variant>
        <vt:lpwstr/>
      </vt:variant>
      <vt:variant>
        <vt:i4>3604595</vt:i4>
      </vt:variant>
      <vt:variant>
        <vt:i4>96</vt:i4>
      </vt:variant>
      <vt:variant>
        <vt:i4>0</vt:i4>
      </vt:variant>
      <vt:variant>
        <vt:i4>5</vt:i4>
      </vt:variant>
      <vt:variant>
        <vt:lpwstr>http://www.nevo.co.il/case/23746048</vt:lpwstr>
      </vt:variant>
      <vt:variant>
        <vt:lpwstr/>
      </vt:variant>
      <vt:variant>
        <vt:i4>3211378</vt:i4>
      </vt:variant>
      <vt:variant>
        <vt:i4>93</vt:i4>
      </vt:variant>
      <vt:variant>
        <vt:i4>0</vt:i4>
      </vt:variant>
      <vt:variant>
        <vt:i4>5</vt:i4>
      </vt:variant>
      <vt:variant>
        <vt:lpwstr>http://www.nevo.co.il/case/24345651</vt:lpwstr>
      </vt:variant>
      <vt:variant>
        <vt:lpwstr/>
      </vt:variant>
      <vt:variant>
        <vt:i4>3342451</vt:i4>
      </vt:variant>
      <vt:variant>
        <vt:i4>90</vt:i4>
      </vt:variant>
      <vt:variant>
        <vt:i4>0</vt:i4>
      </vt:variant>
      <vt:variant>
        <vt:i4>5</vt:i4>
      </vt:variant>
      <vt:variant>
        <vt:lpwstr>http://www.nevo.co.il/case/27008094</vt:lpwstr>
      </vt:variant>
      <vt:variant>
        <vt:lpwstr/>
      </vt:variant>
      <vt:variant>
        <vt:i4>3997818</vt:i4>
      </vt:variant>
      <vt:variant>
        <vt:i4>87</vt:i4>
      </vt:variant>
      <vt:variant>
        <vt:i4>0</vt:i4>
      </vt:variant>
      <vt:variant>
        <vt:i4>5</vt:i4>
      </vt:variant>
      <vt:variant>
        <vt:lpwstr>http://www.nevo.co.il/case/23658814</vt:lpwstr>
      </vt:variant>
      <vt:variant>
        <vt:lpwstr/>
      </vt:variant>
      <vt:variant>
        <vt:i4>3342461</vt:i4>
      </vt:variant>
      <vt:variant>
        <vt:i4>84</vt:i4>
      </vt:variant>
      <vt:variant>
        <vt:i4>0</vt:i4>
      </vt:variant>
      <vt:variant>
        <vt:i4>5</vt:i4>
      </vt:variant>
      <vt:variant>
        <vt:lpwstr>http://www.nevo.co.il/case/25156962</vt:lpwstr>
      </vt:variant>
      <vt:variant>
        <vt:lpwstr/>
      </vt:variant>
      <vt:variant>
        <vt:i4>3539061</vt:i4>
      </vt:variant>
      <vt:variant>
        <vt:i4>81</vt:i4>
      </vt:variant>
      <vt:variant>
        <vt:i4>0</vt:i4>
      </vt:variant>
      <vt:variant>
        <vt:i4>5</vt:i4>
      </vt:variant>
      <vt:variant>
        <vt:lpwstr>http://www.nevo.co.il/case/25173361</vt:lpwstr>
      </vt:variant>
      <vt:variant>
        <vt:lpwstr/>
      </vt:variant>
      <vt:variant>
        <vt:i4>3211388</vt:i4>
      </vt:variant>
      <vt:variant>
        <vt:i4>78</vt:i4>
      </vt:variant>
      <vt:variant>
        <vt:i4>0</vt:i4>
      </vt:variant>
      <vt:variant>
        <vt:i4>5</vt:i4>
      </vt:variant>
      <vt:variant>
        <vt:lpwstr>http://www.nevo.co.il/case/28190926</vt:lpwstr>
      </vt:variant>
      <vt:variant>
        <vt:lpwstr/>
      </vt:variant>
      <vt:variant>
        <vt:i4>3932284</vt:i4>
      </vt:variant>
      <vt:variant>
        <vt:i4>75</vt:i4>
      </vt:variant>
      <vt:variant>
        <vt:i4>0</vt:i4>
      </vt:variant>
      <vt:variant>
        <vt:i4>5</vt:i4>
      </vt:variant>
      <vt:variant>
        <vt:lpwstr>http://www.nevo.co.il/case/19994809</vt:lpwstr>
      </vt:variant>
      <vt:variant>
        <vt:lpwstr/>
      </vt:variant>
      <vt:variant>
        <vt:i4>3211376</vt:i4>
      </vt:variant>
      <vt:variant>
        <vt:i4>72</vt:i4>
      </vt:variant>
      <vt:variant>
        <vt:i4>0</vt:i4>
      </vt:variant>
      <vt:variant>
        <vt:i4>5</vt:i4>
      </vt:variant>
      <vt:variant>
        <vt:lpwstr>http://www.nevo.co.il/case/24492956</vt:lpwstr>
      </vt:variant>
      <vt:variant>
        <vt:lpwstr/>
      </vt:variant>
      <vt:variant>
        <vt:i4>3997811</vt:i4>
      </vt:variant>
      <vt:variant>
        <vt:i4>69</vt:i4>
      </vt:variant>
      <vt:variant>
        <vt:i4>0</vt:i4>
      </vt:variant>
      <vt:variant>
        <vt:i4>5</vt:i4>
      </vt:variant>
      <vt:variant>
        <vt:lpwstr>http://www.nevo.co.il/case/16941543</vt:lpwstr>
      </vt:variant>
      <vt:variant>
        <vt:lpwstr/>
      </vt:variant>
      <vt:variant>
        <vt:i4>3997813</vt:i4>
      </vt:variant>
      <vt:variant>
        <vt:i4>66</vt:i4>
      </vt:variant>
      <vt:variant>
        <vt:i4>0</vt:i4>
      </vt:variant>
      <vt:variant>
        <vt:i4>5</vt:i4>
      </vt:variant>
      <vt:variant>
        <vt:lpwstr>http://www.nevo.co.il/case/18118854</vt:lpwstr>
      </vt:variant>
      <vt:variant>
        <vt:lpwstr/>
      </vt:variant>
      <vt:variant>
        <vt:i4>3342463</vt:i4>
      </vt:variant>
      <vt:variant>
        <vt:i4>63</vt:i4>
      </vt:variant>
      <vt:variant>
        <vt:i4>0</vt:i4>
      </vt:variant>
      <vt:variant>
        <vt:i4>5</vt:i4>
      </vt:variant>
      <vt:variant>
        <vt:lpwstr>http://www.nevo.co.il/case/26793458</vt:lpwstr>
      </vt:variant>
      <vt:variant>
        <vt:lpwstr/>
      </vt:variant>
      <vt:variant>
        <vt:i4>3473526</vt:i4>
      </vt:variant>
      <vt:variant>
        <vt:i4>60</vt:i4>
      </vt:variant>
      <vt:variant>
        <vt:i4>0</vt:i4>
      </vt:variant>
      <vt:variant>
        <vt:i4>5</vt:i4>
      </vt:variant>
      <vt:variant>
        <vt:lpwstr>http://www.nevo.co.il/case/5745703</vt:lpwstr>
      </vt:variant>
      <vt:variant>
        <vt:lpwstr/>
      </vt:variant>
      <vt:variant>
        <vt:i4>3211388</vt:i4>
      </vt:variant>
      <vt:variant>
        <vt:i4>57</vt:i4>
      </vt:variant>
      <vt:variant>
        <vt:i4>0</vt:i4>
      </vt:variant>
      <vt:variant>
        <vt:i4>5</vt:i4>
      </vt:variant>
      <vt:variant>
        <vt:lpwstr>http://www.nevo.co.il/case/5849797</vt:lpwstr>
      </vt:variant>
      <vt:variant>
        <vt:lpwstr/>
      </vt:variant>
      <vt:variant>
        <vt:i4>3276916</vt:i4>
      </vt:variant>
      <vt:variant>
        <vt:i4>54</vt:i4>
      </vt:variant>
      <vt:variant>
        <vt:i4>0</vt:i4>
      </vt:variant>
      <vt:variant>
        <vt:i4>5</vt:i4>
      </vt:variant>
      <vt:variant>
        <vt:lpwstr>http://www.nevo.co.il/case/5810781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6553698</vt:i4>
      </vt:variant>
      <vt:variant>
        <vt:i4>48</vt:i4>
      </vt:variant>
      <vt:variant>
        <vt:i4>0</vt:i4>
      </vt:variant>
      <vt:variant>
        <vt:i4>5</vt:i4>
      </vt:variant>
      <vt:variant>
        <vt:lpwstr>http://www.nevo.co.il/law/70301/71a</vt:lpwstr>
      </vt:variant>
      <vt:variant>
        <vt:lpwstr/>
      </vt:variant>
      <vt:variant>
        <vt:i4>8257634</vt:i4>
      </vt:variant>
      <vt:variant>
        <vt:i4>45</vt:i4>
      </vt:variant>
      <vt:variant>
        <vt:i4>0</vt:i4>
      </vt:variant>
      <vt:variant>
        <vt:i4>5</vt:i4>
      </vt:variant>
      <vt:variant>
        <vt:lpwstr>http://www.nevo.co.il/law/71553</vt:lpwstr>
      </vt:variant>
      <vt:variant>
        <vt:lpwstr/>
      </vt:variant>
      <vt:variant>
        <vt:i4>8323168</vt:i4>
      </vt:variant>
      <vt:variant>
        <vt:i4>42</vt:i4>
      </vt:variant>
      <vt:variant>
        <vt:i4>0</vt:i4>
      </vt:variant>
      <vt:variant>
        <vt:i4>5</vt:i4>
      </vt:variant>
      <vt:variant>
        <vt:lpwstr>http://www.nevo.co.il/law/71553/1.2</vt:lpwstr>
      </vt:variant>
      <vt:variant>
        <vt:lpwstr/>
      </vt:variant>
      <vt:variant>
        <vt:i4>8257646</vt:i4>
      </vt:variant>
      <vt:variant>
        <vt:i4>39</vt:i4>
      </vt:variant>
      <vt:variant>
        <vt:i4>0</vt:i4>
      </vt:variant>
      <vt:variant>
        <vt:i4>5</vt:i4>
      </vt:variant>
      <vt:variant>
        <vt:lpwstr>http://www.nevo.co.il/law/74903</vt:lpwstr>
      </vt:variant>
      <vt:variant>
        <vt:lpwstr/>
      </vt:variant>
      <vt:variant>
        <vt:i4>589918</vt:i4>
      </vt:variant>
      <vt:variant>
        <vt:i4>36</vt:i4>
      </vt:variant>
      <vt:variant>
        <vt:i4>0</vt:i4>
      </vt:variant>
      <vt:variant>
        <vt:i4>5</vt:i4>
      </vt:variant>
      <vt:variant>
        <vt:lpwstr>http://www.nevo.co.il/law/74903/192a</vt:lpwstr>
      </vt:variant>
      <vt:variant>
        <vt:lpwstr/>
      </vt:variant>
      <vt:variant>
        <vt:i4>3342454</vt:i4>
      </vt:variant>
      <vt:variant>
        <vt:i4>33</vt:i4>
      </vt:variant>
      <vt:variant>
        <vt:i4>0</vt:i4>
      </vt:variant>
      <vt:variant>
        <vt:i4>5</vt:i4>
      </vt:variant>
      <vt:variant>
        <vt:lpwstr>http://www.nevo.co.il/case/20118380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6553698</vt:i4>
      </vt:variant>
      <vt:variant>
        <vt:i4>24</vt:i4>
      </vt:variant>
      <vt:variant>
        <vt:i4>0</vt:i4>
      </vt:variant>
      <vt:variant>
        <vt:i4>5</vt:i4>
      </vt:variant>
      <vt:variant>
        <vt:lpwstr>http://www.nevo.co.il/law/70301/71a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8323168</vt:i4>
      </vt:variant>
      <vt:variant>
        <vt:i4>15</vt:i4>
      </vt:variant>
      <vt:variant>
        <vt:i4>0</vt:i4>
      </vt:variant>
      <vt:variant>
        <vt:i4>5</vt:i4>
      </vt:variant>
      <vt:variant>
        <vt:lpwstr>http://www.nevo.co.il/law/71553/1.2</vt:lpwstr>
      </vt:variant>
      <vt:variant>
        <vt:lpwstr/>
      </vt:variant>
      <vt:variant>
        <vt:i4>8257634</vt:i4>
      </vt:variant>
      <vt:variant>
        <vt:i4>12</vt:i4>
      </vt:variant>
      <vt:variant>
        <vt:i4>0</vt:i4>
      </vt:variant>
      <vt:variant>
        <vt:i4>5</vt:i4>
      </vt:variant>
      <vt:variant>
        <vt:lpwstr>http://www.nevo.co.il/law/71553</vt:lpwstr>
      </vt:variant>
      <vt:variant>
        <vt:lpwstr/>
      </vt:variant>
      <vt:variant>
        <vt:i4>589918</vt:i4>
      </vt:variant>
      <vt:variant>
        <vt:i4>9</vt:i4>
      </vt:variant>
      <vt:variant>
        <vt:i4>0</vt:i4>
      </vt:variant>
      <vt:variant>
        <vt:i4>5</vt:i4>
      </vt:variant>
      <vt:variant>
        <vt:lpwstr>http://www.nevo.co.il/law/74903/192a</vt:lpwstr>
      </vt:variant>
      <vt:variant>
        <vt:lpwstr/>
      </vt:variant>
      <vt:variant>
        <vt:i4>8257646</vt:i4>
      </vt:variant>
      <vt:variant>
        <vt:i4>6</vt:i4>
      </vt:variant>
      <vt:variant>
        <vt:i4>0</vt:i4>
      </vt:variant>
      <vt:variant>
        <vt:i4>5</vt:i4>
      </vt:variant>
      <vt:variant>
        <vt:lpwstr>http://www.nevo.co.il/law/74903</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2025-04-23T00:37:00Z</dcterms:created>
  <dcterms:modified xsi:type="dcterms:W3CDTF">2025-04-23T00:37:00Z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55430</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אוריאל בן שושן</vt:lpwstr>
  </property>
  <property fmtid="{D5CDD505-2E9C-101B-9397-08002B2CF9AE}" pid="10" name="LAWYER">
    <vt:lpwstr>דוד ז'נבה;חיים לב;רינת אפרים יהב</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20230102</vt:lpwstr>
  </property>
  <property fmtid="{D5CDD505-2E9C-101B-9397-08002B2CF9AE}" pid="14" name="TYPE_N_DATE">
    <vt:lpwstr>38020230102</vt:lpwstr>
  </property>
  <property fmtid="{D5CDD505-2E9C-101B-9397-08002B2CF9AE}" pid="15" name="WORDNUMPAGES">
    <vt:lpwstr>8</vt:lpwstr>
  </property>
  <property fmtid="{D5CDD505-2E9C-101B-9397-08002B2CF9AE}" pid="16" name="TYPE_ABS_DATE">
    <vt:lpwstr>380020230102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20118380;5810781;5849797;5745703;26793458;18118854:2;16941543:2;24492956:2;19994809;28190926;25173361;25156962;23658814;27008094;24345651:2;23746048;20567094;18107808;25585375;26884611;21511777;5681787;27313460;26246488;25478758;28388215;28092391</vt:lpwstr>
  </property>
  <property fmtid="{D5CDD505-2E9C-101B-9397-08002B2CF9AE}" pid="36" name="LAWLISTTMP1">
    <vt:lpwstr>4216/006</vt:lpwstr>
  </property>
  <property fmtid="{D5CDD505-2E9C-101B-9397-08002B2CF9AE}" pid="37" name="LAWLISTTMP2">
    <vt:lpwstr>74903/192a</vt:lpwstr>
  </property>
  <property fmtid="{D5CDD505-2E9C-101B-9397-08002B2CF9AE}" pid="38" name="LAWLISTTMP3">
    <vt:lpwstr>71553/001.2</vt:lpwstr>
  </property>
  <property fmtid="{D5CDD505-2E9C-101B-9397-08002B2CF9AE}" pid="39" name="LAWLISTTMP4">
    <vt:lpwstr>70301/071a;040i</vt:lpwstr>
  </property>
</Properties>
</file>