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8A2C79" w:rsidRPr="00DC6A30" w14:paraId="0C917572" w14:textId="77777777" w:rsidTr="00C54500">
        <w:trPr>
          <w:gridAfter w:val="1"/>
          <w:wAfter w:w="99" w:type="dxa"/>
          <w:trHeight w:hRule="exact" w:val="418"/>
          <w:jc w:val="center"/>
        </w:trPr>
        <w:tc>
          <w:tcPr>
            <w:tcW w:w="8721" w:type="dxa"/>
            <w:gridSpan w:val="4"/>
          </w:tcPr>
          <w:p w14:paraId="1093AE46" w14:textId="77777777" w:rsidR="008A2C79" w:rsidRPr="00DC6A30" w:rsidRDefault="008A2C79" w:rsidP="008C0447">
            <w:pPr>
              <w:pStyle w:val="a3"/>
              <w:jc w:val="center"/>
              <w:rPr>
                <w:rFonts w:ascii="Tahoma" w:hAnsi="Tahoma" w:cs="Tahoma"/>
                <w:color w:val="000080"/>
                <w:rtl/>
              </w:rPr>
            </w:pPr>
            <w:bookmarkStart w:id="0" w:name="LastJudge"/>
            <w:r w:rsidRPr="00DC6A30">
              <w:rPr>
                <w:rFonts w:ascii="Tahoma" w:hAnsi="Tahoma" w:cs="Tahoma"/>
                <w:b/>
                <w:bCs/>
                <w:color w:val="000080"/>
                <w:rtl/>
              </w:rPr>
              <w:t>בית משפט השלום בתל אביב -יפו</w:t>
            </w:r>
          </w:p>
        </w:tc>
      </w:tr>
      <w:tr w:rsidR="008A2C79" w:rsidRPr="00DC6A30" w14:paraId="7A53DFD6" w14:textId="77777777" w:rsidTr="00C54500">
        <w:trPr>
          <w:gridAfter w:val="1"/>
          <w:wAfter w:w="99" w:type="dxa"/>
          <w:trHeight w:val="337"/>
          <w:jc w:val="center"/>
        </w:trPr>
        <w:tc>
          <w:tcPr>
            <w:tcW w:w="5054" w:type="dxa"/>
            <w:gridSpan w:val="3"/>
          </w:tcPr>
          <w:p w14:paraId="43534ADD" w14:textId="77777777" w:rsidR="008A2C79" w:rsidRPr="00DC6A30" w:rsidRDefault="008A2C79" w:rsidP="008C0447">
            <w:pPr>
              <w:rPr>
                <w:rFonts w:cs="FrankRuehl"/>
                <w:sz w:val="28"/>
                <w:szCs w:val="28"/>
                <w:rtl/>
              </w:rPr>
            </w:pPr>
            <w:r w:rsidRPr="00DC6A30">
              <w:rPr>
                <w:rFonts w:cs="FrankRuehl"/>
                <w:sz w:val="28"/>
                <w:szCs w:val="28"/>
                <w:rtl/>
              </w:rPr>
              <w:t>ת"פ</w:t>
            </w:r>
            <w:r w:rsidRPr="00DC6A30">
              <w:rPr>
                <w:rFonts w:cs="FrankRuehl" w:hint="cs"/>
                <w:sz w:val="28"/>
                <w:szCs w:val="28"/>
                <w:rtl/>
              </w:rPr>
              <w:t xml:space="preserve"> </w:t>
            </w:r>
            <w:r w:rsidRPr="00DC6A30">
              <w:rPr>
                <w:rFonts w:cs="FrankRuehl"/>
                <w:sz w:val="28"/>
                <w:szCs w:val="28"/>
                <w:rtl/>
              </w:rPr>
              <w:t>57778-06-20</w:t>
            </w:r>
            <w:r w:rsidRPr="00DC6A30">
              <w:rPr>
                <w:rFonts w:cs="FrankRuehl" w:hint="cs"/>
                <w:sz w:val="28"/>
                <w:szCs w:val="28"/>
                <w:rtl/>
              </w:rPr>
              <w:t xml:space="preserve"> </w:t>
            </w:r>
            <w:r w:rsidRPr="00DC6A30">
              <w:rPr>
                <w:rFonts w:cs="FrankRuehl"/>
                <w:b/>
                <w:bCs/>
                <w:sz w:val="28"/>
                <w:szCs w:val="28"/>
                <w:rtl/>
              </w:rPr>
              <w:t>מדינת ישראל נ' היילה</w:t>
            </w:r>
          </w:p>
          <w:p w14:paraId="6D6BDFD1" w14:textId="77777777" w:rsidR="008A2C79" w:rsidRPr="00DC6A30" w:rsidRDefault="008A2C79" w:rsidP="008C0447">
            <w:pPr>
              <w:pStyle w:val="a3"/>
              <w:rPr>
                <w:rFonts w:cs="FrankRuehl"/>
                <w:sz w:val="28"/>
                <w:szCs w:val="28"/>
                <w:rtl/>
              </w:rPr>
            </w:pPr>
          </w:p>
        </w:tc>
        <w:tc>
          <w:tcPr>
            <w:tcW w:w="3667" w:type="dxa"/>
          </w:tcPr>
          <w:p w14:paraId="5E764577" w14:textId="77777777" w:rsidR="008A2C79" w:rsidRPr="00DC6A30" w:rsidRDefault="008A2C79" w:rsidP="008C0447">
            <w:pPr>
              <w:pStyle w:val="a3"/>
              <w:jc w:val="right"/>
              <w:rPr>
                <w:rFonts w:cs="FrankRuehl"/>
                <w:sz w:val="28"/>
                <w:szCs w:val="28"/>
                <w:rtl/>
              </w:rPr>
            </w:pPr>
          </w:p>
        </w:tc>
      </w:tr>
      <w:tr w:rsidR="008A2C79" w:rsidRPr="00DC6A30" w14:paraId="432FC380" w14:textId="77777777" w:rsidTr="00C54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EBF0D60" w14:textId="77777777" w:rsidR="008A2C79" w:rsidRPr="00DC6A30" w:rsidRDefault="008A2C79" w:rsidP="008A2C79">
            <w:pPr>
              <w:spacing w:line="360" w:lineRule="auto"/>
              <w:jc w:val="both"/>
              <w:rPr>
                <w:rFonts w:ascii="David" w:hAnsi="David"/>
                <w:b/>
                <w:bCs/>
                <w:sz w:val="26"/>
                <w:szCs w:val="26"/>
              </w:rPr>
            </w:pPr>
            <w:r w:rsidRPr="00DC6A30">
              <w:rPr>
                <w:rFonts w:hint="cs"/>
                <w:rtl/>
              </w:rPr>
              <w:t xml:space="preserve"> </w:t>
            </w:r>
            <w:r w:rsidRPr="00DC6A30">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027106CD" w14:textId="77777777" w:rsidR="008A2C79" w:rsidRPr="00DC6A30" w:rsidRDefault="008A2C79" w:rsidP="008A2C79">
            <w:pPr>
              <w:spacing w:line="360" w:lineRule="auto"/>
              <w:rPr>
                <w:rFonts w:ascii="David" w:hAnsi="David"/>
                <w:b/>
                <w:bCs/>
                <w:sz w:val="26"/>
                <w:szCs w:val="26"/>
                <w:rtl/>
              </w:rPr>
            </w:pPr>
            <w:r w:rsidRPr="00DC6A30">
              <w:rPr>
                <w:rFonts w:ascii="David" w:hAnsi="David" w:hint="cs"/>
                <w:b/>
                <w:bCs/>
                <w:sz w:val="26"/>
                <w:szCs w:val="26"/>
                <w:rtl/>
              </w:rPr>
              <w:t>כבוד השופט הבכיר, שאול אבינור</w:t>
            </w:r>
          </w:p>
          <w:p w14:paraId="451EA1BE" w14:textId="77777777" w:rsidR="008A2C79" w:rsidRPr="00DC6A30" w:rsidRDefault="008A2C79" w:rsidP="008A2C79">
            <w:pPr>
              <w:spacing w:line="360" w:lineRule="auto"/>
              <w:rPr>
                <w:rFonts w:ascii="David" w:hAnsi="David"/>
                <w:sz w:val="26"/>
                <w:szCs w:val="26"/>
              </w:rPr>
            </w:pPr>
          </w:p>
        </w:tc>
      </w:tr>
      <w:tr w:rsidR="008A2C79" w:rsidRPr="00DC6A30" w14:paraId="2A4968A5" w14:textId="77777777" w:rsidTr="00C54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A6BEF4D" w14:textId="77777777" w:rsidR="008A2C79" w:rsidRPr="00DC6A30" w:rsidRDefault="008A2C79" w:rsidP="008A2C79">
            <w:pPr>
              <w:spacing w:line="360" w:lineRule="auto"/>
              <w:jc w:val="both"/>
              <w:rPr>
                <w:rFonts w:ascii="David" w:hAnsi="David"/>
                <w:sz w:val="26"/>
                <w:szCs w:val="26"/>
              </w:rPr>
            </w:pPr>
            <w:bookmarkStart w:id="1" w:name="FirstAppellant"/>
            <w:bookmarkStart w:id="2" w:name="FirstLawyer"/>
            <w:r w:rsidRPr="00DC6A30">
              <w:rPr>
                <w:rFonts w:ascii="David" w:hAnsi="David"/>
                <w:sz w:val="26"/>
                <w:szCs w:val="26"/>
                <w:rtl/>
              </w:rPr>
              <w:t>בעניין:</w:t>
            </w:r>
          </w:p>
        </w:tc>
        <w:tc>
          <w:tcPr>
            <w:tcW w:w="3219" w:type="dxa"/>
            <w:tcBorders>
              <w:top w:val="nil"/>
              <w:left w:val="nil"/>
              <w:bottom w:val="nil"/>
              <w:right w:val="nil"/>
            </w:tcBorders>
            <w:shd w:val="clear" w:color="auto" w:fill="auto"/>
          </w:tcPr>
          <w:p w14:paraId="39C822BB" w14:textId="77777777" w:rsidR="008A2C79" w:rsidRPr="00DC6A30" w:rsidRDefault="008A2C79" w:rsidP="008A2C79">
            <w:pPr>
              <w:suppressLineNumbers/>
              <w:spacing w:line="360" w:lineRule="auto"/>
            </w:pPr>
            <w:r w:rsidRPr="00DC6A30">
              <w:rPr>
                <w:rFonts w:ascii="Arial" w:hAnsi="Arial" w:hint="cs"/>
                <w:b/>
                <w:bCs/>
                <w:sz w:val="26"/>
                <w:szCs w:val="26"/>
                <w:rtl/>
              </w:rPr>
              <w:t>המאשימה:</w:t>
            </w:r>
          </w:p>
          <w:p w14:paraId="4DE93DE5" w14:textId="77777777" w:rsidR="008A2C79" w:rsidRPr="00DC6A30" w:rsidRDefault="008A2C79" w:rsidP="008A2C79">
            <w:pPr>
              <w:spacing w:line="360" w:lineRule="auto"/>
              <w:rPr>
                <w:rFonts w:ascii="David" w:hAnsi="David"/>
                <w:sz w:val="26"/>
                <w:szCs w:val="26"/>
              </w:rPr>
            </w:pPr>
          </w:p>
        </w:tc>
        <w:tc>
          <w:tcPr>
            <w:tcW w:w="4678" w:type="dxa"/>
            <w:gridSpan w:val="3"/>
            <w:tcBorders>
              <w:top w:val="nil"/>
              <w:left w:val="nil"/>
              <w:bottom w:val="nil"/>
              <w:right w:val="nil"/>
            </w:tcBorders>
            <w:shd w:val="clear" w:color="auto" w:fill="auto"/>
            <w:vAlign w:val="center"/>
          </w:tcPr>
          <w:p w14:paraId="07F84B7E" w14:textId="77777777" w:rsidR="008A2C79" w:rsidRPr="00DC6A30" w:rsidRDefault="008A2C79" w:rsidP="008A2C79">
            <w:pPr>
              <w:suppressLineNumbers/>
              <w:spacing w:line="360" w:lineRule="auto"/>
              <w:rPr>
                <w:rFonts w:ascii="Arial" w:hAnsi="Arial"/>
                <w:rtl/>
              </w:rPr>
            </w:pPr>
            <w:r w:rsidRPr="00DC6A30">
              <w:rPr>
                <w:rFonts w:ascii="Arial" w:hAnsi="Arial"/>
                <w:b/>
                <w:bCs/>
                <w:sz w:val="26"/>
                <w:szCs w:val="26"/>
                <w:rtl/>
              </w:rPr>
              <w:t>מדינת ישראל</w:t>
            </w:r>
            <w:r w:rsidRPr="00DC6A30">
              <w:rPr>
                <w:rFonts w:ascii="Arial" w:hAnsi="Arial" w:hint="cs"/>
                <w:b/>
                <w:bCs/>
                <w:sz w:val="26"/>
                <w:szCs w:val="26"/>
                <w:rtl/>
              </w:rPr>
              <w:t xml:space="preserve"> </w:t>
            </w:r>
          </w:p>
          <w:p w14:paraId="5B74D752" w14:textId="77777777" w:rsidR="008A2C79" w:rsidRPr="00DC6A30" w:rsidRDefault="008A2C79" w:rsidP="008A2C79">
            <w:pPr>
              <w:suppressLineNumbers/>
              <w:spacing w:line="360" w:lineRule="auto"/>
            </w:pPr>
            <w:r w:rsidRPr="00DC6A30">
              <w:rPr>
                <w:rFonts w:ascii="Arial" w:hAnsi="Arial"/>
                <w:rtl/>
              </w:rPr>
              <w:t>ע"י</w:t>
            </w:r>
            <w:r w:rsidRPr="00DC6A30">
              <w:rPr>
                <w:rFonts w:ascii="Arial" w:hAnsi="Arial"/>
                <w:b/>
                <w:bCs/>
                <w:sz w:val="26"/>
                <w:szCs w:val="26"/>
                <w:rtl/>
              </w:rPr>
              <w:t xml:space="preserve"> </w:t>
            </w:r>
            <w:r w:rsidRPr="00DC6A30">
              <w:rPr>
                <w:rFonts w:ascii="Arial" w:hAnsi="Arial"/>
                <w:rtl/>
              </w:rPr>
              <w:t>ב"כ עו</w:t>
            </w:r>
            <w:r w:rsidRPr="00DC6A30">
              <w:rPr>
                <w:rFonts w:ascii="Arial" w:hAnsi="Arial" w:hint="cs"/>
                <w:rtl/>
              </w:rPr>
              <w:t>"ד שני מנגדי</w:t>
            </w:r>
          </w:p>
          <w:p w14:paraId="2C75479F" w14:textId="77777777" w:rsidR="008A2C79" w:rsidRPr="00DC6A30" w:rsidRDefault="008A2C79" w:rsidP="008A2C79">
            <w:pPr>
              <w:spacing w:line="360" w:lineRule="auto"/>
              <w:rPr>
                <w:rFonts w:ascii="David" w:hAnsi="David"/>
                <w:sz w:val="26"/>
                <w:szCs w:val="26"/>
              </w:rPr>
            </w:pPr>
          </w:p>
        </w:tc>
      </w:tr>
      <w:bookmarkEnd w:id="1"/>
      <w:bookmarkEnd w:id="2"/>
      <w:tr w:rsidR="008A2C79" w:rsidRPr="00DC6A30" w14:paraId="76C0CE20" w14:textId="77777777" w:rsidTr="00C54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D403929" w14:textId="77777777" w:rsidR="008A2C79" w:rsidRPr="00DC6A30" w:rsidRDefault="008A2C79" w:rsidP="008A2C79">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03DDD515" w14:textId="77777777" w:rsidR="008A2C79" w:rsidRPr="00DC6A30" w:rsidRDefault="008A2C79" w:rsidP="008A2C79">
            <w:pPr>
              <w:spacing w:line="360" w:lineRule="auto"/>
              <w:jc w:val="center"/>
              <w:rPr>
                <w:rFonts w:ascii="David" w:hAnsi="David"/>
                <w:b/>
                <w:bCs/>
                <w:sz w:val="26"/>
                <w:szCs w:val="26"/>
                <w:rtl/>
              </w:rPr>
            </w:pPr>
          </w:p>
          <w:p w14:paraId="70442B6B" w14:textId="77777777" w:rsidR="008A2C79" w:rsidRPr="00DC6A30" w:rsidRDefault="008A2C79" w:rsidP="008A2C79">
            <w:pPr>
              <w:spacing w:line="360" w:lineRule="auto"/>
              <w:jc w:val="center"/>
              <w:rPr>
                <w:rFonts w:ascii="David" w:hAnsi="David"/>
                <w:b/>
                <w:bCs/>
                <w:sz w:val="26"/>
                <w:szCs w:val="26"/>
                <w:rtl/>
              </w:rPr>
            </w:pPr>
            <w:r w:rsidRPr="00DC6A30">
              <w:rPr>
                <w:rFonts w:ascii="David" w:hAnsi="David"/>
                <w:b/>
                <w:bCs/>
                <w:sz w:val="26"/>
                <w:szCs w:val="26"/>
                <w:rtl/>
              </w:rPr>
              <w:t>נגד</w:t>
            </w:r>
          </w:p>
          <w:p w14:paraId="024288D5" w14:textId="77777777" w:rsidR="008A2C79" w:rsidRPr="00DC6A30" w:rsidRDefault="008A2C79" w:rsidP="008A2C79">
            <w:pPr>
              <w:spacing w:line="360" w:lineRule="auto"/>
              <w:jc w:val="both"/>
              <w:rPr>
                <w:rFonts w:ascii="David" w:hAnsi="David"/>
                <w:sz w:val="26"/>
                <w:szCs w:val="26"/>
                <w:rtl/>
              </w:rPr>
            </w:pPr>
          </w:p>
          <w:p w14:paraId="4D8808A7" w14:textId="77777777" w:rsidR="008A2C79" w:rsidRPr="00DC6A30" w:rsidRDefault="008A2C79" w:rsidP="008A2C79">
            <w:pPr>
              <w:spacing w:line="360" w:lineRule="auto"/>
              <w:jc w:val="both"/>
              <w:rPr>
                <w:rFonts w:ascii="David" w:hAnsi="David"/>
                <w:sz w:val="26"/>
                <w:szCs w:val="26"/>
              </w:rPr>
            </w:pPr>
          </w:p>
        </w:tc>
      </w:tr>
      <w:tr w:rsidR="008A2C79" w:rsidRPr="00DC6A30" w14:paraId="0CD0C4CE" w14:textId="77777777" w:rsidTr="00C545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DB0A233" w14:textId="77777777" w:rsidR="008A2C79" w:rsidRPr="00DC6A30" w:rsidRDefault="008A2C79" w:rsidP="008A2C79">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5C4B730A" w14:textId="77777777" w:rsidR="008A2C79" w:rsidRPr="00DC6A30" w:rsidRDefault="008A2C79" w:rsidP="008A2C79">
            <w:pPr>
              <w:spacing w:line="360" w:lineRule="auto"/>
              <w:rPr>
                <w:rFonts w:ascii="Arial" w:hAnsi="Arial"/>
                <w:b/>
                <w:bCs/>
                <w:sz w:val="26"/>
                <w:szCs w:val="26"/>
                <w:rtl/>
              </w:rPr>
            </w:pPr>
            <w:r w:rsidRPr="00DC6A30">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558931C7" w14:textId="77777777" w:rsidR="008A2C79" w:rsidRPr="00DC6A30" w:rsidRDefault="008A2C79" w:rsidP="008A2C79">
            <w:pPr>
              <w:suppressLineNumbers/>
              <w:spacing w:line="360" w:lineRule="auto"/>
              <w:rPr>
                <w:rFonts w:ascii="Arial" w:hAnsi="Arial"/>
                <w:b/>
                <w:bCs/>
                <w:sz w:val="26"/>
                <w:szCs w:val="26"/>
                <w:rtl/>
              </w:rPr>
            </w:pPr>
            <w:r w:rsidRPr="00DC6A30">
              <w:rPr>
                <w:rFonts w:ascii="Arial" w:hAnsi="Arial"/>
                <w:b/>
                <w:bCs/>
                <w:sz w:val="26"/>
                <w:szCs w:val="26"/>
                <w:rtl/>
              </w:rPr>
              <w:t>יונתן היילה</w:t>
            </w:r>
            <w:r w:rsidRPr="00DC6A30">
              <w:rPr>
                <w:rFonts w:ascii="Arial" w:hAnsi="Arial" w:hint="cs"/>
                <w:b/>
                <w:bCs/>
                <w:sz w:val="26"/>
                <w:szCs w:val="26"/>
                <w:rtl/>
              </w:rPr>
              <w:t xml:space="preserve"> </w:t>
            </w:r>
          </w:p>
          <w:p w14:paraId="0B4795C2" w14:textId="77777777" w:rsidR="008A2C79" w:rsidRPr="00DC6A30" w:rsidRDefault="008A2C79" w:rsidP="008A2C79">
            <w:pPr>
              <w:suppressLineNumbers/>
              <w:spacing w:line="360" w:lineRule="auto"/>
            </w:pPr>
            <w:r w:rsidRPr="00DC6A30">
              <w:rPr>
                <w:rFonts w:ascii="Arial" w:hAnsi="Arial"/>
                <w:rtl/>
              </w:rPr>
              <w:t>ע"י</w:t>
            </w:r>
            <w:r w:rsidRPr="00DC6A30">
              <w:rPr>
                <w:rFonts w:ascii="Arial" w:hAnsi="Arial"/>
                <w:b/>
                <w:bCs/>
                <w:sz w:val="26"/>
                <w:szCs w:val="26"/>
                <w:rtl/>
              </w:rPr>
              <w:t xml:space="preserve"> </w:t>
            </w:r>
            <w:r w:rsidRPr="00DC6A30">
              <w:rPr>
                <w:rFonts w:ascii="Arial" w:hAnsi="Arial"/>
                <w:rtl/>
              </w:rPr>
              <w:t>ב"כ עו"ד</w:t>
            </w:r>
            <w:r w:rsidRPr="00DC6A30">
              <w:rPr>
                <w:rFonts w:ascii="Arial" w:hAnsi="Arial" w:hint="cs"/>
                <w:rtl/>
              </w:rPr>
              <w:t xml:space="preserve"> עתליה רפאל</w:t>
            </w:r>
          </w:p>
          <w:p w14:paraId="5448ED9F" w14:textId="77777777" w:rsidR="008A2C79" w:rsidRPr="00DC6A30" w:rsidRDefault="008A2C79" w:rsidP="008A2C79">
            <w:pPr>
              <w:spacing w:line="360" w:lineRule="auto"/>
              <w:rPr>
                <w:rFonts w:ascii="David" w:hAnsi="David"/>
                <w:sz w:val="26"/>
                <w:szCs w:val="26"/>
              </w:rPr>
            </w:pPr>
          </w:p>
        </w:tc>
      </w:tr>
    </w:tbl>
    <w:p w14:paraId="401AD6B9" w14:textId="77777777" w:rsidR="00DC6A30" w:rsidRPr="00DC6A30" w:rsidRDefault="00DC6A30" w:rsidP="00DC6A30">
      <w:pPr>
        <w:spacing w:before="120" w:after="120" w:line="240" w:lineRule="exact"/>
        <w:ind w:left="283" w:hanging="283"/>
        <w:jc w:val="both"/>
        <w:rPr>
          <w:rFonts w:ascii="FrankRuehl" w:hAnsi="FrankRuehl" w:cs="FrankRuehl"/>
          <w:rtl/>
        </w:rPr>
      </w:pPr>
    </w:p>
    <w:p w14:paraId="60AC4069" w14:textId="77777777" w:rsidR="00DC6A30" w:rsidRPr="00DC6A30" w:rsidRDefault="00DC6A30" w:rsidP="00DC6A30">
      <w:pPr>
        <w:spacing w:line="360" w:lineRule="auto"/>
        <w:rPr>
          <w:sz w:val="26"/>
          <w:szCs w:val="26"/>
          <w:rtl/>
        </w:rPr>
      </w:pPr>
    </w:p>
    <w:p w14:paraId="4B2FE7BE" w14:textId="77777777" w:rsidR="00C54500" w:rsidRPr="00C54500" w:rsidRDefault="00C54500" w:rsidP="00C54500">
      <w:pPr>
        <w:spacing w:before="120" w:after="120" w:line="240" w:lineRule="exact"/>
        <w:ind w:left="283" w:hanging="283"/>
        <w:jc w:val="both"/>
        <w:rPr>
          <w:rFonts w:ascii="FrankRuehl" w:hAnsi="FrankRuehl" w:cs="FrankRuehl"/>
          <w:rtl/>
        </w:rPr>
      </w:pPr>
    </w:p>
    <w:p w14:paraId="07DA3792" w14:textId="77777777" w:rsidR="00AB7DBB" w:rsidRPr="00AB7DBB" w:rsidRDefault="00AB7DBB" w:rsidP="00AB7DBB">
      <w:pPr>
        <w:spacing w:before="120" w:after="120" w:line="240" w:lineRule="exact"/>
        <w:ind w:left="283" w:hanging="283"/>
        <w:jc w:val="both"/>
        <w:rPr>
          <w:rFonts w:ascii="FrankRuehl" w:hAnsi="FrankRuehl" w:cs="FrankRuehl"/>
          <w:rtl/>
        </w:rPr>
      </w:pPr>
    </w:p>
    <w:p w14:paraId="5992A3D2" w14:textId="77777777" w:rsidR="00457701" w:rsidRDefault="00457701" w:rsidP="00457701">
      <w:pPr>
        <w:spacing w:line="360" w:lineRule="auto"/>
        <w:rPr>
          <w:sz w:val="26"/>
          <w:szCs w:val="26"/>
          <w:rtl/>
        </w:rPr>
      </w:pPr>
      <w:bookmarkStart w:id="3" w:name="LawTable"/>
      <w:bookmarkEnd w:id="3"/>
    </w:p>
    <w:p w14:paraId="69A38993" w14:textId="77777777" w:rsidR="00457701" w:rsidRPr="00457701" w:rsidRDefault="00457701" w:rsidP="00457701">
      <w:pPr>
        <w:spacing w:before="120" w:after="120" w:line="240" w:lineRule="exact"/>
        <w:ind w:left="283" w:hanging="283"/>
        <w:jc w:val="both"/>
        <w:rPr>
          <w:rFonts w:ascii="FrankRuehl" w:hAnsi="FrankRuehl" w:cs="FrankRuehl"/>
          <w:rtl/>
        </w:rPr>
      </w:pPr>
    </w:p>
    <w:p w14:paraId="41E1C7E2" w14:textId="77777777" w:rsidR="00457701" w:rsidRPr="00457701" w:rsidRDefault="00457701" w:rsidP="00457701">
      <w:pPr>
        <w:spacing w:before="120" w:after="120" w:line="240" w:lineRule="exact"/>
        <w:ind w:left="283" w:hanging="283"/>
        <w:jc w:val="both"/>
        <w:rPr>
          <w:rFonts w:ascii="FrankRuehl" w:hAnsi="FrankRuehl" w:cs="FrankRuehl"/>
          <w:rtl/>
        </w:rPr>
      </w:pPr>
    </w:p>
    <w:p w14:paraId="0DBE1022" w14:textId="77777777" w:rsidR="00457701" w:rsidRPr="00457701" w:rsidRDefault="00457701" w:rsidP="00457701">
      <w:pPr>
        <w:spacing w:before="120" w:after="120" w:line="240" w:lineRule="exact"/>
        <w:ind w:left="283" w:hanging="283"/>
        <w:jc w:val="both"/>
        <w:rPr>
          <w:rFonts w:ascii="FrankRuehl" w:hAnsi="FrankRuehl" w:cs="FrankRuehl"/>
          <w:rtl/>
        </w:rPr>
      </w:pPr>
      <w:r w:rsidRPr="00457701">
        <w:rPr>
          <w:rFonts w:ascii="FrankRuehl" w:hAnsi="FrankRuehl" w:cs="FrankRuehl"/>
          <w:rtl/>
        </w:rPr>
        <w:t xml:space="preserve">חקיקה שאוזכרה: </w:t>
      </w:r>
    </w:p>
    <w:p w14:paraId="4F7D9276" w14:textId="77777777" w:rsidR="00457701" w:rsidRPr="00457701" w:rsidRDefault="00457701" w:rsidP="00457701">
      <w:pPr>
        <w:spacing w:before="120" w:after="120" w:line="240" w:lineRule="exact"/>
        <w:ind w:left="283" w:hanging="283"/>
        <w:jc w:val="both"/>
        <w:rPr>
          <w:rFonts w:ascii="FrankRuehl" w:hAnsi="FrankRuehl" w:cs="FrankRuehl"/>
          <w:rtl/>
        </w:rPr>
      </w:pPr>
      <w:hyperlink r:id="rId7" w:history="1">
        <w:r w:rsidRPr="00457701">
          <w:rPr>
            <w:rFonts w:ascii="FrankRuehl" w:hAnsi="FrankRuehl" w:cs="FrankRuehl"/>
            <w:color w:val="0000FF"/>
            <w:rtl/>
          </w:rPr>
          <w:t>פקודת הסמים המסוכנים [נוסח חדש], תשל"ג-1973</w:t>
        </w:r>
      </w:hyperlink>
      <w:r w:rsidRPr="00457701">
        <w:rPr>
          <w:rFonts w:ascii="FrankRuehl" w:hAnsi="FrankRuehl" w:cs="FrankRuehl"/>
          <w:rtl/>
        </w:rPr>
        <w:t xml:space="preserve">: סע'  </w:t>
      </w:r>
      <w:hyperlink r:id="rId8" w:history="1">
        <w:r w:rsidRPr="00457701">
          <w:rPr>
            <w:rFonts w:ascii="FrankRuehl" w:hAnsi="FrankRuehl" w:cs="FrankRuehl"/>
            <w:color w:val="0000FF"/>
            <w:rtl/>
          </w:rPr>
          <w:t>7(א)</w:t>
        </w:r>
      </w:hyperlink>
      <w:r w:rsidRPr="00457701">
        <w:rPr>
          <w:rFonts w:ascii="FrankRuehl" w:hAnsi="FrankRuehl" w:cs="FrankRuehl"/>
          <w:rtl/>
        </w:rPr>
        <w:t xml:space="preserve">, </w:t>
      </w:r>
      <w:hyperlink r:id="rId9" w:history="1">
        <w:r w:rsidRPr="00457701">
          <w:rPr>
            <w:rFonts w:ascii="FrankRuehl" w:hAnsi="FrankRuehl" w:cs="FrankRuehl"/>
            <w:color w:val="0000FF"/>
            <w:rtl/>
          </w:rPr>
          <w:t>7(ג)</w:t>
        </w:r>
      </w:hyperlink>
    </w:p>
    <w:p w14:paraId="1F6895DB" w14:textId="77777777" w:rsidR="00457701" w:rsidRPr="00457701" w:rsidRDefault="00457701" w:rsidP="00457701">
      <w:pPr>
        <w:spacing w:before="120" w:after="120" w:line="240" w:lineRule="exact"/>
        <w:ind w:left="283" w:hanging="283"/>
        <w:jc w:val="both"/>
        <w:rPr>
          <w:rFonts w:ascii="FrankRuehl" w:hAnsi="FrankRuehl" w:cs="FrankRuehl"/>
          <w:rtl/>
        </w:rPr>
      </w:pPr>
      <w:hyperlink r:id="rId10" w:history="1">
        <w:r w:rsidRPr="00457701">
          <w:rPr>
            <w:rFonts w:ascii="FrankRuehl" w:hAnsi="FrankRuehl" w:cs="FrankRuehl"/>
            <w:color w:val="0000FF"/>
            <w:rtl/>
          </w:rPr>
          <w:t>חוק העונשין, תשל"ז-1977</w:t>
        </w:r>
      </w:hyperlink>
      <w:r w:rsidRPr="00457701">
        <w:rPr>
          <w:rFonts w:ascii="FrankRuehl" w:hAnsi="FrankRuehl" w:cs="FrankRuehl"/>
          <w:rtl/>
        </w:rPr>
        <w:t xml:space="preserve">: סע'  </w:t>
      </w:r>
      <w:hyperlink r:id="rId11" w:history="1">
        <w:r w:rsidRPr="00457701">
          <w:rPr>
            <w:rFonts w:ascii="FrankRuehl" w:hAnsi="FrankRuehl" w:cs="FrankRuehl"/>
            <w:color w:val="0000FF"/>
            <w:rtl/>
          </w:rPr>
          <w:t>40ד</w:t>
        </w:r>
      </w:hyperlink>
      <w:r w:rsidRPr="00457701">
        <w:rPr>
          <w:rFonts w:ascii="FrankRuehl" w:hAnsi="FrankRuehl" w:cs="FrankRuehl"/>
          <w:rtl/>
        </w:rPr>
        <w:t xml:space="preserve">, </w:t>
      </w:r>
      <w:hyperlink r:id="rId12" w:history="1">
        <w:r w:rsidRPr="00457701">
          <w:rPr>
            <w:rFonts w:ascii="FrankRuehl" w:hAnsi="FrankRuehl" w:cs="FrankRuehl"/>
            <w:color w:val="0000FF"/>
            <w:rtl/>
          </w:rPr>
          <w:t>40ט</w:t>
        </w:r>
      </w:hyperlink>
      <w:r w:rsidRPr="00457701">
        <w:rPr>
          <w:rFonts w:ascii="FrankRuehl" w:hAnsi="FrankRuehl" w:cs="FrankRuehl"/>
          <w:rtl/>
        </w:rPr>
        <w:t xml:space="preserve">, </w:t>
      </w:r>
      <w:hyperlink r:id="rId13" w:history="1">
        <w:r w:rsidRPr="00457701">
          <w:rPr>
            <w:rFonts w:ascii="FrankRuehl" w:hAnsi="FrankRuehl" w:cs="FrankRuehl"/>
            <w:color w:val="0000FF"/>
            <w:rtl/>
          </w:rPr>
          <w:t>40יא</w:t>
        </w:r>
      </w:hyperlink>
    </w:p>
    <w:p w14:paraId="0A49B5FF" w14:textId="77777777" w:rsidR="00457701" w:rsidRPr="00457701" w:rsidRDefault="00457701" w:rsidP="00457701">
      <w:pPr>
        <w:spacing w:before="120" w:after="120" w:line="240" w:lineRule="exact"/>
        <w:ind w:left="283" w:hanging="283"/>
        <w:jc w:val="both"/>
        <w:rPr>
          <w:rFonts w:ascii="FrankRuehl" w:hAnsi="FrankRuehl" w:cs="FrankRuehl"/>
          <w:rtl/>
        </w:rPr>
      </w:pPr>
      <w:hyperlink r:id="rId14" w:history="1">
        <w:r w:rsidRPr="00457701">
          <w:rPr>
            <w:rFonts w:ascii="FrankRuehl" w:hAnsi="FrankRuehl" w:cs="FrankRuehl"/>
            <w:color w:val="0000FF"/>
            <w:rtl/>
          </w:rPr>
          <w:t>פקודת סדר הדין הפלילי (מעצר וחיפוש) [נוסח חדש], תשכ"ט-1969</w:t>
        </w:r>
      </w:hyperlink>
    </w:p>
    <w:p w14:paraId="48D7BD65" w14:textId="77777777" w:rsidR="00457701" w:rsidRPr="00457701" w:rsidRDefault="00457701" w:rsidP="00457701">
      <w:pPr>
        <w:spacing w:line="360" w:lineRule="auto"/>
        <w:rPr>
          <w:sz w:val="26"/>
          <w:szCs w:val="26"/>
          <w:rtl/>
        </w:rPr>
      </w:pPr>
      <w:bookmarkStart w:id="4" w:name="LawTable_End"/>
      <w:bookmarkEnd w:id="4"/>
    </w:p>
    <w:p w14:paraId="1789A9A7" w14:textId="77777777" w:rsidR="008A2C79" w:rsidRPr="00AB7DBB" w:rsidRDefault="008A2C79" w:rsidP="00AB7DBB">
      <w:pPr>
        <w:spacing w:line="360" w:lineRule="auto"/>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A2C79" w14:paraId="59ACF268" w14:textId="77777777" w:rsidTr="008A2C79">
        <w:trPr>
          <w:trHeight w:val="355"/>
          <w:jc w:val="center"/>
        </w:trPr>
        <w:tc>
          <w:tcPr>
            <w:tcW w:w="8820" w:type="dxa"/>
            <w:tcBorders>
              <w:top w:val="nil"/>
              <w:left w:val="nil"/>
              <w:bottom w:val="nil"/>
              <w:right w:val="nil"/>
            </w:tcBorders>
            <w:shd w:val="clear" w:color="auto" w:fill="auto"/>
          </w:tcPr>
          <w:p w14:paraId="173E3CF8" w14:textId="77777777" w:rsidR="00DC6A30" w:rsidRPr="00DC6A30" w:rsidRDefault="00DC6A30" w:rsidP="00DC6A30">
            <w:pPr>
              <w:spacing w:after="120" w:line="360" w:lineRule="auto"/>
              <w:jc w:val="center"/>
              <w:rPr>
                <w:rFonts w:ascii="David" w:hAnsi="David"/>
                <w:b/>
                <w:bCs/>
                <w:sz w:val="36"/>
                <w:szCs w:val="36"/>
                <w:u w:val="single"/>
                <w:rtl/>
              </w:rPr>
            </w:pPr>
            <w:bookmarkStart w:id="5" w:name="PsakDin" w:colFirst="0" w:colLast="0"/>
            <w:bookmarkEnd w:id="0"/>
            <w:r w:rsidRPr="00DC6A30">
              <w:rPr>
                <w:rFonts w:ascii="David" w:hAnsi="David"/>
                <w:b/>
                <w:bCs/>
                <w:sz w:val="36"/>
                <w:szCs w:val="36"/>
                <w:u w:val="single"/>
                <w:rtl/>
              </w:rPr>
              <w:t>גזר דין</w:t>
            </w:r>
          </w:p>
          <w:p w14:paraId="49B5ACA4" w14:textId="77777777" w:rsidR="008A2C79" w:rsidRPr="00DC6A30" w:rsidRDefault="008A2C79" w:rsidP="00DC6A30">
            <w:pPr>
              <w:spacing w:after="120" w:line="360" w:lineRule="auto"/>
              <w:jc w:val="center"/>
              <w:rPr>
                <w:rFonts w:ascii="David" w:hAnsi="David"/>
                <w:bCs/>
                <w:sz w:val="36"/>
                <w:szCs w:val="36"/>
                <w:u w:val="single"/>
                <w:rtl/>
              </w:rPr>
            </w:pPr>
          </w:p>
        </w:tc>
      </w:tr>
    </w:tbl>
    <w:bookmarkEnd w:id="5"/>
    <w:p w14:paraId="5ADC7006" w14:textId="77777777" w:rsidR="008A2C79" w:rsidRDefault="008A2C79" w:rsidP="008A2C79">
      <w:pPr>
        <w:numPr>
          <w:ilvl w:val="0"/>
          <w:numId w:val="1"/>
        </w:numPr>
        <w:spacing w:after="120" w:line="360" w:lineRule="auto"/>
        <w:ind w:left="368"/>
        <w:jc w:val="both"/>
        <w:rPr>
          <w:rFonts w:ascii="Tahoma" w:hAnsi="Tahoma"/>
          <w:b/>
          <w:bCs/>
          <w:u w:val="single"/>
        </w:rPr>
      </w:pPr>
      <w:r>
        <w:rPr>
          <w:rFonts w:ascii="Tahoma" w:hAnsi="Tahoma"/>
          <w:b/>
          <w:bCs/>
          <w:u w:val="single"/>
          <w:rtl/>
        </w:rPr>
        <w:t>רקע כללי:</w:t>
      </w:r>
    </w:p>
    <w:p w14:paraId="55C273C4" w14:textId="77777777" w:rsidR="008A2C79" w:rsidRDefault="008A2C79" w:rsidP="008A2C79">
      <w:pPr>
        <w:numPr>
          <w:ilvl w:val="0"/>
          <w:numId w:val="2"/>
        </w:numPr>
        <w:spacing w:after="120" w:line="360" w:lineRule="auto"/>
        <w:ind w:left="360"/>
        <w:jc w:val="both"/>
        <w:rPr>
          <w:rFonts w:ascii="Tahoma" w:hAnsi="Tahoma"/>
        </w:rPr>
      </w:pPr>
      <w:bookmarkStart w:id="6" w:name="ABSTRACT_START"/>
      <w:bookmarkEnd w:id="6"/>
      <w:r>
        <w:rPr>
          <w:rFonts w:ascii="Tahoma" w:hAnsi="Tahoma"/>
          <w:rtl/>
        </w:rPr>
        <w:lastRenderedPageBreak/>
        <w:t xml:space="preserve">הנאשם הורשע – על יסוד הודאתו בעובדות כתב האישום המתוקן בתיק שבכותרת וכן בכתבי האישום בשני התיקים המצורפים, אשר ניתנה במסגרת הסדר טיעון דיוני בעיקרו – בביצוע שלוש עבירות של </w:t>
      </w:r>
      <w:r>
        <w:rPr>
          <w:rFonts w:ascii="Tahoma" w:hAnsi="Tahoma"/>
          <w:b/>
          <w:bCs/>
          <w:rtl/>
        </w:rPr>
        <w:t>החזקת סמים מסוכנים שלא לצריכה עצמית</w:t>
      </w:r>
      <w:r>
        <w:rPr>
          <w:rFonts w:ascii="Tahoma" w:hAnsi="Tahoma"/>
          <w:rtl/>
        </w:rPr>
        <w:t xml:space="preserve">, לפי הוראות </w:t>
      </w:r>
      <w:hyperlink r:id="rId15" w:history="1">
        <w:r w:rsidR="00C54500" w:rsidRPr="00C54500">
          <w:rPr>
            <w:rStyle w:val="Hyperlink"/>
            <w:rFonts w:ascii="Tahoma" w:hAnsi="Tahoma"/>
            <w:rtl/>
          </w:rPr>
          <w:t>סעיף 7(א)</w:t>
        </w:r>
      </w:hyperlink>
      <w:r>
        <w:rPr>
          <w:rFonts w:ascii="Tahoma" w:hAnsi="Tahoma"/>
          <w:rtl/>
        </w:rPr>
        <w:t xml:space="preserve"> יחד עם </w:t>
      </w:r>
      <w:hyperlink r:id="rId16" w:history="1">
        <w:r w:rsidR="00C54500" w:rsidRPr="00C54500">
          <w:rPr>
            <w:rStyle w:val="Hyperlink"/>
            <w:rFonts w:ascii="Tahoma" w:hAnsi="Tahoma"/>
            <w:rtl/>
          </w:rPr>
          <w:t>סעיף 7(ג)</w:t>
        </w:r>
      </w:hyperlink>
      <w:r>
        <w:rPr>
          <w:rFonts w:ascii="Tahoma" w:hAnsi="Tahoma"/>
          <w:rtl/>
        </w:rPr>
        <w:t xml:space="preserve"> רישא ל</w:t>
      </w:r>
      <w:hyperlink r:id="rId17" w:history="1">
        <w:r w:rsidR="00DC6A30" w:rsidRPr="00DC6A30">
          <w:rPr>
            <w:rFonts w:ascii="Tahoma" w:hAnsi="Tahoma"/>
            <w:color w:val="0000FF"/>
            <w:u w:val="single"/>
            <w:rtl/>
          </w:rPr>
          <w:t>פקודת הסמים המסוכנים</w:t>
        </w:r>
      </w:hyperlink>
      <w:r>
        <w:rPr>
          <w:rFonts w:ascii="Tahoma" w:hAnsi="Tahoma"/>
          <w:rtl/>
        </w:rPr>
        <w:t xml:space="preserve"> [נוסח חדש], תשל"ג-1973 (להלן – פקודת הסמים המסוכנים).</w:t>
      </w:r>
    </w:p>
    <w:p w14:paraId="1FDFFB06" w14:textId="77777777" w:rsidR="008A2C79" w:rsidRDefault="008A2C79" w:rsidP="008A2C79">
      <w:pPr>
        <w:numPr>
          <w:ilvl w:val="0"/>
          <w:numId w:val="2"/>
        </w:numPr>
        <w:spacing w:after="120" w:line="360" w:lineRule="auto"/>
        <w:ind w:left="360"/>
        <w:jc w:val="both"/>
        <w:rPr>
          <w:rFonts w:ascii="Tahoma" w:hAnsi="Tahoma"/>
        </w:rPr>
      </w:pPr>
      <w:bookmarkStart w:id="7" w:name="ABSTRACT_END"/>
      <w:bookmarkEnd w:id="7"/>
      <w:r>
        <w:rPr>
          <w:rFonts w:ascii="Tahoma" w:hAnsi="Tahoma"/>
          <w:rtl/>
        </w:rPr>
        <w:t xml:space="preserve">בעובדות כתבי האישום </w:t>
      </w:r>
      <w:r>
        <w:rPr>
          <w:rFonts w:ascii="Tahoma" w:hAnsi="Tahoma" w:hint="cs"/>
          <w:rtl/>
        </w:rPr>
        <w:t>(</w:t>
      </w:r>
      <w:r>
        <w:rPr>
          <w:rFonts w:ascii="Tahoma" w:hAnsi="Tahoma"/>
          <w:rtl/>
        </w:rPr>
        <w:t>בתיק העיקרי ובתיקים המצורפים</w:t>
      </w:r>
      <w:r>
        <w:rPr>
          <w:rFonts w:ascii="Tahoma" w:hAnsi="Tahoma" w:hint="cs"/>
          <w:rtl/>
        </w:rPr>
        <w:t>)</w:t>
      </w:r>
      <w:r>
        <w:rPr>
          <w:rFonts w:ascii="Tahoma" w:hAnsi="Tahoma"/>
          <w:rtl/>
        </w:rPr>
        <w:t xml:space="preserve"> נטען, בתמצית, כלהלן:</w:t>
      </w:r>
    </w:p>
    <w:p w14:paraId="6EADE055" w14:textId="77777777" w:rsidR="008A2C79" w:rsidRDefault="008A2C79" w:rsidP="008A2C79">
      <w:pPr>
        <w:numPr>
          <w:ilvl w:val="0"/>
          <w:numId w:val="3"/>
        </w:numPr>
        <w:spacing w:after="120" w:line="360" w:lineRule="auto"/>
        <w:jc w:val="both"/>
        <w:rPr>
          <w:rFonts w:ascii="Tahoma" w:hAnsi="Tahoma"/>
        </w:rPr>
      </w:pPr>
      <w:r>
        <w:rPr>
          <w:rFonts w:ascii="Tahoma" w:hAnsi="Tahoma"/>
          <w:b/>
          <w:bCs/>
          <w:rtl/>
        </w:rPr>
        <w:t>בתיק העיקרי</w:t>
      </w:r>
      <w:r>
        <w:rPr>
          <w:rFonts w:ascii="Tahoma" w:hAnsi="Tahoma"/>
          <w:rtl/>
        </w:rPr>
        <w:t xml:space="preserve"> (כתב אישום מתוקן) –</w:t>
      </w:r>
    </w:p>
    <w:p w14:paraId="1F83FDD7" w14:textId="77777777" w:rsidR="008A2C79" w:rsidRDefault="008A2C79" w:rsidP="008A2C79">
      <w:pPr>
        <w:spacing w:after="120" w:line="360" w:lineRule="auto"/>
        <w:ind w:left="1440"/>
        <w:jc w:val="both"/>
        <w:rPr>
          <w:rFonts w:ascii="Tahoma" w:hAnsi="Tahoma"/>
        </w:rPr>
      </w:pPr>
      <w:r>
        <w:rPr>
          <w:rFonts w:ascii="Tahoma" w:hAnsi="Tahoma"/>
          <w:rtl/>
        </w:rPr>
        <w:t xml:space="preserve">ביום 25.12.19 בשעה 15:27, ברחוב דוד תדהר בתל אביב יפו, החזיק הנאשם, ברכב, סמים מסוכנים מסוג </w:t>
      </w:r>
      <w:r>
        <w:rPr>
          <w:rFonts w:ascii="Tahoma" w:hAnsi="Tahoma"/>
          <w:b/>
          <w:bCs/>
          <w:rtl/>
        </w:rPr>
        <w:t>קנבוס</w:t>
      </w:r>
      <w:r>
        <w:rPr>
          <w:rFonts w:ascii="Tahoma" w:hAnsi="Tahoma"/>
          <w:rtl/>
        </w:rPr>
        <w:t xml:space="preserve">. הסמים האמורים, במשקל כולל משוער של </w:t>
      </w:r>
      <w:r>
        <w:rPr>
          <w:rFonts w:ascii="Tahoma" w:hAnsi="Tahoma"/>
          <w:b/>
          <w:bCs/>
          <w:rtl/>
        </w:rPr>
        <w:t>118 גרם נטו</w:t>
      </w:r>
      <w:r>
        <w:rPr>
          <w:rFonts w:ascii="Tahoma" w:hAnsi="Tahoma"/>
          <w:rtl/>
        </w:rPr>
        <w:t>, הוחזקו באזור החיווטים בחלקו האחורי של תא הכפפות, בשקית שבתוכה 12 שקיות חלוקה.</w:t>
      </w:r>
    </w:p>
    <w:p w14:paraId="25ADD662" w14:textId="77777777" w:rsidR="008A2C79" w:rsidRDefault="008A2C79" w:rsidP="008A2C79">
      <w:pPr>
        <w:numPr>
          <w:ilvl w:val="0"/>
          <w:numId w:val="3"/>
        </w:numPr>
        <w:spacing w:after="120" w:line="360" w:lineRule="auto"/>
        <w:jc w:val="both"/>
        <w:rPr>
          <w:rFonts w:ascii="Tahoma" w:hAnsi="Tahoma"/>
        </w:rPr>
      </w:pPr>
      <w:r>
        <w:rPr>
          <w:rFonts w:ascii="Tahoma" w:hAnsi="Tahoma"/>
          <w:b/>
          <w:bCs/>
          <w:rtl/>
        </w:rPr>
        <w:t>ב</w:t>
      </w:r>
      <w:hyperlink r:id="rId18" w:history="1">
        <w:r w:rsidR="00DC6A30" w:rsidRPr="00DC6A30">
          <w:rPr>
            <w:rFonts w:ascii="Tahoma" w:hAnsi="Tahoma"/>
            <w:b/>
            <w:bCs/>
            <w:color w:val="0000FF"/>
            <w:u w:val="single"/>
            <w:rtl/>
          </w:rPr>
          <w:t>ת"פ 39635-04-20</w:t>
        </w:r>
      </w:hyperlink>
      <w:r>
        <w:rPr>
          <w:rFonts w:ascii="Tahoma" w:hAnsi="Tahoma"/>
          <w:b/>
          <w:bCs/>
          <w:rtl/>
        </w:rPr>
        <w:t xml:space="preserve"> </w:t>
      </w:r>
      <w:r>
        <w:rPr>
          <w:rFonts w:ascii="Tahoma" w:hAnsi="Tahoma"/>
          <w:rtl/>
        </w:rPr>
        <w:t xml:space="preserve">מבית משפט השלום בפתח תקוה (כתב אישום מתוקן) – </w:t>
      </w:r>
    </w:p>
    <w:p w14:paraId="190626B3" w14:textId="77777777" w:rsidR="008A2C79" w:rsidRDefault="008A2C79" w:rsidP="008A2C79">
      <w:pPr>
        <w:spacing w:after="120" w:line="360" w:lineRule="auto"/>
        <w:ind w:left="1440"/>
        <w:jc w:val="both"/>
        <w:rPr>
          <w:rFonts w:ascii="Tahoma" w:hAnsi="Tahoma"/>
        </w:rPr>
      </w:pPr>
      <w:r>
        <w:rPr>
          <w:rFonts w:ascii="Tahoma" w:hAnsi="Tahoma"/>
          <w:rtl/>
        </w:rPr>
        <w:t xml:space="preserve">ביום 10.09.2019 בשעה 15:39, ברחוב הנביאים בפתח תקוה, החזיק הנאשם, ברכב, סמים מסוכנים מסוג </w:t>
      </w:r>
      <w:r>
        <w:rPr>
          <w:rFonts w:ascii="Tahoma" w:hAnsi="Tahoma"/>
          <w:b/>
          <w:bCs/>
          <w:rtl/>
        </w:rPr>
        <w:t xml:space="preserve">קנבוס. </w:t>
      </w:r>
      <w:r>
        <w:rPr>
          <w:rFonts w:ascii="Tahoma" w:hAnsi="Tahoma"/>
          <w:rtl/>
        </w:rPr>
        <w:t>הסמים האמורים, במשקל כולל</w:t>
      </w:r>
      <w:r>
        <w:rPr>
          <w:rFonts w:ascii="Tahoma" w:hAnsi="Tahoma"/>
          <w:b/>
          <w:bCs/>
          <w:rtl/>
        </w:rPr>
        <w:t xml:space="preserve"> של 179 גרם נטו</w:t>
      </w:r>
      <w:r>
        <w:rPr>
          <w:rFonts w:ascii="Tahoma" w:hAnsi="Tahoma"/>
          <w:rtl/>
        </w:rPr>
        <w:t>, הוחזקו בע</w:t>
      </w:r>
      <w:r>
        <w:rPr>
          <w:rFonts w:ascii="Tahoma" w:hAnsi="Tahoma" w:hint="cs"/>
          <w:rtl/>
        </w:rPr>
        <w:t>י</w:t>
      </w:r>
      <w:r>
        <w:rPr>
          <w:rFonts w:ascii="Tahoma" w:hAnsi="Tahoma"/>
          <w:rtl/>
        </w:rPr>
        <w:t>קרם בשקית לבנה שבה שקיות חלוקה קטנות.</w:t>
      </w:r>
    </w:p>
    <w:p w14:paraId="1C07643E" w14:textId="77777777" w:rsidR="008A2C79" w:rsidRDefault="008A2C79" w:rsidP="008A2C79">
      <w:pPr>
        <w:numPr>
          <w:ilvl w:val="0"/>
          <w:numId w:val="3"/>
        </w:numPr>
        <w:spacing w:after="120" w:line="360" w:lineRule="auto"/>
        <w:jc w:val="both"/>
        <w:rPr>
          <w:rFonts w:ascii="Tahoma" w:hAnsi="Tahoma"/>
        </w:rPr>
      </w:pPr>
      <w:r>
        <w:rPr>
          <w:rFonts w:ascii="Tahoma" w:hAnsi="Tahoma"/>
          <w:b/>
          <w:bCs/>
          <w:rtl/>
        </w:rPr>
        <w:t>ב</w:t>
      </w:r>
      <w:hyperlink r:id="rId19" w:history="1">
        <w:r w:rsidR="00DC6A30" w:rsidRPr="00DC6A30">
          <w:rPr>
            <w:rFonts w:ascii="Tahoma" w:hAnsi="Tahoma"/>
            <w:b/>
            <w:bCs/>
            <w:color w:val="0000FF"/>
            <w:u w:val="single"/>
            <w:rtl/>
          </w:rPr>
          <w:t>ת"פ 6041-03-22</w:t>
        </w:r>
      </w:hyperlink>
      <w:r>
        <w:rPr>
          <w:rFonts w:ascii="Tahoma" w:hAnsi="Tahoma"/>
          <w:b/>
          <w:bCs/>
          <w:rtl/>
        </w:rPr>
        <w:t xml:space="preserve"> </w:t>
      </w:r>
      <w:r>
        <w:rPr>
          <w:rFonts w:ascii="Tahoma" w:hAnsi="Tahoma"/>
          <w:rtl/>
        </w:rPr>
        <w:t xml:space="preserve">מבית משפט השלום בחדרה – </w:t>
      </w:r>
    </w:p>
    <w:p w14:paraId="629D4F60" w14:textId="77777777" w:rsidR="008A2C79" w:rsidRDefault="008A2C79" w:rsidP="008A2C79">
      <w:pPr>
        <w:spacing w:after="120" w:line="360" w:lineRule="auto"/>
        <w:ind w:left="1440"/>
        <w:jc w:val="both"/>
        <w:rPr>
          <w:rFonts w:ascii="Tahoma" w:hAnsi="Tahoma"/>
        </w:rPr>
      </w:pPr>
      <w:r>
        <w:rPr>
          <w:rFonts w:ascii="Tahoma" w:hAnsi="Tahoma"/>
          <w:rtl/>
        </w:rPr>
        <w:t xml:space="preserve">ביום 24.02.2022 בסמוך לשעה 12:30 החזיק הנאשם בסמים מסוכנים מסוג </w:t>
      </w:r>
      <w:r>
        <w:rPr>
          <w:rFonts w:ascii="Tahoma" w:hAnsi="Tahoma"/>
          <w:b/>
          <w:bCs/>
          <w:rtl/>
        </w:rPr>
        <w:t>קנבוס</w:t>
      </w:r>
      <w:r>
        <w:rPr>
          <w:rFonts w:ascii="Tahoma" w:hAnsi="Tahoma"/>
          <w:rtl/>
        </w:rPr>
        <w:t xml:space="preserve"> ברכב (במהלך נסיעה בכביש 6) וכן בדירה בחדרה. הסמים האמורים, במשקל כולל של</w:t>
      </w:r>
      <w:r>
        <w:rPr>
          <w:rFonts w:ascii="Tahoma" w:hAnsi="Tahoma"/>
          <w:b/>
          <w:bCs/>
          <w:rtl/>
        </w:rPr>
        <w:t xml:space="preserve"> 676 גרם נטו</w:t>
      </w:r>
      <w:r>
        <w:rPr>
          <w:rFonts w:ascii="Tahoma" w:hAnsi="Tahoma"/>
          <w:rtl/>
        </w:rPr>
        <w:t xml:space="preserve">, הוחזקו כשהם מחולקים בין 53 שקיות חלוקה ושלוש שקיות גדולות יותר. </w:t>
      </w:r>
    </w:p>
    <w:p w14:paraId="47FB0033" w14:textId="77777777" w:rsidR="008A2C79" w:rsidRDefault="008A2C79" w:rsidP="008A2C79">
      <w:pPr>
        <w:numPr>
          <w:ilvl w:val="0"/>
          <w:numId w:val="2"/>
        </w:numPr>
        <w:spacing w:after="120" w:line="360" w:lineRule="auto"/>
        <w:ind w:left="360"/>
        <w:jc w:val="both"/>
        <w:rPr>
          <w:rFonts w:ascii="Tahoma" w:hAnsi="Tahoma"/>
          <w:rtl/>
        </w:rPr>
      </w:pPr>
      <w:r>
        <w:rPr>
          <w:rFonts w:ascii="Tahoma" w:hAnsi="Tahoma"/>
          <w:rtl/>
        </w:rPr>
        <w:t xml:space="preserve">במסגרת הדיונים המקדמיים לפניי הגיעו הצדדים להסדר טיעון, דיוני בעיקרו, תחילה בתיק העיקרי שבכותרת. במסגרת ההסדר הוגש כתב </w:t>
      </w:r>
      <w:r>
        <w:rPr>
          <w:rFonts w:ascii="Tahoma" w:hAnsi="Tahoma" w:hint="cs"/>
          <w:rtl/>
        </w:rPr>
        <w:t>ה</w:t>
      </w:r>
      <w:r>
        <w:rPr>
          <w:rFonts w:ascii="Tahoma" w:hAnsi="Tahoma"/>
          <w:rtl/>
        </w:rPr>
        <w:t xml:space="preserve">אישום </w:t>
      </w:r>
      <w:r>
        <w:rPr>
          <w:rFonts w:ascii="Tahoma" w:hAnsi="Tahoma" w:hint="cs"/>
          <w:rtl/>
        </w:rPr>
        <w:t>ה</w:t>
      </w:r>
      <w:r>
        <w:rPr>
          <w:rFonts w:ascii="Tahoma" w:hAnsi="Tahoma"/>
          <w:rtl/>
        </w:rPr>
        <w:t xml:space="preserve">מתוקן </w:t>
      </w:r>
      <w:r>
        <w:rPr>
          <w:rFonts w:ascii="Tahoma" w:hAnsi="Tahoma" w:hint="cs"/>
          <w:rtl/>
        </w:rPr>
        <w:t xml:space="preserve">בתיק שבכותרת </w:t>
      </w:r>
      <w:r>
        <w:rPr>
          <w:rFonts w:ascii="Tahoma" w:hAnsi="Tahoma"/>
          <w:rtl/>
        </w:rPr>
        <w:t>(ממנו נמחקו כמויות סמים נטענות נוספות) והצדדים עתרו במשותף לקבלת תסקיר שירות המבחן. הנאשם הודה אפוא והורשע, על יסוד הודאה זו, בעבירה של החזקת סמים מסוכנים שלא לצריכה עצמית, ובית המשפט הורה על עריכת תסקיר שירות המבחן (בפרוטוקול, עמ' 6).</w:t>
      </w:r>
    </w:p>
    <w:p w14:paraId="034374B4"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בשלב מעט מאוחר יותר ביקש הנאשם לצרף את התיק מבית משפט השלום בפתח תקוה (שם, בעמ' 9-8), ולאחר שנתקבלו עיקר התסקירים גם את התיק מבית משפט השלום בחדרה (שם, בעמ' 14); כאשר בכל אחד מתיקי הצירוף הורשע הנאשם ב</w:t>
      </w:r>
      <w:r>
        <w:rPr>
          <w:rFonts w:ascii="Tahoma" w:hAnsi="Tahoma" w:hint="cs"/>
          <w:rtl/>
        </w:rPr>
        <w:t xml:space="preserve">ביצוע </w:t>
      </w:r>
      <w:r>
        <w:rPr>
          <w:rFonts w:ascii="Tahoma" w:hAnsi="Tahoma"/>
          <w:rtl/>
        </w:rPr>
        <w:t>עבירה נוספת של החזקת סמים מסוכנים שלא לצריכה עצמית.</w:t>
      </w:r>
    </w:p>
    <w:p w14:paraId="4DE0DE81" w14:textId="77777777" w:rsidR="008A2C79" w:rsidRDefault="008A2C79" w:rsidP="008A2C79">
      <w:pPr>
        <w:spacing w:after="120" w:line="360" w:lineRule="auto"/>
        <w:jc w:val="both"/>
        <w:rPr>
          <w:rFonts w:ascii="Tahoma" w:hAnsi="Tahoma"/>
        </w:rPr>
      </w:pPr>
    </w:p>
    <w:p w14:paraId="46C4CEC9" w14:textId="77777777" w:rsidR="008A2C79" w:rsidRDefault="008A2C79" w:rsidP="008A2C79">
      <w:pPr>
        <w:pStyle w:val="a9"/>
        <w:numPr>
          <w:ilvl w:val="0"/>
          <w:numId w:val="1"/>
        </w:numPr>
        <w:spacing w:after="120" w:line="360" w:lineRule="auto"/>
        <w:ind w:left="360"/>
        <w:jc w:val="both"/>
        <w:rPr>
          <w:rFonts w:ascii="Tahoma" w:hAnsi="Tahoma"/>
          <w:b/>
          <w:bCs/>
          <w:u w:val="single"/>
        </w:rPr>
      </w:pPr>
      <w:r>
        <w:rPr>
          <w:rFonts w:ascii="Tahoma" w:hAnsi="Tahoma"/>
          <w:b/>
          <w:bCs/>
          <w:u w:val="single"/>
          <w:rtl/>
        </w:rPr>
        <w:lastRenderedPageBreak/>
        <w:t>עיקר תסקירי שירות המבחן:</w:t>
      </w:r>
    </w:p>
    <w:p w14:paraId="073DD049"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 xml:space="preserve">תסקיר שירות המבחן (מיום 24.04.2022) מפרט את נסיבותיו האישיות של הנאשם, יליד שנת 1997 (כיום בן 27). הנאשם </w:t>
      </w:r>
      <w:r>
        <w:rPr>
          <w:rFonts w:ascii="Tahoma" w:hAnsi="Tahoma" w:hint="cs"/>
          <w:rtl/>
        </w:rPr>
        <w:t xml:space="preserve">מסר כי באותה עת היה רווק, עבד </w:t>
      </w:r>
      <w:r>
        <w:rPr>
          <w:rFonts w:ascii="Tahoma" w:hAnsi="Tahoma"/>
          <w:rtl/>
        </w:rPr>
        <w:t>בעבודות מזדמנות בתחום השיפוצים ו</w:t>
      </w:r>
      <w:r>
        <w:rPr>
          <w:rFonts w:ascii="Tahoma" w:hAnsi="Tahoma" w:hint="cs"/>
          <w:rtl/>
        </w:rPr>
        <w:t>ה</w:t>
      </w:r>
      <w:r>
        <w:rPr>
          <w:rFonts w:ascii="Tahoma" w:hAnsi="Tahoma"/>
          <w:rtl/>
        </w:rPr>
        <w:t xml:space="preserve">תגורר עם שותף בדירה שכורה בחדרה. הנאשם סיים 12 שנות לימוד, אך ללא תעודת בגרות בשל קשיים לימודיים והתנהגותיים. בהגיעו לגיל גיוס פוטר </w:t>
      </w:r>
      <w:r>
        <w:rPr>
          <w:rFonts w:ascii="Tahoma" w:hAnsi="Tahoma" w:hint="cs"/>
          <w:rtl/>
        </w:rPr>
        <w:t xml:space="preserve">הנאשם </w:t>
      </w:r>
      <w:r>
        <w:rPr>
          <w:rFonts w:ascii="Tahoma" w:hAnsi="Tahoma"/>
          <w:rtl/>
        </w:rPr>
        <w:t>משירות צבאי לרקע מעורבות בפלילים.</w:t>
      </w:r>
    </w:p>
    <w:p w14:paraId="696C3D22"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 xml:space="preserve">מהתסקיר </w:t>
      </w:r>
      <w:r>
        <w:rPr>
          <w:rFonts w:ascii="Tahoma" w:hAnsi="Tahoma" w:hint="cs"/>
          <w:rtl/>
        </w:rPr>
        <w:t xml:space="preserve">הנ"ל </w:t>
      </w:r>
      <w:r>
        <w:rPr>
          <w:rFonts w:ascii="Tahoma" w:hAnsi="Tahoma"/>
          <w:rtl/>
        </w:rPr>
        <w:t xml:space="preserve">עלתה תמונה עגומה: הנאשם מיעט למסור מידע לשירות המבחן והגם שנטל אחריות על מעשיו התקשה להכיר בחומרתם ובהשלכותיהם. הנאשם ציין כי השתמש בסמים באופן יומיומי, אך לדבריו כיום נמנע מצריכתם מתוך רצון לעריכת שינוי (ובדיקת שתן שמסר </w:t>
      </w:r>
      <w:r>
        <w:rPr>
          <w:rFonts w:ascii="Tahoma" w:hAnsi="Tahoma" w:hint="cs"/>
          <w:rtl/>
        </w:rPr>
        <w:t xml:space="preserve">אכן </w:t>
      </w:r>
      <w:r>
        <w:rPr>
          <w:rFonts w:ascii="Tahoma" w:hAnsi="Tahoma"/>
          <w:rtl/>
        </w:rPr>
        <w:t xml:space="preserve">נמצאה נקייה משרידי סמים). הנאשם שלל נזקקות טיפולית ושירות המבחן התרשם כי </w:t>
      </w:r>
      <w:r>
        <w:rPr>
          <w:rFonts w:ascii="Tahoma" w:hAnsi="Tahoma" w:hint="cs"/>
          <w:rtl/>
        </w:rPr>
        <w:t xml:space="preserve">הוא </w:t>
      </w:r>
      <w:r>
        <w:rPr>
          <w:rFonts w:ascii="Tahoma" w:hAnsi="Tahoma"/>
          <w:rtl/>
        </w:rPr>
        <w:t>אינו ער לבעייתיות הגלומה בבחירותיו בתחום הסמים ו</w:t>
      </w:r>
      <w:r>
        <w:rPr>
          <w:rFonts w:ascii="Tahoma" w:hAnsi="Tahoma" w:hint="cs"/>
          <w:rtl/>
        </w:rPr>
        <w:t xml:space="preserve">אף </w:t>
      </w:r>
      <w:r>
        <w:rPr>
          <w:rFonts w:ascii="Tahoma" w:hAnsi="Tahoma"/>
          <w:rtl/>
        </w:rPr>
        <w:t>מתקשה לבחון את התנהלותו באופן מעמיק. בנסיבות אלה נמנע שירות המבחן מהמלצה טיפולית.</w:t>
      </w:r>
    </w:p>
    <w:p w14:paraId="78723F87"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לאחר שנתקבל התסקיר טענה ב"כ הנאשם כי מרשה שינה עמדותיו ו</w:t>
      </w:r>
      <w:r>
        <w:rPr>
          <w:rFonts w:ascii="Tahoma" w:hAnsi="Tahoma" w:hint="cs"/>
          <w:rtl/>
        </w:rPr>
        <w:t xml:space="preserve">כיום הוא </w:t>
      </w:r>
      <w:r>
        <w:rPr>
          <w:rFonts w:ascii="Tahoma" w:hAnsi="Tahoma"/>
          <w:rtl/>
        </w:rPr>
        <w:t>מבקש להשתלב בטיפול. בנסיבות אלה, ולאחר שהנאשם עצמו הצהיר על הדברים, הוריתי על הכנת תסקיר משלים (</w:t>
      </w:r>
      <w:r>
        <w:rPr>
          <w:rFonts w:ascii="Tahoma" w:hAnsi="Tahoma" w:hint="cs"/>
          <w:rtl/>
        </w:rPr>
        <w:t xml:space="preserve">ר' </w:t>
      </w:r>
      <w:r>
        <w:rPr>
          <w:rFonts w:ascii="Tahoma" w:hAnsi="Tahoma"/>
          <w:rtl/>
        </w:rPr>
        <w:t>בפרוטוקול, עמ' 12). בתסקיר המשלים (מיום 23.11.2022) צוין כי הנאשם שיתף שלאחרונה נישא, עבר להתגורר עם אשתו בבית הוריה ו</w:t>
      </w:r>
      <w:r>
        <w:rPr>
          <w:rFonts w:ascii="Tahoma" w:hAnsi="Tahoma" w:hint="cs"/>
          <w:rtl/>
        </w:rPr>
        <w:t xml:space="preserve">החל לעבוד </w:t>
      </w:r>
      <w:r>
        <w:rPr>
          <w:rFonts w:ascii="Tahoma" w:hAnsi="Tahoma"/>
          <w:rtl/>
        </w:rPr>
        <w:t>בשתי עבודות. שירות המבחן התרשם משינוי בנכונות הנאשם לבחון את התנהגותו בצורה מעמיקה ועל כן המליץ על דחיית הדיון לצורך שילוב הנאשם בהליך טיפולי. עוד צוין כי הנאשם זומן לשתי בדיקות שתן, שהיו נקיות, ושלא נפתחו נגדו תיקים חדשים.</w:t>
      </w:r>
    </w:p>
    <w:p w14:paraId="51FC19C0" w14:textId="77777777" w:rsidR="008A2C79" w:rsidRPr="00287E76" w:rsidRDefault="008A2C79" w:rsidP="008A2C79">
      <w:pPr>
        <w:numPr>
          <w:ilvl w:val="0"/>
          <w:numId w:val="2"/>
        </w:numPr>
        <w:spacing w:after="120" w:line="360" w:lineRule="auto"/>
        <w:ind w:left="360"/>
        <w:jc w:val="both"/>
        <w:rPr>
          <w:rFonts w:ascii="Tahoma" w:hAnsi="Tahoma"/>
        </w:rPr>
      </w:pPr>
      <w:r w:rsidRPr="00287E76">
        <w:rPr>
          <w:rFonts w:ascii="Tahoma" w:hAnsi="Tahoma"/>
          <w:rtl/>
        </w:rPr>
        <w:t>בתסקיר משלים נוסף (מיום 20.03.2023) תואר שילובו של הנאשם בקבוצה טיפולית. שירות המבחן המליץ על דחייה נוספת של הדיון בשל היות הנאשם בשלבים הראשונים של ההליך הטיפולי, תוך שצוין כי הנאשם מגיע לפגישות באופן סדיר ויציב. בתסקיר משלים נוסף (מיום 29.06.2023) צוין כי הנאשם המשיך להגיע לקבוצה הטיפולית באופן סדיר ועקבי, תוך שהוא עובר תהליך ערוך ומשמעותי הכולל את בחינת דפוסי החשיבה שלו והתנהגותו בפועל.</w:t>
      </w:r>
      <w:r w:rsidRPr="00287E76">
        <w:rPr>
          <w:rFonts w:ascii="Tahoma" w:hAnsi="Tahoma" w:hint="cs"/>
          <w:rtl/>
        </w:rPr>
        <w:t xml:space="preserve"> </w:t>
      </w:r>
      <w:r w:rsidRPr="00287E76">
        <w:rPr>
          <w:rFonts w:ascii="Tahoma" w:hAnsi="Tahoma"/>
          <w:rtl/>
        </w:rPr>
        <w:t xml:space="preserve">עוד התרשם שירות המבחן מההתמדה </w:t>
      </w:r>
      <w:r>
        <w:rPr>
          <w:rFonts w:ascii="Tahoma" w:hAnsi="Tahoma" w:hint="cs"/>
          <w:rtl/>
        </w:rPr>
        <w:t xml:space="preserve">של הנאשם </w:t>
      </w:r>
      <w:r>
        <w:rPr>
          <w:rFonts w:ascii="Tahoma" w:hAnsi="Tahoma"/>
          <w:rtl/>
        </w:rPr>
        <w:t>בחייו האישיים</w:t>
      </w:r>
      <w:r w:rsidRPr="00287E76">
        <w:rPr>
          <w:rFonts w:ascii="Tahoma" w:hAnsi="Tahoma"/>
          <w:rtl/>
        </w:rPr>
        <w:t xml:space="preserve">, בכל הקשור לתא המשפחתי ולפן התעסוקתי, כאשר ניכר שהנאשם נמצא כיום במקום טוב מבחינה התפתחותית וניהול אורח חיים נורמטיבי, אשר </w:t>
      </w:r>
      <w:r>
        <w:rPr>
          <w:rFonts w:ascii="Tahoma" w:hAnsi="Tahoma" w:hint="cs"/>
          <w:rtl/>
        </w:rPr>
        <w:t>יש חשיבות בשימורו</w:t>
      </w:r>
      <w:r w:rsidRPr="00287E76">
        <w:rPr>
          <w:rFonts w:ascii="Tahoma" w:hAnsi="Tahoma"/>
          <w:rtl/>
        </w:rPr>
        <w:t xml:space="preserve">. בנסיבות אלה המליץ שירות המבחן להסתפק בענישה שיקומית-חינוכית, שבמסגרתה ימשיך הנאשם את ההליך הטיפולי. שירות המבחן המליץ אפוא על השתת צו מבחן וכן, כענישה קונקרטית, </w:t>
      </w:r>
      <w:r>
        <w:rPr>
          <w:rFonts w:ascii="Tahoma" w:hAnsi="Tahoma" w:hint="cs"/>
          <w:rtl/>
        </w:rPr>
        <w:t xml:space="preserve">על </w:t>
      </w:r>
      <w:r w:rsidRPr="00287E76">
        <w:rPr>
          <w:rFonts w:ascii="Tahoma" w:hAnsi="Tahoma"/>
          <w:rtl/>
        </w:rPr>
        <w:t>שירות לתועלת הציבור בהיקף של 200 שעות.</w:t>
      </w:r>
    </w:p>
    <w:p w14:paraId="4F74B064"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 xml:space="preserve">בדיון שנערך לאחר קבלת התסקיר המשלים הנ"ל ביקשה ההגנה לצרף את התיק מבית משפט השלום בחדרה ועתרה לקבלת תסקיר נוסף, על מנת שתתקבל תמונה כוללת בעניינו של הנאשם. בנסיבות אלה, וכאשר הנאשם שולב </w:t>
      </w:r>
      <w:r>
        <w:rPr>
          <w:rFonts w:ascii="Tahoma" w:hAnsi="Tahoma" w:hint="cs"/>
          <w:rtl/>
        </w:rPr>
        <w:t xml:space="preserve">כאמור </w:t>
      </w:r>
      <w:r>
        <w:rPr>
          <w:rFonts w:ascii="Tahoma" w:hAnsi="Tahoma"/>
          <w:rtl/>
        </w:rPr>
        <w:t xml:space="preserve">באופן חיובי בהליך טיפולי, נעתרתי לבקשה והוריתי על קבלת תסקיר נוסף (ר' ההחלטה בפרוטוקול, עמ' 15). בתסקיר הסופי שהתקבל (מיום 19.09.2023) צוין כי הנאשם ממשיך להתייצב </w:t>
      </w:r>
      <w:r>
        <w:rPr>
          <w:rFonts w:ascii="Tahoma" w:hAnsi="Tahoma" w:hint="cs"/>
          <w:rtl/>
        </w:rPr>
        <w:t>ב</w:t>
      </w:r>
      <w:r>
        <w:rPr>
          <w:rFonts w:ascii="Tahoma" w:hAnsi="Tahoma"/>
          <w:rtl/>
        </w:rPr>
        <w:t>קבוצה הטיפולית בצורה סדירה וממשיך לבחון את דפוסי חשיבתו ובחירותיו. ניכר כי הנאשם מגלה גישה אקטיבית ובוחן את עצמו באופן ביקורתי ושירות המבחן אף התרשם כי הנאשם נתון בתהליך חיובי של למידה, לרבות בהתמודדות עם מצבים בעייתיים בעתיד. בנסיבות אלה העריך שירות המבחן כי שילוב הנאשם בהליך הטיפולי מצמצם את הסיכון למעורבות בפלילים ועל כן שב וחזר על המלצתו לענישה חינוכית-שיקומית.</w:t>
      </w:r>
    </w:p>
    <w:p w14:paraId="4A9FDDC5" w14:textId="77777777" w:rsidR="008A2C79" w:rsidRDefault="008A2C79" w:rsidP="008A2C79">
      <w:pPr>
        <w:spacing w:after="120" w:line="360" w:lineRule="auto"/>
        <w:jc w:val="both"/>
        <w:rPr>
          <w:rFonts w:ascii="Tahoma" w:hAnsi="Tahoma"/>
        </w:rPr>
      </w:pPr>
    </w:p>
    <w:p w14:paraId="720BA88D" w14:textId="77777777" w:rsidR="008A2C79" w:rsidRDefault="008A2C79" w:rsidP="008A2C79">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טיעוני הצדדים:</w:t>
      </w:r>
    </w:p>
    <w:p w14:paraId="444E2F32"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ב"כ המאשימה הגישה, כראיה לקביעת העונש, את תדפיס המידע הפלילי של הנאשם. כעולה מתדפיס זה לנאשם, כאמור כבן 27 שנים כיום, שתי הרשעות קודמות בגין עבירות של התפרצות למקום מגורים והפרעה לשוטר בשעת מילוי תפקידו. עם זאת יש לציין כי הרשעתו הקודמת האחרונה של הנאשם היא ישנה – משנת 2016 ומתייחסת לעבירה שבוצעה בשנת 2015</w:t>
      </w:r>
      <w:r>
        <w:rPr>
          <w:rFonts w:ascii="Tahoma" w:hAnsi="Tahoma" w:hint="cs"/>
          <w:rtl/>
        </w:rPr>
        <w:t>, כך שלמעשה התיישנה</w:t>
      </w:r>
      <w:r>
        <w:rPr>
          <w:rFonts w:ascii="Tahoma" w:hAnsi="Tahoma"/>
          <w:rtl/>
        </w:rPr>
        <w:t>.</w:t>
      </w:r>
    </w:p>
    <w:p w14:paraId="06756251"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בטיעוניה לעונש עמדה ב"כ המאשימה על עובדות כתבי האישום והדגישה את נסיבות החומרה שבהן</w:t>
      </w:r>
      <w:r>
        <w:rPr>
          <w:rFonts w:ascii="Tahoma" w:hAnsi="Tahoma" w:hint="cs"/>
          <w:rtl/>
        </w:rPr>
        <w:t>, דהיינו</w:t>
      </w:r>
      <w:r>
        <w:rPr>
          <w:rFonts w:ascii="Tahoma" w:hAnsi="Tahoma"/>
          <w:rtl/>
        </w:rPr>
        <w:t>: כמויות הסמים, חלוקתם וההחזקה ברכב. לעניין הערכים החברתיים, שנפגעו כתולדה מביצוע העבירות על ידי הנאשם</w:t>
      </w:r>
      <w:r>
        <w:rPr>
          <w:rFonts w:ascii="Tahoma" w:hAnsi="Tahoma" w:hint="cs"/>
          <w:rtl/>
        </w:rPr>
        <w:t>,</w:t>
      </w:r>
      <w:r>
        <w:rPr>
          <w:rFonts w:ascii="Tahoma" w:hAnsi="Tahoma"/>
          <w:rtl/>
        </w:rPr>
        <w:t xml:space="preserve"> הטעימה התובעת את הפגיעה בהגנה על שלום הציבור ועל בריאותו מפני הנזקים הישירים והעקיפים שנגרמים בשל השימוש בסמים מסוכנים. </w:t>
      </w:r>
      <w:r>
        <w:rPr>
          <w:rFonts w:ascii="Tahoma" w:hAnsi="Tahoma" w:hint="cs"/>
          <w:rtl/>
        </w:rPr>
        <w:t xml:space="preserve">לשיטתה </w:t>
      </w:r>
      <w:r>
        <w:rPr>
          <w:rFonts w:ascii="Tahoma" w:hAnsi="Tahoma"/>
          <w:rtl/>
        </w:rPr>
        <w:t xml:space="preserve">מדובר אפוא בעבירות חמורות </w:t>
      </w:r>
      <w:r>
        <w:rPr>
          <w:rFonts w:ascii="Tahoma" w:hAnsi="Tahoma" w:hint="cs"/>
          <w:rtl/>
        </w:rPr>
        <w:t>ה</w:t>
      </w:r>
      <w:r>
        <w:rPr>
          <w:rFonts w:ascii="Tahoma" w:hAnsi="Tahoma"/>
          <w:rtl/>
        </w:rPr>
        <w:t xml:space="preserve">מחייבות ענישה מרתיעה, גם כאשר מדובר בסמים </w:t>
      </w:r>
      <w:r>
        <w:rPr>
          <w:rFonts w:ascii="Tahoma" w:hAnsi="Tahoma" w:hint="cs"/>
          <w:rtl/>
        </w:rPr>
        <w:t xml:space="preserve">מסוכנים </w:t>
      </w:r>
      <w:r>
        <w:rPr>
          <w:rFonts w:ascii="Tahoma" w:hAnsi="Tahoma"/>
          <w:rtl/>
        </w:rPr>
        <w:t>שיש המחשיבים אותם כ"קלים".</w:t>
      </w:r>
    </w:p>
    <w:p w14:paraId="60496609"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אשר למדיניות הענישה הנהוגה הפנתה ב"כ המאשימה לפסיקה בה נקבע מתחם עונש הולם שבין מספר חודשי מאסר בפועל, לנשיאה בדרך של עבודות שירות, לבין 12 חודשי מאסר בפועל, ועתרה לאימוצו לגבי כל אחד מהתיקים שבהם הורשע הנאשם. עוד הפנתה התובעת ל</w:t>
      </w:r>
      <w:hyperlink r:id="rId20" w:history="1">
        <w:r w:rsidR="00DC6A30" w:rsidRPr="00DC6A30">
          <w:rPr>
            <w:rFonts w:ascii="Tahoma" w:hAnsi="Tahoma"/>
            <w:color w:val="0000FF"/>
            <w:u w:val="single"/>
            <w:rtl/>
          </w:rPr>
          <w:t>רע"פ 636/21</w:t>
        </w:r>
      </w:hyperlink>
      <w:r>
        <w:rPr>
          <w:rFonts w:ascii="Tahoma" w:hAnsi="Tahoma"/>
          <w:b/>
          <w:bCs/>
          <w:rtl/>
        </w:rPr>
        <w:t xml:space="preserve"> לוי נ' מדינת ישראל</w:t>
      </w:r>
      <w:r w:rsidR="00DC6A30">
        <w:rPr>
          <w:rFonts w:ascii="Tahoma" w:hAnsi="Tahoma"/>
          <w:rtl/>
        </w:rPr>
        <w:t xml:space="preserve"> </w:t>
      </w:r>
      <w:r>
        <w:rPr>
          <w:rFonts w:ascii="Tahoma" w:hAnsi="Tahoma"/>
          <w:rtl/>
        </w:rPr>
        <w:t>(16.02.2021) ולפסיקה נוספת, הגם שנסיבותיה שונות מענייננו. לעניין גזירת עונשו של הנאשם בתוך מתחם העונש ההולם הפנתה התובעת להיבטים השליליים העולים מתסקירי שירות המבחן (בעיקר בתסקיר הראשון), ועתרה להשתת ענישה שתכלול מאסר בפועל בשליש התחתון של המתחמים להם טענה</w:t>
      </w:r>
      <w:r>
        <w:rPr>
          <w:rFonts w:ascii="Tahoma" w:hAnsi="Tahoma" w:hint="cs"/>
          <w:rtl/>
        </w:rPr>
        <w:t>,</w:t>
      </w:r>
      <w:r>
        <w:rPr>
          <w:rFonts w:ascii="Tahoma" w:hAnsi="Tahoma"/>
          <w:rtl/>
        </w:rPr>
        <w:t xml:space="preserve"> בצירוף ענישה נלווית שתכלול מאסר מותנה, קנס כספי משמעותי ופסילה מותנית.</w:t>
      </w:r>
    </w:p>
    <w:p w14:paraId="7ADC5257"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ב"כ הנאשם, מצידה, הדגישה מאוד בטיעוניה את הדרך השיקומית הארוכה שעבר הנאשם מאז תחילת ההליך ועתרה לחריגה לכף קולה ממתחם העונש ההולם משיקולי שיקום, כפי שנעשה בפסיקה אותה הציגה. הסניגורית סקרה בפירוט את התקדמות הנאשם, כפי שבאה לידי ביטוי בחמשת התסקירים שנערכו בעניינו, החל מהתסקיר הראשון (השלילי) ועד לתסקיר המסכם החיובי מאוד. הסניגורית ציינה כי אכן דרך השיקום של הנאשם לא היתה פשוטה, אך הוסיפה כי מהתסקירים ניכר שהנאשם עבר תהליך עמוק ומשמעותי – הן ביחסו לביצוע העבירות, לחומרתן ולהשלכותיהן והן במישור האישי ובמישור התעסוקתי.</w:t>
      </w:r>
    </w:p>
    <w:p w14:paraId="714FC319"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בהקשר אחרון זה הפנתה ב"כ הנאשם למכתב ממעסיקו של הנאשם, אצלו עובד הנאשם מזה כשנתיים ימים – תקופה שבעבר מעולם לא הצליח להחזיק מעמד בעבודה אחת. במסגרת זו עובד הנאשם בעבודה פיזית הדורשת אחריות רבה, מתקדם בעבודתו בחריצות ואף עתיד לצאת לשם כך לקורס ניהול מקצועי. עסקינן אפוא בנאשם שמבקש כיום בכל לשון של בקשה לצאת לדרך חדשה ונקייה; ובעניין זה הדגישה הסניגורית גם את "ניקוי השולחן" ונטילת האחריות בכל התיקים, במיוחד לרקע העובדה שלא נפתחו לנאשם תיקים חדשים.</w:t>
      </w:r>
    </w:p>
    <w:p w14:paraId="1BFC7AB7"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 xml:space="preserve">ב"כ הנאשם ערה לכך שלפחות התיק מבית משפט השלום בחדרה מחייב קביעת מתחם עונש הולם שתחילתו במאסר בפועל, לנשיאה בדרך של עבודות שירות, אך בנסיבותיו המיוחדות של הנאשם דנא עתרה כאמור לחריגה לכף קולה ממתחם זה, מטעמי שיקום, ולהשתת ענישה כהמלצת שירות המבחן – אם גם תוך קביעת היקף שעות של"צ גדול יותר מזה שהומלץ. </w:t>
      </w:r>
    </w:p>
    <w:p w14:paraId="3FFC6FDC"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לבסוף, הנאשם, בדברו האחרון לעונש, אמר: "</w:t>
      </w:r>
      <w:r>
        <w:rPr>
          <w:rFonts w:ascii="Tahoma" w:hAnsi="Tahoma"/>
          <w:b/>
          <w:bCs/>
          <w:rtl/>
        </w:rPr>
        <w:t>אני קודם כל רוצה להצטער על כל העבירות שעשיתי... זו היתה תקופה חשוכה קצת בחיים שלי, עכשיו אני ברוך השם שומר על עצמי, לוקח כלים מקצינת המבחן שלי איך לא לברוח מבעיות, לא להסתבך, אני שומר על עצמי. נולדה לי ילדה, מאז ברוך השם אני אבא לתפארת ולא אבא עבריין. זהו, אני אעשה הכל בשביל שתראה אותי מצליח</w:t>
      </w:r>
      <w:r>
        <w:rPr>
          <w:rFonts w:ascii="Tahoma" w:hAnsi="Tahoma"/>
          <w:rtl/>
        </w:rPr>
        <w:t>" (בפרוטוקול, עמ' 21 שורה 26 ואילך).</w:t>
      </w:r>
    </w:p>
    <w:p w14:paraId="525C194C" w14:textId="77777777" w:rsidR="008A2C79" w:rsidRDefault="008A2C79" w:rsidP="008A2C79">
      <w:pPr>
        <w:spacing w:after="120" w:line="360" w:lineRule="auto"/>
        <w:jc w:val="both"/>
        <w:rPr>
          <w:rFonts w:ascii="Tahoma" w:hAnsi="Tahoma"/>
        </w:rPr>
      </w:pPr>
    </w:p>
    <w:p w14:paraId="3243524D" w14:textId="77777777" w:rsidR="008A2C79" w:rsidRDefault="008A2C79" w:rsidP="008A2C79">
      <w:pPr>
        <w:pStyle w:val="a9"/>
        <w:numPr>
          <w:ilvl w:val="0"/>
          <w:numId w:val="1"/>
        </w:numPr>
        <w:spacing w:after="120" w:line="360" w:lineRule="auto"/>
        <w:ind w:left="360"/>
        <w:jc w:val="both"/>
        <w:rPr>
          <w:rFonts w:ascii="Tahoma" w:hAnsi="Tahoma"/>
          <w:b/>
          <w:bCs/>
          <w:u w:val="single"/>
        </w:rPr>
      </w:pPr>
      <w:r>
        <w:rPr>
          <w:rFonts w:ascii="Tahoma" w:hAnsi="Tahoma"/>
          <w:b/>
          <w:bCs/>
          <w:u w:val="single"/>
          <w:rtl/>
        </w:rPr>
        <w:t>קביעת מתחם העונש ההולם:</w:t>
      </w:r>
    </w:p>
    <w:p w14:paraId="5BB917B5"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 xml:space="preserve">בהתאם להוראות </w:t>
      </w:r>
      <w:hyperlink r:id="rId21" w:history="1">
        <w:r w:rsidR="00DC6A30" w:rsidRPr="00DC6A30">
          <w:rPr>
            <w:rFonts w:ascii="Tahoma" w:hAnsi="Tahoma"/>
            <w:color w:val="0000FF"/>
            <w:u w:val="single"/>
            <w:rtl/>
          </w:rPr>
          <w:t>חוק העונשין</w:t>
        </w:r>
      </w:hyperlink>
      <w:r>
        <w:rPr>
          <w:rFonts w:ascii="Tahoma" w:hAnsi="Tahoma"/>
          <w:rtl/>
        </w:rPr>
        <w:t xml:space="preserve">, תשל"ז-1977 (להלן – חוק העונשין), בעת גזירת עונשו של נאשם על בית המשפט לקבוע, תחילה, את מתחם העונש ההולם לכל "אירוע" עברייני שבגינו הורשע הנאשם. בענייננו מדובר בשלושה כתבי אישום העוסקים בשלושה מקרים שונים, שהתרחשו במקומות ובזמנים שונים, ולפיכך יש לכאורה טעם בעתירת התובעת לקביעה כי מדובר בשלושה אירועים נפרדים. עם זאת מדובר באותה </w:t>
      </w:r>
      <w:r>
        <w:rPr>
          <w:rFonts w:ascii="Tahoma" w:hAnsi="Tahoma" w:hint="cs"/>
          <w:rtl/>
        </w:rPr>
        <w:t>ה</w:t>
      </w:r>
      <w:r>
        <w:rPr>
          <w:rFonts w:ascii="Tahoma" w:hAnsi="Tahoma"/>
          <w:rtl/>
        </w:rPr>
        <w:t xml:space="preserve">עבירה בדיוק, שנעברה בנסיבות דומות למדי, ולפיכך ניתן לראות את שלושת המקרים כ"אירוע" עברייני אחד. </w:t>
      </w:r>
    </w:p>
    <w:p w14:paraId="66CF5C62"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 xml:space="preserve">אשר לקביעת מתחם העונש ההולם לאירוע אחד זה, </w:t>
      </w:r>
      <w:r>
        <w:rPr>
          <w:rFonts w:ascii="Tahoma" w:hAnsi="Tahoma" w:hint="cs"/>
          <w:rtl/>
        </w:rPr>
        <w:t xml:space="preserve">לפי הוראות </w:t>
      </w:r>
      <w:hyperlink r:id="rId22" w:history="1">
        <w:r w:rsidR="00DC6A30" w:rsidRPr="00DC6A30">
          <w:rPr>
            <w:rFonts w:ascii="Tahoma" w:hAnsi="Tahoma"/>
            <w:color w:val="0000FF"/>
            <w:u w:val="single"/>
            <w:rtl/>
          </w:rPr>
          <w:t>חוק העונשין</w:t>
        </w:r>
      </w:hyperlink>
      <w:r>
        <w:rPr>
          <w:rFonts w:ascii="Tahoma" w:hAnsi="Tahoma" w:hint="cs"/>
          <w:rtl/>
        </w:rPr>
        <w:t xml:space="preserve"> </w:t>
      </w:r>
      <w:r>
        <w:rPr>
          <w:rFonts w:ascii="Tahoma" w:hAnsi="Tahoma"/>
          <w:rtl/>
        </w:rPr>
        <w:t xml:space="preserve">בקביעתו יתחשב בית המשפט, בין השאר, בערכים החברתיים שנפגעו מביצוע העבירות ובמידת הפגיעה בהן, במדיניות הענישה הנהוגה ובנסיבות הקשורות בביצוע העבירות, לרבות אלה המנויות בהוראות </w:t>
      </w:r>
      <w:hyperlink r:id="rId23" w:history="1">
        <w:r w:rsidR="00C54500" w:rsidRPr="00C54500">
          <w:rPr>
            <w:rStyle w:val="Hyperlink"/>
            <w:rFonts w:ascii="Tahoma" w:hAnsi="Tahoma"/>
            <w:rtl/>
          </w:rPr>
          <w:t>סעיף 40ט</w:t>
        </w:r>
      </w:hyperlink>
      <w:r>
        <w:rPr>
          <w:rFonts w:ascii="Tahoma" w:hAnsi="Tahoma"/>
          <w:rtl/>
        </w:rPr>
        <w:t xml:space="preserve"> לחוק העונשין. לעניין הערכים החברתיים, שנפגעו כתולדה מביצוע העבירות, מקובל עליי טיעון ב"כ המאשימה. כידוע, הפסיקה חוזרת ומדגישה את חומרתן של עבירות הסמים, שביצוען פוגע במידה ניכרת בערכים החברתיים של ההגנה על שלום הציבור ועל בריאותו, והדברים נכונים במיוחד כאשר מדובר בעבירות </w:t>
      </w:r>
      <w:r>
        <w:rPr>
          <w:rFonts w:ascii="Tahoma" w:hAnsi="Tahoma" w:hint="cs"/>
          <w:rtl/>
        </w:rPr>
        <w:t>סמים</w:t>
      </w:r>
      <w:r>
        <w:rPr>
          <w:rFonts w:ascii="Tahoma" w:hAnsi="Tahoma"/>
          <w:rtl/>
        </w:rPr>
        <w:t xml:space="preserve"> מסוג פשע.</w:t>
      </w:r>
    </w:p>
    <w:p w14:paraId="3C180F71"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 xml:space="preserve">בנוסף, בקביעת מתחם העונש ההולם על בית המשפט להתחשב כאמור בנסיבות ביצוע העבירות, כאשר בענייננו מתקיימות מספר נסיבות-חומרה מצטברות: </w:t>
      </w:r>
      <w:r>
        <w:rPr>
          <w:rFonts w:ascii="Tahoma" w:hAnsi="Tahoma"/>
          <w:b/>
          <w:bCs/>
          <w:rtl/>
        </w:rPr>
        <w:t>ראשית</w:t>
      </w:r>
      <w:r>
        <w:rPr>
          <w:rFonts w:ascii="Tahoma" w:hAnsi="Tahoma"/>
          <w:rtl/>
        </w:rPr>
        <w:t xml:space="preserve">, הגם שמדובר ב"אירוע" עברייני אחד, מדובר בשלושה מקרים נפרדים, בהם הנאשם חזר וביצע את אותה העבירה. </w:t>
      </w:r>
      <w:r>
        <w:rPr>
          <w:rFonts w:ascii="Tahoma" w:hAnsi="Tahoma"/>
          <w:b/>
          <w:bCs/>
          <w:rtl/>
        </w:rPr>
        <w:t>שנית</w:t>
      </w:r>
      <w:r>
        <w:rPr>
          <w:rFonts w:ascii="Tahoma" w:hAnsi="Tahoma"/>
          <w:rtl/>
        </w:rPr>
        <w:t xml:space="preserve">, מדובר בכמויות סמים לא מבוטלות, שהוחזקו </w:t>
      </w:r>
      <w:r>
        <w:rPr>
          <w:rFonts w:ascii="Tahoma" w:hAnsi="Tahoma" w:hint="cs"/>
          <w:rtl/>
        </w:rPr>
        <w:t xml:space="preserve">על ידי הנאשם </w:t>
      </w:r>
      <w:r>
        <w:rPr>
          <w:rFonts w:ascii="Tahoma" w:hAnsi="Tahoma"/>
          <w:rtl/>
        </w:rPr>
        <w:t xml:space="preserve">כשהן מחולקות. </w:t>
      </w:r>
      <w:r>
        <w:rPr>
          <w:rFonts w:ascii="Tahoma" w:hAnsi="Tahoma"/>
          <w:b/>
          <w:bCs/>
          <w:rtl/>
        </w:rPr>
        <w:t>שלישית</w:t>
      </w:r>
      <w:r>
        <w:rPr>
          <w:rFonts w:ascii="Tahoma" w:hAnsi="Tahoma"/>
          <w:rtl/>
        </w:rPr>
        <w:t>, עיקר ההחזקה היתה בכלי רכב, על כל החומרה הנוספת הגלומה בכך מבחינת פוטנציאל ההפצה.</w:t>
      </w:r>
    </w:p>
    <w:p w14:paraId="021534DA"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בהתחשב ב</w:t>
      </w:r>
      <w:r>
        <w:rPr>
          <w:rFonts w:ascii="Tahoma" w:hAnsi="Tahoma" w:hint="cs"/>
          <w:rtl/>
        </w:rPr>
        <w:t xml:space="preserve">כל </w:t>
      </w:r>
      <w:r>
        <w:rPr>
          <w:rFonts w:ascii="Tahoma" w:hAnsi="Tahoma"/>
          <w:rtl/>
        </w:rPr>
        <w:t xml:space="preserve">אלה – כמו גם במדיניות הענישה הנהוגה, לרבות כהשתקפותה </w:t>
      </w:r>
      <w:r>
        <w:rPr>
          <w:rFonts w:ascii="Tahoma" w:hAnsi="Tahoma" w:hint="cs"/>
          <w:rtl/>
        </w:rPr>
        <w:t xml:space="preserve">בפסיקה הרלוואנטית </w:t>
      </w:r>
      <w:r>
        <w:rPr>
          <w:rFonts w:ascii="Tahoma" w:hAnsi="Tahoma"/>
          <w:rtl/>
        </w:rPr>
        <w:t>שהציגה ב"כ המאשימה – אני קובע את מתחם העונש ההולם, במקרה זה, בין 6 חודשי מאסר בפועל, לנשיאה בדרך של עבודות שירות, לבין 18 חודשי מאסר בפועל.</w:t>
      </w:r>
    </w:p>
    <w:p w14:paraId="029937A9" w14:textId="77777777" w:rsidR="008A2C79" w:rsidRDefault="008A2C79" w:rsidP="008A2C79">
      <w:pPr>
        <w:spacing w:after="120" w:line="360" w:lineRule="auto"/>
        <w:jc w:val="both"/>
        <w:rPr>
          <w:rFonts w:ascii="Tahoma" w:hAnsi="Tahoma"/>
        </w:rPr>
      </w:pPr>
    </w:p>
    <w:p w14:paraId="4AF9052B" w14:textId="77777777" w:rsidR="008A2C79" w:rsidRDefault="008A2C79" w:rsidP="008A2C79">
      <w:pPr>
        <w:pStyle w:val="a9"/>
        <w:numPr>
          <w:ilvl w:val="0"/>
          <w:numId w:val="1"/>
        </w:numPr>
        <w:spacing w:after="120" w:line="360" w:lineRule="auto"/>
        <w:ind w:left="360"/>
        <w:jc w:val="both"/>
        <w:rPr>
          <w:rFonts w:ascii="Tahoma" w:hAnsi="Tahoma"/>
          <w:b/>
          <w:bCs/>
          <w:u w:val="single"/>
          <w:rtl/>
        </w:rPr>
      </w:pPr>
      <w:r>
        <w:rPr>
          <w:rFonts w:ascii="Tahoma" w:hAnsi="Tahoma"/>
          <w:b/>
          <w:bCs/>
          <w:u w:val="single"/>
          <w:rtl/>
        </w:rPr>
        <w:t>גזירת עונשו של הנאשם בתוך מתחם העונש ההולם והאפשרות לחריגה הימנו:</w:t>
      </w:r>
    </w:p>
    <w:p w14:paraId="4E482AFE"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 xml:space="preserve">לאחר קביעת מתחם העונש ההולם על בית המשפט לגזור את העונש בתוך מתחם זה תוך התחשבות בנסיבות שאינן קשורות בביצוע העבירה, לרבות אלה המנויות בהוראות </w:t>
      </w:r>
      <w:hyperlink r:id="rId24" w:history="1">
        <w:r w:rsidR="00C54500" w:rsidRPr="00C54500">
          <w:rPr>
            <w:rStyle w:val="Hyperlink"/>
            <w:rFonts w:ascii="Tahoma" w:hAnsi="Tahoma"/>
            <w:rtl/>
          </w:rPr>
          <w:t>סעיף 40יא</w:t>
        </w:r>
      </w:hyperlink>
      <w:r>
        <w:rPr>
          <w:rFonts w:ascii="Tahoma" w:hAnsi="Tahoma"/>
          <w:rtl/>
        </w:rPr>
        <w:t xml:space="preserve"> ל</w:t>
      </w:r>
      <w:hyperlink r:id="rId25" w:history="1">
        <w:r w:rsidR="00DC6A30" w:rsidRPr="00DC6A30">
          <w:rPr>
            <w:rFonts w:ascii="Tahoma" w:hAnsi="Tahoma"/>
            <w:color w:val="0000FF"/>
            <w:u w:val="single"/>
            <w:rtl/>
          </w:rPr>
          <w:t>חוק העונשין</w:t>
        </w:r>
      </w:hyperlink>
      <w:r>
        <w:rPr>
          <w:rFonts w:ascii="Tahoma" w:hAnsi="Tahoma"/>
          <w:rtl/>
        </w:rPr>
        <w:t xml:space="preserve">. עם זאת, לבית המשפט סמכות לחרוג לכף קולה ממתחם העונש ההולם, משיקולי שיקום, בהתאם להוראות </w:t>
      </w:r>
      <w:hyperlink r:id="rId26" w:history="1">
        <w:r w:rsidR="00C54500" w:rsidRPr="00C54500">
          <w:rPr>
            <w:rStyle w:val="Hyperlink"/>
            <w:rFonts w:ascii="Tahoma" w:hAnsi="Tahoma"/>
            <w:rtl/>
          </w:rPr>
          <w:t>סעיף 40ד</w:t>
        </w:r>
      </w:hyperlink>
      <w:r>
        <w:rPr>
          <w:rFonts w:ascii="Tahoma" w:hAnsi="Tahoma"/>
          <w:rtl/>
        </w:rPr>
        <w:t xml:space="preserve"> ל</w:t>
      </w:r>
      <w:hyperlink r:id="rId27" w:history="1">
        <w:r w:rsidR="00DC6A30" w:rsidRPr="00DC6A30">
          <w:rPr>
            <w:rFonts w:ascii="Tahoma" w:hAnsi="Tahoma"/>
            <w:color w:val="0000FF"/>
            <w:u w:val="single"/>
            <w:rtl/>
          </w:rPr>
          <w:t>חוק העונשין</w:t>
        </w:r>
      </w:hyperlink>
      <w:r>
        <w:rPr>
          <w:rFonts w:ascii="Tahoma" w:hAnsi="Tahoma"/>
          <w:rtl/>
        </w:rPr>
        <w:t>. לפי הוראות סעיף זה, אם מצא בית המשפט כי הנאשם השתקם או כי יש סיכוי של ממש שישתקם, רשאי הוא לחרוג לכף קולה ממתחם העונש ההולם ולקבוע את עונשו של הנאשם לפי שיקולי שיקומו.</w:t>
      </w:r>
    </w:p>
    <w:p w14:paraId="41A62572" w14:textId="77777777" w:rsidR="008A2C79" w:rsidRPr="00BD31F6" w:rsidRDefault="008A2C79" w:rsidP="008A2C79">
      <w:pPr>
        <w:numPr>
          <w:ilvl w:val="0"/>
          <w:numId w:val="2"/>
        </w:numPr>
        <w:spacing w:after="120" w:line="360" w:lineRule="auto"/>
        <w:ind w:left="360"/>
        <w:jc w:val="both"/>
        <w:rPr>
          <w:rFonts w:ascii="Tahoma" w:hAnsi="Tahoma"/>
        </w:rPr>
      </w:pPr>
      <w:r w:rsidRPr="00BD31F6">
        <w:rPr>
          <w:rFonts w:ascii="Tahoma" w:hAnsi="Tahoma"/>
          <w:rtl/>
        </w:rPr>
        <w:t xml:space="preserve">עניינו של הנאשם שלפניי הוא מורכב. הנאשם הוא אדם צעיר, יליד שנת 1997, שמנערותו הסתבך בפלילים (הרשעתו הראשונה היא מבית המשפט לנוער) ונפל לעולם הסמים. הנאשם השתמש בסמים באופן אינטנסיבי ואף החזיק סמים מסוכנים שלא לצריכתו העצמית. עם זאת, מאז שהתקבל התסקיר הראשון עבר הנאשם כברת דרך </w:t>
      </w:r>
      <w:r w:rsidRPr="00BD31F6">
        <w:rPr>
          <w:rFonts w:ascii="Tahoma" w:hAnsi="Tahoma" w:hint="cs"/>
          <w:rtl/>
        </w:rPr>
        <w:t>ממשית ו</w:t>
      </w:r>
      <w:r w:rsidRPr="00BD31F6">
        <w:rPr>
          <w:rFonts w:ascii="Tahoma" w:hAnsi="Tahoma"/>
          <w:rtl/>
        </w:rPr>
        <w:t>ארוכה, ולא רק בכך שהפסיק להשתמש בסמים כפי שעלה מבדיקות השתן שנערכו על ידי שירות המבחן. הנאשם ערך שינוי גם בחייו האישיים</w:t>
      </w:r>
      <w:r w:rsidRPr="00BD31F6">
        <w:rPr>
          <w:rFonts w:ascii="Tahoma" w:hAnsi="Tahoma" w:hint="cs"/>
          <w:rtl/>
        </w:rPr>
        <w:t>:</w:t>
      </w:r>
      <w:r w:rsidRPr="00BD31F6">
        <w:rPr>
          <w:rFonts w:ascii="Tahoma" w:hAnsi="Tahoma"/>
          <w:rtl/>
        </w:rPr>
        <w:t xml:space="preserve"> התחתן, הקים משפחה והשתלב בעבודה. בנוסף, הנאשם השתלב בהליך טיפול</w:t>
      </w:r>
      <w:r>
        <w:rPr>
          <w:rFonts w:ascii="Tahoma" w:hAnsi="Tahoma" w:hint="cs"/>
          <w:rtl/>
        </w:rPr>
        <w:t>י</w:t>
      </w:r>
      <w:r w:rsidRPr="00BD31F6">
        <w:rPr>
          <w:rFonts w:ascii="Tahoma" w:hAnsi="Tahoma"/>
          <w:rtl/>
        </w:rPr>
        <w:t xml:space="preserve"> מוצלח, שממנו הוא מפיק תועלת רבה. לרקע נסיבות אלה דומה ש</w:t>
      </w:r>
      <w:r w:rsidRPr="00BD31F6">
        <w:rPr>
          <w:rFonts w:ascii="Tahoma" w:hAnsi="Tahoma" w:hint="cs"/>
          <w:rtl/>
        </w:rPr>
        <w:t xml:space="preserve">אמנם </w:t>
      </w:r>
      <w:r w:rsidRPr="00BD31F6">
        <w:rPr>
          <w:rFonts w:ascii="Tahoma" w:hAnsi="Tahoma"/>
          <w:rtl/>
        </w:rPr>
        <w:t>מדובר במקרה מובהק בו ראוי לנקוט בגישה שיקומית</w:t>
      </w:r>
      <w:r w:rsidRPr="00BD31F6">
        <w:rPr>
          <w:rFonts w:ascii="Tahoma" w:hAnsi="Tahoma" w:hint="cs"/>
          <w:rtl/>
        </w:rPr>
        <w:t xml:space="preserve"> </w:t>
      </w:r>
      <w:r w:rsidRPr="00BD31F6">
        <w:rPr>
          <w:rFonts w:ascii="Tahoma" w:hAnsi="Tahoma"/>
          <w:rtl/>
        </w:rPr>
        <w:t>–</w:t>
      </w:r>
      <w:r w:rsidRPr="00BD31F6">
        <w:rPr>
          <w:rFonts w:ascii="Tahoma" w:hAnsi="Tahoma" w:hint="cs"/>
          <w:rtl/>
        </w:rPr>
        <w:t xml:space="preserve"> </w:t>
      </w:r>
      <w:r w:rsidRPr="00BD31F6">
        <w:rPr>
          <w:rFonts w:ascii="Tahoma" w:hAnsi="Tahoma"/>
          <w:rtl/>
        </w:rPr>
        <w:t>הן נוכח השינויים שהנאשם כבר ערך בחייו והן לצורך מסר של חיזוק ודרבון הנאשם להתמיד בדרך בה הוא פוסע כיום.</w:t>
      </w:r>
    </w:p>
    <w:p w14:paraId="1DF751B8" w14:textId="77777777" w:rsidR="008A2C79" w:rsidRDefault="008A2C79" w:rsidP="008A2C79">
      <w:pPr>
        <w:numPr>
          <w:ilvl w:val="0"/>
          <w:numId w:val="2"/>
        </w:numPr>
        <w:spacing w:after="120" w:line="360" w:lineRule="auto"/>
        <w:ind w:left="360"/>
        <w:jc w:val="both"/>
        <w:rPr>
          <w:rFonts w:ascii="Tahoma" w:hAnsi="Tahoma"/>
        </w:rPr>
      </w:pPr>
      <w:r>
        <w:rPr>
          <w:rFonts w:ascii="Tahoma" w:hAnsi="Tahoma"/>
          <w:rtl/>
        </w:rPr>
        <w:t xml:space="preserve">מדובר </w:t>
      </w:r>
      <w:r>
        <w:rPr>
          <w:rFonts w:ascii="Tahoma" w:hAnsi="Tahoma" w:hint="cs"/>
          <w:rtl/>
        </w:rPr>
        <w:t xml:space="preserve">כמובן </w:t>
      </w:r>
      <w:r>
        <w:rPr>
          <w:rFonts w:ascii="Tahoma" w:hAnsi="Tahoma"/>
          <w:rtl/>
        </w:rPr>
        <w:t>בהקלה ממשית בעונשו של הנאשם, ולפיכך יש לאזנה בקביעת היקף שעות של"צ גבוה מהמומלץ על ידי שירות המבחן. בנוסף, אין להתעלם מהמימד הכלכלי של עבירות הסמים, ובוודאי שעתירת המאשימה להשתת ענישה כלכלית היא במקומה. עם זאת, בכל שלושת המקרים נתפסו כספים בסכומים משמעותיים (וגם טלפון) אצל הנאשם – כאמור בהודעות המופיעות בסיפא לשלושת כתבי האישום – ולפיכך בהיבט הענישה הכלכלי ניתן להסתפק בחילוטם. יוטעם</w:t>
      </w:r>
      <w:r>
        <w:rPr>
          <w:rFonts w:ascii="Tahoma" w:hAnsi="Tahoma" w:hint="cs"/>
          <w:rtl/>
        </w:rPr>
        <w:t>,</w:t>
      </w:r>
      <w:r>
        <w:rPr>
          <w:rFonts w:ascii="Tahoma" w:hAnsi="Tahoma"/>
          <w:rtl/>
        </w:rPr>
        <w:t xml:space="preserve"> בהקשר זה</w:t>
      </w:r>
      <w:r>
        <w:rPr>
          <w:rFonts w:ascii="Tahoma" w:hAnsi="Tahoma" w:hint="cs"/>
          <w:rtl/>
        </w:rPr>
        <w:t>,</w:t>
      </w:r>
      <w:r>
        <w:rPr>
          <w:rFonts w:ascii="Tahoma" w:hAnsi="Tahoma"/>
          <w:rtl/>
        </w:rPr>
        <w:t xml:space="preserve"> כי לצורך החילוט אין צורך להכריז על הנאשם כ"סוחר סמים", הכרזה שגם לא נתבקשה בעת שניתנו הכרעות הדין, שכן סמכות החילוט קיימת גם מכוח הוראות </w:t>
      </w:r>
      <w:hyperlink r:id="rId28" w:history="1">
        <w:r w:rsidR="00DC6A30" w:rsidRPr="00DC6A30">
          <w:rPr>
            <w:rFonts w:ascii="Tahoma" w:hAnsi="Tahoma"/>
            <w:color w:val="0000FF"/>
            <w:u w:val="single"/>
            <w:rtl/>
          </w:rPr>
          <w:t>פקודת סדר הדין הפלילי (מעצר וחיפוש)</w:t>
        </w:r>
      </w:hyperlink>
      <w:r>
        <w:rPr>
          <w:rFonts w:ascii="Tahoma" w:hAnsi="Tahoma"/>
          <w:rtl/>
        </w:rPr>
        <w:t xml:space="preserve"> [נוסח חדש], תשכ"ט-1969.</w:t>
      </w:r>
    </w:p>
    <w:p w14:paraId="3406C860" w14:textId="77777777" w:rsidR="008A2C79" w:rsidRPr="0060228E" w:rsidRDefault="008A2C79" w:rsidP="008A2C79">
      <w:pPr>
        <w:spacing w:after="120" w:line="360" w:lineRule="auto"/>
        <w:jc w:val="both"/>
        <w:rPr>
          <w:rFonts w:ascii="Tahoma" w:hAnsi="Tahoma"/>
          <w:rtl/>
        </w:rPr>
      </w:pPr>
    </w:p>
    <w:p w14:paraId="0341DE20" w14:textId="77777777" w:rsidR="008A2C79" w:rsidRDefault="008A2C79" w:rsidP="008A2C79">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10F31D89" w14:textId="77777777" w:rsidR="008A2C79" w:rsidRPr="002059D0" w:rsidRDefault="008A2C79" w:rsidP="008A2C79">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59C0D52E" w14:textId="77777777" w:rsidR="008A2C79" w:rsidRDefault="008A2C79" w:rsidP="008A2C79">
      <w:pPr>
        <w:spacing w:after="120" w:line="360" w:lineRule="auto"/>
        <w:ind w:left="1080" w:hanging="720"/>
        <w:jc w:val="both"/>
        <w:rPr>
          <w:rFonts w:ascii="Tahoma" w:hAnsi="Tahoma"/>
          <w:rtl/>
        </w:rPr>
      </w:pPr>
      <w:r>
        <w:rPr>
          <w:rFonts w:hint="cs"/>
          <w:rtl/>
        </w:rPr>
        <w:t>(א)</w:t>
      </w:r>
      <w:r>
        <w:rPr>
          <w:rtl/>
        </w:rPr>
        <w:tab/>
      </w:r>
      <w:r>
        <w:rPr>
          <w:rFonts w:hint="cs"/>
          <w:rtl/>
        </w:rPr>
        <w:t xml:space="preserve">מאסר על תנאי למשך 6 חודשים, אותו לא יישא הנאשם אלא אם כן יעבור, תוך שלוש שנים מהיום, עבירה לפי הוראות </w:t>
      </w:r>
      <w:hyperlink r:id="rId29" w:history="1">
        <w:r w:rsidR="00DC6A30" w:rsidRPr="00DC6A30">
          <w:rPr>
            <w:color w:val="0000FF"/>
            <w:u w:val="single"/>
            <w:rtl/>
          </w:rPr>
          <w:t>פקודת הסמים המסוכנים</w:t>
        </w:r>
      </w:hyperlink>
      <w:r>
        <w:rPr>
          <w:rFonts w:hint="cs"/>
          <w:rtl/>
        </w:rPr>
        <w:t xml:space="preserve"> מסוג פשע</w:t>
      </w:r>
      <w:r>
        <w:rPr>
          <w:rFonts w:ascii="Tahoma" w:hAnsi="Tahoma" w:hint="cs"/>
          <w:rtl/>
        </w:rPr>
        <w:t>.</w:t>
      </w:r>
    </w:p>
    <w:p w14:paraId="55BF3055" w14:textId="77777777" w:rsidR="008A2C79" w:rsidRDefault="008A2C79" w:rsidP="008A2C79">
      <w:pPr>
        <w:spacing w:after="120" w:line="360" w:lineRule="auto"/>
        <w:ind w:left="1080" w:hanging="720"/>
        <w:jc w:val="both"/>
        <w:rPr>
          <w:rFonts w:ascii="Tahoma" w:hAnsi="Tahoma"/>
        </w:rPr>
      </w:pPr>
      <w:r>
        <w:rPr>
          <w:rFonts w:hint="cs"/>
          <w:rtl/>
        </w:rPr>
        <w:t>(ב)</w:t>
      </w:r>
      <w:r>
        <w:rPr>
          <w:rtl/>
        </w:rPr>
        <w:tab/>
      </w:r>
      <w:r>
        <w:rPr>
          <w:rFonts w:hint="cs"/>
          <w:rtl/>
        </w:rPr>
        <w:t>פסילה מלקבל או להחזיק רישיון נהיגה למשך 3 חודשים על תנאי, והתנאי הוא שבמשך שנתיים מהיום לא יעבור הנאשם עבירה מהעבירות המנויות ב</w:t>
      </w:r>
      <w:hyperlink r:id="rId30" w:history="1">
        <w:r w:rsidR="00DC6A30" w:rsidRPr="00DC6A30">
          <w:rPr>
            <w:color w:val="0000FF"/>
            <w:u w:val="single"/>
            <w:rtl/>
          </w:rPr>
          <w:t>פקודת הסמים המסוכנים</w:t>
        </w:r>
      </w:hyperlink>
      <w:r>
        <w:rPr>
          <w:rFonts w:hint="cs"/>
          <w:rtl/>
        </w:rPr>
        <w:t>.</w:t>
      </w:r>
    </w:p>
    <w:p w14:paraId="22AE18ED" w14:textId="77777777" w:rsidR="008A2C79" w:rsidRDefault="008A2C79" w:rsidP="008A2C79">
      <w:pPr>
        <w:spacing w:after="120" w:line="360" w:lineRule="auto"/>
        <w:ind w:left="1080" w:hanging="720"/>
        <w:jc w:val="both"/>
        <w:rPr>
          <w:rtl/>
        </w:rPr>
      </w:pPr>
      <w:r>
        <w:rPr>
          <w:rFonts w:hint="cs"/>
          <w:rtl/>
        </w:rPr>
        <w:t>(ג)</w:t>
      </w:r>
      <w:r>
        <w:rPr>
          <w:rtl/>
        </w:rPr>
        <w:tab/>
      </w:r>
      <w:r>
        <w:rPr>
          <w:rFonts w:hint="cs"/>
          <w:rtl/>
        </w:rPr>
        <w:t>חילוט כל הכספים והרכוש שנתפסו מהנאשם, כאמור בהודעות המופיעות בסיפא לכל אחד מכתבי האישום (בתיק שבכותרת ובשני התיקים המצורפים).</w:t>
      </w:r>
    </w:p>
    <w:p w14:paraId="0BFF1318" w14:textId="77777777" w:rsidR="008A2C79" w:rsidRPr="009E2A50" w:rsidRDefault="008A2C79" w:rsidP="008A2C79">
      <w:pPr>
        <w:spacing w:after="120" w:line="360" w:lineRule="auto"/>
        <w:ind w:left="1080" w:hanging="720"/>
        <w:jc w:val="both"/>
        <w:rPr>
          <w:rFonts w:ascii="Tahoma" w:hAnsi="Tahoma"/>
          <w:rtl/>
        </w:rPr>
      </w:pPr>
      <w:r w:rsidRPr="008A2C79">
        <w:rPr>
          <w:rFonts w:ascii="Calibri" w:hAnsi="Calibri" w:hint="cs"/>
          <w:rtl/>
        </w:rPr>
        <w:t>(ד)</w:t>
      </w:r>
      <w:r w:rsidRPr="008A2C79">
        <w:rPr>
          <w:rFonts w:ascii="Calibri" w:hAnsi="Calibri"/>
          <w:rtl/>
        </w:rPr>
        <w:tab/>
        <w:t xml:space="preserve">שירות לתועלת הציבור בהיקף של </w:t>
      </w:r>
      <w:r w:rsidRPr="008A2C79">
        <w:rPr>
          <w:rFonts w:ascii="Calibri" w:hAnsi="Calibri" w:hint="cs"/>
          <w:rtl/>
        </w:rPr>
        <w:t>300</w:t>
      </w:r>
      <w:r w:rsidRPr="008A2C79">
        <w:rPr>
          <w:rFonts w:ascii="Calibri" w:hAnsi="Calibri"/>
          <w:rtl/>
        </w:rPr>
        <w:t xml:space="preserve"> שעות. השירות יבוצע, בהתאם</w:t>
      </w:r>
      <w:r w:rsidRPr="008A2C79">
        <w:rPr>
          <w:rFonts w:ascii="Calibri" w:hAnsi="Calibri" w:hint="cs"/>
          <w:rtl/>
        </w:rPr>
        <w:t xml:space="preserve"> </w:t>
      </w:r>
      <w:r w:rsidRPr="008A2C79">
        <w:rPr>
          <w:rFonts w:ascii="Calibri" w:hAnsi="Calibri"/>
          <w:rtl/>
        </w:rPr>
        <w:t>לתכנית ש</w:t>
      </w:r>
      <w:r w:rsidRPr="008A2C79">
        <w:rPr>
          <w:rFonts w:ascii="Calibri" w:hAnsi="Calibri" w:hint="cs"/>
          <w:rtl/>
        </w:rPr>
        <w:t>י</w:t>
      </w:r>
      <w:r w:rsidRPr="008A2C79">
        <w:rPr>
          <w:rFonts w:ascii="Calibri" w:hAnsi="Calibri"/>
          <w:rtl/>
        </w:rPr>
        <w:t>גבש שירות המבחן, ב</w:t>
      </w:r>
      <w:r w:rsidRPr="008A2C79">
        <w:rPr>
          <w:rFonts w:ascii="Calibri" w:hAnsi="Calibri" w:hint="cs"/>
          <w:rtl/>
        </w:rPr>
        <w:t>הקדם האפשרי, החל במועד שייקבע שירות המבחן.</w:t>
      </w:r>
    </w:p>
    <w:p w14:paraId="538C2EC6" w14:textId="77777777" w:rsidR="008A2C79" w:rsidRPr="008A2C79" w:rsidRDefault="008A2C79" w:rsidP="008A2C79">
      <w:pPr>
        <w:spacing w:after="120" w:line="360" w:lineRule="auto"/>
        <w:ind w:left="1080"/>
        <w:jc w:val="both"/>
        <w:rPr>
          <w:rFonts w:ascii="Calibri" w:hAnsi="Calibri"/>
          <w:rtl/>
        </w:rPr>
      </w:pPr>
      <w:r w:rsidRPr="008A2C79">
        <w:rPr>
          <w:rFonts w:ascii="Calibri" w:hAnsi="Calibri"/>
          <w:rtl/>
        </w:rPr>
        <w:t xml:space="preserve">מובהר בזה לנאשם כי אם הוא לא ימלא אחר </w:t>
      </w:r>
      <w:r w:rsidRPr="008A2C79">
        <w:rPr>
          <w:rFonts w:ascii="Calibri" w:hAnsi="Calibri" w:hint="cs"/>
          <w:rtl/>
        </w:rPr>
        <w:t xml:space="preserve">הוראות </w:t>
      </w:r>
      <w:r w:rsidRPr="008A2C79">
        <w:rPr>
          <w:rFonts w:ascii="Calibri" w:hAnsi="Calibri"/>
          <w:rtl/>
        </w:rPr>
        <w:t>צו השירות יהא בית המשפט רשאי</w:t>
      </w:r>
      <w:r w:rsidRPr="008A2C79">
        <w:rPr>
          <w:rFonts w:ascii="Calibri" w:hAnsi="Calibri" w:hint="cs"/>
          <w:rtl/>
        </w:rPr>
        <w:t xml:space="preserve"> </w:t>
      </w:r>
      <w:r w:rsidRPr="008A2C79">
        <w:rPr>
          <w:rFonts w:ascii="Calibri" w:hAnsi="Calibri"/>
          <w:rtl/>
        </w:rPr>
        <w:t>לבטל את צו השירות ולהטיל עליו, במקו</w:t>
      </w:r>
      <w:r w:rsidRPr="008A2C79">
        <w:rPr>
          <w:rFonts w:ascii="Calibri" w:hAnsi="Calibri" w:hint="cs"/>
          <w:rtl/>
        </w:rPr>
        <w:t>ם צו השירות</w:t>
      </w:r>
      <w:r w:rsidRPr="008A2C79">
        <w:rPr>
          <w:rFonts w:ascii="Calibri" w:hAnsi="Calibri"/>
          <w:rtl/>
        </w:rPr>
        <w:t>, עונש נוסף.</w:t>
      </w:r>
    </w:p>
    <w:p w14:paraId="43EB3E77" w14:textId="77777777" w:rsidR="008A2C79" w:rsidRPr="008A2C79" w:rsidRDefault="008A2C79" w:rsidP="008A2C79">
      <w:pPr>
        <w:spacing w:after="120" w:line="360" w:lineRule="auto"/>
        <w:ind w:left="1080" w:hanging="720"/>
        <w:jc w:val="both"/>
        <w:rPr>
          <w:rFonts w:ascii="Calibri" w:hAnsi="Calibri"/>
          <w:rtl/>
        </w:rPr>
      </w:pPr>
      <w:r w:rsidRPr="008A2C79">
        <w:rPr>
          <w:rFonts w:ascii="Calibri" w:hAnsi="Calibri" w:hint="cs"/>
          <w:rtl/>
        </w:rPr>
        <w:t>(ה)</w:t>
      </w:r>
      <w:r w:rsidRPr="008A2C79">
        <w:rPr>
          <w:rFonts w:ascii="Calibri" w:hAnsi="Calibri"/>
          <w:rtl/>
        </w:rPr>
        <w:tab/>
      </w:r>
      <w:r w:rsidRPr="008A2C79">
        <w:rPr>
          <w:rFonts w:ascii="Calibri" w:hAnsi="Calibri" w:hint="cs"/>
          <w:rtl/>
        </w:rPr>
        <w:t>צו מבחן, לתקופה של 12 חודשים מהיום.</w:t>
      </w:r>
    </w:p>
    <w:p w14:paraId="32C84195" w14:textId="77777777" w:rsidR="008A2C79" w:rsidRPr="008A2C79" w:rsidRDefault="008A2C79" w:rsidP="008A2C79">
      <w:pPr>
        <w:spacing w:after="120" w:line="360" w:lineRule="auto"/>
        <w:ind w:left="1080"/>
        <w:jc w:val="both"/>
        <w:rPr>
          <w:rFonts w:ascii="Calibri" w:hAnsi="Calibri"/>
          <w:rtl/>
        </w:rPr>
      </w:pPr>
      <w:r w:rsidRPr="008A2C79">
        <w:rPr>
          <w:rFonts w:ascii="Calibri" w:hAnsi="Calibri"/>
          <w:rtl/>
        </w:rPr>
        <w:t xml:space="preserve">מובהר בזה לנאשם כי אם הוא לא ימלא אחר </w:t>
      </w:r>
      <w:r w:rsidRPr="008A2C79">
        <w:rPr>
          <w:rFonts w:ascii="Calibri" w:hAnsi="Calibri" w:hint="cs"/>
          <w:rtl/>
        </w:rPr>
        <w:t xml:space="preserve">הוראות </w:t>
      </w:r>
      <w:r w:rsidRPr="008A2C79">
        <w:rPr>
          <w:rFonts w:ascii="Calibri" w:hAnsi="Calibri"/>
          <w:rtl/>
        </w:rPr>
        <w:t>צו ה</w:t>
      </w:r>
      <w:r w:rsidRPr="008A2C79">
        <w:rPr>
          <w:rFonts w:ascii="Calibri" w:hAnsi="Calibri" w:hint="cs"/>
          <w:rtl/>
        </w:rPr>
        <w:t xml:space="preserve">מבחן ולא ישתף פעולה עם קצין המבחן, </w:t>
      </w:r>
      <w:r w:rsidRPr="008A2C79">
        <w:rPr>
          <w:rFonts w:ascii="Calibri" w:hAnsi="Calibri"/>
          <w:rtl/>
        </w:rPr>
        <w:t>יהא בית המשפט רשאי</w:t>
      </w:r>
      <w:r w:rsidRPr="008A2C79">
        <w:rPr>
          <w:rFonts w:ascii="Calibri" w:hAnsi="Calibri" w:hint="cs"/>
          <w:rtl/>
        </w:rPr>
        <w:t xml:space="preserve"> </w:t>
      </w:r>
      <w:r w:rsidRPr="008A2C79">
        <w:rPr>
          <w:rFonts w:ascii="Calibri" w:hAnsi="Calibri"/>
          <w:rtl/>
        </w:rPr>
        <w:t>לבטל את צו ה</w:t>
      </w:r>
      <w:r w:rsidRPr="008A2C79">
        <w:rPr>
          <w:rFonts w:ascii="Calibri" w:hAnsi="Calibri" w:hint="cs"/>
          <w:rtl/>
        </w:rPr>
        <w:t>מבחן ולגזור עליו, במקום צו המבחן, עונש נוסף.</w:t>
      </w:r>
    </w:p>
    <w:p w14:paraId="4788CF9D" w14:textId="77777777" w:rsidR="008A2C79" w:rsidRDefault="00DC6A30" w:rsidP="008A2C79">
      <w:pPr>
        <w:spacing w:after="120" w:line="360" w:lineRule="auto"/>
        <w:jc w:val="both"/>
        <w:rPr>
          <w:rtl/>
        </w:rPr>
      </w:pPr>
      <w:r w:rsidRPr="00DC6A30">
        <w:rPr>
          <w:color w:val="FFFFFF"/>
          <w:sz w:val="2"/>
          <w:szCs w:val="2"/>
          <w:rtl/>
        </w:rPr>
        <w:t>5129371</w:t>
      </w:r>
      <w:r w:rsidR="008A2C79">
        <w:rPr>
          <w:rFonts w:hint="cs"/>
          <w:rtl/>
        </w:rPr>
        <w:t>ניתן בזה צו כללי, לעניין מוצגים, לשיקול דעתו של קצין משטרה. הסמים יושמדו.</w:t>
      </w:r>
    </w:p>
    <w:p w14:paraId="669195BF" w14:textId="77777777" w:rsidR="008A2C79" w:rsidRDefault="00DC6A30" w:rsidP="008A2C79">
      <w:pPr>
        <w:snapToGrid w:val="0"/>
        <w:spacing w:after="120" w:line="360" w:lineRule="auto"/>
        <w:jc w:val="both"/>
        <w:rPr>
          <w:rtl/>
        </w:rPr>
      </w:pPr>
      <w:r w:rsidRPr="00DC6A30">
        <w:rPr>
          <w:color w:val="FFFFFF"/>
          <w:sz w:val="2"/>
          <w:szCs w:val="2"/>
          <w:rtl/>
        </w:rPr>
        <w:t>54678313</w:t>
      </w:r>
      <w:r w:rsidR="008A2C79">
        <w:rPr>
          <w:rFonts w:hint="cs"/>
          <w:rtl/>
        </w:rPr>
        <w:t>זכות ערעור בתוך 45 יום מהיום.</w:t>
      </w:r>
    </w:p>
    <w:p w14:paraId="7A2AA6CF" w14:textId="77777777" w:rsidR="008A2C79" w:rsidRPr="00761D70" w:rsidRDefault="008A2C79" w:rsidP="008A2C79">
      <w:pPr>
        <w:spacing w:after="120" w:line="360" w:lineRule="auto"/>
        <w:jc w:val="both"/>
        <w:rPr>
          <w:rFonts w:ascii="Tahoma" w:hAnsi="Tahoma"/>
          <w:rtl/>
        </w:rPr>
      </w:pPr>
      <w:r>
        <w:rPr>
          <w:rFonts w:hint="cs"/>
          <w:rtl/>
        </w:rPr>
        <w:t>המזכירות תמציא גזר דין זה לשירות המבחן.</w:t>
      </w:r>
    </w:p>
    <w:p w14:paraId="514E5F04" w14:textId="77777777" w:rsidR="008A2C79" w:rsidRPr="000F2247" w:rsidRDefault="00DC6A30" w:rsidP="008A2C79">
      <w:pPr>
        <w:spacing w:line="360" w:lineRule="auto"/>
        <w:jc w:val="both"/>
        <w:rPr>
          <w:rFonts w:ascii="Arial" w:hAnsi="Arial"/>
          <w:b/>
          <w:bCs/>
          <w:sz w:val="26"/>
          <w:szCs w:val="26"/>
          <w:rtl/>
        </w:rPr>
      </w:pPr>
      <w:bookmarkStart w:id="8" w:name="Nitan"/>
      <w:r>
        <w:rPr>
          <w:rFonts w:ascii="Arial" w:hAnsi="Arial"/>
          <w:rtl/>
        </w:rPr>
        <w:t xml:space="preserve">ניתן היום, ב' אדר ב' תשפ"ד, 12 מרץ 2024, במעמד הצדדים. </w:t>
      </w:r>
      <w:bookmarkEnd w:id="8"/>
      <w:r w:rsidR="008A2C79">
        <w:rPr>
          <w:rFonts w:ascii="Arial" w:hAnsi="Arial"/>
          <w:b/>
          <w:bCs/>
          <w:sz w:val="26"/>
          <w:szCs w:val="26"/>
          <w:rtl/>
        </w:rPr>
        <w:tab/>
      </w:r>
      <w:r w:rsidR="008A2C79">
        <w:rPr>
          <w:rFonts w:ascii="Arial" w:hAnsi="Arial"/>
          <w:b/>
          <w:bCs/>
          <w:sz w:val="26"/>
          <w:szCs w:val="26"/>
          <w:rtl/>
        </w:rPr>
        <w:tab/>
      </w:r>
      <w:r w:rsidR="008A2C79">
        <w:rPr>
          <w:rFonts w:ascii="Arial" w:hAnsi="Arial"/>
          <w:b/>
          <w:bCs/>
          <w:sz w:val="26"/>
          <w:szCs w:val="26"/>
          <w:rtl/>
        </w:rPr>
        <w:tab/>
      </w:r>
      <w:r w:rsidR="008A2C79">
        <w:rPr>
          <w:rFonts w:ascii="Arial" w:hAnsi="Arial"/>
          <w:b/>
          <w:bCs/>
          <w:sz w:val="26"/>
          <w:szCs w:val="26"/>
          <w:rtl/>
        </w:rPr>
        <w:tab/>
      </w:r>
      <w:r w:rsidR="008A2C79">
        <w:rPr>
          <w:rFonts w:ascii="Arial" w:hAnsi="Arial"/>
          <w:b/>
          <w:bCs/>
          <w:sz w:val="26"/>
          <w:szCs w:val="26"/>
          <w:rtl/>
        </w:rPr>
        <w:tab/>
      </w:r>
      <w:r w:rsidR="008A2C79">
        <w:rPr>
          <w:rFonts w:ascii="Arial" w:hAnsi="Arial"/>
          <w:b/>
          <w:bCs/>
          <w:sz w:val="26"/>
          <w:szCs w:val="26"/>
          <w:rtl/>
        </w:rPr>
        <w:tab/>
      </w:r>
      <w:r w:rsidR="008A2C79">
        <w:rPr>
          <w:rFonts w:ascii="Arial" w:hAnsi="Arial"/>
          <w:b/>
          <w:bCs/>
          <w:sz w:val="26"/>
          <w:szCs w:val="26"/>
          <w:rtl/>
        </w:rPr>
        <w:tab/>
      </w:r>
      <w:r w:rsidR="008A2C79">
        <w:rPr>
          <w:rFonts w:ascii="Arial" w:hAnsi="Arial" w:hint="cs"/>
          <w:b/>
          <w:bCs/>
          <w:sz w:val="26"/>
          <w:szCs w:val="26"/>
          <w:rtl/>
        </w:rPr>
        <w:t xml:space="preserve">         </w:t>
      </w:r>
    </w:p>
    <w:p w14:paraId="469FF432" w14:textId="77777777" w:rsidR="008A2C79" w:rsidRPr="000F2247" w:rsidRDefault="008A2C79" w:rsidP="00DC6A3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167F08B" w14:textId="77777777" w:rsidR="008A2C79" w:rsidRPr="00C54500" w:rsidRDefault="00C54500" w:rsidP="008A2C79">
      <w:pPr>
        <w:jc w:val="center"/>
        <w:rPr>
          <w:rFonts w:ascii="Arial" w:hAnsi="Arial"/>
          <w:b/>
          <w:bCs/>
          <w:color w:val="FFFFFF"/>
          <w:sz w:val="2"/>
          <w:szCs w:val="2"/>
          <w:rtl/>
        </w:rPr>
      </w:pPr>
      <w:r w:rsidRPr="00C54500">
        <w:rPr>
          <w:rFonts w:ascii="Arial" w:hAnsi="Arial"/>
          <w:b/>
          <w:bCs/>
          <w:color w:val="FFFFFF"/>
          <w:sz w:val="2"/>
          <w:szCs w:val="2"/>
          <w:rtl/>
        </w:rPr>
        <w:t>5129371</w:t>
      </w:r>
    </w:p>
    <w:p w14:paraId="0B83B7D3" w14:textId="77777777" w:rsidR="00BB188C" w:rsidRPr="00C54500" w:rsidRDefault="00C54500" w:rsidP="00DC6A30">
      <w:pPr>
        <w:keepNext/>
        <w:rPr>
          <w:rFonts w:ascii="David" w:hAnsi="David"/>
          <w:color w:val="FFFFFF"/>
          <w:sz w:val="2"/>
          <w:szCs w:val="2"/>
          <w:rtl/>
        </w:rPr>
      </w:pPr>
      <w:r w:rsidRPr="00C54500">
        <w:rPr>
          <w:rFonts w:ascii="David" w:hAnsi="David"/>
          <w:color w:val="FFFFFF"/>
          <w:sz w:val="2"/>
          <w:szCs w:val="2"/>
          <w:rtl/>
        </w:rPr>
        <w:t>54678313</w:t>
      </w:r>
    </w:p>
    <w:p w14:paraId="572FDD63" w14:textId="77777777" w:rsidR="00DC6A30" w:rsidRDefault="00DC6A30" w:rsidP="00DC6A30">
      <w:pPr>
        <w:rPr>
          <w:rtl/>
        </w:rPr>
      </w:pPr>
    </w:p>
    <w:p w14:paraId="624D0C19" w14:textId="77777777" w:rsidR="00DC6A30" w:rsidRDefault="00DC6A30" w:rsidP="00DC6A30">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40D5F73E" w14:textId="77777777" w:rsidR="00C54500" w:rsidRPr="00C54500" w:rsidRDefault="00C54500" w:rsidP="00C54500">
      <w:pPr>
        <w:keepNext/>
        <w:rPr>
          <w:rFonts w:ascii="David" w:hAnsi="David"/>
          <w:color w:val="000000"/>
          <w:sz w:val="22"/>
          <w:szCs w:val="22"/>
          <w:rtl/>
        </w:rPr>
      </w:pPr>
    </w:p>
    <w:p w14:paraId="6B7AEF65" w14:textId="77777777" w:rsidR="00C54500" w:rsidRPr="00C54500" w:rsidRDefault="00C54500" w:rsidP="00C54500">
      <w:pPr>
        <w:keepNext/>
        <w:rPr>
          <w:rFonts w:ascii="David" w:hAnsi="David"/>
          <w:color w:val="000000"/>
          <w:sz w:val="22"/>
          <w:szCs w:val="22"/>
          <w:rtl/>
        </w:rPr>
      </w:pPr>
      <w:r w:rsidRPr="00C54500">
        <w:rPr>
          <w:rFonts w:ascii="David" w:hAnsi="David"/>
          <w:color w:val="000000"/>
          <w:sz w:val="22"/>
          <w:szCs w:val="22"/>
          <w:rtl/>
        </w:rPr>
        <w:t>שאול אבינור 54678313-/</w:t>
      </w:r>
    </w:p>
    <w:p w14:paraId="663EE8C7" w14:textId="77777777" w:rsidR="00DC6A30" w:rsidRPr="00DC6A30" w:rsidRDefault="00C54500" w:rsidP="00C54500">
      <w:pPr>
        <w:rPr>
          <w:color w:val="0000FF"/>
          <w:u w:val="single"/>
        </w:rPr>
      </w:pPr>
      <w:r w:rsidRPr="00C54500">
        <w:rPr>
          <w:color w:val="000000"/>
          <w:u w:val="single"/>
          <w:rtl/>
        </w:rPr>
        <w:t>נוסח מסמך זה כפוף לשינויי ניסוח ועריכה</w:t>
      </w:r>
    </w:p>
    <w:sectPr w:rsidR="00DC6A30" w:rsidRPr="00DC6A30" w:rsidSect="00C54500">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CC094" w14:textId="77777777" w:rsidR="005B272E" w:rsidRDefault="005B272E" w:rsidP="004534C1">
      <w:r>
        <w:separator/>
      </w:r>
    </w:p>
  </w:endnote>
  <w:endnote w:type="continuationSeparator" w:id="0">
    <w:p w14:paraId="6B388AD2" w14:textId="77777777" w:rsidR="005B272E" w:rsidRDefault="005B272E" w:rsidP="00453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2725B" w14:textId="77777777" w:rsidR="00C54500" w:rsidRDefault="00C54500" w:rsidP="00C5450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89E062" w14:textId="77777777" w:rsidR="008C0447" w:rsidRPr="00C54500" w:rsidRDefault="00C54500" w:rsidP="00C54500">
    <w:pPr>
      <w:pStyle w:val="a5"/>
      <w:pBdr>
        <w:top w:val="single" w:sz="4" w:space="1" w:color="auto"/>
        <w:between w:val="single" w:sz="4" w:space="0" w:color="auto"/>
      </w:pBdr>
      <w:spacing w:after="60"/>
      <w:jc w:val="center"/>
      <w:rPr>
        <w:rFonts w:ascii="FrankRuehl" w:hAnsi="FrankRuehl" w:cs="FrankRuehl"/>
        <w:color w:val="000000"/>
      </w:rPr>
    </w:pPr>
    <w:r w:rsidRPr="00C5450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EA8F9" w14:textId="77777777" w:rsidR="00C54500" w:rsidRDefault="00C54500" w:rsidP="00C5450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83F4F">
      <w:rPr>
        <w:rFonts w:ascii="FrankRuehl" w:hAnsi="FrankRuehl" w:cs="FrankRuehl"/>
        <w:noProof/>
        <w:rtl/>
      </w:rPr>
      <w:t>1</w:t>
    </w:r>
    <w:r>
      <w:rPr>
        <w:rFonts w:ascii="FrankRuehl" w:hAnsi="FrankRuehl" w:cs="FrankRuehl"/>
        <w:rtl/>
      </w:rPr>
      <w:fldChar w:fldCharType="end"/>
    </w:r>
  </w:p>
  <w:p w14:paraId="0FE52C74" w14:textId="77777777" w:rsidR="008C0447" w:rsidRPr="00C54500" w:rsidRDefault="00C54500" w:rsidP="00C54500">
    <w:pPr>
      <w:pStyle w:val="a5"/>
      <w:pBdr>
        <w:top w:val="single" w:sz="4" w:space="1" w:color="auto"/>
        <w:between w:val="single" w:sz="4" w:space="0" w:color="auto"/>
      </w:pBdr>
      <w:spacing w:after="60"/>
      <w:jc w:val="center"/>
      <w:rPr>
        <w:rFonts w:ascii="FrankRuehl" w:hAnsi="FrankRuehl" w:cs="FrankRuehl"/>
        <w:color w:val="000000"/>
      </w:rPr>
    </w:pPr>
    <w:r w:rsidRPr="00C54500">
      <w:rPr>
        <w:rFonts w:ascii="FrankRuehl" w:hAnsi="FrankRuehl" w:cs="FrankRuehl"/>
        <w:color w:val="000000"/>
      </w:rPr>
      <w:pict w14:anchorId="3856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64BCF" w14:textId="77777777" w:rsidR="005B272E" w:rsidRDefault="005B272E" w:rsidP="004534C1">
      <w:r>
        <w:separator/>
      </w:r>
    </w:p>
  </w:footnote>
  <w:footnote w:type="continuationSeparator" w:id="0">
    <w:p w14:paraId="0DD6F816" w14:textId="77777777" w:rsidR="005B272E" w:rsidRDefault="005B272E" w:rsidP="00453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CACC2" w14:textId="77777777" w:rsidR="00DC6A30" w:rsidRPr="00C54500" w:rsidRDefault="00C54500" w:rsidP="00C5450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57778-06-20</w:t>
    </w:r>
    <w:r>
      <w:rPr>
        <w:rFonts w:ascii="David" w:hAnsi="David"/>
        <w:color w:val="000000"/>
        <w:sz w:val="22"/>
        <w:szCs w:val="22"/>
        <w:rtl/>
      </w:rPr>
      <w:tab/>
      <w:t xml:space="preserve"> מדינת ישראל נ' יונתן היילה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E6E8C" w14:textId="77777777" w:rsidR="00DC6A30" w:rsidRPr="00C54500" w:rsidRDefault="00C54500" w:rsidP="00C5450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57778-06-20</w:t>
    </w:r>
    <w:r>
      <w:rPr>
        <w:rFonts w:ascii="David" w:hAnsi="David"/>
        <w:color w:val="000000"/>
        <w:sz w:val="22"/>
        <w:szCs w:val="22"/>
        <w:rtl/>
      </w:rPr>
      <w:tab/>
      <w:t xml:space="preserve"> מדינת ישראל נ' יונתן היילה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2DC2"/>
    <w:multiLevelType w:val="hybridMultilevel"/>
    <w:tmpl w:val="F8B61C46"/>
    <w:lvl w:ilvl="0" w:tplc="4C32938E">
      <w:start w:val="1"/>
      <w:numFmt w:val="bullet"/>
      <w:lvlText w:val=""/>
      <w:lvlJc w:val="left"/>
      <w:pPr>
        <w:ind w:left="1440" w:hanging="360"/>
      </w:pPr>
      <w:rPr>
        <w:rFonts w:ascii="Symbol" w:hAnsi="Symbol" w:hint="default"/>
      </w:rPr>
    </w:lvl>
    <w:lvl w:ilvl="1" w:tplc="2AEC2540">
      <w:start w:val="1"/>
      <w:numFmt w:val="bullet"/>
      <w:lvlText w:val="o"/>
      <w:lvlJc w:val="left"/>
      <w:pPr>
        <w:ind w:left="2160" w:hanging="360"/>
      </w:pPr>
      <w:rPr>
        <w:rFonts w:ascii="Courier New" w:hAnsi="Courier New" w:cs="Courier New" w:hint="default"/>
      </w:rPr>
    </w:lvl>
    <w:lvl w:ilvl="2" w:tplc="7826E52E">
      <w:start w:val="1"/>
      <w:numFmt w:val="bullet"/>
      <w:lvlText w:val=""/>
      <w:lvlJc w:val="left"/>
      <w:pPr>
        <w:ind w:left="2880" w:hanging="360"/>
      </w:pPr>
      <w:rPr>
        <w:rFonts w:ascii="Wingdings" w:hAnsi="Wingdings" w:hint="default"/>
      </w:rPr>
    </w:lvl>
    <w:lvl w:ilvl="3" w:tplc="D59C3F8E">
      <w:start w:val="1"/>
      <w:numFmt w:val="bullet"/>
      <w:lvlText w:val=""/>
      <w:lvlJc w:val="left"/>
      <w:pPr>
        <w:ind w:left="3600" w:hanging="360"/>
      </w:pPr>
      <w:rPr>
        <w:rFonts w:ascii="Symbol" w:hAnsi="Symbol" w:hint="default"/>
      </w:rPr>
    </w:lvl>
    <w:lvl w:ilvl="4" w:tplc="AECC6A74">
      <w:start w:val="1"/>
      <w:numFmt w:val="bullet"/>
      <w:lvlText w:val="o"/>
      <w:lvlJc w:val="left"/>
      <w:pPr>
        <w:ind w:left="4320" w:hanging="360"/>
      </w:pPr>
      <w:rPr>
        <w:rFonts w:ascii="Courier New" w:hAnsi="Courier New" w:cs="Courier New" w:hint="default"/>
      </w:rPr>
    </w:lvl>
    <w:lvl w:ilvl="5" w:tplc="74822546">
      <w:start w:val="1"/>
      <w:numFmt w:val="bullet"/>
      <w:lvlText w:val=""/>
      <w:lvlJc w:val="left"/>
      <w:pPr>
        <w:ind w:left="5040" w:hanging="360"/>
      </w:pPr>
      <w:rPr>
        <w:rFonts w:ascii="Wingdings" w:hAnsi="Wingdings" w:hint="default"/>
      </w:rPr>
    </w:lvl>
    <w:lvl w:ilvl="6" w:tplc="6AB05560">
      <w:start w:val="1"/>
      <w:numFmt w:val="bullet"/>
      <w:lvlText w:val=""/>
      <w:lvlJc w:val="left"/>
      <w:pPr>
        <w:ind w:left="5760" w:hanging="360"/>
      </w:pPr>
      <w:rPr>
        <w:rFonts w:ascii="Symbol" w:hAnsi="Symbol" w:hint="default"/>
      </w:rPr>
    </w:lvl>
    <w:lvl w:ilvl="7" w:tplc="B6F8D0C6">
      <w:start w:val="1"/>
      <w:numFmt w:val="bullet"/>
      <w:lvlText w:val="o"/>
      <w:lvlJc w:val="left"/>
      <w:pPr>
        <w:ind w:left="6480" w:hanging="360"/>
      </w:pPr>
      <w:rPr>
        <w:rFonts w:ascii="Courier New" w:hAnsi="Courier New" w:cs="Courier New" w:hint="default"/>
      </w:rPr>
    </w:lvl>
    <w:lvl w:ilvl="8" w:tplc="F15AA79A">
      <w:start w:val="1"/>
      <w:numFmt w:val="bullet"/>
      <w:lvlText w:val=""/>
      <w:lvlJc w:val="left"/>
      <w:pPr>
        <w:ind w:left="7200" w:hanging="360"/>
      </w:pPr>
      <w:rPr>
        <w:rFonts w:ascii="Wingdings" w:hAnsi="Wingdings" w:hint="default"/>
      </w:rPr>
    </w:lvl>
  </w:abstractNum>
  <w:abstractNum w:abstractNumId="1" w15:restartNumberingAfterBreak="0">
    <w:nsid w:val="20C4461A"/>
    <w:multiLevelType w:val="hybridMultilevel"/>
    <w:tmpl w:val="41A00F2A"/>
    <w:lvl w:ilvl="0" w:tplc="44D03E2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B65310C"/>
    <w:multiLevelType w:val="hybridMultilevel"/>
    <w:tmpl w:val="9448F7A0"/>
    <w:lvl w:ilvl="0" w:tplc="29AC2444">
      <w:start w:val="1"/>
      <w:numFmt w:val="hebrew1"/>
      <w:lvlText w:val="%1."/>
      <w:lvlJc w:val="left"/>
      <w:pPr>
        <w:ind w:left="728" w:hanging="360"/>
      </w:pPr>
      <w:rPr>
        <w:strike w:val="0"/>
        <w:dstrike w:val="0"/>
        <w:u w:val="none"/>
        <w:effect w:val="none"/>
      </w:r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4986900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84749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9655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2C79"/>
    <w:rsid w:val="001B5A3B"/>
    <w:rsid w:val="001C7260"/>
    <w:rsid w:val="00267D19"/>
    <w:rsid w:val="00426472"/>
    <w:rsid w:val="004534C1"/>
    <w:rsid w:val="00457701"/>
    <w:rsid w:val="00583F4F"/>
    <w:rsid w:val="005B272E"/>
    <w:rsid w:val="008A2C79"/>
    <w:rsid w:val="008C0447"/>
    <w:rsid w:val="00941E19"/>
    <w:rsid w:val="00AB7DBB"/>
    <w:rsid w:val="00BB188C"/>
    <w:rsid w:val="00C54500"/>
    <w:rsid w:val="00DC6A30"/>
    <w:rsid w:val="00F53C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00B267"/>
  <w15:chartTrackingRefBased/>
  <w15:docId w15:val="{6116CB1F-5F2F-4B85-A07E-AD32E5D8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2C7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A2C79"/>
    <w:pPr>
      <w:tabs>
        <w:tab w:val="center" w:pos="4153"/>
        <w:tab w:val="right" w:pos="8306"/>
      </w:tabs>
    </w:pPr>
  </w:style>
  <w:style w:type="character" w:customStyle="1" w:styleId="a4">
    <w:name w:val="כותרת עליונה תו"/>
    <w:link w:val="a3"/>
    <w:rsid w:val="008A2C79"/>
    <w:rPr>
      <w:rFonts w:ascii="Times New Roman" w:eastAsia="Times New Roman" w:hAnsi="Times New Roman" w:cs="David"/>
      <w:sz w:val="24"/>
      <w:szCs w:val="24"/>
    </w:rPr>
  </w:style>
  <w:style w:type="paragraph" w:styleId="a5">
    <w:name w:val="footer"/>
    <w:basedOn w:val="a"/>
    <w:link w:val="a6"/>
    <w:rsid w:val="008A2C79"/>
    <w:pPr>
      <w:tabs>
        <w:tab w:val="center" w:pos="4153"/>
        <w:tab w:val="right" w:pos="8306"/>
      </w:tabs>
    </w:pPr>
  </w:style>
  <w:style w:type="character" w:customStyle="1" w:styleId="a6">
    <w:name w:val="כותרת תחתונה תו"/>
    <w:link w:val="a5"/>
    <w:rsid w:val="008A2C79"/>
    <w:rPr>
      <w:rFonts w:ascii="Times New Roman" w:eastAsia="Times New Roman" w:hAnsi="Times New Roman" w:cs="David"/>
      <w:sz w:val="24"/>
      <w:szCs w:val="24"/>
    </w:rPr>
  </w:style>
  <w:style w:type="table" w:styleId="a7">
    <w:name w:val="Table Grid"/>
    <w:basedOn w:val="a1"/>
    <w:rsid w:val="008A2C7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A2C79"/>
  </w:style>
  <w:style w:type="paragraph" w:styleId="a9">
    <w:name w:val="List Paragraph"/>
    <w:basedOn w:val="a"/>
    <w:qFormat/>
    <w:rsid w:val="008A2C79"/>
    <w:pPr>
      <w:ind w:left="720"/>
      <w:contextualSpacing/>
    </w:pPr>
    <w:rPr>
      <w:rFonts w:ascii="David" w:eastAsia="David" w:hAnsi="David"/>
    </w:rPr>
  </w:style>
  <w:style w:type="character" w:styleId="Hyperlink">
    <w:name w:val="Hyperlink"/>
    <w:rsid w:val="00DC6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26632043" TargetMode="External"/><Relationship Id="rId26" Type="http://schemas.openxmlformats.org/officeDocument/2006/relationships/hyperlink" Target="http://www.nevo.co.il/law/70301/40d" TargetMode="External"/><Relationship Id="rId21" Type="http://schemas.openxmlformats.org/officeDocument/2006/relationships/hyperlink" Target="http://www.nevo.co.il/law/70301"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case/27361147"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law/70301/40ja"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70301/40i" TargetMode="External"/><Relationship Id="rId28" Type="http://schemas.openxmlformats.org/officeDocument/2006/relationships/hyperlink" Target="http://www.nevo.co.il/law/74918" TargetMode="External"/><Relationship Id="rId36"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28369588"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4918"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2366</Words>
  <Characters>11834</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14172</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8323182</vt:i4>
      </vt:variant>
      <vt:variant>
        <vt:i4>63</vt:i4>
      </vt:variant>
      <vt:variant>
        <vt:i4>0</vt:i4>
      </vt:variant>
      <vt:variant>
        <vt:i4>5</vt:i4>
      </vt:variant>
      <vt:variant>
        <vt:lpwstr>http://www.nevo.co.il/law/74918</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6619233</vt:i4>
      </vt:variant>
      <vt:variant>
        <vt:i4>57</vt:i4>
      </vt:variant>
      <vt:variant>
        <vt:i4>0</vt:i4>
      </vt:variant>
      <vt:variant>
        <vt:i4>5</vt:i4>
      </vt:variant>
      <vt:variant>
        <vt:lpwstr>http://www.nevo.co.il/law/70301/40d</vt:lpwstr>
      </vt:variant>
      <vt:variant>
        <vt:lpwstr/>
      </vt:variant>
      <vt:variant>
        <vt:i4>7995492</vt:i4>
      </vt:variant>
      <vt:variant>
        <vt:i4>54</vt:i4>
      </vt:variant>
      <vt:variant>
        <vt:i4>0</vt:i4>
      </vt:variant>
      <vt:variant>
        <vt:i4>5</vt:i4>
      </vt:variant>
      <vt:variant>
        <vt:lpwstr>http://www.nevo.co.il/law/70301</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3407988</vt:i4>
      </vt:variant>
      <vt:variant>
        <vt:i4>39</vt:i4>
      </vt:variant>
      <vt:variant>
        <vt:i4>0</vt:i4>
      </vt:variant>
      <vt:variant>
        <vt:i4>5</vt:i4>
      </vt:variant>
      <vt:variant>
        <vt:lpwstr>http://www.nevo.co.il/case/27361147</vt:lpwstr>
      </vt:variant>
      <vt:variant>
        <vt:lpwstr/>
      </vt:variant>
      <vt:variant>
        <vt:i4>3145855</vt:i4>
      </vt:variant>
      <vt:variant>
        <vt:i4>36</vt:i4>
      </vt:variant>
      <vt:variant>
        <vt:i4>0</vt:i4>
      </vt:variant>
      <vt:variant>
        <vt:i4>5</vt:i4>
      </vt:variant>
      <vt:variant>
        <vt:lpwstr>http://www.nevo.co.il/case/28369588</vt:lpwstr>
      </vt:variant>
      <vt:variant>
        <vt:lpwstr/>
      </vt:variant>
      <vt:variant>
        <vt:i4>3276913</vt:i4>
      </vt:variant>
      <vt:variant>
        <vt:i4>33</vt:i4>
      </vt:variant>
      <vt:variant>
        <vt:i4>0</vt:i4>
      </vt:variant>
      <vt:variant>
        <vt:i4>5</vt:i4>
      </vt:variant>
      <vt:variant>
        <vt:lpwstr>http://www.nevo.co.il/case/26632043</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8323182</vt:i4>
      </vt:variant>
      <vt:variant>
        <vt:i4>21</vt:i4>
      </vt:variant>
      <vt:variant>
        <vt:i4>0</vt:i4>
      </vt:variant>
      <vt:variant>
        <vt:i4>5</vt:i4>
      </vt:variant>
      <vt:variant>
        <vt:lpwstr>http://www.nevo.co.il/law/74918</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2025-04-23T00:38:00Z</dcterms:created>
  <dcterms:modified xsi:type="dcterms:W3CDTF">2025-04-23T00:38:00Z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57778</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יונתן היילה</vt:lpwstr>
  </property>
  <property fmtid="{D5CDD505-2E9C-101B-9397-08002B2CF9AE}" pid="10" name="LAWYER">
    <vt:lpwstr>שני מנגדי;עתליה רפאל</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20240312</vt:lpwstr>
  </property>
  <property fmtid="{D5CDD505-2E9C-101B-9397-08002B2CF9AE}" pid="14" name="TYPE_N_DATE">
    <vt:lpwstr>38020240312</vt:lpwstr>
  </property>
  <property fmtid="{D5CDD505-2E9C-101B-9397-08002B2CF9AE}" pid="15" name="WORDNUMPAGES">
    <vt:lpwstr>7</vt:lpwstr>
  </property>
  <property fmtid="{D5CDD505-2E9C-101B-9397-08002B2CF9AE}" pid="16" name="TYPE_ABS_DATE">
    <vt:lpwstr>380020240312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26632043;28369588;27361147</vt:lpwstr>
  </property>
  <property fmtid="{D5CDD505-2E9C-101B-9397-08002B2CF9AE}" pid="36" name="LAWLISTTMP1">
    <vt:lpwstr>4216/007.a;007.c</vt:lpwstr>
  </property>
  <property fmtid="{D5CDD505-2E9C-101B-9397-08002B2CF9AE}" pid="37" name="LAWLISTTMP2">
    <vt:lpwstr>70301/040i;40ja;040d</vt:lpwstr>
  </property>
  <property fmtid="{D5CDD505-2E9C-101B-9397-08002B2CF9AE}" pid="38" name="LAWLISTTMP3">
    <vt:lpwstr>74918</vt:lpwstr>
  </property>
</Properties>
</file>