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99223E" w:rsidRPr="00FC7115" w14:paraId="162E8772" w14:textId="77777777" w:rsidTr="004A1465">
        <w:trPr>
          <w:trHeight w:hRule="exact" w:val="418"/>
          <w:jc w:val="center"/>
        </w:trPr>
        <w:tc>
          <w:tcPr>
            <w:tcW w:w="8523" w:type="dxa"/>
            <w:gridSpan w:val="2"/>
          </w:tcPr>
          <w:p w14:paraId="152060CE" w14:textId="77777777" w:rsidR="0099223E" w:rsidRPr="00FC7115" w:rsidRDefault="0099223E" w:rsidP="00DC6ABB">
            <w:pPr>
              <w:pStyle w:val="a3"/>
              <w:jc w:val="center"/>
              <w:rPr>
                <w:rFonts w:ascii="Tahoma" w:hAnsi="Tahoma" w:cs="Tahoma"/>
                <w:color w:val="000080"/>
                <w:rtl/>
              </w:rPr>
            </w:pPr>
            <w:bookmarkStart w:id="0" w:name="LastJudge"/>
            <w:r w:rsidRPr="00FC7115">
              <w:rPr>
                <w:rFonts w:ascii="Tahoma" w:hAnsi="Tahoma" w:cs="Tahoma"/>
                <w:b/>
                <w:bCs/>
                <w:color w:val="000080"/>
                <w:rtl/>
              </w:rPr>
              <w:t>בית משפט השלום בנתניה</w:t>
            </w:r>
          </w:p>
        </w:tc>
      </w:tr>
      <w:tr w:rsidR="0099223E" w:rsidRPr="00FC7115" w14:paraId="2B6B1012" w14:textId="77777777" w:rsidTr="004A1465">
        <w:trPr>
          <w:trHeight w:val="337"/>
          <w:jc w:val="center"/>
        </w:trPr>
        <w:tc>
          <w:tcPr>
            <w:tcW w:w="4946" w:type="dxa"/>
          </w:tcPr>
          <w:p w14:paraId="120ED444" w14:textId="77777777" w:rsidR="0099223E" w:rsidRPr="00FC7115" w:rsidRDefault="0099223E" w:rsidP="00DC6ABB">
            <w:pPr>
              <w:rPr>
                <w:rFonts w:cs="FrankRuehl"/>
                <w:sz w:val="28"/>
                <w:szCs w:val="28"/>
                <w:rtl/>
              </w:rPr>
            </w:pPr>
            <w:r w:rsidRPr="00FC7115">
              <w:rPr>
                <w:rFonts w:cs="FrankRuehl"/>
                <w:sz w:val="28"/>
                <w:szCs w:val="28"/>
                <w:rtl/>
              </w:rPr>
              <w:t>ת"פ</w:t>
            </w:r>
            <w:r w:rsidRPr="00FC7115">
              <w:rPr>
                <w:rFonts w:cs="FrankRuehl" w:hint="cs"/>
                <w:sz w:val="28"/>
                <w:szCs w:val="28"/>
                <w:rtl/>
              </w:rPr>
              <w:t xml:space="preserve"> </w:t>
            </w:r>
            <w:hyperlink r:id="rId6" w:history="1">
              <w:r w:rsidR="000C27B5" w:rsidRPr="000C27B5">
                <w:rPr>
                  <w:rFonts w:cs="FrankRuehl"/>
                  <w:color w:val="0000FF"/>
                  <w:sz w:val="28"/>
                  <w:szCs w:val="28"/>
                  <w:u w:val="single"/>
                  <w:rtl/>
                </w:rPr>
                <w:t xml:space="preserve">66755-06-20 </w:t>
              </w:r>
            </w:hyperlink>
            <w:r w:rsidRPr="00FC7115">
              <w:rPr>
                <w:rFonts w:cs="FrankRuehl" w:hint="cs"/>
                <w:sz w:val="28"/>
                <w:szCs w:val="28"/>
                <w:rtl/>
              </w:rPr>
              <w:t xml:space="preserve"> </w:t>
            </w:r>
            <w:r w:rsidRPr="00FC7115">
              <w:rPr>
                <w:rFonts w:cs="FrankRuehl"/>
                <w:sz w:val="28"/>
                <w:szCs w:val="28"/>
                <w:rtl/>
              </w:rPr>
              <w:t>מדינת ישראל נ' אלמחדי</w:t>
            </w:r>
          </w:p>
          <w:p w14:paraId="5DF202DA" w14:textId="77777777" w:rsidR="0099223E" w:rsidRPr="00FC7115" w:rsidRDefault="0099223E" w:rsidP="00DC6ABB">
            <w:pPr>
              <w:pStyle w:val="a3"/>
              <w:rPr>
                <w:rFonts w:cs="FrankRuehl"/>
                <w:sz w:val="28"/>
                <w:szCs w:val="28"/>
                <w:rtl/>
              </w:rPr>
            </w:pPr>
          </w:p>
        </w:tc>
        <w:tc>
          <w:tcPr>
            <w:tcW w:w="3577" w:type="dxa"/>
          </w:tcPr>
          <w:p w14:paraId="28645058" w14:textId="77777777" w:rsidR="0099223E" w:rsidRPr="00FC7115" w:rsidRDefault="0099223E" w:rsidP="00DC6ABB">
            <w:pPr>
              <w:pStyle w:val="a3"/>
              <w:jc w:val="right"/>
              <w:rPr>
                <w:rFonts w:cs="FrankRuehl"/>
                <w:sz w:val="28"/>
                <w:szCs w:val="28"/>
                <w:rtl/>
              </w:rPr>
            </w:pPr>
          </w:p>
        </w:tc>
      </w:tr>
    </w:tbl>
    <w:p w14:paraId="45543CAF" w14:textId="77777777" w:rsidR="0099223E" w:rsidRPr="00FC7115" w:rsidRDefault="0099223E" w:rsidP="0099223E">
      <w:pPr>
        <w:pStyle w:val="a3"/>
        <w:rPr>
          <w:rtl/>
        </w:rPr>
      </w:pPr>
      <w:r w:rsidRPr="00FC7115">
        <w:rPr>
          <w:rFonts w:hint="cs"/>
          <w:rtl/>
        </w:rPr>
        <w:t xml:space="preserve"> </w:t>
      </w:r>
    </w:p>
    <w:p w14:paraId="4BA8DD9D" w14:textId="77777777" w:rsidR="0099223E" w:rsidRPr="00FC7115" w:rsidRDefault="0099223E" w:rsidP="0099223E">
      <w:pPr>
        <w:spacing w:before="240"/>
        <w:rPr>
          <w:rFonts w:ascii="David" w:hAnsi="David"/>
          <w:bCs/>
          <w:sz w:val="28"/>
          <w:szCs w:val="28"/>
          <w:rtl/>
        </w:rPr>
      </w:pPr>
    </w:p>
    <w:p w14:paraId="284ABA49" w14:textId="77777777" w:rsidR="0099223E" w:rsidRPr="00FC7115" w:rsidRDefault="0099223E" w:rsidP="0099223E">
      <w:pPr>
        <w:spacing w:before="240"/>
        <w:rPr>
          <w:rFonts w:ascii="David" w:hAnsi="David"/>
          <w:bCs/>
          <w:sz w:val="28"/>
          <w:szCs w:val="28"/>
        </w:rPr>
      </w:pPr>
      <w:r w:rsidRPr="00FC7115">
        <w:rPr>
          <w:rFonts w:ascii="David" w:hAnsi="David"/>
          <w:bCs/>
          <w:sz w:val="28"/>
          <w:szCs w:val="28"/>
          <w:rtl/>
        </w:rPr>
        <w:softHyphen/>
      </w:r>
      <w:r w:rsidRPr="00FC7115">
        <w:rPr>
          <w:rFonts w:ascii="David" w:hAnsi="David"/>
          <w:bCs/>
          <w:sz w:val="28"/>
          <w:szCs w:val="28"/>
          <w:rtl/>
        </w:rPr>
        <w:softHyphen/>
      </w:r>
      <w:r w:rsidRPr="00FC7115">
        <w:rPr>
          <w:rFonts w:ascii="David" w:hAnsi="David"/>
          <w:bCs/>
          <w:sz w:val="28"/>
          <w:szCs w:val="28"/>
          <w:rtl/>
        </w:rPr>
        <w:softHyphen/>
      </w:r>
      <w:r w:rsidRPr="00FC7115">
        <w:rPr>
          <w:rFonts w:ascii="David" w:hAnsi="David"/>
          <w:bCs/>
          <w:sz w:val="28"/>
          <w:szCs w:val="28"/>
          <w:rtl/>
        </w:rPr>
        <w:softHyphen/>
      </w:r>
      <w:r w:rsidRPr="00FC7115">
        <w:rPr>
          <w:rFonts w:ascii="David" w:hAnsi="David"/>
          <w:bCs/>
          <w:sz w:val="28"/>
          <w:szCs w:val="28"/>
          <w:rtl/>
        </w:rPr>
        <w:softHyphen/>
      </w:r>
      <w:r w:rsidRPr="00FC7115">
        <w:rPr>
          <w:rFonts w:ascii="David" w:hAnsi="David"/>
          <w:bCs/>
          <w:sz w:val="28"/>
          <w:szCs w:val="28"/>
          <w:rtl/>
        </w:rPr>
        <w:softHyphen/>
      </w:r>
      <w:r w:rsidRPr="00FC7115">
        <w:rPr>
          <w:rFonts w:ascii="David" w:hAnsi="David"/>
          <w:bCs/>
          <w:sz w:val="28"/>
          <w:szCs w:val="28"/>
          <w:rtl/>
        </w:rPr>
        <w:softHyphen/>
      </w:r>
      <w:r w:rsidRPr="00FC7115">
        <w:rPr>
          <w:rFonts w:ascii="David" w:hAnsi="David"/>
          <w:bCs/>
          <w:sz w:val="28"/>
          <w:szCs w:val="28"/>
          <w:rtl/>
        </w:rPr>
        <w:softHyphen/>
      </w:r>
      <w:r w:rsidRPr="00FC7115">
        <w:rPr>
          <w:rFonts w:ascii="David" w:hAnsi="David"/>
          <w:bCs/>
          <w:sz w:val="28"/>
          <w:szCs w:val="28"/>
          <w:rtl/>
        </w:rPr>
        <w:softHyphen/>
        <w:t>לפני:</w:t>
      </w: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t>כבוד השופט גיא אבנון</w:t>
      </w:r>
    </w:p>
    <w:p w14:paraId="55D94BB9" w14:textId="77777777" w:rsidR="0099223E" w:rsidRPr="00FC7115" w:rsidRDefault="0099223E" w:rsidP="0099223E">
      <w:pPr>
        <w:rPr>
          <w:rFonts w:ascii="David" w:hAnsi="David"/>
          <w:bCs/>
          <w:sz w:val="28"/>
          <w:szCs w:val="28"/>
          <w:rtl/>
        </w:rPr>
      </w:pPr>
    </w:p>
    <w:p w14:paraId="0C3AE3CF" w14:textId="77777777" w:rsidR="0099223E" w:rsidRPr="00FC7115" w:rsidRDefault="0099223E" w:rsidP="0099223E">
      <w:pPr>
        <w:rPr>
          <w:rFonts w:ascii="David" w:hAnsi="David"/>
          <w:bCs/>
          <w:sz w:val="28"/>
          <w:szCs w:val="28"/>
          <w:rtl/>
        </w:rPr>
      </w:pPr>
      <w:r w:rsidRPr="00FC7115">
        <w:rPr>
          <w:rFonts w:ascii="David" w:hAnsi="David"/>
          <w:bCs/>
          <w:sz w:val="28"/>
          <w:szCs w:val="28"/>
          <w:rtl/>
        </w:rPr>
        <w:t>ה</w:t>
      </w:r>
      <w:bookmarkStart w:id="1" w:name="FirstAppellant"/>
      <w:r w:rsidRPr="00FC7115">
        <w:rPr>
          <w:rFonts w:ascii="David" w:hAnsi="David"/>
          <w:bCs/>
          <w:sz w:val="28"/>
          <w:szCs w:val="28"/>
          <w:rtl/>
        </w:rPr>
        <w:t>מאשימ</w:t>
      </w:r>
      <w:bookmarkEnd w:id="1"/>
      <w:r w:rsidRPr="00FC7115">
        <w:rPr>
          <w:rFonts w:ascii="David" w:hAnsi="David"/>
          <w:bCs/>
          <w:sz w:val="28"/>
          <w:szCs w:val="28"/>
          <w:rtl/>
        </w:rPr>
        <w:t>ה:</w:t>
      </w: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t>מדינת ישראל</w:t>
      </w:r>
    </w:p>
    <w:p w14:paraId="4A422961" w14:textId="77777777" w:rsidR="0099223E" w:rsidRPr="00FC7115" w:rsidRDefault="0099223E" w:rsidP="0099223E">
      <w:pPr>
        <w:rPr>
          <w:rFonts w:ascii="David" w:hAnsi="David"/>
          <w:bCs/>
          <w:sz w:val="28"/>
          <w:szCs w:val="28"/>
          <w:rtl/>
        </w:rPr>
      </w:pP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t>באמצעות תביעות מרכז – שלוחת נתניה</w:t>
      </w:r>
    </w:p>
    <w:p w14:paraId="673A5C61" w14:textId="77777777" w:rsidR="0099223E" w:rsidRPr="00FC7115" w:rsidRDefault="0099223E" w:rsidP="0099223E">
      <w:pPr>
        <w:rPr>
          <w:rFonts w:ascii="David" w:hAnsi="David"/>
          <w:bCs/>
          <w:sz w:val="28"/>
          <w:szCs w:val="28"/>
          <w:rtl/>
        </w:rPr>
      </w:pPr>
    </w:p>
    <w:p w14:paraId="44F6F5E4" w14:textId="77777777" w:rsidR="0099223E" w:rsidRPr="00FC7115" w:rsidRDefault="0099223E" w:rsidP="0099223E">
      <w:pPr>
        <w:rPr>
          <w:rFonts w:ascii="David" w:hAnsi="David"/>
          <w:bCs/>
          <w:sz w:val="28"/>
          <w:szCs w:val="28"/>
          <w:rtl/>
        </w:rPr>
      </w:pP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t>נ ג ד</w:t>
      </w:r>
    </w:p>
    <w:p w14:paraId="514400F2" w14:textId="77777777" w:rsidR="0099223E" w:rsidRPr="00FC7115" w:rsidRDefault="0099223E" w:rsidP="0099223E">
      <w:pPr>
        <w:rPr>
          <w:rFonts w:ascii="David" w:hAnsi="David"/>
          <w:bCs/>
          <w:sz w:val="28"/>
          <w:szCs w:val="28"/>
          <w:rtl/>
        </w:rPr>
      </w:pPr>
    </w:p>
    <w:p w14:paraId="38E52AF1" w14:textId="77777777" w:rsidR="0099223E" w:rsidRPr="00FC7115" w:rsidRDefault="0099223E" w:rsidP="0099223E">
      <w:pPr>
        <w:rPr>
          <w:rFonts w:ascii="David" w:hAnsi="David"/>
          <w:bCs/>
          <w:sz w:val="28"/>
          <w:szCs w:val="28"/>
          <w:rtl/>
        </w:rPr>
      </w:pPr>
      <w:r w:rsidRPr="00FC7115">
        <w:rPr>
          <w:rFonts w:ascii="David" w:hAnsi="David"/>
          <w:bCs/>
          <w:sz w:val="28"/>
          <w:szCs w:val="28"/>
          <w:rtl/>
        </w:rPr>
        <w:t>הנאשם:</w:t>
      </w:r>
      <w:r w:rsidRPr="00FC7115">
        <w:rPr>
          <w:rFonts w:ascii="David" w:hAnsi="David"/>
          <w:bCs/>
          <w:sz w:val="28"/>
          <w:szCs w:val="28"/>
          <w:rtl/>
        </w:rPr>
        <w:tab/>
      </w:r>
      <w:r w:rsidRPr="00FC7115">
        <w:rPr>
          <w:rFonts w:ascii="David" w:hAnsi="David"/>
          <w:bCs/>
          <w:sz w:val="28"/>
          <w:szCs w:val="28"/>
          <w:rtl/>
        </w:rPr>
        <w:tab/>
      </w:r>
      <w:r w:rsidRPr="00FC7115">
        <w:rPr>
          <w:rFonts w:ascii="David" w:hAnsi="David"/>
          <w:bCs/>
          <w:sz w:val="28"/>
          <w:szCs w:val="28"/>
          <w:rtl/>
        </w:rPr>
        <w:tab/>
        <w:t xml:space="preserve">עיד אלמחדי – ת"ז </w:t>
      </w:r>
      <w:r w:rsidR="00FC7115">
        <w:rPr>
          <w:rFonts w:ascii="David" w:hAnsi="David"/>
          <w:bCs/>
          <w:sz w:val="28"/>
          <w:szCs w:val="28"/>
        </w:rPr>
        <w:t>xxxxxxxxx</w:t>
      </w:r>
    </w:p>
    <w:p w14:paraId="4AAD3006" w14:textId="77777777" w:rsidR="0099223E" w:rsidRPr="00FC7115" w:rsidRDefault="0099223E" w:rsidP="0099223E">
      <w:pPr>
        <w:rPr>
          <w:rFonts w:ascii="David" w:hAnsi="David"/>
          <w:bCs/>
          <w:sz w:val="28"/>
          <w:szCs w:val="28"/>
          <w:rtl/>
        </w:rPr>
      </w:pPr>
    </w:p>
    <w:p w14:paraId="7118332A" w14:textId="77777777" w:rsidR="0099223E" w:rsidRPr="00FC7115" w:rsidRDefault="0099223E" w:rsidP="0099223E">
      <w:pPr>
        <w:rPr>
          <w:rFonts w:ascii="David" w:hAnsi="David"/>
          <w:b/>
          <w:sz w:val="28"/>
          <w:szCs w:val="28"/>
          <w:rtl/>
        </w:rPr>
      </w:pPr>
      <w:bookmarkStart w:id="2" w:name="FirstLawyer"/>
      <w:r w:rsidRPr="00FC7115">
        <w:rPr>
          <w:rFonts w:ascii="David" w:hAnsi="David"/>
          <w:b/>
          <w:sz w:val="28"/>
          <w:szCs w:val="28"/>
          <w:rtl/>
        </w:rPr>
        <w:t>בשם</w:t>
      </w:r>
      <w:bookmarkEnd w:id="2"/>
      <w:r w:rsidRPr="00FC7115">
        <w:rPr>
          <w:rFonts w:ascii="David" w:hAnsi="David"/>
          <w:b/>
          <w:sz w:val="28"/>
          <w:szCs w:val="28"/>
          <w:rtl/>
        </w:rPr>
        <w:t xml:space="preserve"> המאשימה:</w:t>
      </w:r>
      <w:r w:rsidRPr="00FC7115">
        <w:rPr>
          <w:rFonts w:ascii="David" w:hAnsi="David"/>
          <w:b/>
          <w:sz w:val="28"/>
          <w:szCs w:val="28"/>
          <w:rtl/>
        </w:rPr>
        <w:tab/>
      </w:r>
      <w:r w:rsidRPr="00FC7115">
        <w:rPr>
          <w:rFonts w:ascii="David" w:hAnsi="David"/>
          <w:b/>
          <w:sz w:val="28"/>
          <w:szCs w:val="28"/>
          <w:rtl/>
        </w:rPr>
        <w:tab/>
        <w:t>עו"ד שני מלול</w:t>
      </w:r>
    </w:p>
    <w:p w14:paraId="486FBC0E" w14:textId="77777777" w:rsidR="0099223E" w:rsidRPr="00FC7115" w:rsidRDefault="0099223E" w:rsidP="0099223E">
      <w:pPr>
        <w:rPr>
          <w:rFonts w:ascii="David" w:hAnsi="David"/>
          <w:b/>
          <w:sz w:val="28"/>
          <w:szCs w:val="28"/>
          <w:rtl/>
        </w:rPr>
      </w:pPr>
      <w:r w:rsidRPr="00FC7115">
        <w:rPr>
          <w:rFonts w:ascii="David" w:hAnsi="David"/>
          <w:b/>
          <w:sz w:val="28"/>
          <w:szCs w:val="28"/>
          <w:rtl/>
        </w:rPr>
        <w:t>בשם הנאשם:</w:t>
      </w:r>
      <w:r w:rsidRPr="00FC7115">
        <w:rPr>
          <w:rFonts w:ascii="David" w:hAnsi="David"/>
          <w:b/>
          <w:sz w:val="28"/>
          <w:szCs w:val="28"/>
          <w:rtl/>
        </w:rPr>
        <w:tab/>
      </w:r>
      <w:r w:rsidRPr="00FC7115">
        <w:rPr>
          <w:rFonts w:ascii="David" w:hAnsi="David"/>
          <w:b/>
          <w:sz w:val="28"/>
          <w:szCs w:val="28"/>
          <w:rtl/>
        </w:rPr>
        <w:tab/>
      </w:r>
      <w:r w:rsidRPr="00FC7115">
        <w:rPr>
          <w:rFonts w:ascii="David" w:hAnsi="David"/>
          <w:b/>
          <w:sz w:val="28"/>
          <w:szCs w:val="28"/>
          <w:rtl/>
        </w:rPr>
        <w:tab/>
        <w:t>עו"ד יונס אבו עסא</w:t>
      </w:r>
    </w:p>
    <w:p w14:paraId="018E5136" w14:textId="77777777" w:rsidR="0099223E" w:rsidRPr="00FC7115" w:rsidRDefault="0099223E" w:rsidP="0099223E">
      <w:pPr>
        <w:rPr>
          <w:rFonts w:ascii="David" w:hAnsi="David"/>
          <w:bCs/>
          <w:sz w:val="28"/>
          <w:szCs w:val="28"/>
          <w:rtl/>
        </w:rPr>
      </w:pPr>
    </w:p>
    <w:p w14:paraId="4BCE3C37" w14:textId="77777777" w:rsidR="004A1465" w:rsidRPr="004A1465" w:rsidRDefault="004A1465" w:rsidP="004A1465">
      <w:pPr>
        <w:spacing w:before="120" w:after="120" w:line="240" w:lineRule="exact"/>
        <w:ind w:left="283" w:hanging="283"/>
        <w:jc w:val="both"/>
        <w:rPr>
          <w:rFonts w:ascii="FrankRuehl" w:hAnsi="FrankRuehl" w:cs="FrankRuehl"/>
          <w:rtl/>
        </w:rPr>
      </w:pPr>
    </w:p>
    <w:p w14:paraId="41E8DB47" w14:textId="77777777" w:rsidR="000C27B5" w:rsidRPr="000C27B5" w:rsidRDefault="000C27B5" w:rsidP="000C27B5">
      <w:pPr>
        <w:spacing w:before="120" w:after="120" w:line="240" w:lineRule="exact"/>
        <w:ind w:left="283" w:hanging="283"/>
        <w:jc w:val="both"/>
        <w:rPr>
          <w:rFonts w:ascii="FrankRuehl" w:hAnsi="FrankRuehl" w:cs="FrankRuehl"/>
          <w:rtl/>
        </w:rPr>
      </w:pPr>
    </w:p>
    <w:p w14:paraId="1D311B2C" w14:textId="77777777" w:rsidR="006B78DE" w:rsidRDefault="006B78DE" w:rsidP="006B78DE">
      <w:pPr>
        <w:jc w:val="center"/>
        <w:rPr>
          <w:rFonts w:ascii="David" w:hAnsi="David"/>
          <w:sz w:val="28"/>
          <w:szCs w:val="28"/>
          <w:rtl/>
        </w:rPr>
      </w:pPr>
      <w:bookmarkStart w:id="3" w:name="LawTable"/>
      <w:bookmarkEnd w:id="3"/>
    </w:p>
    <w:p w14:paraId="7FEC1B6E" w14:textId="77777777" w:rsidR="006B78DE" w:rsidRPr="006B78DE" w:rsidRDefault="006B78DE" w:rsidP="006B78DE">
      <w:pPr>
        <w:spacing w:before="120" w:after="120" w:line="240" w:lineRule="exact"/>
        <w:ind w:left="283" w:hanging="283"/>
        <w:jc w:val="both"/>
        <w:rPr>
          <w:rFonts w:ascii="FrankRuehl" w:hAnsi="FrankRuehl" w:cs="FrankRuehl"/>
          <w:rtl/>
        </w:rPr>
      </w:pPr>
    </w:p>
    <w:p w14:paraId="1FE550DC" w14:textId="77777777" w:rsidR="006B78DE" w:rsidRPr="006B78DE" w:rsidRDefault="006B78DE" w:rsidP="006B78DE">
      <w:pPr>
        <w:spacing w:before="120" w:after="120" w:line="240" w:lineRule="exact"/>
        <w:ind w:left="283" w:hanging="283"/>
        <w:jc w:val="both"/>
        <w:rPr>
          <w:rFonts w:ascii="FrankRuehl" w:hAnsi="FrankRuehl" w:cs="FrankRuehl"/>
          <w:rtl/>
        </w:rPr>
      </w:pPr>
    </w:p>
    <w:p w14:paraId="3B5BD22D" w14:textId="77777777" w:rsidR="006B78DE" w:rsidRPr="006B78DE" w:rsidRDefault="006B78DE" w:rsidP="006B78DE">
      <w:pPr>
        <w:spacing w:before="120" w:after="120" w:line="240" w:lineRule="exact"/>
        <w:ind w:left="283" w:hanging="283"/>
        <w:jc w:val="both"/>
        <w:rPr>
          <w:rFonts w:ascii="FrankRuehl" w:hAnsi="FrankRuehl" w:cs="FrankRuehl"/>
          <w:rtl/>
        </w:rPr>
      </w:pPr>
      <w:r w:rsidRPr="006B78DE">
        <w:rPr>
          <w:rFonts w:ascii="FrankRuehl" w:hAnsi="FrankRuehl" w:cs="FrankRuehl"/>
          <w:rtl/>
        </w:rPr>
        <w:t xml:space="preserve">חקיקה שאוזכרה: </w:t>
      </w:r>
    </w:p>
    <w:p w14:paraId="4C9AE269" w14:textId="77777777" w:rsidR="006B78DE" w:rsidRPr="006B78DE" w:rsidRDefault="006B78DE" w:rsidP="006B78DE">
      <w:pPr>
        <w:spacing w:before="120" w:after="120" w:line="240" w:lineRule="exact"/>
        <w:ind w:left="283" w:hanging="283"/>
        <w:jc w:val="both"/>
        <w:rPr>
          <w:rFonts w:ascii="FrankRuehl" w:hAnsi="FrankRuehl" w:cs="FrankRuehl"/>
          <w:rtl/>
        </w:rPr>
      </w:pPr>
      <w:hyperlink r:id="rId7" w:history="1">
        <w:r w:rsidRPr="006B78DE">
          <w:rPr>
            <w:rFonts w:ascii="FrankRuehl" w:hAnsi="FrankRuehl" w:cs="FrankRuehl"/>
            <w:color w:val="0000FF"/>
            <w:rtl/>
          </w:rPr>
          <w:t>פקודת הסמים המסוכנים [נוסח חדש], תשל"ג-1973</w:t>
        </w:r>
      </w:hyperlink>
      <w:r w:rsidRPr="006B78DE">
        <w:rPr>
          <w:rFonts w:ascii="FrankRuehl" w:hAnsi="FrankRuehl" w:cs="FrankRuehl"/>
          <w:rtl/>
        </w:rPr>
        <w:t xml:space="preserve">: סע'  </w:t>
      </w:r>
      <w:hyperlink r:id="rId8" w:history="1">
        <w:r w:rsidRPr="006B78DE">
          <w:rPr>
            <w:rFonts w:ascii="FrankRuehl" w:hAnsi="FrankRuehl" w:cs="FrankRuehl"/>
            <w:color w:val="0000FF"/>
            <w:rtl/>
          </w:rPr>
          <w:t>7(א)</w:t>
        </w:r>
      </w:hyperlink>
      <w:r w:rsidRPr="006B78DE">
        <w:rPr>
          <w:rFonts w:ascii="FrankRuehl" w:hAnsi="FrankRuehl" w:cs="FrankRuehl"/>
          <w:rtl/>
        </w:rPr>
        <w:t xml:space="preserve">, </w:t>
      </w:r>
      <w:hyperlink r:id="rId9" w:history="1">
        <w:r w:rsidRPr="006B78DE">
          <w:rPr>
            <w:rFonts w:ascii="FrankRuehl" w:hAnsi="FrankRuehl" w:cs="FrankRuehl"/>
            <w:color w:val="0000FF"/>
            <w:rtl/>
          </w:rPr>
          <w:t>7(ג)</w:t>
        </w:r>
      </w:hyperlink>
      <w:r w:rsidRPr="006B78DE">
        <w:rPr>
          <w:rFonts w:ascii="FrankRuehl" w:hAnsi="FrankRuehl" w:cs="FrankRuehl"/>
          <w:rtl/>
        </w:rPr>
        <w:t xml:space="preserve">, </w:t>
      </w:r>
      <w:hyperlink r:id="rId10" w:history="1">
        <w:r w:rsidRPr="006B78DE">
          <w:rPr>
            <w:rFonts w:ascii="FrankRuehl" w:hAnsi="FrankRuehl" w:cs="FrankRuehl"/>
            <w:color w:val="0000FF"/>
            <w:rtl/>
          </w:rPr>
          <w:t>36א(ב)</w:t>
        </w:r>
      </w:hyperlink>
    </w:p>
    <w:p w14:paraId="6CECBCB8" w14:textId="77777777" w:rsidR="006B78DE" w:rsidRPr="006B78DE" w:rsidRDefault="006B78DE" w:rsidP="006B78DE">
      <w:pPr>
        <w:spacing w:before="120" w:after="120" w:line="240" w:lineRule="exact"/>
        <w:ind w:left="283" w:hanging="283"/>
        <w:jc w:val="both"/>
        <w:rPr>
          <w:rFonts w:ascii="FrankRuehl" w:hAnsi="FrankRuehl" w:cs="FrankRuehl"/>
          <w:rtl/>
        </w:rPr>
      </w:pPr>
      <w:hyperlink r:id="rId11" w:history="1">
        <w:r w:rsidRPr="006B78DE">
          <w:rPr>
            <w:rFonts w:ascii="FrankRuehl" w:hAnsi="FrankRuehl" w:cs="FrankRuehl"/>
            <w:color w:val="0000FF"/>
            <w:rtl/>
          </w:rPr>
          <w:t>חוק העונשין, תשל"ז-1977</w:t>
        </w:r>
      </w:hyperlink>
      <w:r w:rsidRPr="006B78DE">
        <w:rPr>
          <w:rFonts w:ascii="FrankRuehl" w:hAnsi="FrankRuehl" w:cs="FrankRuehl"/>
          <w:rtl/>
        </w:rPr>
        <w:t xml:space="preserve">: סע'  </w:t>
      </w:r>
      <w:hyperlink r:id="rId12" w:history="1">
        <w:r w:rsidRPr="006B78DE">
          <w:rPr>
            <w:rFonts w:ascii="FrankRuehl" w:hAnsi="FrankRuehl" w:cs="FrankRuehl"/>
            <w:color w:val="0000FF"/>
            <w:rtl/>
          </w:rPr>
          <w:t>40ג(א)</w:t>
        </w:r>
      </w:hyperlink>
      <w:r w:rsidRPr="006B78DE">
        <w:rPr>
          <w:rFonts w:ascii="FrankRuehl" w:hAnsi="FrankRuehl" w:cs="FrankRuehl"/>
          <w:rtl/>
        </w:rPr>
        <w:t xml:space="preserve">, </w:t>
      </w:r>
      <w:hyperlink r:id="rId13" w:history="1">
        <w:r w:rsidRPr="006B78DE">
          <w:rPr>
            <w:rFonts w:ascii="FrankRuehl" w:hAnsi="FrankRuehl" w:cs="FrankRuehl"/>
            <w:color w:val="0000FF"/>
            <w:rtl/>
          </w:rPr>
          <w:t>40ט</w:t>
        </w:r>
      </w:hyperlink>
    </w:p>
    <w:p w14:paraId="5110D23C" w14:textId="77777777" w:rsidR="006B78DE" w:rsidRPr="006B78DE" w:rsidRDefault="006B78DE" w:rsidP="006B78DE">
      <w:pPr>
        <w:jc w:val="center"/>
        <w:rPr>
          <w:rFonts w:ascii="David" w:hAnsi="David"/>
          <w:sz w:val="28"/>
          <w:szCs w:val="28"/>
          <w:rtl/>
        </w:rPr>
      </w:pPr>
      <w:bookmarkStart w:id="4" w:name="LawTable_End"/>
      <w:bookmarkEnd w:id="4"/>
    </w:p>
    <w:p w14:paraId="0D5E1726" w14:textId="77777777" w:rsidR="00FC7115" w:rsidRPr="000C27B5" w:rsidRDefault="00FC7115" w:rsidP="000C27B5">
      <w:pPr>
        <w:jc w:val="center"/>
        <w:rPr>
          <w:rFonts w:ascii="David" w:hAnsi="David"/>
          <w:sz w:val="28"/>
          <w:szCs w:val="28"/>
          <w:rtl/>
        </w:rPr>
      </w:pPr>
    </w:p>
    <w:p w14:paraId="6DAACDFD" w14:textId="77777777" w:rsidR="00FC7115" w:rsidRPr="00FC7115" w:rsidRDefault="00FC7115" w:rsidP="00FC7115">
      <w:pPr>
        <w:spacing w:line="360" w:lineRule="auto"/>
        <w:jc w:val="center"/>
        <w:rPr>
          <w:rFonts w:ascii="David" w:hAnsi="David"/>
          <w:bCs/>
          <w:sz w:val="28"/>
          <w:szCs w:val="28"/>
          <w:u w:val="single"/>
          <w:rtl/>
        </w:rPr>
      </w:pPr>
      <w:bookmarkStart w:id="5" w:name="PsakDin"/>
      <w:bookmarkEnd w:id="0"/>
      <w:r w:rsidRPr="00FC7115">
        <w:rPr>
          <w:rFonts w:ascii="David" w:hAnsi="David"/>
          <w:bCs/>
          <w:sz w:val="28"/>
          <w:szCs w:val="28"/>
          <w:u w:val="single"/>
          <w:rtl/>
        </w:rPr>
        <w:t>גזר דין</w:t>
      </w:r>
    </w:p>
    <w:bookmarkEnd w:id="5"/>
    <w:p w14:paraId="4CAD6429" w14:textId="77777777" w:rsidR="0099223E" w:rsidRPr="004916DF" w:rsidRDefault="0099223E" w:rsidP="0099223E">
      <w:pPr>
        <w:spacing w:line="360" w:lineRule="auto"/>
        <w:jc w:val="both"/>
        <w:rPr>
          <w:rFonts w:ascii="FrankRuehl" w:hAnsi="FrankRuehl" w:cs="FrankRuehl"/>
          <w:sz w:val="28"/>
          <w:szCs w:val="28"/>
          <w:rtl/>
        </w:rPr>
      </w:pPr>
    </w:p>
    <w:p w14:paraId="32E85F79" w14:textId="77777777" w:rsidR="0099223E" w:rsidRPr="004916DF" w:rsidRDefault="0099223E" w:rsidP="0099223E">
      <w:pPr>
        <w:spacing w:line="360" w:lineRule="auto"/>
        <w:ind w:firstLine="720"/>
        <w:jc w:val="both"/>
        <w:rPr>
          <w:rFonts w:ascii="FrankRuehl" w:hAnsi="FrankRuehl" w:cs="FrankRuehl"/>
          <w:sz w:val="28"/>
          <w:szCs w:val="28"/>
          <w:rtl/>
        </w:rPr>
      </w:pPr>
      <w:bookmarkStart w:id="6" w:name="ABSTRACT_START"/>
      <w:bookmarkEnd w:id="6"/>
      <w:r w:rsidRPr="004916DF">
        <w:rPr>
          <w:rFonts w:ascii="FrankRuehl" w:hAnsi="FrankRuehl" w:cs="FrankRuehl"/>
          <w:sz w:val="28"/>
          <w:szCs w:val="28"/>
          <w:rtl/>
        </w:rPr>
        <w:t xml:space="preserve">הנאשם הורשע בהתאם להודאתו בכתב אישום מתוקן בעבירת </w:t>
      </w:r>
      <w:r w:rsidRPr="004916DF">
        <w:rPr>
          <w:rFonts w:ascii="FrankRuehl" w:hAnsi="FrankRuehl" w:cs="Miriam"/>
          <w:b/>
          <w:sz w:val="28"/>
          <w:rtl/>
        </w:rPr>
        <w:t>החזקת סם שלא לצריכה עצמית</w:t>
      </w:r>
      <w:r w:rsidRPr="004916DF">
        <w:rPr>
          <w:rFonts w:ascii="FrankRuehl" w:hAnsi="FrankRuehl" w:cs="FrankRuehl"/>
          <w:sz w:val="28"/>
          <w:szCs w:val="28"/>
          <w:rtl/>
        </w:rPr>
        <w:t xml:space="preserve">, לפי </w:t>
      </w:r>
      <w:hyperlink r:id="rId14" w:history="1">
        <w:r w:rsidR="004A1465" w:rsidRPr="004A1465">
          <w:rPr>
            <w:rStyle w:val="Hyperlink"/>
            <w:rFonts w:ascii="FrankRuehl" w:hAnsi="FrankRuehl" w:cs="FrankRuehl"/>
            <w:sz w:val="28"/>
            <w:szCs w:val="28"/>
            <w:rtl/>
          </w:rPr>
          <w:t>סעיפים 7(א)</w:t>
        </w:r>
      </w:hyperlink>
      <w:r w:rsidRPr="004916DF">
        <w:rPr>
          <w:rFonts w:ascii="FrankRuehl" w:hAnsi="FrankRuehl" w:cs="FrankRuehl"/>
          <w:sz w:val="28"/>
          <w:szCs w:val="28"/>
          <w:rtl/>
        </w:rPr>
        <w:t xml:space="preserve"> ו- </w:t>
      </w:r>
      <w:hyperlink r:id="rId15" w:history="1">
        <w:r w:rsidR="004A1465" w:rsidRPr="004A1465">
          <w:rPr>
            <w:rStyle w:val="Hyperlink"/>
            <w:rFonts w:ascii="FrankRuehl" w:hAnsi="FrankRuehl" w:cs="FrankRuehl"/>
            <w:sz w:val="28"/>
            <w:szCs w:val="28"/>
            <w:rtl/>
          </w:rPr>
          <w:t>7(ג)</w:t>
        </w:r>
      </w:hyperlink>
      <w:r w:rsidRPr="004916DF">
        <w:rPr>
          <w:rFonts w:ascii="FrankRuehl" w:hAnsi="FrankRuehl" w:cs="FrankRuehl"/>
          <w:sz w:val="28"/>
          <w:szCs w:val="28"/>
          <w:rtl/>
        </w:rPr>
        <w:t xml:space="preserve"> רישא ל</w:t>
      </w:r>
      <w:hyperlink r:id="rId16" w:history="1">
        <w:r w:rsidR="00FC7115" w:rsidRPr="00FC7115">
          <w:rPr>
            <w:rFonts w:ascii="FrankRuehl" w:hAnsi="FrankRuehl" w:cs="FrankRuehl"/>
            <w:color w:val="0000FF"/>
            <w:sz w:val="28"/>
            <w:szCs w:val="28"/>
            <w:u w:val="single"/>
            <w:rtl/>
          </w:rPr>
          <w:t>פקודת הסמים המסוכנים</w:t>
        </w:r>
      </w:hyperlink>
      <w:r w:rsidRPr="004916DF">
        <w:rPr>
          <w:rFonts w:ascii="FrankRuehl" w:hAnsi="FrankRuehl" w:cs="FrankRuehl"/>
          <w:sz w:val="28"/>
          <w:szCs w:val="28"/>
          <w:rtl/>
        </w:rPr>
        <w:t xml:space="preserve"> [נוסח חדש], תשל"ג-1973 (להלן: </w:t>
      </w:r>
      <w:r w:rsidRPr="004916DF">
        <w:rPr>
          <w:rFonts w:ascii="FrankRuehl" w:hAnsi="FrankRuehl" w:cs="Miriam"/>
          <w:b/>
          <w:sz w:val="28"/>
          <w:rtl/>
        </w:rPr>
        <w:t>פקודת הסמים</w:t>
      </w:r>
      <w:r w:rsidRPr="004916DF">
        <w:rPr>
          <w:rFonts w:ascii="FrankRuehl" w:hAnsi="FrankRuehl" w:cs="FrankRuehl"/>
          <w:sz w:val="28"/>
          <w:szCs w:val="28"/>
          <w:rtl/>
        </w:rPr>
        <w:t>). הוא הופנה לקבלת תסקיר מבחן וחוות דעת הממונה על עבודות שירות, והצדדים טענו לעונש באופן חופשי.</w:t>
      </w:r>
    </w:p>
    <w:p w14:paraId="17A371FC" w14:textId="77777777" w:rsidR="0099223E" w:rsidRPr="004916DF" w:rsidRDefault="0099223E" w:rsidP="0099223E">
      <w:pPr>
        <w:spacing w:line="360" w:lineRule="auto"/>
        <w:ind w:firstLine="720"/>
        <w:jc w:val="both"/>
        <w:rPr>
          <w:rFonts w:ascii="FrankRuehl" w:hAnsi="FrankRuehl" w:cs="FrankRuehl"/>
          <w:sz w:val="28"/>
          <w:szCs w:val="28"/>
          <w:rtl/>
        </w:rPr>
      </w:pPr>
      <w:bookmarkStart w:id="7" w:name="ABSTRACT_END"/>
      <w:bookmarkEnd w:id="7"/>
    </w:p>
    <w:p w14:paraId="74589FE5" w14:textId="77777777" w:rsidR="0099223E" w:rsidRPr="004916DF" w:rsidRDefault="0099223E" w:rsidP="0099223E">
      <w:pPr>
        <w:spacing w:line="360" w:lineRule="auto"/>
        <w:jc w:val="both"/>
        <w:rPr>
          <w:rFonts w:ascii="FrankRuehl" w:hAnsi="FrankRuehl" w:cs="FrankRuehl"/>
          <w:sz w:val="28"/>
          <w:szCs w:val="28"/>
          <w:rtl/>
        </w:rPr>
      </w:pPr>
      <w:r w:rsidRPr="004916DF">
        <w:rPr>
          <w:rFonts w:ascii="FrankRuehl" w:hAnsi="FrankRuehl" w:cs="Miriam"/>
          <w:b/>
          <w:sz w:val="28"/>
          <w:rtl/>
        </w:rPr>
        <w:t>כתב אישום מתוקן</w:t>
      </w:r>
    </w:p>
    <w:p w14:paraId="06FAFBBF" w14:textId="77777777" w:rsidR="0099223E" w:rsidRPr="004916DF" w:rsidRDefault="0099223E" w:rsidP="0099223E">
      <w:pPr>
        <w:spacing w:line="360" w:lineRule="auto"/>
        <w:jc w:val="both"/>
        <w:rPr>
          <w:rFonts w:ascii="FrankRuehl" w:hAnsi="FrankRuehl" w:cs="FrankRuehl"/>
          <w:sz w:val="28"/>
          <w:szCs w:val="28"/>
          <w:rtl/>
        </w:rPr>
      </w:pPr>
    </w:p>
    <w:p w14:paraId="6598830F"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eastAsia="Calibri" w:hAnsi="FrankRuehl" w:cs="FrankRuehl"/>
          <w:sz w:val="28"/>
          <w:szCs w:val="28"/>
          <w:rtl/>
        </w:rPr>
        <w:t>1.</w:t>
      </w:r>
      <w:r w:rsidRPr="004916DF">
        <w:rPr>
          <w:rFonts w:ascii="FrankRuehl" w:eastAsia="Calibri" w:hAnsi="FrankRuehl" w:cs="FrankRuehl"/>
          <w:sz w:val="28"/>
          <w:szCs w:val="28"/>
          <w:rtl/>
        </w:rPr>
        <w:tab/>
        <w:t xml:space="preserve">ביום 20.6.2020, בסמוך לשעה 01:24, עוכב הנאשם בכפר יונה כשהוא נוהג במכוניתו מסוג הונדה סיוויק, ל.ז. 7534267 (להלן: </w:t>
      </w:r>
      <w:r w:rsidRPr="004916DF">
        <w:rPr>
          <w:rFonts w:ascii="FrankRuehl" w:eastAsia="Calibri" w:hAnsi="FrankRuehl" w:cs="Miriam"/>
          <w:b/>
          <w:sz w:val="28"/>
          <w:rtl/>
        </w:rPr>
        <w:t>הרכב</w:t>
      </w:r>
      <w:r w:rsidRPr="004916DF">
        <w:rPr>
          <w:rFonts w:ascii="FrankRuehl" w:eastAsia="Calibri" w:hAnsi="FrankRuehl" w:cs="FrankRuehl"/>
          <w:sz w:val="28"/>
          <w:szCs w:val="28"/>
          <w:rtl/>
        </w:rPr>
        <w:t xml:space="preserve">). בתא המטען של הרכב, בתוך קרטון, החזיק </w:t>
      </w:r>
      <w:r w:rsidRPr="004916DF">
        <w:rPr>
          <w:rFonts w:ascii="FrankRuehl" w:eastAsia="Calibri" w:hAnsi="FrankRuehl" w:cs="FrankRuehl"/>
          <w:sz w:val="28"/>
          <w:szCs w:val="28"/>
          <w:rtl/>
        </w:rPr>
        <w:lastRenderedPageBreak/>
        <w:t>הנאשם סם מסוכן מסוג קנבוס במשקל כולל של 11.12 ק"ג נטו וסכין מתקבעת (במסגרת תיקון כתב האישום נמחקה הוראת החיקוק שייחסה לנאשם החזקת סכין שלא כדין).</w:t>
      </w:r>
    </w:p>
    <w:p w14:paraId="26E8CAE4" w14:textId="77777777" w:rsidR="0099223E" w:rsidRPr="004916DF" w:rsidRDefault="0099223E" w:rsidP="0099223E">
      <w:pPr>
        <w:spacing w:line="360" w:lineRule="auto"/>
        <w:ind w:firstLine="720"/>
        <w:jc w:val="both"/>
        <w:rPr>
          <w:rFonts w:ascii="FrankRuehl" w:eastAsia="Calibri" w:hAnsi="FrankRuehl" w:cs="FrankRuehl"/>
          <w:sz w:val="28"/>
          <w:szCs w:val="28"/>
          <w:rtl/>
        </w:rPr>
      </w:pPr>
    </w:p>
    <w:p w14:paraId="4BBC4AA5" w14:textId="77777777" w:rsidR="0099223E" w:rsidRPr="004916DF" w:rsidRDefault="0099223E" w:rsidP="0099223E">
      <w:pPr>
        <w:spacing w:line="360" w:lineRule="auto"/>
        <w:jc w:val="both"/>
        <w:rPr>
          <w:rFonts w:ascii="FrankRuehl" w:hAnsi="FrankRuehl" w:cs="FrankRuehl"/>
          <w:sz w:val="28"/>
          <w:szCs w:val="28"/>
          <w:rtl/>
        </w:rPr>
      </w:pPr>
      <w:r w:rsidRPr="004916DF">
        <w:rPr>
          <w:rFonts w:ascii="FrankRuehl" w:hAnsi="FrankRuehl" w:cs="Miriam"/>
          <w:b/>
          <w:sz w:val="28"/>
          <w:rtl/>
        </w:rPr>
        <w:t>תסקיר מבחן וחוו"ד ממונה</w:t>
      </w:r>
    </w:p>
    <w:p w14:paraId="1188702A" w14:textId="77777777" w:rsidR="0099223E" w:rsidRPr="004916DF" w:rsidRDefault="0099223E" w:rsidP="0099223E">
      <w:pPr>
        <w:spacing w:line="360" w:lineRule="auto"/>
        <w:jc w:val="both"/>
        <w:rPr>
          <w:rFonts w:ascii="FrankRuehl" w:hAnsi="FrankRuehl" w:cs="FrankRuehl"/>
          <w:sz w:val="28"/>
          <w:szCs w:val="28"/>
          <w:rtl/>
        </w:rPr>
      </w:pPr>
    </w:p>
    <w:p w14:paraId="3A43B507"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hAnsi="FrankRuehl" w:cs="FrankRuehl"/>
          <w:sz w:val="28"/>
          <w:szCs w:val="28"/>
          <w:rtl/>
        </w:rPr>
        <w:t>2.</w:t>
      </w:r>
      <w:r w:rsidRPr="004916DF">
        <w:rPr>
          <w:rFonts w:ascii="FrankRuehl" w:hAnsi="FrankRuehl" w:cs="FrankRuehl"/>
          <w:sz w:val="28"/>
          <w:szCs w:val="28"/>
          <w:rtl/>
        </w:rPr>
        <w:tab/>
        <w:t>תוכן התסקיר יובא בצמצום, על מנת להקטין את הפגיעה בצנעת הפרט.</w:t>
      </w:r>
      <w:r w:rsidRPr="004916DF">
        <w:rPr>
          <w:rFonts w:ascii="FrankRuehl" w:eastAsia="Calibri" w:hAnsi="FrankRuehl" w:cs="FrankRuehl"/>
          <w:sz w:val="28"/>
          <w:szCs w:val="28"/>
          <w:rtl/>
        </w:rPr>
        <w:t xml:space="preserve"> הנאשם בן 28, נשוי מזה כשש שנים, במהלכן הוא ורעייתו עוברים טיפולי פוריות. הוא השלים 12 שנות לימוד ובעל תעודת בגרות חלקית. החל לעבוד </w:t>
      </w:r>
      <w:r>
        <w:rPr>
          <w:rFonts w:ascii="FrankRuehl" w:eastAsia="Calibri" w:hAnsi="FrankRuehl" w:cs="FrankRuehl" w:hint="cs"/>
          <w:sz w:val="28"/>
          <w:szCs w:val="28"/>
          <w:rtl/>
        </w:rPr>
        <w:t>ב</w:t>
      </w:r>
      <w:r w:rsidRPr="004916DF">
        <w:rPr>
          <w:rFonts w:ascii="FrankRuehl" w:eastAsia="Calibri" w:hAnsi="FrankRuehl" w:cs="FrankRuehl"/>
          <w:sz w:val="28"/>
          <w:szCs w:val="28"/>
          <w:rtl/>
        </w:rPr>
        <w:t>גיל 19 במחצבה, בהמשך עבד בתחנת דלק ובמפעל מתכת, עד שנפצע בתאונת עבודה לפני כ- 4 שנים, ומאז נאלץ להתקיים מקצבת הכנסה ומנהל הליכי תביעה מול המל"ל. הנאשם גדל לדבריו במשפחה מרובת ילדים, אביו המנוח נשא שתי נשים, ומאז מותו של האב נקלעה המשפחה למצוקה כלכלית. הנאשם נעדר הרשעות קודמות, הודה במיוחס לו והסביר זאת בקשיים כספיים, ובצורך דחוף במימון טיפול רפואי. קצינת המבחן התרשמה מאדם יציב לימודית ותעסוקתית (עד התאונה), בעל יכולות קוגניטיביות תקינות, אשר שיתף בפתיחות במצבו ו</w:t>
      </w:r>
      <w:r>
        <w:rPr>
          <w:rFonts w:ascii="FrankRuehl" w:eastAsia="Calibri" w:hAnsi="FrankRuehl" w:cs="FrankRuehl" w:hint="cs"/>
          <w:sz w:val="28"/>
          <w:szCs w:val="28"/>
          <w:rtl/>
        </w:rPr>
        <w:t>ב</w:t>
      </w:r>
      <w:r w:rsidRPr="004916DF">
        <w:rPr>
          <w:rFonts w:ascii="FrankRuehl" w:eastAsia="Calibri" w:hAnsi="FrankRuehl" w:cs="FrankRuehl"/>
          <w:sz w:val="28"/>
          <w:szCs w:val="28"/>
          <w:rtl/>
        </w:rPr>
        <w:t>קשייו, אך בצד זאת סירב להשתתף בהליך טיפולי שנועד לסייע בידו. קצינת המבחן סברה כי הנאשם מרוכז בצרכיו האישיים, מתקשה לבחון את השלכות מעשיו על הסביבה ולהכיר בחלקיו הפוגעניים. בסיכומו של התסקיר העריכה קצינת המבחן כי נשקפת מן הנאשם מסוכנות לביצוע עבירות חוזרות, כי איננו בשל בשלב זה להליך טיפולי, והמליצה להטיל עליו עונש מוחשי בצד ענישה צופה פני עתיד.</w:t>
      </w:r>
    </w:p>
    <w:p w14:paraId="5284A91B" w14:textId="77777777" w:rsidR="0099223E" w:rsidRPr="004916DF" w:rsidRDefault="0099223E" w:rsidP="0099223E">
      <w:pPr>
        <w:spacing w:line="360" w:lineRule="auto"/>
        <w:ind w:firstLine="720"/>
        <w:jc w:val="both"/>
        <w:rPr>
          <w:rFonts w:ascii="FrankRuehl" w:eastAsia="Calibri" w:hAnsi="FrankRuehl" w:cs="FrankRuehl"/>
          <w:sz w:val="28"/>
          <w:szCs w:val="28"/>
          <w:rtl/>
        </w:rPr>
      </w:pPr>
    </w:p>
    <w:p w14:paraId="4658494D" w14:textId="77777777" w:rsidR="0099223E" w:rsidRPr="004916DF" w:rsidRDefault="0099223E" w:rsidP="0099223E">
      <w:pPr>
        <w:spacing w:line="360" w:lineRule="auto"/>
        <w:ind w:firstLine="720"/>
        <w:jc w:val="both"/>
        <w:rPr>
          <w:rFonts w:ascii="FrankRuehl" w:eastAsia="Calibri" w:hAnsi="FrankRuehl" w:cs="FrankRuehl"/>
          <w:sz w:val="28"/>
          <w:szCs w:val="28"/>
          <w:rtl/>
        </w:rPr>
      </w:pPr>
      <w:r w:rsidRPr="004916DF">
        <w:rPr>
          <w:rFonts w:ascii="FrankRuehl" w:eastAsia="Calibri" w:hAnsi="FrankRuehl" w:cs="FrankRuehl"/>
          <w:sz w:val="28"/>
          <w:szCs w:val="28"/>
          <w:rtl/>
        </w:rPr>
        <w:t xml:space="preserve">חוות דעת </w:t>
      </w:r>
      <w:r>
        <w:rPr>
          <w:rFonts w:ascii="FrankRuehl" w:eastAsia="Calibri" w:hAnsi="FrankRuehl" w:cs="FrankRuehl" w:hint="cs"/>
          <w:sz w:val="28"/>
          <w:szCs w:val="28"/>
          <w:rtl/>
        </w:rPr>
        <w:t>ה</w:t>
      </w:r>
      <w:r w:rsidRPr="004916DF">
        <w:rPr>
          <w:rFonts w:ascii="FrankRuehl" w:eastAsia="Calibri" w:hAnsi="FrankRuehl" w:cs="FrankRuehl"/>
          <w:sz w:val="28"/>
          <w:szCs w:val="28"/>
          <w:rtl/>
        </w:rPr>
        <w:t>ממונה על עבודות שירות מצאה כי הנאשם מתאים לריצוי עונשו בעבודות שירות.</w:t>
      </w:r>
    </w:p>
    <w:p w14:paraId="4400D64E" w14:textId="77777777" w:rsidR="0099223E" w:rsidRPr="004916DF" w:rsidRDefault="0099223E" w:rsidP="0099223E">
      <w:pPr>
        <w:spacing w:line="360" w:lineRule="auto"/>
        <w:ind w:firstLine="720"/>
        <w:jc w:val="both"/>
        <w:rPr>
          <w:rFonts w:ascii="FrankRuehl" w:eastAsia="Calibri" w:hAnsi="FrankRuehl" w:cs="FrankRuehl"/>
          <w:sz w:val="28"/>
          <w:szCs w:val="28"/>
          <w:rtl/>
        </w:rPr>
      </w:pPr>
    </w:p>
    <w:p w14:paraId="6F2A452D" w14:textId="77777777" w:rsidR="0099223E" w:rsidRPr="004916DF" w:rsidRDefault="0099223E" w:rsidP="0099223E">
      <w:pPr>
        <w:spacing w:line="360" w:lineRule="auto"/>
        <w:jc w:val="both"/>
        <w:rPr>
          <w:rFonts w:ascii="FrankRuehl" w:hAnsi="FrankRuehl" w:cs="Miriam"/>
          <w:b/>
          <w:sz w:val="28"/>
          <w:rtl/>
        </w:rPr>
      </w:pPr>
      <w:r w:rsidRPr="004916DF">
        <w:rPr>
          <w:rFonts w:ascii="FrankRuehl" w:hAnsi="FrankRuehl" w:cs="Miriam"/>
          <w:b/>
          <w:sz w:val="28"/>
          <w:rtl/>
        </w:rPr>
        <w:t>ראיות וטיעוני הצדדים לעונש</w:t>
      </w:r>
    </w:p>
    <w:p w14:paraId="43ACBD31" w14:textId="77777777" w:rsidR="0099223E" w:rsidRPr="004916DF" w:rsidRDefault="0099223E" w:rsidP="0099223E">
      <w:pPr>
        <w:spacing w:line="360" w:lineRule="auto"/>
        <w:jc w:val="both"/>
        <w:rPr>
          <w:rFonts w:ascii="FrankRuehl" w:hAnsi="FrankRuehl" w:cs="FrankRuehl"/>
          <w:sz w:val="28"/>
          <w:szCs w:val="28"/>
          <w:rtl/>
        </w:rPr>
      </w:pPr>
    </w:p>
    <w:p w14:paraId="54E2E5BA"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eastAsia="Calibri" w:hAnsi="FrankRuehl" w:cs="FrankRuehl"/>
          <w:sz w:val="28"/>
          <w:szCs w:val="28"/>
          <w:rtl/>
        </w:rPr>
        <w:t>3.</w:t>
      </w:r>
      <w:r w:rsidRPr="004916DF">
        <w:rPr>
          <w:rFonts w:ascii="FrankRuehl" w:eastAsia="Calibri" w:hAnsi="FrankRuehl" w:cs="FrankRuehl"/>
          <w:sz w:val="28"/>
          <w:szCs w:val="28"/>
          <w:rtl/>
        </w:rPr>
        <w:tab/>
      </w:r>
      <w:r w:rsidRPr="004916DF">
        <w:rPr>
          <w:rFonts w:ascii="FrankRuehl" w:eastAsia="Calibri" w:hAnsi="FrankRuehl" w:cs="Miriam"/>
          <w:b/>
          <w:sz w:val="28"/>
          <w:rtl/>
        </w:rPr>
        <w:t>ב"כ המאשימה</w:t>
      </w:r>
      <w:r w:rsidRPr="004916DF">
        <w:rPr>
          <w:rFonts w:ascii="FrankRuehl" w:eastAsia="Calibri" w:hAnsi="FrankRuehl" w:cs="FrankRuehl"/>
          <w:sz w:val="28"/>
          <w:szCs w:val="28"/>
          <w:rtl/>
        </w:rPr>
        <w:t xml:space="preserve"> הגישה את צילום שק הקנבוס שנתפס ברשותו של הנאשם, על מנת להמחיש את גודלו וכמות הסם הרבה שהכיל (</w:t>
      </w:r>
      <w:r w:rsidRPr="004916DF">
        <w:rPr>
          <w:rFonts w:ascii="FrankRuehl" w:eastAsia="Calibri" w:hAnsi="FrankRuehl" w:cs="Miriam"/>
          <w:b/>
          <w:sz w:val="28"/>
          <w:rtl/>
        </w:rPr>
        <w:t>עת/1</w:t>
      </w:r>
      <w:r w:rsidRPr="004916DF">
        <w:rPr>
          <w:rFonts w:ascii="FrankRuehl" w:eastAsia="Calibri" w:hAnsi="FrankRuehl" w:cs="FrankRuehl"/>
          <w:sz w:val="28"/>
          <w:szCs w:val="28"/>
          <w:rtl/>
        </w:rPr>
        <w:t xml:space="preserve">). היא </w:t>
      </w:r>
      <w:r w:rsidRPr="004916DF">
        <w:rPr>
          <w:rFonts w:ascii="FrankRuehl" w:hAnsi="FrankRuehl" w:cs="FrankRuehl"/>
          <w:sz w:val="28"/>
          <w:szCs w:val="28"/>
          <w:rtl/>
        </w:rPr>
        <w:t xml:space="preserve">הפנתה לערכים המוגנים שנפגעו כתוצאה ממעשיו של הנאשם, ועתרה לקבוע מתחם ענישה בין 36-12 חודשי מאסר. לאחר שסקרה את נתוניו של הנאשם ואת תוכן התסקיר, ביקשה לקבוע את עונשו בשליש התחתון של המתחם (אך לא בתחתיתו), בצד מאסר מותנה, קנס, ופסילת רישיון הנהיגה. כן ביקשה להכריז על הנאשם סוחר </w:t>
      </w:r>
      <w:r>
        <w:rPr>
          <w:rFonts w:ascii="FrankRuehl" w:hAnsi="FrankRuehl" w:cs="FrankRuehl"/>
          <w:sz w:val="28"/>
          <w:szCs w:val="28"/>
          <w:rtl/>
        </w:rPr>
        <w:t xml:space="preserve">סמים, ולחלט את הרכב ששימש אותו </w:t>
      </w:r>
      <w:r>
        <w:rPr>
          <w:rFonts w:ascii="FrankRuehl" w:hAnsi="FrankRuehl" w:cs="FrankRuehl" w:hint="cs"/>
          <w:sz w:val="28"/>
          <w:szCs w:val="28"/>
          <w:rtl/>
        </w:rPr>
        <w:t>ב</w:t>
      </w:r>
      <w:r w:rsidRPr="004916DF">
        <w:rPr>
          <w:rFonts w:ascii="FrankRuehl" w:hAnsi="FrankRuehl" w:cs="FrankRuehl"/>
          <w:sz w:val="28"/>
          <w:szCs w:val="28"/>
          <w:rtl/>
        </w:rPr>
        <w:t>ביצוע העבירה וסך של 577 ₪ שנתפס ברשותו.</w:t>
      </w:r>
    </w:p>
    <w:p w14:paraId="1F94041D" w14:textId="77777777" w:rsidR="0099223E" w:rsidRPr="004916DF" w:rsidRDefault="0099223E" w:rsidP="0099223E">
      <w:pPr>
        <w:spacing w:line="360" w:lineRule="auto"/>
        <w:jc w:val="both"/>
        <w:rPr>
          <w:rFonts w:ascii="FrankRuehl" w:eastAsia="Calibri" w:hAnsi="FrankRuehl" w:cs="FrankRuehl"/>
          <w:sz w:val="28"/>
          <w:szCs w:val="28"/>
          <w:rtl/>
        </w:rPr>
      </w:pPr>
    </w:p>
    <w:p w14:paraId="0C6E8376" w14:textId="77777777" w:rsidR="0099223E" w:rsidRPr="004916DF" w:rsidRDefault="0099223E" w:rsidP="0099223E">
      <w:pPr>
        <w:spacing w:line="360" w:lineRule="auto"/>
        <w:ind w:firstLine="720"/>
        <w:jc w:val="both"/>
        <w:rPr>
          <w:rFonts w:ascii="FrankRuehl" w:eastAsia="Calibri" w:hAnsi="FrankRuehl" w:cs="FrankRuehl"/>
          <w:sz w:val="28"/>
          <w:szCs w:val="28"/>
          <w:rtl/>
        </w:rPr>
      </w:pPr>
      <w:r w:rsidRPr="004916DF">
        <w:rPr>
          <w:rFonts w:ascii="FrankRuehl" w:eastAsia="Calibri" w:hAnsi="FrankRuehl" w:cs="Miriam"/>
          <w:b/>
          <w:sz w:val="28"/>
          <w:rtl/>
        </w:rPr>
        <w:lastRenderedPageBreak/>
        <w:t>ב"כ הנאשם</w:t>
      </w:r>
      <w:r w:rsidRPr="004916DF">
        <w:rPr>
          <w:rFonts w:ascii="FrankRuehl" w:eastAsia="Calibri" w:hAnsi="FrankRuehl" w:cs="FrankRuehl"/>
          <w:sz w:val="28"/>
          <w:szCs w:val="28"/>
          <w:rtl/>
        </w:rPr>
        <w:t xml:space="preserve"> עמד על גילו הצעיר של הנאשם, נעדר הרשעות קודמות, אשר ביצע את העבירה על רקע מצוקה כספית קשה והצורך לממן טיפולי פוריות יקרים. הנאשם הודה במיוחס לו וקיבל אחריות על מעשיו. הוא נתון בתנאי מעצר בית מלא מזה כשנה תמימה, במהלכה איננו עובד ואינו יכול לפרנס את משפחתו. לטענת ב"כ הנאשם, הוא החזיק אמנם כ- 11 ק"ג סם מסוג קנבוס, אך החומר הפעיל מהווה רק 10% מהכמות. לאחר שהציג פסיקה והתייחס לפסקי הדין שהוגשו ע"י ב"כ המאשימה, עתר לגזור על הנאשם 3 חודשי מאסר לריצוי בעבודות שירות, בצד קנס מרתיע.</w:t>
      </w:r>
    </w:p>
    <w:p w14:paraId="06B5FED1" w14:textId="77777777" w:rsidR="0099223E" w:rsidRPr="004916DF" w:rsidRDefault="0099223E" w:rsidP="0099223E">
      <w:pPr>
        <w:spacing w:line="360" w:lineRule="auto"/>
        <w:ind w:firstLine="720"/>
        <w:jc w:val="both"/>
        <w:rPr>
          <w:rFonts w:ascii="FrankRuehl" w:eastAsia="Calibri" w:hAnsi="FrankRuehl" w:cs="FrankRuehl"/>
          <w:sz w:val="28"/>
          <w:szCs w:val="28"/>
          <w:rtl/>
        </w:rPr>
      </w:pPr>
    </w:p>
    <w:p w14:paraId="0EFD4D34" w14:textId="77777777" w:rsidR="0099223E" w:rsidRPr="004916DF" w:rsidRDefault="0099223E" w:rsidP="0099223E">
      <w:pPr>
        <w:spacing w:line="360" w:lineRule="auto"/>
        <w:ind w:firstLine="720"/>
        <w:jc w:val="both"/>
        <w:rPr>
          <w:rFonts w:ascii="FrankRuehl" w:eastAsia="Calibri" w:hAnsi="FrankRuehl" w:cs="FrankRuehl"/>
          <w:sz w:val="28"/>
          <w:szCs w:val="28"/>
          <w:rtl/>
        </w:rPr>
      </w:pPr>
      <w:r w:rsidRPr="004916DF">
        <w:rPr>
          <w:rFonts w:ascii="FrankRuehl" w:eastAsia="Calibri" w:hAnsi="FrankRuehl" w:cs="FrankRuehl"/>
          <w:sz w:val="28"/>
          <w:szCs w:val="28"/>
          <w:rtl/>
        </w:rPr>
        <w:t>הנאשם ביקש כי בית המשפט יתחשב בו ובמצבו.</w:t>
      </w:r>
    </w:p>
    <w:p w14:paraId="26877CFD" w14:textId="77777777" w:rsidR="0099223E" w:rsidRPr="004916DF" w:rsidRDefault="0099223E" w:rsidP="0099223E">
      <w:pPr>
        <w:spacing w:line="360" w:lineRule="auto"/>
        <w:jc w:val="both"/>
        <w:rPr>
          <w:rFonts w:ascii="FrankRuehl" w:eastAsia="Calibri" w:hAnsi="FrankRuehl" w:cs="FrankRuehl"/>
          <w:sz w:val="28"/>
          <w:szCs w:val="28"/>
          <w:rtl/>
        </w:rPr>
      </w:pPr>
    </w:p>
    <w:p w14:paraId="36D2B91F" w14:textId="77777777" w:rsidR="0099223E" w:rsidRPr="004916DF" w:rsidRDefault="0099223E" w:rsidP="0099223E">
      <w:pPr>
        <w:spacing w:line="360" w:lineRule="auto"/>
        <w:jc w:val="both"/>
        <w:rPr>
          <w:rFonts w:ascii="FrankRuehl" w:hAnsi="FrankRuehl" w:cs="FrankRuehl"/>
          <w:sz w:val="28"/>
          <w:szCs w:val="28"/>
          <w:rtl/>
        </w:rPr>
      </w:pPr>
      <w:r w:rsidRPr="004916DF">
        <w:rPr>
          <w:rFonts w:ascii="FrankRuehl" w:hAnsi="FrankRuehl" w:cs="Miriam"/>
          <w:b/>
          <w:sz w:val="28"/>
          <w:rtl/>
        </w:rPr>
        <w:t>דיון</w:t>
      </w:r>
    </w:p>
    <w:p w14:paraId="4D14B17A" w14:textId="77777777" w:rsidR="0099223E" w:rsidRPr="004916DF" w:rsidRDefault="0099223E" w:rsidP="0099223E">
      <w:pPr>
        <w:spacing w:line="360" w:lineRule="auto"/>
        <w:jc w:val="both"/>
        <w:rPr>
          <w:rFonts w:ascii="FrankRuehl" w:hAnsi="FrankRuehl" w:cs="FrankRuehl"/>
          <w:sz w:val="28"/>
          <w:szCs w:val="28"/>
          <w:rtl/>
        </w:rPr>
      </w:pPr>
    </w:p>
    <w:p w14:paraId="2DE97FA5" w14:textId="77777777" w:rsidR="0099223E" w:rsidRPr="004916DF" w:rsidRDefault="0099223E" w:rsidP="0099223E">
      <w:pPr>
        <w:spacing w:line="360" w:lineRule="auto"/>
        <w:jc w:val="both"/>
        <w:rPr>
          <w:rFonts w:ascii="FrankRuehl" w:hAnsi="FrankRuehl" w:cs="FrankRuehl"/>
          <w:sz w:val="28"/>
          <w:szCs w:val="28"/>
          <w:rtl/>
        </w:rPr>
      </w:pPr>
      <w:r w:rsidRPr="004916DF">
        <w:rPr>
          <w:rFonts w:ascii="FrankRuehl" w:hAnsi="FrankRuehl" w:cs="Miriam"/>
          <w:b/>
          <w:sz w:val="28"/>
          <w:rtl/>
        </w:rPr>
        <w:t>מדיניות הענישה הנוהגת</w:t>
      </w:r>
    </w:p>
    <w:p w14:paraId="71D2AD1D" w14:textId="77777777" w:rsidR="0099223E" w:rsidRPr="004916DF" w:rsidRDefault="0099223E" w:rsidP="0099223E">
      <w:pPr>
        <w:spacing w:line="360" w:lineRule="auto"/>
        <w:jc w:val="both"/>
        <w:rPr>
          <w:rFonts w:ascii="FrankRuehl" w:hAnsi="FrankRuehl" w:cs="FrankRuehl"/>
          <w:sz w:val="28"/>
          <w:szCs w:val="28"/>
          <w:rtl/>
        </w:rPr>
      </w:pPr>
    </w:p>
    <w:p w14:paraId="3A481903" w14:textId="77777777" w:rsidR="0099223E" w:rsidRPr="004916DF" w:rsidRDefault="0099223E" w:rsidP="0099223E">
      <w:pPr>
        <w:spacing w:line="360" w:lineRule="auto"/>
        <w:jc w:val="both"/>
        <w:rPr>
          <w:rFonts w:ascii="FrankRuehl" w:hAnsi="FrankRuehl" w:cs="FrankRuehl"/>
          <w:sz w:val="28"/>
          <w:szCs w:val="28"/>
          <w:rtl/>
        </w:rPr>
      </w:pPr>
      <w:r w:rsidRPr="004916DF">
        <w:rPr>
          <w:rFonts w:ascii="FrankRuehl" w:hAnsi="FrankRuehl" w:cs="FrankRuehl"/>
          <w:sz w:val="28"/>
          <w:szCs w:val="28"/>
          <w:rtl/>
        </w:rPr>
        <w:t>4.</w:t>
      </w:r>
      <w:r w:rsidRPr="004916DF">
        <w:rPr>
          <w:rFonts w:ascii="FrankRuehl" w:hAnsi="FrankRuehl" w:cs="FrankRuehl"/>
          <w:sz w:val="28"/>
          <w:szCs w:val="28"/>
          <w:rtl/>
        </w:rPr>
        <w:tab/>
        <w:t xml:space="preserve">עבירת החזקת סם שלא לצריכה עצמית, </w:t>
      </w:r>
      <w:r>
        <w:rPr>
          <w:rFonts w:ascii="FrankRuehl" w:hAnsi="FrankRuehl" w:cs="FrankRuehl" w:hint="cs"/>
          <w:sz w:val="28"/>
          <w:szCs w:val="28"/>
          <w:rtl/>
        </w:rPr>
        <w:t>"</w:t>
      </w:r>
      <w:r w:rsidRPr="004916DF">
        <w:rPr>
          <w:rFonts w:ascii="FrankRuehl" w:hAnsi="FrankRuehl" w:cs="FrankRuehl"/>
          <w:sz w:val="28"/>
          <w:szCs w:val="28"/>
          <w:rtl/>
        </w:rPr>
        <w:t>אחותה התאומה</w:t>
      </w:r>
      <w:r>
        <w:rPr>
          <w:rFonts w:ascii="FrankRuehl" w:hAnsi="FrankRuehl" w:cs="FrankRuehl" w:hint="cs"/>
          <w:sz w:val="28"/>
          <w:szCs w:val="28"/>
          <w:rtl/>
        </w:rPr>
        <w:t>"</w:t>
      </w:r>
      <w:r w:rsidRPr="004916DF">
        <w:rPr>
          <w:rFonts w:ascii="FrankRuehl" w:hAnsi="FrankRuehl" w:cs="FrankRuehl"/>
          <w:sz w:val="28"/>
          <w:szCs w:val="28"/>
          <w:rtl/>
        </w:rPr>
        <w:t xml:space="preserve"> של עבירת הסחר בסמים, הפכה למרבה הצער לתופעה שכיחה ונפוצה בחברה, חרף הנזקים החמורים הנגרמים בעטיה. בחינת הענישה הנוהגת מגלה קשת עונשים רחבה, בה כל צד יכול למצוא פסקי דין שיאפשרו לו "למשוך" בכיוון הרצוי לו. מכאן, לא ראיתי לסקור את פסקי הדין אליהם הפנו הצדדים (ולמען הסר ספק, בחנתי אותם בעיון), ואפנה למדגם מצומצם, מייצג ועדכני ככל הניתן מפסיקת בית המשפט העליון.</w:t>
      </w:r>
    </w:p>
    <w:p w14:paraId="7AF45C15" w14:textId="77777777" w:rsidR="0099223E" w:rsidRPr="004916DF" w:rsidRDefault="0099223E" w:rsidP="0099223E">
      <w:pPr>
        <w:spacing w:line="360" w:lineRule="auto"/>
        <w:jc w:val="both"/>
        <w:rPr>
          <w:rFonts w:ascii="FrankRuehl" w:hAnsi="FrankRuehl" w:cs="FrankRuehl"/>
          <w:sz w:val="28"/>
          <w:szCs w:val="28"/>
          <w:rtl/>
        </w:rPr>
      </w:pPr>
    </w:p>
    <w:p w14:paraId="0B7D8339" w14:textId="77777777" w:rsidR="0099223E" w:rsidRPr="004916DF" w:rsidRDefault="0099223E" w:rsidP="0099223E">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4916DF">
        <w:rPr>
          <w:rFonts w:ascii="FrankRuehl" w:hAnsi="FrankRuehl" w:cs="FrankRuehl"/>
          <w:spacing w:val="10"/>
          <w:sz w:val="28"/>
          <w:szCs w:val="28"/>
          <w:rtl/>
        </w:rPr>
        <w:tab/>
      </w:r>
      <w:hyperlink r:id="rId17" w:history="1">
        <w:r w:rsidR="00FC7115" w:rsidRPr="00FC7115">
          <w:rPr>
            <w:rFonts w:ascii="FrankRuehl" w:hAnsi="FrankRuehl" w:cs="FrankRuehl"/>
            <w:color w:val="0000FF"/>
            <w:spacing w:val="10"/>
            <w:sz w:val="28"/>
            <w:szCs w:val="28"/>
            <w:u w:val="single"/>
            <w:rtl/>
          </w:rPr>
          <w:t>רע"פ 3084/21</w:t>
        </w:r>
      </w:hyperlink>
      <w:r w:rsidRPr="004916DF">
        <w:rPr>
          <w:rFonts w:ascii="FrankRuehl" w:hAnsi="FrankRuehl" w:cs="FrankRuehl"/>
          <w:spacing w:val="10"/>
          <w:sz w:val="28"/>
          <w:szCs w:val="28"/>
          <w:rtl/>
        </w:rPr>
        <w:t xml:space="preserve"> </w:t>
      </w:r>
      <w:r w:rsidRPr="004916DF">
        <w:rPr>
          <w:rFonts w:ascii="FrankRuehl" w:hAnsi="FrankRuehl" w:cs="Miriam"/>
          <w:b/>
          <w:spacing w:val="10"/>
          <w:sz w:val="28"/>
          <w:rtl/>
        </w:rPr>
        <w:t>יוסף יאגודייב נ' מדינת ישראל</w:t>
      </w:r>
      <w:r w:rsidRPr="004916DF">
        <w:rPr>
          <w:rFonts w:ascii="FrankRuehl" w:hAnsi="FrankRuehl" w:cs="FrankRuehl"/>
          <w:spacing w:val="10"/>
          <w:sz w:val="28"/>
          <w:szCs w:val="28"/>
          <w:rtl/>
        </w:rPr>
        <w:t xml:space="preserve"> (12.5.21, להלן: </w:t>
      </w:r>
      <w:r w:rsidRPr="004916DF">
        <w:rPr>
          <w:rFonts w:ascii="FrankRuehl" w:hAnsi="FrankRuehl" w:cs="Miriam"/>
          <w:b/>
          <w:spacing w:val="10"/>
          <w:sz w:val="28"/>
          <w:rtl/>
        </w:rPr>
        <w:t>ענין יאגודייב</w:t>
      </w:r>
      <w:r w:rsidRPr="004916DF">
        <w:rPr>
          <w:rFonts w:ascii="FrankRuehl" w:hAnsi="FrankRuehl" w:cs="FrankRuehl"/>
          <w:spacing w:val="10"/>
          <w:sz w:val="28"/>
          <w:szCs w:val="28"/>
          <w:rtl/>
        </w:rPr>
        <w:t xml:space="preserve">). המבקש הורשע בהתאם להודאתו בעבירה של החזקת סם שלא לצריכה עצמית. </w:t>
      </w:r>
      <w:r w:rsidRPr="004916DF">
        <w:rPr>
          <w:rFonts w:ascii="Garamond" w:hAnsi="Garamond" w:cs="FrankRuehl"/>
          <w:spacing w:val="10"/>
          <w:szCs w:val="28"/>
          <w:rtl/>
        </w:rPr>
        <w:t>במסגרת "תרגיל" משטרתי התקשר שוטר לאדם המוכר בעיסוקו בסחר בסמים וביקש לרכו</w:t>
      </w:r>
      <w:r w:rsidRPr="004916DF">
        <w:rPr>
          <w:rFonts w:ascii="FrankRuehl" w:hAnsi="FrankRuehl" w:cs="FrankRuehl"/>
          <w:spacing w:val="10"/>
          <w:sz w:val="28"/>
          <w:szCs w:val="28"/>
          <w:rtl/>
        </w:rPr>
        <w:t>ש ממנו סם מסוכן מסוג קנבוס. לאחר תיאום טלפוני, הציע הסוחר למכור לשוטר סם בכמות של 9 ק"ג, והשניים סיכמו להיפגש לצורך ביצוע העסקה. משהגיע השוטר למקום המפגש, ניגש אליו אדם נוסף ומסר לו כי רכב עם הסם יגיע תוך דקות ספורות. לאחר מספר דקות, הגיע למקום המבקש כשהוא נוהג ברכב. משפנו אליו השוטר והאדם הנוסף, פנה המבקש לשוטר, אמר לו "זה בבגאז'", ופתח את מנעול תא המטען. בשלב זה, האדם הנוסף הרים את מכסה תא המטען והצביע בפני השוטר על תיקים המאוחסנים בתא, ובתוכם סם מסוכן מסוג קנבוס במשקל כולל של 9.9 ק"ג. בית משפט השלום גזר על המבקש 12 חודשי מאסר בפועל, לאחר שלקח בחשבון את המלצת שירות המבחן לענישה שיקומית, ומנגד את העובדה שהמבקש טרם השתלב בהליך טיפולי משמעותי, את עברו הפלילי ואת חלקו בהפצת הסם. ערעור המבקש לבית המשפט המחוזי נדחה, וכך גם הבקשה לרשות ערעור.</w:t>
      </w:r>
    </w:p>
    <w:p w14:paraId="691FE344" w14:textId="77777777" w:rsidR="0099223E" w:rsidRPr="004916DF" w:rsidRDefault="0099223E" w:rsidP="0099223E">
      <w:pPr>
        <w:spacing w:line="360" w:lineRule="auto"/>
        <w:jc w:val="both"/>
        <w:rPr>
          <w:rFonts w:ascii="FrankRuehl" w:eastAsia="Calibri" w:hAnsi="FrankRuehl" w:cs="FrankRuehl"/>
          <w:sz w:val="28"/>
          <w:szCs w:val="28"/>
          <w:rtl/>
        </w:rPr>
      </w:pPr>
    </w:p>
    <w:p w14:paraId="075EA570"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eastAsia="Calibri" w:hAnsi="FrankRuehl" w:cs="FrankRuehl"/>
          <w:sz w:val="28"/>
          <w:szCs w:val="28"/>
          <w:rtl/>
        </w:rPr>
        <w:tab/>
      </w:r>
      <w:hyperlink r:id="rId18" w:history="1">
        <w:r w:rsidR="00FC7115" w:rsidRPr="00FC7115">
          <w:rPr>
            <w:rFonts w:ascii="FrankRuehl" w:eastAsia="Calibri" w:hAnsi="FrankRuehl" w:cs="FrankRuehl"/>
            <w:color w:val="0000FF"/>
            <w:sz w:val="28"/>
            <w:szCs w:val="28"/>
            <w:u w:val="single"/>
            <w:rtl/>
          </w:rPr>
          <w:t>רע"פ 513/21</w:t>
        </w:r>
      </w:hyperlink>
      <w:r w:rsidRPr="004916DF">
        <w:rPr>
          <w:rFonts w:ascii="FrankRuehl" w:eastAsia="Calibri" w:hAnsi="FrankRuehl" w:cs="FrankRuehl"/>
          <w:sz w:val="28"/>
          <w:szCs w:val="28"/>
          <w:rtl/>
        </w:rPr>
        <w:t xml:space="preserve"> </w:t>
      </w:r>
      <w:r w:rsidRPr="004916DF">
        <w:rPr>
          <w:rFonts w:ascii="FrankRuehl" w:eastAsia="Calibri" w:hAnsi="FrankRuehl" w:cs="Miriam"/>
          <w:b/>
          <w:sz w:val="28"/>
          <w:rtl/>
        </w:rPr>
        <w:t>עידן יהושע נ' מדינת ישראל</w:t>
      </w:r>
      <w:r w:rsidRPr="004916DF">
        <w:rPr>
          <w:rFonts w:ascii="FrankRuehl" w:eastAsia="Calibri" w:hAnsi="FrankRuehl" w:cs="FrankRuehl"/>
          <w:sz w:val="28"/>
          <w:szCs w:val="28"/>
          <w:rtl/>
        </w:rPr>
        <w:t xml:space="preserve"> (4.3.21). המבקש הורשע בהתאם להודאתו בייצור סמים מסוכנים, בכך שהקים במחסן בחצר הדירה בה התגורר עם משפחתו מעבדה לגידול סמים, בה גידל 60 שתילי קנבוס במשקל כולל של 10 ק"ג. בית משפט השלום קבע מתחם ענישה בין 24-6 חודשי מאסר, ודינו של המבקש נגזר בחריגה לקולה מהמתחם, ל- 150 שעות של"צ, צו מבחן ועונשים נלווים. ערעור המדינה על קולת העונש התקבל, ובית המשפט המחוזי העמיד את עונשו של המבקש על 10 חודשי מאסר בפועל. בקשת רשות ערעור נדחתה.</w:t>
      </w:r>
    </w:p>
    <w:p w14:paraId="54FD6538" w14:textId="77777777" w:rsidR="0099223E" w:rsidRPr="004916DF" w:rsidRDefault="0099223E" w:rsidP="0099223E">
      <w:pPr>
        <w:spacing w:line="360" w:lineRule="auto"/>
        <w:jc w:val="both"/>
        <w:rPr>
          <w:rFonts w:ascii="FrankRuehl" w:eastAsia="Calibri" w:hAnsi="FrankRuehl" w:cs="FrankRuehl"/>
          <w:sz w:val="28"/>
          <w:szCs w:val="28"/>
          <w:rtl/>
        </w:rPr>
      </w:pPr>
    </w:p>
    <w:p w14:paraId="182103A4"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eastAsia="Calibri" w:hAnsi="FrankRuehl" w:cs="FrankRuehl"/>
          <w:sz w:val="28"/>
          <w:szCs w:val="28"/>
          <w:rtl/>
        </w:rPr>
        <w:tab/>
      </w:r>
      <w:hyperlink r:id="rId19" w:history="1">
        <w:r w:rsidR="00FC7115" w:rsidRPr="00FC7115">
          <w:rPr>
            <w:rFonts w:ascii="FrankRuehl" w:eastAsia="Calibri" w:hAnsi="FrankRuehl" w:cs="FrankRuehl"/>
            <w:color w:val="0000FF"/>
            <w:sz w:val="28"/>
            <w:szCs w:val="28"/>
            <w:u w:val="single"/>
            <w:rtl/>
          </w:rPr>
          <w:t>רע"פ 7819/15</w:t>
        </w:r>
      </w:hyperlink>
      <w:r w:rsidRPr="004916DF">
        <w:rPr>
          <w:rFonts w:ascii="FrankRuehl" w:eastAsia="Calibri" w:hAnsi="FrankRuehl" w:cs="FrankRuehl"/>
          <w:sz w:val="28"/>
          <w:szCs w:val="28"/>
          <w:rtl/>
        </w:rPr>
        <w:t xml:space="preserve"> </w:t>
      </w:r>
      <w:r w:rsidRPr="004916DF">
        <w:rPr>
          <w:rFonts w:ascii="FrankRuehl" w:eastAsia="Calibri" w:hAnsi="FrankRuehl" w:cs="Miriam"/>
          <w:b/>
          <w:sz w:val="28"/>
          <w:rtl/>
        </w:rPr>
        <w:t xml:space="preserve">עופר סלור נ' מדינת ישראל </w:t>
      </w:r>
      <w:r w:rsidRPr="004916DF">
        <w:rPr>
          <w:rFonts w:ascii="FrankRuehl" w:eastAsia="Calibri" w:hAnsi="FrankRuehl" w:cs="FrankRuehl"/>
          <w:sz w:val="28"/>
          <w:szCs w:val="28"/>
          <w:rtl/>
        </w:rPr>
        <w:t xml:space="preserve">(22.5.16, להלן: </w:t>
      </w:r>
      <w:r w:rsidRPr="004916DF">
        <w:rPr>
          <w:rFonts w:ascii="FrankRuehl" w:eastAsia="Calibri" w:hAnsi="FrankRuehl" w:cs="Miriam"/>
          <w:b/>
          <w:sz w:val="28"/>
          <w:rtl/>
        </w:rPr>
        <w:t>ענין סלור</w:t>
      </w:r>
      <w:r w:rsidRPr="004916DF">
        <w:rPr>
          <w:rFonts w:ascii="FrankRuehl" w:eastAsia="Calibri" w:hAnsi="FrankRuehl" w:cs="FrankRuehl"/>
          <w:sz w:val="28"/>
          <w:szCs w:val="28"/>
          <w:rtl/>
        </w:rPr>
        <w:t>). המבקש הורשע בהתאם להודאתו בהחזקת סמים שלא לצריכה עצמית וגידול סמים, בכך שהקים בביתו מעבדת סמים בה גידל 45 שתילים של סם מסוג קנבוס, במשקל 7.44 ק"ג. בית משפט השלום קבע מתחם ענישה בין 18-7 חודשי מאסר, וגזר את עונשו של המבקש ל- 9 חודשי מאסר בפועל ועונשים נלווים. ערעורו על חומרת העונש נדחה, וכך גם בקשתו לרשות ערעור.</w:t>
      </w:r>
    </w:p>
    <w:p w14:paraId="45956C71" w14:textId="77777777" w:rsidR="0099223E" w:rsidRPr="004916DF" w:rsidRDefault="0099223E" w:rsidP="0099223E">
      <w:pPr>
        <w:spacing w:line="360" w:lineRule="auto"/>
        <w:jc w:val="both"/>
        <w:rPr>
          <w:rFonts w:ascii="FrankRuehl" w:eastAsia="Calibri" w:hAnsi="FrankRuehl" w:cs="FrankRuehl"/>
          <w:sz w:val="28"/>
          <w:szCs w:val="28"/>
          <w:rtl/>
        </w:rPr>
      </w:pPr>
    </w:p>
    <w:p w14:paraId="106DF7EE"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eastAsia="Calibri" w:hAnsi="FrankRuehl" w:cs="FrankRuehl"/>
          <w:sz w:val="28"/>
          <w:szCs w:val="28"/>
          <w:rtl/>
        </w:rPr>
        <w:tab/>
      </w:r>
      <w:hyperlink r:id="rId20" w:history="1">
        <w:r w:rsidR="00FC7115" w:rsidRPr="00FC7115">
          <w:rPr>
            <w:rFonts w:ascii="FrankRuehl" w:eastAsia="Calibri" w:hAnsi="FrankRuehl" w:cs="FrankRuehl"/>
            <w:color w:val="0000FF"/>
            <w:sz w:val="28"/>
            <w:szCs w:val="28"/>
            <w:u w:val="single"/>
            <w:rtl/>
          </w:rPr>
          <w:t>רע"פ 1830/16</w:t>
        </w:r>
      </w:hyperlink>
      <w:r w:rsidRPr="004916DF">
        <w:rPr>
          <w:rFonts w:ascii="FrankRuehl" w:eastAsia="Calibri" w:hAnsi="FrankRuehl" w:cs="FrankRuehl"/>
          <w:sz w:val="28"/>
          <w:szCs w:val="28"/>
          <w:rtl/>
        </w:rPr>
        <w:t xml:space="preserve"> </w:t>
      </w:r>
      <w:r w:rsidRPr="004916DF">
        <w:rPr>
          <w:rFonts w:ascii="FrankRuehl" w:eastAsia="Calibri" w:hAnsi="FrankRuehl" w:cs="Miriam"/>
          <w:b/>
          <w:sz w:val="28"/>
          <w:rtl/>
        </w:rPr>
        <w:t xml:space="preserve">סאלם רקיבי נ' מדינת ישראל </w:t>
      </w:r>
      <w:r w:rsidRPr="004916DF">
        <w:rPr>
          <w:rFonts w:ascii="FrankRuehl" w:eastAsia="Calibri" w:hAnsi="FrankRuehl" w:cs="FrankRuehl"/>
          <w:sz w:val="28"/>
          <w:szCs w:val="28"/>
          <w:rtl/>
        </w:rPr>
        <w:t>(11.4.16). המבקש הורשע בהתאם להודאתו בהחזקת סמים שלא לצריכה עצמית, לאחר שברכב בו נהג נתפס סם מסוג חשיש במשקל כ- 2.3 ק"ג. בית משפט השלום קבע מתחם ענישה בין 15-6 חודשי מאסר, וגזר את עונשו של המבקש ל- 8 חודשי מאסר בפועל ועונשים נלווים. ערעורו לבית המשפט המחוזי נדחה, וכך גם בקשת רשות ערעור.</w:t>
      </w:r>
    </w:p>
    <w:p w14:paraId="65CD26DF" w14:textId="77777777" w:rsidR="0099223E" w:rsidRPr="004916DF" w:rsidRDefault="0099223E" w:rsidP="0099223E">
      <w:pPr>
        <w:spacing w:line="360" w:lineRule="auto"/>
        <w:jc w:val="both"/>
        <w:rPr>
          <w:rFonts w:ascii="FrankRuehl" w:eastAsia="Calibri" w:hAnsi="FrankRuehl" w:cs="FrankRuehl"/>
          <w:sz w:val="28"/>
          <w:szCs w:val="28"/>
          <w:rtl/>
        </w:rPr>
      </w:pPr>
    </w:p>
    <w:p w14:paraId="0A5928CF"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eastAsia="Calibri" w:hAnsi="FrankRuehl" w:cs="FrankRuehl"/>
          <w:sz w:val="28"/>
          <w:szCs w:val="28"/>
          <w:rtl/>
        </w:rPr>
        <w:tab/>
      </w:r>
      <w:hyperlink r:id="rId21" w:history="1">
        <w:r w:rsidR="00FC7115" w:rsidRPr="00FC7115">
          <w:rPr>
            <w:rFonts w:ascii="FrankRuehl" w:eastAsia="Calibri" w:hAnsi="FrankRuehl" w:cs="FrankRuehl"/>
            <w:color w:val="0000FF"/>
            <w:sz w:val="28"/>
            <w:szCs w:val="28"/>
            <w:u w:val="single"/>
            <w:rtl/>
          </w:rPr>
          <w:t>רע"פ 1787/15</w:t>
        </w:r>
      </w:hyperlink>
      <w:r w:rsidRPr="004916DF">
        <w:rPr>
          <w:rFonts w:ascii="FrankRuehl" w:eastAsia="Calibri" w:hAnsi="FrankRuehl" w:cs="FrankRuehl"/>
          <w:sz w:val="28"/>
          <w:szCs w:val="28"/>
          <w:rtl/>
        </w:rPr>
        <w:t xml:space="preserve"> </w:t>
      </w:r>
      <w:r w:rsidRPr="004916DF">
        <w:rPr>
          <w:rFonts w:ascii="FrankRuehl" w:eastAsia="Calibri" w:hAnsi="FrankRuehl" w:cs="Miriam"/>
          <w:b/>
          <w:sz w:val="28"/>
          <w:rtl/>
        </w:rPr>
        <w:t xml:space="preserve">אדי עמר נ' מדינת ישראל </w:t>
      </w:r>
      <w:r w:rsidRPr="004916DF">
        <w:rPr>
          <w:rFonts w:ascii="FrankRuehl" w:eastAsia="Calibri" w:hAnsi="FrankRuehl" w:cs="FrankRuehl"/>
          <w:sz w:val="28"/>
          <w:szCs w:val="28"/>
          <w:rtl/>
        </w:rPr>
        <w:t>(24.3.15). המבקש הורשע בהתאם להודאתו בגידול סמים, החזקת סמים שלא לצריכה עצמית והחזקת כלים להכנת סם שלא לצריכה עצמית, לאחר שבחיפוש בבית מגוריו נמצאו 9 שתילי סם מסוג קנבוס במשקל כ- 4.4 ק"ג, ובנוסף נתפסו כלים לייצור הסמים וסכומי כסף נכבדים. בית משפט השלום גזר את עונשו ל- 8 חודשי מאסר בפועל ועונשים נלווים. ערעורו לבית המשפט המחוזי נדחה, וכך גם הבקשה לרשות ערעור.</w:t>
      </w:r>
    </w:p>
    <w:p w14:paraId="197F40FA" w14:textId="77777777" w:rsidR="0099223E" w:rsidRPr="004916DF" w:rsidRDefault="0099223E" w:rsidP="0099223E">
      <w:pPr>
        <w:spacing w:line="360" w:lineRule="auto"/>
        <w:jc w:val="both"/>
        <w:rPr>
          <w:rFonts w:ascii="FrankRuehl" w:eastAsia="Calibri" w:hAnsi="FrankRuehl" w:cs="FrankRuehl"/>
          <w:sz w:val="28"/>
          <w:szCs w:val="28"/>
          <w:rtl/>
        </w:rPr>
      </w:pPr>
    </w:p>
    <w:p w14:paraId="41EC7E01"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eastAsia="Calibri" w:hAnsi="FrankRuehl" w:cs="Miriam"/>
          <w:b/>
          <w:sz w:val="28"/>
          <w:rtl/>
        </w:rPr>
        <w:t>מתחם העונש ההולם</w:t>
      </w:r>
    </w:p>
    <w:p w14:paraId="28AAB545" w14:textId="77777777" w:rsidR="0099223E" w:rsidRPr="004916DF" w:rsidRDefault="0099223E" w:rsidP="0099223E">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4916DF">
        <w:rPr>
          <w:rFonts w:ascii="FrankRuehl" w:hAnsi="FrankRuehl" w:cs="FrankRuehl"/>
          <w:spacing w:val="10"/>
          <w:sz w:val="28"/>
          <w:szCs w:val="28"/>
          <w:rtl/>
        </w:rPr>
        <w:tab/>
      </w:r>
    </w:p>
    <w:p w14:paraId="37F8E7CA" w14:textId="77777777" w:rsidR="0099223E" w:rsidRPr="004916DF" w:rsidRDefault="0099223E" w:rsidP="0099223E">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r w:rsidRPr="004916DF">
        <w:rPr>
          <w:rFonts w:ascii="Garamond" w:hAnsi="Garamond" w:cs="FrankRuehl"/>
          <w:spacing w:val="10"/>
          <w:szCs w:val="28"/>
          <w:rtl/>
        </w:rPr>
        <w:t>5.</w:t>
      </w:r>
      <w:r w:rsidRPr="004916DF">
        <w:rPr>
          <w:rFonts w:ascii="Garamond" w:hAnsi="Garamond" w:cs="FrankRuehl"/>
          <w:spacing w:val="10"/>
          <w:szCs w:val="28"/>
          <w:rtl/>
        </w:rPr>
        <w:tab/>
        <w:t xml:space="preserve">לא למותר לשוב ולהדגיש את </w:t>
      </w:r>
      <w:r w:rsidRPr="004916DF">
        <w:rPr>
          <w:rFonts w:ascii="FrankRuehl" w:hAnsi="FrankRuehl" w:cs="FrankRuehl"/>
          <w:sz w:val="28"/>
          <w:szCs w:val="28"/>
          <w:rtl/>
        </w:rPr>
        <w:t>חובתה של מערכת המשפט לסייע בהגנה על שלומו, בטחונו ובריאותו של הציבור מפני פגיעתם הקשה של הסמים. הנאשם החזיק כ- 11 ק"ג סמים מסוג קנבוס שלא נועדו לצריכתו העצמית, משמע – נועדו למטרות סחר. לא לחינם גזר המחוקק גזירה שווה בין העונש שנקבע בצדה של עבירת הסחר בסמים לבין זה שנקבע בצדה של עבירת החזקת סם שלא לצריכה עצמית. מדובר בשני צדדים של אותו המטבע, ובשני המקרים העבירות פוגעות בציבור באופן קשה ומשמעותי</w:t>
      </w:r>
      <w:r w:rsidRPr="004916DF">
        <w:rPr>
          <w:rFonts w:ascii="Garamond" w:hAnsi="Garamond" w:cs="FrankRuehl"/>
          <w:spacing w:val="10"/>
          <w:szCs w:val="28"/>
          <w:rtl/>
        </w:rPr>
        <w:t>.</w:t>
      </w:r>
    </w:p>
    <w:p w14:paraId="62E11469" w14:textId="77777777" w:rsidR="0099223E" w:rsidRPr="004916DF" w:rsidRDefault="0099223E" w:rsidP="0099223E">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6FD8ECCA" w14:textId="77777777" w:rsidR="0099223E" w:rsidRPr="004916DF" w:rsidRDefault="0099223E" w:rsidP="0099223E">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r w:rsidRPr="004916DF">
        <w:rPr>
          <w:rFonts w:ascii="Garamond" w:hAnsi="Garamond" w:cs="FrankRuehl"/>
          <w:spacing w:val="10"/>
          <w:szCs w:val="28"/>
          <w:rtl/>
        </w:rPr>
        <w:tab/>
        <w:t xml:space="preserve">כמות הסמים שהחזיק </w:t>
      </w:r>
      <w:r>
        <w:rPr>
          <w:rFonts w:ascii="Garamond" w:hAnsi="Garamond" w:cs="FrankRuehl" w:hint="cs"/>
          <w:spacing w:val="10"/>
          <w:szCs w:val="28"/>
          <w:rtl/>
        </w:rPr>
        <w:t>הנאשם</w:t>
      </w:r>
      <w:r w:rsidRPr="004916DF">
        <w:rPr>
          <w:rFonts w:ascii="Garamond" w:hAnsi="Garamond" w:cs="FrankRuehl"/>
          <w:spacing w:val="10"/>
          <w:szCs w:val="28"/>
          <w:rtl/>
        </w:rPr>
        <w:t xml:space="preserve"> מספיקה להכנת מאות מנות סם, ומכאן ניתן </w:t>
      </w:r>
      <w:r>
        <w:rPr>
          <w:rFonts w:ascii="Garamond" w:hAnsi="Garamond" w:cs="FrankRuehl" w:hint="cs"/>
          <w:spacing w:val="10"/>
          <w:szCs w:val="28"/>
          <w:rtl/>
        </w:rPr>
        <w:t>להעריך</w:t>
      </w:r>
      <w:r w:rsidRPr="004916DF">
        <w:rPr>
          <w:rFonts w:ascii="Garamond" w:hAnsi="Garamond" w:cs="FrankRuehl"/>
          <w:spacing w:val="10"/>
          <w:szCs w:val="28"/>
          <w:rtl/>
        </w:rPr>
        <w:t xml:space="preserve"> את הנזק שעלול היה להסב לציבור. ראו ענין יאגודייב: "בית משפט זה הדגיש לא אחת את החומרה הרבה שיש לייחס לעבירות סמים, המצריכות ענישה משמעותית ומרתיעה תוך נקיטת יד קשה כלפי כל המעורבים בשרשרת ביצוע העבירה".</w:t>
      </w:r>
    </w:p>
    <w:p w14:paraId="7000E9C1" w14:textId="77777777" w:rsidR="0099223E" w:rsidRPr="004916DF" w:rsidRDefault="0099223E" w:rsidP="0099223E">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6E14925D" w14:textId="77777777" w:rsidR="0099223E" w:rsidRPr="004916DF" w:rsidRDefault="0099223E" w:rsidP="0099223E">
      <w:pPr>
        <w:spacing w:line="360" w:lineRule="auto"/>
        <w:ind w:firstLine="720"/>
        <w:jc w:val="both"/>
        <w:rPr>
          <w:rFonts w:ascii="FrankRuehl" w:hAnsi="FrankRuehl" w:cs="FrankRuehl"/>
          <w:sz w:val="28"/>
          <w:szCs w:val="28"/>
          <w:rtl/>
        </w:rPr>
      </w:pPr>
      <w:r w:rsidRPr="004916DF">
        <w:rPr>
          <w:rFonts w:ascii="FrankRuehl" w:hAnsi="FrankRuehl" w:cs="FrankRuehl"/>
          <w:b/>
          <w:sz w:val="28"/>
          <w:szCs w:val="28"/>
          <w:rtl/>
        </w:rPr>
        <w:t xml:space="preserve">לאחר שבחנתי את השיקולים המנויים </w:t>
      </w:r>
      <w:hyperlink r:id="rId22" w:history="1">
        <w:r w:rsidR="004A1465" w:rsidRPr="004A1465">
          <w:rPr>
            <w:rStyle w:val="Hyperlink"/>
            <w:rFonts w:ascii="FrankRuehl" w:hAnsi="FrankRuehl" w:cs="FrankRuehl"/>
            <w:b/>
            <w:sz w:val="28"/>
            <w:szCs w:val="28"/>
            <w:rtl/>
          </w:rPr>
          <w:t>בסעיפים 40ג(א)</w:t>
        </w:r>
      </w:hyperlink>
      <w:r w:rsidRPr="004916DF">
        <w:rPr>
          <w:rFonts w:ascii="FrankRuehl" w:hAnsi="FrankRuehl" w:cs="FrankRuehl"/>
          <w:b/>
          <w:sz w:val="28"/>
          <w:szCs w:val="28"/>
          <w:rtl/>
        </w:rPr>
        <w:t xml:space="preserve"> ו- </w:t>
      </w:r>
      <w:hyperlink r:id="rId23" w:history="1">
        <w:r w:rsidR="004A1465" w:rsidRPr="004A1465">
          <w:rPr>
            <w:rStyle w:val="Hyperlink"/>
            <w:rFonts w:ascii="FrankRuehl" w:hAnsi="FrankRuehl" w:cs="FrankRuehl"/>
            <w:b/>
            <w:sz w:val="28"/>
            <w:szCs w:val="28"/>
            <w:rtl/>
          </w:rPr>
          <w:t>40ט</w:t>
        </w:r>
      </w:hyperlink>
      <w:r w:rsidRPr="004916DF">
        <w:rPr>
          <w:rFonts w:ascii="FrankRuehl" w:hAnsi="FrankRuehl" w:cs="FrankRuehl"/>
          <w:b/>
          <w:sz w:val="28"/>
          <w:szCs w:val="28"/>
          <w:rtl/>
        </w:rPr>
        <w:t xml:space="preserve"> ל</w:t>
      </w:r>
      <w:hyperlink r:id="rId24" w:history="1">
        <w:r w:rsidR="00FC7115" w:rsidRPr="00FC7115">
          <w:rPr>
            <w:rFonts w:ascii="FrankRuehl" w:hAnsi="FrankRuehl" w:cs="FrankRuehl"/>
            <w:b/>
            <w:color w:val="0000FF"/>
            <w:sz w:val="28"/>
            <w:szCs w:val="28"/>
            <w:u w:val="single"/>
            <w:rtl/>
          </w:rPr>
          <w:t>חוק העונשין</w:t>
        </w:r>
      </w:hyperlink>
      <w:r w:rsidRPr="004916DF">
        <w:rPr>
          <w:rFonts w:ascii="FrankRuehl" w:hAnsi="FrankRuehl" w:cs="FrankRuehl"/>
          <w:b/>
          <w:sz w:val="28"/>
          <w:szCs w:val="28"/>
          <w:rtl/>
        </w:rPr>
        <w:t xml:space="preserve">, תשל"ז-1977 (להלן: </w:t>
      </w:r>
      <w:r w:rsidRPr="004916DF">
        <w:rPr>
          <w:rFonts w:ascii="Miriam" w:hAnsi="Miriam" w:cs="Miriam"/>
          <w:b/>
          <w:rtl/>
        </w:rPr>
        <w:t>חוק העונשין</w:t>
      </w:r>
      <w:r w:rsidRPr="004916DF">
        <w:rPr>
          <w:rFonts w:ascii="FrankRuehl" w:hAnsi="FrankRuehl" w:cs="FrankRuehl"/>
          <w:b/>
          <w:sz w:val="28"/>
          <w:szCs w:val="28"/>
          <w:rtl/>
        </w:rPr>
        <w:t xml:space="preserve">), בהתחשב בנסיבות ביצוע העבירה, בעיקרון ההלימה, בענישה הנוהגת ובחובה להילחם באופן תדיר ועיקש בנגע הסמים, </w:t>
      </w:r>
      <w:r w:rsidRPr="004916DF">
        <w:rPr>
          <w:rFonts w:ascii="FrankRuehl" w:hAnsi="FrankRuehl" w:cs="Miriam"/>
          <w:b/>
          <w:sz w:val="28"/>
          <w:rtl/>
        </w:rPr>
        <w:t>מצאתי להעמיד את מתחם העונש ההולם בין 24-12 חודשי מאסר בפועל</w:t>
      </w:r>
      <w:r w:rsidRPr="004916DF">
        <w:rPr>
          <w:rFonts w:ascii="FrankRuehl" w:hAnsi="FrankRuehl" w:cs="FrankRuehl"/>
          <w:sz w:val="28"/>
          <w:szCs w:val="28"/>
          <w:rtl/>
        </w:rPr>
        <w:t>.</w:t>
      </w:r>
    </w:p>
    <w:p w14:paraId="263FE05D" w14:textId="77777777" w:rsidR="0099223E" w:rsidRPr="004916DF" w:rsidRDefault="0099223E" w:rsidP="0099223E">
      <w:pPr>
        <w:spacing w:line="360" w:lineRule="auto"/>
        <w:jc w:val="both"/>
        <w:rPr>
          <w:rFonts w:ascii="FrankRuehl" w:eastAsia="Calibri" w:hAnsi="FrankRuehl" w:cs="FrankRuehl"/>
          <w:sz w:val="28"/>
          <w:szCs w:val="28"/>
          <w:rtl/>
        </w:rPr>
      </w:pPr>
    </w:p>
    <w:p w14:paraId="7B8F1CE2" w14:textId="77777777" w:rsidR="0099223E" w:rsidRPr="004916DF" w:rsidRDefault="0099223E" w:rsidP="0099223E">
      <w:pPr>
        <w:spacing w:line="360" w:lineRule="auto"/>
        <w:jc w:val="both"/>
        <w:rPr>
          <w:rFonts w:ascii="FrankRuehl" w:eastAsia="Calibri" w:hAnsi="FrankRuehl" w:cs="Miriam"/>
          <w:b/>
          <w:sz w:val="28"/>
          <w:rtl/>
        </w:rPr>
      </w:pPr>
      <w:r w:rsidRPr="004916DF">
        <w:rPr>
          <w:rFonts w:ascii="FrankRuehl" w:eastAsia="Calibri" w:hAnsi="FrankRuehl" w:cs="Miriam"/>
          <w:b/>
          <w:sz w:val="28"/>
          <w:rtl/>
        </w:rPr>
        <w:t>גזירת העונש המתאים לנאשם</w:t>
      </w:r>
    </w:p>
    <w:p w14:paraId="3C5406C8" w14:textId="77777777" w:rsidR="0099223E" w:rsidRPr="004916DF" w:rsidRDefault="0099223E" w:rsidP="0099223E">
      <w:pPr>
        <w:spacing w:line="360" w:lineRule="auto"/>
        <w:jc w:val="both"/>
        <w:rPr>
          <w:rFonts w:ascii="FrankRuehl" w:eastAsia="Calibri" w:hAnsi="FrankRuehl" w:cs="Miriam"/>
          <w:b/>
          <w:sz w:val="28"/>
          <w:rtl/>
        </w:rPr>
      </w:pPr>
    </w:p>
    <w:p w14:paraId="7E950A15"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eastAsia="Calibri" w:hAnsi="FrankRuehl" w:cs="FrankRuehl"/>
          <w:sz w:val="28"/>
          <w:szCs w:val="28"/>
          <w:rtl/>
        </w:rPr>
        <w:t>6.</w:t>
      </w:r>
      <w:r w:rsidRPr="004916DF">
        <w:rPr>
          <w:rFonts w:ascii="FrankRuehl" w:eastAsia="Calibri" w:hAnsi="FrankRuehl" w:cs="FrankRuehl"/>
          <w:sz w:val="28"/>
          <w:szCs w:val="28"/>
          <w:rtl/>
        </w:rPr>
        <w:tab/>
      </w:r>
      <w:r w:rsidRPr="004916DF">
        <w:rPr>
          <w:rFonts w:ascii="FrankRuehl" w:eastAsia="Calibri" w:hAnsi="FrankRuehl" w:cs="Miriam"/>
          <w:b/>
          <w:sz w:val="28"/>
          <w:rtl/>
        </w:rPr>
        <w:t>לזכותו של הנאשם:</w:t>
      </w:r>
      <w:r w:rsidRPr="004916DF">
        <w:rPr>
          <w:rFonts w:ascii="FrankRuehl" w:eastAsia="Calibri" w:hAnsi="FrankRuehl" w:cs="FrankRuehl"/>
          <w:sz w:val="28"/>
          <w:szCs w:val="28"/>
          <w:rtl/>
        </w:rPr>
        <w:t xml:space="preserve"> המדובר בבחור צעיר בן כ- 28, נעדר הרשעות קודמות כלשהן. הוא הודה במיוחס לו בהזדמנות הראשונה, קיבל אחריות על מעשיו, חשף בפתיחות את המניע הכספי שעמד בבסיס ביצוע העבירה, ושיתף פעולה עם שירות המבחן (הגם שזה לא מצא לבוא בהמלצה טיפולית-שיקומית). הנאשם היה נתון תקופה ממושכת (כשנה) בתנאים מגבילים קשוחים בדמות מעצר בית מלא. כן התחשבתי במצבו הכלכלי הקשה של הנאשם, במצבו המשפחתי ובכך ששליחתו למאסר ממש עלולה לפגוע בטיפולי הפוריות שעוברים בני הזוג (אם כי בענין זה ייאמר שלא הוצגו מסמכים רפואיים).</w:t>
      </w:r>
    </w:p>
    <w:p w14:paraId="36B0C941" w14:textId="77777777" w:rsidR="0099223E" w:rsidRPr="004916DF" w:rsidRDefault="0099223E" w:rsidP="0099223E">
      <w:pPr>
        <w:spacing w:line="360" w:lineRule="auto"/>
        <w:ind w:firstLine="720"/>
        <w:jc w:val="both"/>
        <w:rPr>
          <w:rFonts w:ascii="FrankRuehl" w:eastAsia="Calibri" w:hAnsi="FrankRuehl" w:cs="FrankRuehl"/>
          <w:sz w:val="28"/>
          <w:szCs w:val="28"/>
          <w:rtl/>
        </w:rPr>
      </w:pPr>
    </w:p>
    <w:p w14:paraId="3725A5BF" w14:textId="77777777" w:rsidR="0099223E" w:rsidRPr="004916DF" w:rsidRDefault="0099223E" w:rsidP="0099223E">
      <w:pPr>
        <w:spacing w:line="360" w:lineRule="auto"/>
        <w:ind w:firstLine="720"/>
        <w:jc w:val="both"/>
        <w:rPr>
          <w:rFonts w:ascii="FrankRuehl" w:eastAsia="Calibri" w:hAnsi="FrankRuehl" w:cs="FrankRuehl"/>
          <w:sz w:val="28"/>
          <w:szCs w:val="28"/>
          <w:rtl/>
        </w:rPr>
      </w:pPr>
      <w:r w:rsidRPr="004916DF">
        <w:rPr>
          <w:rFonts w:ascii="FrankRuehl" w:eastAsia="Calibri" w:hAnsi="FrankRuehl" w:cs="Miriam"/>
          <w:b/>
          <w:sz w:val="28"/>
          <w:rtl/>
        </w:rPr>
        <w:t>לחובתו של הנאשם:</w:t>
      </w:r>
      <w:r w:rsidRPr="004916DF">
        <w:rPr>
          <w:rFonts w:ascii="FrankRuehl" w:eastAsia="Calibri" w:hAnsi="FrankRuehl" w:cs="FrankRuehl"/>
          <w:sz w:val="28"/>
          <w:szCs w:val="28"/>
          <w:rtl/>
        </w:rPr>
        <w:t xml:space="preserve"> מידת התובנה שגילה הנאשם ביחס לחומרת מעשיו אינה גבוהה, הוא לא עבר הליך טיפולי כלשהו, ומקובלת עליי חוות דעתה של קצינת המבחן באשר למידת המסוכנות שעודנה נשקפת ממנו.</w:t>
      </w:r>
    </w:p>
    <w:p w14:paraId="3A544FC7" w14:textId="77777777" w:rsidR="0099223E" w:rsidRPr="004916DF" w:rsidRDefault="0099223E" w:rsidP="0099223E">
      <w:pPr>
        <w:spacing w:line="360" w:lineRule="auto"/>
        <w:jc w:val="both"/>
        <w:rPr>
          <w:rFonts w:ascii="FrankRuehl" w:eastAsia="Calibri" w:hAnsi="FrankRuehl" w:cs="FrankRuehl"/>
          <w:sz w:val="28"/>
          <w:szCs w:val="28"/>
          <w:rtl/>
        </w:rPr>
      </w:pPr>
    </w:p>
    <w:p w14:paraId="4F855265" w14:textId="77777777" w:rsidR="0099223E" w:rsidRPr="004916DF" w:rsidRDefault="0099223E" w:rsidP="0099223E">
      <w:pPr>
        <w:spacing w:line="360" w:lineRule="auto"/>
        <w:jc w:val="both"/>
        <w:rPr>
          <w:rFonts w:ascii="FrankRuehl" w:eastAsia="Calibri" w:hAnsi="FrankRuehl" w:cs="FrankRuehl"/>
          <w:sz w:val="28"/>
          <w:szCs w:val="28"/>
          <w:rtl/>
        </w:rPr>
      </w:pPr>
      <w:r w:rsidRPr="004916DF">
        <w:rPr>
          <w:rFonts w:ascii="FrankRuehl" w:eastAsia="Calibri" w:hAnsi="FrankRuehl" w:cs="FrankRuehl"/>
          <w:sz w:val="28"/>
          <w:szCs w:val="28"/>
          <w:rtl/>
        </w:rPr>
        <w:tab/>
        <w:t>בניגוד לעמדת המאשימה, אינני סבור כי יש להעמיד את עונשו של הנאשם מעבר לחלקו התחתון של מתחם הענישה, ומנגד לא הוצג נימוק כלשהו המצדיק חריגה לקולה מן המתחם. נשוב ונזכור את כמות הסם הגדולה שהחזיק הנאשם, ואת פגיעתם הקשה של הסמים בכל רבדי החברה. בהקשר זה אין בידי לקבל את טענת בא כוחו של הנאשם באשר לאחוז החומר הפעיל בסם. ראשית, המדובר בטענה בעלמא שלא הוכחה ועומדת לכאורה בסתירה לכתב האישום בו הורשע הנאשם בהתאם להודאתו. שנית, גם אילו הוכחה הטענה, אין בכך כל רבותה. הנאשם נותן את הדין בגין משקלו הכולל של הסם אותו החזיק.</w:t>
      </w:r>
    </w:p>
    <w:p w14:paraId="48B6C302" w14:textId="77777777" w:rsidR="0099223E" w:rsidRPr="004916DF" w:rsidRDefault="0099223E" w:rsidP="0099223E">
      <w:pPr>
        <w:spacing w:line="360" w:lineRule="auto"/>
        <w:jc w:val="both"/>
        <w:rPr>
          <w:rFonts w:ascii="FrankRuehl" w:eastAsia="Calibri" w:hAnsi="FrankRuehl" w:cs="FrankRuehl"/>
          <w:sz w:val="28"/>
          <w:szCs w:val="28"/>
          <w:rtl/>
        </w:rPr>
      </w:pPr>
    </w:p>
    <w:p w14:paraId="26640729" w14:textId="77777777" w:rsidR="0099223E" w:rsidRPr="004916DF" w:rsidRDefault="0099223E" w:rsidP="0099223E">
      <w:pPr>
        <w:spacing w:line="360" w:lineRule="auto"/>
        <w:jc w:val="both"/>
        <w:rPr>
          <w:rFonts w:ascii="FrankRuehl" w:eastAsia="Calibri" w:hAnsi="FrankRuehl" w:cs="FrankRuehl"/>
          <w:sz w:val="28"/>
          <w:szCs w:val="28"/>
          <w:rtl/>
        </w:rPr>
      </w:pPr>
      <w:r>
        <w:rPr>
          <w:rFonts w:ascii="FrankRuehl" w:eastAsia="Calibri" w:hAnsi="FrankRuehl" w:cs="FrankRuehl" w:hint="cs"/>
          <w:sz w:val="28"/>
          <w:szCs w:val="28"/>
          <w:rtl/>
        </w:rPr>
        <w:t>7.</w:t>
      </w:r>
      <w:r>
        <w:rPr>
          <w:rFonts w:ascii="FrankRuehl" w:eastAsia="Calibri" w:hAnsi="FrankRuehl" w:cs="FrankRuehl" w:hint="cs"/>
          <w:sz w:val="28"/>
          <w:szCs w:val="28"/>
          <w:rtl/>
        </w:rPr>
        <w:tab/>
      </w:r>
      <w:r w:rsidRPr="004916DF">
        <w:rPr>
          <w:rFonts w:ascii="FrankRuehl" w:eastAsia="Calibri" w:hAnsi="FrankRuehl" w:cs="FrankRuehl"/>
          <w:sz w:val="28"/>
          <w:szCs w:val="28"/>
          <w:rtl/>
        </w:rPr>
        <w:t>אשר לרכיבים הכספיים: הנאשם הודה בהגינותו כי ביצע את העבירה לשם בצע כסף. גם אלמלא הודייתו, המטרה האחת והיחידה המניעה את תשתית עבירות הסחר בסמים היא כלכלית, ומשכך חובה לפגוע במישרין בכיסם של העבריינים (וכאמור, עבירת החזקת סם שלא לצריכה עצמית היא "אחותה התאומה" של עבירת הסחר).</w:t>
      </w:r>
    </w:p>
    <w:p w14:paraId="667364CB" w14:textId="77777777" w:rsidR="0099223E" w:rsidRPr="004916DF" w:rsidRDefault="0099223E" w:rsidP="0099223E">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73EEA2B9" w14:textId="77777777" w:rsidR="0099223E" w:rsidRPr="004916DF" w:rsidRDefault="0099223E" w:rsidP="0099223E">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r>
        <w:rPr>
          <w:rFonts w:ascii="Garamond" w:hAnsi="Garamond" w:cs="FrankRuehl" w:hint="cs"/>
          <w:spacing w:val="10"/>
          <w:szCs w:val="28"/>
          <w:rtl/>
        </w:rPr>
        <w:t>8.</w:t>
      </w:r>
      <w:r w:rsidRPr="004916DF">
        <w:rPr>
          <w:rFonts w:ascii="Garamond" w:hAnsi="Garamond" w:cs="FrankRuehl"/>
          <w:spacing w:val="10"/>
          <w:szCs w:val="28"/>
          <w:rtl/>
        </w:rPr>
        <w:tab/>
        <w:t>אשר לעתירתה של המאשימה להכריז על הנאשם כסוחר סמים ולהורות על חילוט מכוניתו ששימשה בביצוע העבירה והכסף שנתפס בידיו: אמנם, הכרזה על נאשם כ"סוחר סמים" צריכה להיקבע במסגרת הכרעת הדין (</w:t>
      </w:r>
      <w:hyperlink r:id="rId25" w:history="1">
        <w:r w:rsidR="004A1465" w:rsidRPr="004A1465">
          <w:rPr>
            <w:rStyle w:val="Hyperlink"/>
            <w:rFonts w:ascii="Garamond" w:hAnsi="Garamond" w:cs="FrankRuehl" w:hint="eastAsia"/>
            <w:spacing w:val="10"/>
            <w:szCs w:val="28"/>
            <w:rtl/>
          </w:rPr>
          <w:t>סעיף</w:t>
        </w:r>
        <w:r w:rsidR="004A1465" w:rsidRPr="004A1465">
          <w:rPr>
            <w:rStyle w:val="Hyperlink"/>
            <w:rFonts w:ascii="Garamond" w:hAnsi="Garamond" w:cs="FrankRuehl"/>
            <w:spacing w:val="10"/>
            <w:szCs w:val="28"/>
            <w:rtl/>
          </w:rPr>
          <w:t xml:space="preserve"> 36</w:t>
        </w:r>
        <w:r w:rsidR="004A1465" w:rsidRPr="004A1465">
          <w:rPr>
            <w:rStyle w:val="Hyperlink"/>
            <w:rFonts w:ascii="Garamond" w:hAnsi="Garamond" w:cs="FrankRuehl" w:hint="eastAsia"/>
            <w:spacing w:val="10"/>
            <w:szCs w:val="28"/>
            <w:rtl/>
          </w:rPr>
          <w:t>א</w:t>
        </w:r>
        <w:r w:rsidR="004A1465" w:rsidRPr="004A1465">
          <w:rPr>
            <w:rStyle w:val="Hyperlink"/>
            <w:rFonts w:ascii="Garamond" w:hAnsi="Garamond" w:cs="FrankRuehl"/>
            <w:spacing w:val="10"/>
            <w:szCs w:val="28"/>
            <w:rtl/>
          </w:rPr>
          <w:t>(</w:t>
        </w:r>
        <w:r w:rsidR="004A1465" w:rsidRPr="004A1465">
          <w:rPr>
            <w:rStyle w:val="Hyperlink"/>
            <w:rFonts w:ascii="Garamond" w:hAnsi="Garamond" w:cs="FrankRuehl" w:hint="eastAsia"/>
            <w:spacing w:val="10"/>
            <w:szCs w:val="28"/>
            <w:rtl/>
          </w:rPr>
          <w:t>ב</w:t>
        </w:r>
        <w:r w:rsidR="004A1465" w:rsidRPr="004A1465">
          <w:rPr>
            <w:rStyle w:val="Hyperlink"/>
            <w:rFonts w:ascii="Garamond" w:hAnsi="Garamond" w:cs="FrankRuehl"/>
            <w:spacing w:val="10"/>
            <w:szCs w:val="28"/>
            <w:rtl/>
          </w:rPr>
          <w:t>)</w:t>
        </w:r>
      </w:hyperlink>
      <w:r w:rsidRPr="004916DF">
        <w:rPr>
          <w:rFonts w:ascii="Garamond" w:hAnsi="Garamond" w:cs="FrankRuehl"/>
          <w:spacing w:val="10"/>
          <w:szCs w:val="28"/>
          <w:rtl/>
        </w:rPr>
        <w:t xml:space="preserve"> לפקודת הסמים). מנגד, אין חולק על כך שבקשה זו של המאשימה כלולה בכתב האישום המתוקן בו הורשע הנאשם בהתאם להודייתו; כי עוד בהודעה על ההסדר הודיעה המאשימה שבשלב הטיעונים לעונש תבקש לממש את בקשתה ולהורות על חילוט הרכוש; וכי ההגנה, בהגינותה, לא כפרה באפשרות להכריז בשלב זה על הנאשם כסוחר סמים ולחלט את רכושו, ויותר מכך, לא הביאה נימוקים כלשהם להימנע מההכרזה ומחילוט הרכוש. לגופה של בקשה: מי שמחזיק כמות כה נכבדה של סמים שלא לצריכה עצמית, מגלה כי מעשיו נועדו למטרת סחר בסמים – הא ותו לא, ומכאן שאין מנוס אלא להכריז עליו כסוחר סמים, על המשמעויות הנגזרות מכך. עוד בהקשר זה ראו ענין סלור (פסקאות 17-14). זאת ועוד: ניתן היה לחלט את הרכב והכסף גם ללא הכרזה על הנאשם כסוחר סמים, בשל כך שמדובר בחפצים ששימשו בביצוע עבירה. </w:t>
      </w:r>
    </w:p>
    <w:p w14:paraId="24E59163" w14:textId="77777777" w:rsidR="0099223E" w:rsidRPr="004916DF" w:rsidRDefault="0099223E" w:rsidP="0099223E">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16075850" w14:textId="77777777" w:rsidR="0099223E" w:rsidRPr="004916DF" w:rsidRDefault="0099223E" w:rsidP="0099223E">
      <w:pPr>
        <w:spacing w:line="360" w:lineRule="auto"/>
        <w:jc w:val="both"/>
        <w:rPr>
          <w:rFonts w:ascii="FrankRuehl" w:hAnsi="FrankRuehl" w:cs="FrankRuehl"/>
          <w:sz w:val="28"/>
          <w:szCs w:val="28"/>
          <w:rtl/>
        </w:rPr>
      </w:pPr>
      <w:r>
        <w:rPr>
          <w:rFonts w:ascii="Garamond" w:hAnsi="Garamond" w:cs="FrankRuehl" w:hint="cs"/>
          <w:spacing w:val="10"/>
          <w:szCs w:val="28"/>
          <w:rtl/>
        </w:rPr>
        <w:t>9.</w:t>
      </w:r>
      <w:r w:rsidRPr="004916DF">
        <w:rPr>
          <w:rFonts w:ascii="Garamond" w:hAnsi="Garamond" w:cs="FrankRuehl"/>
          <w:spacing w:val="10"/>
          <w:szCs w:val="28"/>
          <w:rtl/>
        </w:rPr>
        <w:tab/>
        <w:t xml:space="preserve">לנוכח המקובץ </w:t>
      </w:r>
      <w:r w:rsidRPr="004916DF">
        <w:rPr>
          <w:rFonts w:ascii="FrankRuehl" w:hAnsi="FrankRuehl" w:cs="FrankRuehl"/>
          <w:sz w:val="28"/>
          <w:szCs w:val="28"/>
          <w:rtl/>
        </w:rPr>
        <w:t>החלטתי לגזור על הנאשם את העונשים הבאים:</w:t>
      </w:r>
    </w:p>
    <w:p w14:paraId="32D3A445" w14:textId="77777777" w:rsidR="0099223E" w:rsidRPr="004916DF" w:rsidRDefault="0099223E" w:rsidP="0099223E">
      <w:pPr>
        <w:spacing w:line="360" w:lineRule="auto"/>
        <w:jc w:val="both"/>
        <w:rPr>
          <w:rFonts w:ascii="FrankRuehl" w:hAnsi="FrankRuehl" w:cs="FrankRuehl"/>
          <w:sz w:val="28"/>
          <w:szCs w:val="28"/>
          <w:rtl/>
        </w:rPr>
      </w:pPr>
    </w:p>
    <w:p w14:paraId="7C51AF2C" w14:textId="77777777" w:rsidR="0099223E" w:rsidRPr="004916DF" w:rsidRDefault="0099223E" w:rsidP="0099223E">
      <w:pPr>
        <w:spacing w:line="360" w:lineRule="auto"/>
        <w:ind w:left="1440" w:hanging="720"/>
        <w:jc w:val="both"/>
        <w:rPr>
          <w:rFonts w:ascii="FrankRuehl" w:hAnsi="FrankRuehl" w:cs="FrankRuehl"/>
          <w:sz w:val="28"/>
          <w:szCs w:val="28"/>
          <w:rtl/>
        </w:rPr>
      </w:pPr>
      <w:r w:rsidRPr="004916DF">
        <w:rPr>
          <w:rFonts w:ascii="FrankRuehl" w:hAnsi="FrankRuehl" w:cs="FrankRuehl"/>
          <w:sz w:val="28"/>
          <w:szCs w:val="28"/>
          <w:rtl/>
        </w:rPr>
        <w:t>א.</w:t>
      </w:r>
      <w:r w:rsidRPr="004916DF">
        <w:rPr>
          <w:rFonts w:ascii="FrankRuehl" w:hAnsi="FrankRuehl" w:cs="FrankRuehl"/>
          <w:sz w:val="28"/>
          <w:szCs w:val="28"/>
          <w:rtl/>
        </w:rPr>
        <w:tab/>
        <w:t>12 חודשי מאסר בפועל.</w:t>
      </w:r>
    </w:p>
    <w:p w14:paraId="64BA2F75" w14:textId="77777777" w:rsidR="0099223E" w:rsidRPr="004916DF" w:rsidRDefault="0099223E" w:rsidP="0099223E">
      <w:pPr>
        <w:spacing w:line="360" w:lineRule="auto"/>
        <w:ind w:left="1440"/>
        <w:jc w:val="both"/>
        <w:rPr>
          <w:rFonts w:ascii="FrankRuehl" w:hAnsi="FrankRuehl" w:cs="FrankRuehl"/>
          <w:sz w:val="28"/>
          <w:szCs w:val="28"/>
          <w:rtl/>
        </w:rPr>
      </w:pPr>
    </w:p>
    <w:p w14:paraId="55BB7ABD" w14:textId="77777777" w:rsidR="0099223E" w:rsidRPr="004916DF" w:rsidRDefault="0099223E" w:rsidP="0099223E">
      <w:pPr>
        <w:spacing w:line="360" w:lineRule="auto"/>
        <w:ind w:left="1440" w:hanging="720"/>
        <w:jc w:val="both"/>
        <w:rPr>
          <w:rFonts w:ascii="FrankRuehl" w:hAnsi="FrankRuehl" w:cs="FrankRuehl"/>
          <w:sz w:val="28"/>
          <w:szCs w:val="28"/>
          <w:rtl/>
        </w:rPr>
      </w:pPr>
      <w:r w:rsidRPr="004916DF">
        <w:rPr>
          <w:rFonts w:ascii="FrankRuehl" w:hAnsi="FrankRuehl" w:cs="FrankRuehl"/>
          <w:sz w:val="28"/>
          <w:szCs w:val="28"/>
          <w:rtl/>
        </w:rPr>
        <w:t>ב.</w:t>
      </w:r>
      <w:r w:rsidRPr="004916DF">
        <w:rPr>
          <w:rFonts w:ascii="FrankRuehl" w:hAnsi="FrankRuehl" w:cs="FrankRuehl"/>
          <w:sz w:val="28"/>
          <w:szCs w:val="28"/>
          <w:rtl/>
        </w:rPr>
        <w:tab/>
        <w:t>6 חודשי מאסר אותם לא ירצה הנאשם אלא אם יעבור בתוך שלוש שנים עבירה על פקודת הסמים מסוג פשע.</w:t>
      </w:r>
    </w:p>
    <w:p w14:paraId="14607955" w14:textId="77777777" w:rsidR="0099223E" w:rsidRPr="004916DF" w:rsidRDefault="0099223E" w:rsidP="0099223E">
      <w:pPr>
        <w:spacing w:line="360" w:lineRule="auto"/>
        <w:ind w:left="1440" w:hanging="720"/>
        <w:jc w:val="both"/>
        <w:rPr>
          <w:rFonts w:ascii="FrankRuehl" w:hAnsi="FrankRuehl" w:cs="FrankRuehl"/>
          <w:sz w:val="28"/>
          <w:szCs w:val="28"/>
          <w:rtl/>
        </w:rPr>
      </w:pPr>
      <w:r w:rsidRPr="004916DF">
        <w:rPr>
          <w:rFonts w:ascii="FrankRuehl" w:hAnsi="FrankRuehl" w:cs="FrankRuehl"/>
          <w:sz w:val="28"/>
          <w:szCs w:val="28"/>
          <w:rtl/>
        </w:rPr>
        <w:tab/>
      </w:r>
    </w:p>
    <w:p w14:paraId="541B6F18" w14:textId="77777777" w:rsidR="0099223E" w:rsidRPr="004916DF" w:rsidRDefault="0099223E" w:rsidP="0099223E">
      <w:pPr>
        <w:spacing w:line="360" w:lineRule="auto"/>
        <w:ind w:left="1440" w:hanging="720"/>
        <w:jc w:val="both"/>
        <w:rPr>
          <w:rFonts w:ascii="FrankRuehl" w:hAnsi="FrankRuehl" w:cs="FrankRuehl"/>
          <w:sz w:val="28"/>
          <w:szCs w:val="28"/>
          <w:rtl/>
        </w:rPr>
      </w:pPr>
      <w:r w:rsidRPr="004916DF">
        <w:rPr>
          <w:rFonts w:ascii="FrankRuehl" w:hAnsi="FrankRuehl" w:cs="FrankRuehl"/>
          <w:sz w:val="28"/>
          <w:szCs w:val="28"/>
          <w:rtl/>
        </w:rPr>
        <w:tab/>
        <w:t>3 חודשי מאסר אותם לא ירצה הנאשם אלא אם יעבור בתוך שלוש שנים עבירה על פקודת הסמים מסוג עוון.</w:t>
      </w:r>
    </w:p>
    <w:p w14:paraId="3B81D4EB" w14:textId="77777777" w:rsidR="0099223E" w:rsidRPr="004916DF" w:rsidRDefault="0099223E" w:rsidP="0099223E">
      <w:pPr>
        <w:spacing w:line="360" w:lineRule="auto"/>
        <w:ind w:left="1440" w:hanging="720"/>
        <w:jc w:val="both"/>
        <w:rPr>
          <w:rFonts w:ascii="FrankRuehl" w:hAnsi="FrankRuehl" w:cs="FrankRuehl"/>
          <w:sz w:val="28"/>
          <w:szCs w:val="28"/>
          <w:rtl/>
        </w:rPr>
      </w:pPr>
    </w:p>
    <w:p w14:paraId="7ED2161B" w14:textId="77777777" w:rsidR="0099223E" w:rsidRPr="004916DF" w:rsidRDefault="0099223E" w:rsidP="0099223E">
      <w:pPr>
        <w:spacing w:line="360" w:lineRule="auto"/>
        <w:ind w:left="1440" w:hanging="720"/>
        <w:jc w:val="both"/>
        <w:rPr>
          <w:rFonts w:ascii="FrankRuehl" w:hAnsi="FrankRuehl" w:cs="FrankRuehl"/>
          <w:sz w:val="28"/>
          <w:szCs w:val="28"/>
          <w:rtl/>
        </w:rPr>
      </w:pPr>
      <w:r w:rsidRPr="004916DF">
        <w:rPr>
          <w:rFonts w:ascii="FrankRuehl" w:hAnsi="FrankRuehl" w:cs="FrankRuehl"/>
          <w:sz w:val="28"/>
          <w:szCs w:val="28"/>
          <w:rtl/>
        </w:rPr>
        <w:t>ג.</w:t>
      </w:r>
      <w:r w:rsidRPr="004916DF">
        <w:rPr>
          <w:rFonts w:ascii="FrankRuehl" w:hAnsi="FrankRuehl" w:cs="FrankRuehl"/>
          <w:sz w:val="28"/>
          <w:szCs w:val="28"/>
          <w:rtl/>
        </w:rPr>
        <w:tab/>
        <w:t xml:space="preserve">קנס בסך 5,000 ₪ או 3 חודשי מאסר תמורתו. הקנס ישולם ב- 5 תשלומים חודשיים שווים ורצופים, החל מיום 10.7.21 ובכל 10 בחודש שלאחריו. לא ישולם איזה מהתשלומים במועדו, תעמוד יתרת הקנס לפירעון מידי. </w:t>
      </w:r>
    </w:p>
    <w:p w14:paraId="5CA708BC" w14:textId="77777777" w:rsidR="0099223E" w:rsidRPr="004916DF" w:rsidRDefault="0099223E" w:rsidP="0099223E">
      <w:pPr>
        <w:spacing w:line="360" w:lineRule="auto"/>
        <w:ind w:left="1440" w:hanging="720"/>
        <w:jc w:val="both"/>
        <w:rPr>
          <w:rFonts w:ascii="FrankRuehl" w:hAnsi="FrankRuehl" w:cs="FrankRuehl"/>
          <w:sz w:val="28"/>
          <w:szCs w:val="28"/>
          <w:rtl/>
        </w:rPr>
      </w:pPr>
    </w:p>
    <w:p w14:paraId="0F07091D" w14:textId="77777777" w:rsidR="0099223E" w:rsidRPr="004916DF" w:rsidRDefault="0099223E" w:rsidP="0099223E">
      <w:pPr>
        <w:spacing w:line="360" w:lineRule="auto"/>
        <w:ind w:left="1440" w:hanging="720"/>
        <w:jc w:val="both"/>
        <w:rPr>
          <w:rFonts w:ascii="FrankRuehl" w:hAnsi="FrankRuehl" w:cs="FrankRuehl"/>
          <w:sz w:val="28"/>
          <w:szCs w:val="28"/>
          <w:rtl/>
        </w:rPr>
      </w:pPr>
      <w:r w:rsidRPr="004916DF">
        <w:rPr>
          <w:rFonts w:ascii="FrankRuehl" w:hAnsi="FrankRuehl" w:cs="FrankRuehl"/>
          <w:sz w:val="28"/>
          <w:szCs w:val="28"/>
          <w:rtl/>
        </w:rPr>
        <w:t xml:space="preserve">ד. </w:t>
      </w:r>
      <w:r w:rsidRPr="004916DF">
        <w:rPr>
          <w:rFonts w:ascii="FrankRuehl" w:hAnsi="FrankRuehl" w:cs="FrankRuehl"/>
          <w:sz w:val="28"/>
          <w:szCs w:val="28"/>
          <w:rtl/>
        </w:rPr>
        <w:tab/>
        <w:t>אני פוסל את הנאשם מלקבל ומלהחזיק רישיון נהיגה לתקופה של 3 חודשים. הנאשם יפקיד את רישיון הנהיגה שלו במזכירות בית המשפט.</w:t>
      </w:r>
    </w:p>
    <w:p w14:paraId="1BF557D5" w14:textId="77777777" w:rsidR="0099223E" w:rsidRPr="004916DF" w:rsidRDefault="0099223E" w:rsidP="0099223E">
      <w:pPr>
        <w:spacing w:line="360" w:lineRule="auto"/>
        <w:ind w:left="1440" w:hanging="720"/>
        <w:jc w:val="both"/>
        <w:rPr>
          <w:rFonts w:ascii="FrankRuehl" w:hAnsi="FrankRuehl" w:cs="FrankRuehl"/>
          <w:sz w:val="28"/>
          <w:szCs w:val="28"/>
          <w:rtl/>
        </w:rPr>
      </w:pPr>
    </w:p>
    <w:p w14:paraId="2E3745FF" w14:textId="77777777" w:rsidR="0099223E" w:rsidRPr="004916DF" w:rsidRDefault="0099223E" w:rsidP="0099223E">
      <w:pPr>
        <w:spacing w:line="360" w:lineRule="auto"/>
        <w:ind w:left="1440" w:hanging="720"/>
        <w:jc w:val="both"/>
        <w:rPr>
          <w:rFonts w:ascii="FrankRuehl" w:hAnsi="FrankRuehl" w:cs="FrankRuehl"/>
          <w:sz w:val="28"/>
          <w:szCs w:val="28"/>
          <w:rtl/>
        </w:rPr>
      </w:pPr>
      <w:r w:rsidRPr="004916DF">
        <w:rPr>
          <w:rFonts w:ascii="FrankRuehl" w:hAnsi="FrankRuehl" w:cs="FrankRuehl"/>
          <w:sz w:val="28"/>
          <w:szCs w:val="28"/>
          <w:rtl/>
        </w:rPr>
        <w:t>ה.</w:t>
      </w:r>
      <w:r w:rsidRPr="004916DF">
        <w:rPr>
          <w:rFonts w:ascii="FrankRuehl" w:hAnsi="FrankRuehl" w:cs="FrankRuehl"/>
          <w:sz w:val="28"/>
          <w:szCs w:val="28"/>
          <w:rtl/>
        </w:rPr>
        <w:tab/>
        <w:t>הנאשם יפסל מלקבל ומלהחזיק רישיון נהיגה לתקופה של 4 חודשים, ואולם הנאשם לא ישא בעונש זה אלא אם יעבור בתוך 3 שנים עבירה על פקודת הסמים.</w:t>
      </w:r>
    </w:p>
    <w:p w14:paraId="19850348" w14:textId="77777777" w:rsidR="0099223E" w:rsidRPr="004916DF" w:rsidRDefault="0099223E" w:rsidP="0099223E">
      <w:pPr>
        <w:spacing w:line="360" w:lineRule="auto"/>
        <w:ind w:left="1440" w:hanging="720"/>
        <w:jc w:val="both"/>
        <w:rPr>
          <w:rFonts w:ascii="FrankRuehl" w:hAnsi="FrankRuehl" w:cs="FrankRuehl"/>
          <w:sz w:val="28"/>
          <w:szCs w:val="28"/>
          <w:rtl/>
        </w:rPr>
      </w:pPr>
    </w:p>
    <w:p w14:paraId="1EDBAB1D" w14:textId="77777777" w:rsidR="0099223E" w:rsidRPr="004916DF" w:rsidRDefault="0099223E" w:rsidP="0099223E">
      <w:pPr>
        <w:spacing w:line="360" w:lineRule="auto"/>
        <w:ind w:left="1440" w:hanging="720"/>
        <w:jc w:val="both"/>
        <w:rPr>
          <w:rFonts w:ascii="FrankRuehl" w:hAnsi="FrankRuehl" w:cs="FrankRuehl"/>
          <w:sz w:val="28"/>
          <w:szCs w:val="28"/>
          <w:rtl/>
        </w:rPr>
      </w:pPr>
      <w:r w:rsidRPr="004916DF">
        <w:rPr>
          <w:rFonts w:ascii="FrankRuehl" w:hAnsi="FrankRuehl" w:cs="FrankRuehl"/>
          <w:sz w:val="28"/>
          <w:szCs w:val="28"/>
          <w:rtl/>
        </w:rPr>
        <w:t>ו.</w:t>
      </w:r>
      <w:r w:rsidRPr="004916DF">
        <w:rPr>
          <w:rFonts w:ascii="FrankRuehl" w:hAnsi="FrankRuehl" w:cs="FrankRuehl"/>
          <w:sz w:val="28"/>
          <w:szCs w:val="28"/>
          <w:rtl/>
        </w:rPr>
        <w:tab/>
        <w:t>אני מכריז על הנאשם סוחר סמים, ומורה לחלט את הרכב וכן כסף שנתפס ברשותו בסך 577 ₪.</w:t>
      </w:r>
    </w:p>
    <w:p w14:paraId="6C4035B9" w14:textId="77777777" w:rsidR="0099223E" w:rsidRPr="004916DF" w:rsidRDefault="0099223E" w:rsidP="0099223E">
      <w:pPr>
        <w:spacing w:line="360" w:lineRule="auto"/>
        <w:ind w:left="1440" w:hanging="720"/>
        <w:jc w:val="both"/>
        <w:rPr>
          <w:rFonts w:ascii="FrankRuehl" w:hAnsi="FrankRuehl" w:cs="FrankRuehl"/>
          <w:sz w:val="28"/>
          <w:szCs w:val="28"/>
          <w:rtl/>
        </w:rPr>
      </w:pPr>
    </w:p>
    <w:p w14:paraId="7659F144" w14:textId="77777777" w:rsidR="0099223E" w:rsidRPr="004916DF" w:rsidRDefault="0099223E" w:rsidP="0099223E">
      <w:pPr>
        <w:spacing w:line="360" w:lineRule="auto"/>
        <w:ind w:left="1440" w:hanging="720"/>
        <w:jc w:val="both"/>
        <w:rPr>
          <w:rFonts w:ascii="FrankRuehl" w:hAnsi="FrankRuehl" w:cs="FrankRuehl"/>
          <w:sz w:val="28"/>
          <w:szCs w:val="28"/>
          <w:rtl/>
        </w:rPr>
      </w:pPr>
      <w:r w:rsidRPr="004916DF">
        <w:rPr>
          <w:rFonts w:ascii="FrankRuehl" w:hAnsi="FrankRuehl" w:cs="FrankRuehl"/>
          <w:sz w:val="28"/>
          <w:szCs w:val="28"/>
          <w:rtl/>
        </w:rPr>
        <w:t>ז.</w:t>
      </w:r>
      <w:r w:rsidRPr="004916DF">
        <w:rPr>
          <w:rFonts w:ascii="FrankRuehl" w:hAnsi="FrankRuehl" w:cs="FrankRuehl"/>
          <w:sz w:val="28"/>
          <w:szCs w:val="28"/>
          <w:rtl/>
        </w:rPr>
        <w:tab/>
        <w:t>הסמים יושמדו.</w:t>
      </w:r>
    </w:p>
    <w:p w14:paraId="7389AFAB" w14:textId="77777777" w:rsidR="0099223E" w:rsidRPr="004916DF" w:rsidRDefault="0099223E" w:rsidP="0099223E">
      <w:pPr>
        <w:spacing w:line="360" w:lineRule="auto"/>
        <w:jc w:val="both"/>
        <w:rPr>
          <w:rFonts w:ascii="FrankRuehl" w:hAnsi="FrankRuehl" w:cs="FrankRuehl"/>
          <w:sz w:val="28"/>
          <w:szCs w:val="28"/>
          <w:rtl/>
        </w:rPr>
      </w:pPr>
    </w:p>
    <w:p w14:paraId="0425179B" w14:textId="77777777" w:rsidR="0099223E" w:rsidRPr="004916DF" w:rsidRDefault="0099223E" w:rsidP="0099223E">
      <w:pPr>
        <w:spacing w:line="360" w:lineRule="auto"/>
        <w:jc w:val="both"/>
        <w:rPr>
          <w:rFonts w:ascii="FrankRuehl" w:hAnsi="FrankRuehl" w:cs="Miriam"/>
          <w:b/>
          <w:sz w:val="28"/>
          <w:u w:val="single"/>
          <w:rtl/>
        </w:rPr>
      </w:pPr>
      <w:r w:rsidRPr="004916DF">
        <w:rPr>
          <w:rFonts w:ascii="FrankRuehl" w:hAnsi="FrankRuehl" w:cs="Miriam"/>
          <w:b/>
          <w:sz w:val="28"/>
          <w:u w:val="single"/>
          <w:rtl/>
        </w:rPr>
        <w:t>זכות ערעור לבית המשפט המחוזי תוך 45 ימים מהיום.</w:t>
      </w:r>
    </w:p>
    <w:p w14:paraId="1E0738C1" w14:textId="77777777" w:rsidR="0099223E" w:rsidRPr="00FC7115" w:rsidRDefault="00FC7115" w:rsidP="0099223E">
      <w:pPr>
        <w:spacing w:line="360" w:lineRule="auto"/>
        <w:rPr>
          <w:rFonts w:ascii="FrankRuehl" w:hAnsi="FrankRuehl" w:cs="FrankRuehl"/>
          <w:color w:val="FFFFFF"/>
          <w:sz w:val="2"/>
          <w:szCs w:val="2"/>
          <w:rtl/>
        </w:rPr>
      </w:pPr>
      <w:r w:rsidRPr="00FC7115">
        <w:rPr>
          <w:rFonts w:ascii="FrankRuehl" w:hAnsi="FrankRuehl" w:cs="FrankRuehl"/>
          <w:color w:val="FFFFFF"/>
          <w:sz w:val="2"/>
          <w:szCs w:val="2"/>
          <w:rtl/>
        </w:rPr>
        <w:t>5129371</w:t>
      </w:r>
    </w:p>
    <w:p w14:paraId="1618F45F" w14:textId="77777777" w:rsidR="0099223E" w:rsidRPr="004916DF" w:rsidRDefault="00FC7115" w:rsidP="0099223E">
      <w:pPr>
        <w:spacing w:line="360" w:lineRule="auto"/>
        <w:jc w:val="both"/>
        <w:rPr>
          <w:rFonts w:ascii="FrankRuehl" w:hAnsi="FrankRuehl" w:cs="Miriam"/>
          <w:b/>
          <w:sz w:val="28"/>
          <w:u w:val="single"/>
          <w:rtl/>
        </w:rPr>
      </w:pPr>
      <w:r w:rsidRPr="00FC7115">
        <w:rPr>
          <w:rFonts w:ascii="FrankRuehl" w:hAnsi="FrankRuehl" w:cs="Miriam"/>
          <w:b/>
          <w:color w:val="FFFFFF"/>
          <w:sz w:val="2"/>
          <w:szCs w:val="2"/>
          <w:u w:val="single"/>
          <w:rtl/>
        </w:rPr>
        <w:t>54678313</w:t>
      </w:r>
      <w:r w:rsidR="0099223E" w:rsidRPr="004916DF">
        <w:rPr>
          <w:rFonts w:ascii="FrankRuehl" w:hAnsi="FrankRuehl" w:cs="Miriam"/>
          <w:b/>
          <w:sz w:val="28"/>
          <w:u w:val="single"/>
          <w:rtl/>
        </w:rPr>
        <w:t>המזכירות תעביר עותק מגזר הדין לשירות המבחן.</w:t>
      </w:r>
    </w:p>
    <w:p w14:paraId="56639316" w14:textId="77777777" w:rsidR="0099223E" w:rsidRPr="004916DF" w:rsidRDefault="0099223E" w:rsidP="0099223E">
      <w:pPr>
        <w:rPr>
          <w:rFonts w:ascii="David" w:hAnsi="David"/>
          <w:sz w:val="26"/>
          <w:szCs w:val="26"/>
          <w:rtl/>
        </w:rPr>
      </w:pPr>
    </w:p>
    <w:p w14:paraId="450EA422" w14:textId="77777777" w:rsidR="0099223E" w:rsidRPr="002B7D23" w:rsidRDefault="00FC7115" w:rsidP="0099223E">
      <w:pPr>
        <w:rPr>
          <w:rFonts w:ascii="David" w:hAnsi="David"/>
          <w:sz w:val="26"/>
          <w:szCs w:val="26"/>
          <w:rtl/>
        </w:rPr>
      </w:pPr>
      <w:bookmarkStart w:id="8" w:name="Nitan"/>
      <w:r>
        <w:rPr>
          <w:rFonts w:ascii="David" w:hAnsi="David"/>
          <w:sz w:val="26"/>
          <w:szCs w:val="26"/>
          <w:rtl/>
        </w:rPr>
        <w:t xml:space="preserve">ניתן היום,  כ"א סיוון תשפ"א, 01 יוני 2021, במעמד הצדדים. </w:t>
      </w:r>
      <w:bookmarkEnd w:id="8"/>
    </w:p>
    <w:p w14:paraId="5DBB90D4" w14:textId="77777777" w:rsidR="0099223E" w:rsidRPr="002B7D23" w:rsidRDefault="0099223E" w:rsidP="00FC7115">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FB0051B" w14:textId="77777777" w:rsidR="0099223E" w:rsidRPr="002B7D23" w:rsidRDefault="0099223E" w:rsidP="0099223E">
      <w:pPr>
        <w:jc w:val="center"/>
        <w:rPr>
          <w:rFonts w:ascii="David" w:hAnsi="David"/>
          <w:sz w:val="26"/>
          <w:szCs w:val="26"/>
          <w:rtl/>
        </w:rPr>
      </w:pPr>
    </w:p>
    <w:p w14:paraId="1EC0D2D3" w14:textId="77777777" w:rsidR="003C4C1E" w:rsidRPr="00FC7115" w:rsidRDefault="003C4C1E" w:rsidP="00FC7115">
      <w:pPr>
        <w:keepNext/>
        <w:rPr>
          <w:rFonts w:ascii="David" w:hAnsi="David"/>
          <w:color w:val="000000"/>
          <w:sz w:val="22"/>
          <w:szCs w:val="22"/>
          <w:rtl/>
        </w:rPr>
      </w:pPr>
    </w:p>
    <w:p w14:paraId="66649F6C" w14:textId="77777777" w:rsidR="00FC7115" w:rsidRPr="00FC7115" w:rsidRDefault="00FC7115" w:rsidP="00FC7115">
      <w:pPr>
        <w:keepNext/>
        <w:rPr>
          <w:rFonts w:ascii="David" w:hAnsi="David"/>
          <w:color w:val="000000"/>
          <w:sz w:val="22"/>
          <w:szCs w:val="22"/>
          <w:rtl/>
        </w:rPr>
      </w:pPr>
      <w:r w:rsidRPr="00FC7115">
        <w:rPr>
          <w:rFonts w:ascii="David" w:hAnsi="David"/>
          <w:color w:val="000000"/>
          <w:sz w:val="22"/>
          <w:szCs w:val="22"/>
          <w:rtl/>
        </w:rPr>
        <w:t>גיא אבנון 54678313</w:t>
      </w:r>
    </w:p>
    <w:p w14:paraId="3D44E9F8" w14:textId="77777777" w:rsidR="00FC7115" w:rsidRDefault="00FC7115" w:rsidP="00FC7115">
      <w:r w:rsidRPr="00FC7115">
        <w:rPr>
          <w:color w:val="000000"/>
          <w:rtl/>
        </w:rPr>
        <w:t>נוסח מסמך זה כפוף לשינויי ניסוח ועריכה</w:t>
      </w:r>
    </w:p>
    <w:p w14:paraId="17D0B2FA" w14:textId="77777777" w:rsidR="00FC7115" w:rsidRDefault="00FC7115" w:rsidP="00FC7115">
      <w:pPr>
        <w:rPr>
          <w:rtl/>
        </w:rPr>
      </w:pPr>
    </w:p>
    <w:p w14:paraId="3C6ED92B" w14:textId="77777777" w:rsidR="00FC7115" w:rsidRDefault="00FC7115" w:rsidP="00FC7115">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038E10E1" w14:textId="77777777" w:rsidR="00FC7115" w:rsidRPr="00FC7115" w:rsidRDefault="00FC7115" w:rsidP="00FC7115">
      <w:pPr>
        <w:jc w:val="center"/>
        <w:rPr>
          <w:color w:val="0000FF"/>
          <w:u w:val="single"/>
        </w:rPr>
      </w:pPr>
    </w:p>
    <w:sectPr w:rsidR="00FC7115" w:rsidRPr="00FC7115" w:rsidSect="00FC7115">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8ADBC" w14:textId="77777777" w:rsidR="00E8541D" w:rsidRDefault="00E8541D" w:rsidP="00111BB3">
      <w:r>
        <w:separator/>
      </w:r>
    </w:p>
  </w:endnote>
  <w:endnote w:type="continuationSeparator" w:id="0">
    <w:p w14:paraId="2C6322F7" w14:textId="77777777" w:rsidR="00E8541D" w:rsidRDefault="00E8541D" w:rsidP="00111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261B7" w14:textId="77777777" w:rsidR="00FC7115" w:rsidRDefault="00FC7115" w:rsidP="00FC71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AB7920" w14:textId="77777777" w:rsidR="00DC6ABB" w:rsidRPr="00FC7115" w:rsidRDefault="00FC7115" w:rsidP="00FC71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7F146" w14:textId="77777777" w:rsidR="00FC7115" w:rsidRDefault="00FC7115" w:rsidP="00FC71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55A5">
      <w:rPr>
        <w:rFonts w:ascii="FrankRuehl" w:hAnsi="FrankRuehl" w:cs="FrankRuehl"/>
        <w:noProof/>
        <w:rtl/>
      </w:rPr>
      <w:t>1</w:t>
    </w:r>
    <w:r>
      <w:rPr>
        <w:rFonts w:ascii="FrankRuehl" w:hAnsi="FrankRuehl" w:cs="FrankRuehl"/>
        <w:rtl/>
      </w:rPr>
      <w:fldChar w:fldCharType="end"/>
    </w:r>
  </w:p>
  <w:p w14:paraId="2230005E" w14:textId="77777777" w:rsidR="00DC6ABB" w:rsidRPr="00FC7115" w:rsidRDefault="00FC7115" w:rsidP="00FC71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1B1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71E43" w14:textId="77777777" w:rsidR="00E8541D" w:rsidRDefault="00E8541D" w:rsidP="00111BB3">
      <w:r>
        <w:separator/>
      </w:r>
    </w:p>
  </w:footnote>
  <w:footnote w:type="continuationSeparator" w:id="0">
    <w:p w14:paraId="2D802C3B" w14:textId="77777777" w:rsidR="00E8541D" w:rsidRDefault="00E8541D" w:rsidP="00111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AB909" w14:textId="77777777" w:rsidR="00FC7115" w:rsidRPr="00FC7115" w:rsidRDefault="00FC7115" w:rsidP="00FC71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66755-06-20</w:t>
    </w:r>
    <w:r>
      <w:rPr>
        <w:rFonts w:ascii="David" w:hAnsi="David"/>
        <w:color w:val="000000"/>
        <w:sz w:val="22"/>
        <w:szCs w:val="22"/>
        <w:rtl/>
      </w:rPr>
      <w:tab/>
      <w:t xml:space="preserve"> מדינת ישראל נ' עיד אלמחדי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94D65" w14:textId="77777777" w:rsidR="00FC7115" w:rsidRPr="00FC7115" w:rsidRDefault="00FC7115" w:rsidP="00FC71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66755-06-20</w:t>
    </w:r>
    <w:r>
      <w:rPr>
        <w:rFonts w:ascii="David" w:hAnsi="David"/>
        <w:color w:val="000000"/>
        <w:sz w:val="22"/>
        <w:szCs w:val="22"/>
        <w:rtl/>
      </w:rPr>
      <w:tab/>
      <w:t xml:space="preserve"> מדינת ישראל נ' עיד אלמחדי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223E"/>
    <w:rsid w:val="000C27B5"/>
    <w:rsid w:val="00111BB3"/>
    <w:rsid w:val="001B5A3B"/>
    <w:rsid w:val="003C4C1E"/>
    <w:rsid w:val="004A1465"/>
    <w:rsid w:val="00533537"/>
    <w:rsid w:val="006B78DE"/>
    <w:rsid w:val="008E1374"/>
    <w:rsid w:val="009462DB"/>
    <w:rsid w:val="00980FA1"/>
    <w:rsid w:val="0099223E"/>
    <w:rsid w:val="009D0238"/>
    <w:rsid w:val="00C955A5"/>
    <w:rsid w:val="00DC6ABB"/>
    <w:rsid w:val="00E66D5A"/>
    <w:rsid w:val="00E8541D"/>
    <w:rsid w:val="00FC71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06F6CC"/>
  <w15:chartTrackingRefBased/>
  <w15:docId w15:val="{B0A49A26-0EE1-4C56-942A-CD83DDE9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23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223E"/>
    <w:pPr>
      <w:tabs>
        <w:tab w:val="center" w:pos="4153"/>
        <w:tab w:val="right" w:pos="8306"/>
      </w:tabs>
    </w:pPr>
  </w:style>
  <w:style w:type="character" w:customStyle="1" w:styleId="a4">
    <w:name w:val="כותרת עליונה תו"/>
    <w:link w:val="a3"/>
    <w:rsid w:val="0099223E"/>
    <w:rPr>
      <w:rFonts w:ascii="Times New Roman" w:eastAsia="Times New Roman" w:hAnsi="Times New Roman" w:cs="David"/>
      <w:sz w:val="24"/>
      <w:szCs w:val="24"/>
    </w:rPr>
  </w:style>
  <w:style w:type="paragraph" w:styleId="a5">
    <w:name w:val="footer"/>
    <w:basedOn w:val="a"/>
    <w:link w:val="a6"/>
    <w:rsid w:val="0099223E"/>
    <w:pPr>
      <w:tabs>
        <w:tab w:val="center" w:pos="4153"/>
        <w:tab w:val="right" w:pos="8306"/>
      </w:tabs>
    </w:pPr>
  </w:style>
  <w:style w:type="character" w:customStyle="1" w:styleId="a6">
    <w:name w:val="כותרת תחתונה תו"/>
    <w:link w:val="a5"/>
    <w:rsid w:val="0099223E"/>
    <w:rPr>
      <w:rFonts w:ascii="Times New Roman" w:eastAsia="Times New Roman" w:hAnsi="Times New Roman" w:cs="David"/>
      <w:sz w:val="24"/>
      <w:szCs w:val="24"/>
    </w:rPr>
  </w:style>
  <w:style w:type="character" w:styleId="a7">
    <w:name w:val="page number"/>
    <w:rsid w:val="0099223E"/>
  </w:style>
  <w:style w:type="character" w:styleId="Hyperlink">
    <w:name w:val="Hyperlink"/>
    <w:rsid w:val="00FC7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0i" TargetMode="External"/><Relationship Id="rId18" Type="http://schemas.openxmlformats.org/officeDocument/2006/relationships/hyperlink" Target="http://www.nevo.co.il/case/27347635"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0111708"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case/27596218" TargetMode="External"/><Relationship Id="rId25" Type="http://schemas.openxmlformats.org/officeDocument/2006/relationships/hyperlink" Target="http://www.nevo.co.il/law/4216/36a.b"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1017469"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case/26795953"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0301/40i" TargetMode="External"/><Relationship Id="rId28" Type="http://schemas.openxmlformats.org/officeDocument/2006/relationships/header" Target="header2.xml"/><Relationship Id="rId10" Type="http://schemas.openxmlformats.org/officeDocument/2006/relationships/hyperlink" Target="http://www.nevo.co.il/law/4216/36a.b" TargetMode="External"/><Relationship Id="rId19" Type="http://schemas.openxmlformats.org/officeDocument/2006/relationships/hyperlink" Target="http://www.nevo.co.il/case/20685141"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0c.a"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1962</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11753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5111890</vt:i4>
      </vt:variant>
      <vt:variant>
        <vt:i4>57</vt:i4>
      </vt:variant>
      <vt:variant>
        <vt:i4>0</vt:i4>
      </vt:variant>
      <vt:variant>
        <vt:i4>5</vt:i4>
      </vt:variant>
      <vt:variant>
        <vt:lpwstr>http://www.nevo.co.il/law/4216/36a.b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3276914</vt:i4>
      </vt:variant>
      <vt:variant>
        <vt:i4>45</vt:i4>
      </vt:variant>
      <vt:variant>
        <vt:i4>0</vt:i4>
      </vt:variant>
      <vt:variant>
        <vt:i4>5</vt:i4>
      </vt:variant>
      <vt:variant>
        <vt:lpwstr>http://www.nevo.co.il/case/20111708</vt:lpwstr>
      </vt:variant>
      <vt:variant>
        <vt:lpwstr/>
      </vt:variant>
      <vt:variant>
        <vt:i4>3342448</vt:i4>
      </vt:variant>
      <vt:variant>
        <vt:i4>42</vt:i4>
      </vt:variant>
      <vt:variant>
        <vt:i4>0</vt:i4>
      </vt:variant>
      <vt:variant>
        <vt:i4>5</vt:i4>
      </vt:variant>
      <vt:variant>
        <vt:lpwstr>http://www.nevo.co.il/case/21017469</vt:lpwstr>
      </vt:variant>
      <vt:variant>
        <vt:lpwstr/>
      </vt:variant>
      <vt:variant>
        <vt:i4>3473533</vt:i4>
      </vt:variant>
      <vt:variant>
        <vt:i4>39</vt:i4>
      </vt:variant>
      <vt:variant>
        <vt:i4>0</vt:i4>
      </vt:variant>
      <vt:variant>
        <vt:i4>5</vt:i4>
      </vt:variant>
      <vt:variant>
        <vt:lpwstr>http://www.nevo.co.il/case/20685141</vt:lpwstr>
      </vt:variant>
      <vt:variant>
        <vt:lpwstr/>
      </vt:variant>
      <vt:variant>
        <vt:i4>3473521</vt:i4>
      </vt:variant>
      <vt:variant>
        <vt:i4>36</vt:i4>
      </vt:variant>
      <vt:variant>
        <vt:i4>0</vt:i4>
      </vt:variant>
      <vt:variant>
        <vt:i4>5</vt:i4>
      </vt:variant>
      <vt:variant>
        <vt:lpwstr>http://www.nevo.co.il/case/27347635</vt:lpwstr>
      </vt:variant>
      <vt:variant>
        <vt:lpwstr/>
      </vt:variant>
      <vt:variant>
        <vt:i4>3145848</vt:i4>
      </vt:variant>
      <vt:variant>
        <vt:i4>33</vt:i4>
      </vt:variant>
      <vt:variant>
        <vt:i4>0</vt:i4>
      </vt:variant>
      <vt:variant>
        <vt:i4>5</vt:i4>
      </vt:variant>
      <vt:variant>
        <vt:lpwstr>http://www.nevo.co.il/case/27596218</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3473522</vt:i4>
      </vt:variant>
      <vt:variant>
        <vt:i4>0</vt:i4>
      </vt:variant>
      <vt:variant>
        <vt:i4>0</vt:i4>
      </vt:variant>
      <vt:variant>
        <vt:i4>5</vt:i4>
      </vt:variant>
      <vt:variant>
        <vt:lpwstr>http://www.nevo.co.il/case/26795953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2025-04-23T00:38:00Z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66755</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עיד אלמחדי</vt:lpwstr>
  </property>
  <property fmtid="{D5CDD505-2E9C-101B-9397-08002B2CF9AE}" pid="10" name="LAWYER">
    <vt:lpwstr>שני מלול;יונס אבו עסא</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20210601</vt:lpwstr>
  </property>
  <property fmtid="{D5CDD505-2E9C-101B-9397-08002B2CF9AE}" pid="14" name="TYPE_N_DATE">
    <vt:lpwstr>38020210601</vt:lpwstr>
  </property>
  <property fmtid="{D5CDD505-2E9C-101B-9397-08002B2CF9AE}" pid="15" name="WORDNUMPAGES">
    <vt:lpwstr>7</vt:lpwstr>
  </property>
  <property fmtid="{D5CDD505-2E9C-101B-9397-08002B2CF9AE}" pid="16" name="TYPE_ABS_DATE">
    <vt:lpwstr>380020210601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26795953;27596218;27347635;20685141;21017469;20111708</vt:lpwstr>
  </property>
  <property fmtid="{D5CDD505-2E9C-101B-9397-08002B2CF9AE}" pid="36" name="LAWLISTTMP1">
    <vt:lpwstr>4216/007.a;007.c;036a.b</vt:lpwstr>
  </property>
  <property fmtid="{D5CDD505-2E9C-101B-9397-08002B2CF9AE}" pid="37" name="LAWLISTTMP2">
    <vt:lpwstr>70301/040c.a;040i</vt:lpwstr>
  </property>
</Properties>
</file>