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63976" w:rsidRPr="001B1BA5" w14:paraId="1787B271" w14:textId="77777777" w:rsidTr="002134AF">
        <w:trPr>
          <w:trHeight w:hRule="exact" w:val="418"/>
          <w:jc w:val="center"/>
        </w:trPr>
        <w:tc>
          <w:tcPr>
            <w:tcW w:w="8721" w:type="dxa"/>
            <w:gridSpan w:val="2"/>
          </w:tcPr>
          <w:p w14:paraId="0E4210B5" w14:textId="77777777" w:rsidR="00B63976" w:rsidRPr="001B1BA5" w:rsidRDefault="00B63976" w:rsidP="00D10373">
            <w:pPr>
              <w:pStyle w:val="a3"/>
              <w:jc w:val="center"/>
              <w:rPr>
                <w:rFonts w:ascii="Tahoma" w:hAnsi="Tahoma" w:cs="Tahoma"/>
                <w:color w:val="000080"/>
                <w:rtl/>
              </w:rPr>
            </w:pPr>
            <w:r w:rsidRPr="001B1BA5">
              <w:rPr>
                <w:rFonts w:ascii="Tahoma" w:hAnsi="Tahoma" w:cs="Tahoma"/>
                <w:b/>
                <w:bCs/>
                <w:color w:val="000080"/>
                <w:rtl/>
              </w:rPr>
              <w:t>בית משפט השלום בראשון לציון</w:t>
            </w:r>
          </w:p>
        </w:tc>
      </w:tr>
      <w:tr w:rsidR="00B63976" w:rsidRPr="001B1BA5" w14:paraId="372816C6" w14:textId="77777777" w:rsidTr="002134AF">
        <w:trPr>
          <w:trHeight w:val="337"/>
          <w:jc w:val="center"/>
        </w:trPr>
        <w:tc>
          <w:tcPr>
            <w:tcW w:w="5055" w:type="dxa"/>
          </w:tcPr>
          <w:p w14:paraId="4BD565DA" w14:textId="77777777" w:rsidR="00B63976" w:rsidRPr="001B1BA5" w:rsidRDefault="00B63976" w:rsidP="00D10373">
            <w:pPr>
              <w:rPr>
                <w:rFonts w:ascii="David" w:hAnsi="David"/>
                <w:b/>
                <w:bCs/>
                <w:sz w:val="28"/>
                <w:szCs w:val="28"/>
                <w:rtl/>
              </w:rPr>
            </w:pPr>
            <w:r w:rsidRPr="001B1BA5">
              <w:rPr>
                <w:rFonts w:ascii="David" w:hAnsi="David"/>
                <w:b/>
                <w:bCs/>
                <w:sz w:val="28"/>
                <w:szCs w:val="28"/>
                <w:rtl/>
              </w:rPr>
              <w:t>ת"פ 67234-06-20 מדינת ישראל נ' לוין</w:t>
            </w:r>
          </w:p>
          <w:p w14:paraId="54B13D00" w14:textId="77777777" w:rsidR="00B63976" w:rsidRPr="001B1BA5" w:rsidRDefault="00B63976" w:rsidP="00D10373">
            <w:pPr>
              <w:pStyle w:val="a3"/>
              <w:rPr>
                <w:rFonts w:ascii="David" w:hAnsi="David"/>
                <w:b/>
                <w:bCs/>
                <w:sz w:val="28"/>
                <w:szCs w:val="28"/>
                <w:rtl/>
              </w:rPr>
            </w:pPr>
          </w:p>
        </w:tc>
        <w:tc>
          <w:tcPr>
            <w:tcW w:w="3666" w:type="dxa"/>
          </w:tcPr>
          <w:p w14:paraId="2E7E1CEA" w14:textId="77777777" w:rsidR="00B63976" w:rsidRPr="001B1BA5" w:rsidRDefault="00B63976" w:rsidP="00D10373">
            <w:pPr>
              <w:pStyle w:val="a3"/>
              <w:jc w:val="right"/>
              <w:rPr>
                <w:rFonts w:ascii="David" w:hAnsi="David"/>
                <w:b/>
                <w:bCs/>
                <w:sz w:val="28"/>
                <w:szCs w:val="28"/>
                <w:rtl/>
              </w:rPr>
            </w:pPr>
          </w:p>
        </w:tc>
      </w:tr>
    </w:tbl>
    <w:p w14:paraId="17FE74A3" w14:textId="77777777" w:rsidR="00B63976" w:rsidRPr="001B1BA5" w:rsidRDefault="00B63976" w:rsidP="00B63976">
      <w:pPr>
        <w:pStyle w:val="a3"/>
        <w:rPr>
          <w:rtl/>
        </w:rPr>
      </w:pPr>
      <w:r w:rsidRPr="001B1BA5">
        <w:rPr>
          <w:rFonts w:hint="cs"/>
          <w:rtl/>
        </w:rPr>
        <w:t xml:space="preserve"> </w:t>
      </w:r>
    </w:p>
    <w:p w14:paraId="17CD485D" w14:textId="77777777" w:rsidR="00B63976" w:rsidRPr="001B1BA5" w:rsidRDefault="00B63976" w:rsidP="00B6397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63976" w:rsidRPr="001B1BA5" w14:paraId="21B75749" w14:textId="77777777" w:rsidTr="00B63976">
        <w:trPr>
          <w:trHeight w:val="295"/>
          <w:jc w:val="center"/>
        </w:trPr>
        <w:tc>
          <w:tcPr>
            <w:tcW w:w="923" w:type="dxa"/>
            <w:tcBorders>
              <w:top w:val="nil"/>
              <w:left w:val="nil"/>
              <w:bottom w:val="nil"/>
              <w:right w:val="nil"/>
            </w:tcBorders>
            <w:shd w:val="clear" w:color="auto" w:fill="auto"/>
          </w:tcPr>
          <w:p w14:paraId="395DE5A3" w14:textId="77777777" w:rsidR="00B63976" w:rsidRPr="001B1BA5" w:rsidRDefault="00B63976" w:rsidP="00B63976">
            <w:pPr>
              <w:jc w:val="both"/>
              <w:rPr>
                <w:rFonts w:ascii="David" w:hAnsi="David"/>
                <w:sz w:val="26"/>
                <w:szCs w:val="26"/>
              </w:rPr>
            </w:pPr>
            <w:r w:rsidRPr="001B1BA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23F6D7D" w14:textId="77777777" w:rsidR="00B63976" w:rsidRPr="001B1BA5" w:rsidRDefault="00B63976" w:rsidP="00D10373">
            <w:pPr>
              <w:rPr>
                <w:rFonts w:ascii="David" w:hAnsi="David"/>
                <w:b/>
                <w:bCs/>
                <w:sz w:val="26"/>
                <w:szCs w:val="26"/>
                <w:rtl/>
              </w:rPr>
            </w:pPr>
            <w:r w:rsidRPr="001B1BA5">
              <w:rPr>
                <w:rFonts w:ascii="David" w:hAnsi="David"/>
                <w:b/>
                <w:bCs/>
                <w:sz w:val="26"/>
                <w:szCs w:val="26"/>
                <w:rtl/>
              </w:rPr>
              <w:t>כבוד השופט, סגן הנשיאה  ארז נוריאלי</w:t>
            </w:r>
          </w:p>
          <w:p w14:paraId="365834FE" w14:textId="77777777" w:rsidR="00B63976" w:rsidRPr="001B1BA5" w:rsidRDefault="00B63976" w:rsidP="00D10373">
            <w:pPr>
              <w:rPr>
                <w:rFonts w:ascii="David" w:hAnsi="David"/>
                <w:sz w:val="26"/>
                <w:szCs w:val="26"/>
                <w:rtl/>
              </w:rPr>
            </w:pPr>
          </w:p>
          <w:p w14:paraId="70F5D348" w14:textId="77777777" w:rsidR="00B63976" w:rsidRPr="001B1BA5" w:rsidRDefault="00B63976" w:rsidP="00B63976">
            <w:pPr>
              <w:jc w:val="both"/>
              <w:rPr>
                <w:rFonts w:ascii="David" w:hAnsi="David"/>
                <w:sz w:val="26"/>
                <w:szCs w:val="26"/>
              </w:rPr>
            </w:pPr>
          </w:p>
        </w:tc>
      </w:tr>
      <w:tr w:rsidR="00B63976" w:rsidRPr="001B1BA5" w14:paraId="177B18D3" w14:textId="77777777" w:rsidTr="00B63976">
        <w:trPr>
          <w:trHeight w:val="355"/>
          <w:jc w:val="center"/>
        </w:trPr>
        <w:tc>
          <w:tcPr>
            <w:tcW w:w="923" w:type="dxa"/>
            <w:tcBorders>
              <w:top w:val="nil"/>
              <w:left w:val="nil"/>
              <w:bottom w:val="nil"/>
              <w:right w:val="nil"/>
            </w:tcBorders>
            <w:shd w:val="clear" w:color="auto" w:fill="auto"/>
          </w:tcPr>
          <w:p w14:paraId="119C552D" w14:textId="77777777" w:rsidR="00B63976" w:rsidRPr="001B1BA5" w:rsidRDefault="00B63976" w:rsidP="00B63976">
            <w:pPr>
              <w:jc w:val="both"/>
              <w:rPr>
                <w:rFonts w:ascii="David" w:hAnsi="David"/>
                <w:sz w:val="26"/>
                <w:szCs w:val="26"/>
              </w:rPr>
            </w:pPr>
            <w:bookmarkStart w:id="0" w:name="FirstAppellant"/>
            <w:bookmarkStart w:id="1" w:name="FirstLawyer"/>
            <w:bookmarkStart w:id="2" w:name="LastJudge"/>
            <w:bookmarkEnd w:id="2"/>
            <w:r w:rsidRPr="001B1BA5">
              <w:rPr>
                <w:rFonts w:ascii="David" w:hAnsi="David"/>
                <w:sz w:val="26"/>
                <w:szCs w:val="26"/>
                <w:rtl/>
              </w:rPr>
              <w:t>בעניין:</w:t>
            </w:r>
          </w:p>
        </w:tc>
        <w:tc>
          <w:tcPr>
            <w:tcW w:w="3219" w:type="dxa"/>
            <w:tcBorders>
              <w:top w:val="nil"/>
              <w:left w:val="nil"/>
              <w:bottom w:val="nil"/>
              <w:right w:val="nil"/>
            </w:tcBorders>
            <w:shd w:val="clear" w:color="auto" w:fill="auto"/>
          </w:tcPr>
          <w:p w14:paraId="357C6807" w14:textId="77777777" w:rsidR="00B63976" w:rsidRPr="001B1BA5" w:rsidRDefault="00B63976" w:rsidP="00B63976">
            <w:pPr>
              <w:suppressLineNumbers/>
            </w:pPr>
            <w:r w:rsidRPr="001B1BA5">
              <w:rPr>
                <w:rFonts w:ascii="Arial" w:hAnsi="Arial" w:hint="cs"/>
                <w:b/>
                <w:bCs/>
                <w:sz w:val="26"/>
                <w:szCs w:val="26"/>
                <w:rtl/>
              </w:rPr>
              <w:t>ה</w:t>
            </w:r>
            <w:r w:rsidRPr="001B1BA5">
              <w:rPr>
                <w:rFonts w:ascii="Arial" w:hAnsi="Arial"/>
                <w:b/>
                <w:bCs/>
                <w:sz w:val="26"/>
                <w:szCs w:val="26"/>
                <w:rtl/>
              </w:rPr>
              <w:t>מאשימה</w:t>
            </w:r>
          </w:p>
          <w:p w14:paraId="00AFB5BB" w14:textId="77777777" w:rsidR="00B63976" w:rsidRPr="001B1BA5" w:rsidRDefault="00B63976" w:rsidP="00D10373">
            <w:pPr>
              <w:rPr>
                <w:rFonts w:ascii="David" w:hAnsi="David"/>
                <w:sz w:val="26"/>
                <w:szCs w:val="26"/>
              </w:rPr>
            </w:pPr>
          </w:p>
        </w:tc>
        <w:tc>
          <w:tcPr>
            <w:tcW w:w="4678" w:type="dxa"/>
            <w:tcBorders>
              <w:top w:val="nil"/>
              <w:left w:val="nil"/>
              <w:bottom w:val="nil"/>
              <w:right w:val="nil"/>
            </w:tcBorders>
            <w:shd w:val="clear" w:color="auto" w:fill="auto"/>
            <w:vAlign w:val="center"/>
          </w:tcPr>
          <w:p w14:paraId="6FDB6A99" w14:textId="77777777" w:rsidR="00B63976" w:rsidRPr="001B1BA5" w:rsidRDefault="00B63976" w:rsidP="00B63976">
            <w:pPr>
              <w:suppressLineNumbers/>
              <w:rPr>
                <w:rFonts w:ascii="Arial" w:hAnsi="Arial"/>
                <w:b/>
                <w:bCs/>
                <w:sz w:val="26"/>
                <w:szCs w:val="26"/>
                <w:rtl/>
              </w:rPr>
            </w:pPr>
            <w:r w:rsidRPr="001B1BA5">
              <w:rPr>
                <w:rFonts w:ascii="Arial" w:hAnsi="Arial"/>
                <w:b/>
                <w:bCs/>
                <w:sz w:val="26"/>
                <w:szCs w:val="26"/>
                <w:rtl/>
              </w:rPr>
              <w:t>מדינת ישראל</w:t>
            </w:r>
            <w:r w:rsidRPr="001B1BA5">
              <w:rPr>
                <w:rFonts w:ascii="Arial" w:hAnsi="Arial" w:hint="cs"/>
                <w:b/>
                <w:bCs/>
                <w:sz w:val="26"/>
                <w:szCs w:val="26"/>
                <w:rtl/>
              </w:rPr>
              <w:t xml:space="preserve"> </w:t>
            </w:r>
          </w:p>
          <w:p w14:paraId="4F955B1B" w14:textId="77777777" w:rsidR="00B63976" w:rsidRPr="001B1BA5" w:rsidRDefault="00B63976" w:rsidP="00B63976">
            <w:pPr>
              <w:suppressLineNumbers/>
              <w:rPr>
                <w:sz w:val="22"/>
                <w:szCs w:val="22"/>
              </w:rPr>
            </w:pPr>
            <w:r w:rsidRPr="001B1BA5">
              <w:rPr>
                <w:rFonts w:ascii="Arial" w:hAnsi="Arial"/>
                <w:rtl/>
              </w:rPr>
              <w:t>ע"י ב"כ</w:t>
            </w:r>
            <w:r w:rsidRPr="001B1BA5">
              <w:rPr>
                <w:rFonts w:ascii="Arial" w:hAnsi="Arial" w:hint="cs"/>
                <w:rtl/>
              </w:rPr>
              <w:t>,</w:t>
            </w:r>
            <w:r w:rsidRPr="001B1BA5">
              <w:rPr>
                <w:rFonts w:ascii="Arial" w:hAnsi="Arial"/>
                <w:rtl/>
              </w:rPr>
              <w:t xml:space="preserve"> עו"ד</w:t>
            </w:r>
            <w:r w:rsidRPr="001B1BA5">
              <w:rPr>
                <w:rFonts w:hint="cs"/>
                <w:sz w:val="22"/>
                <w:szCs w:val="22"/>
                <w:rtl/>
              </w:rPr>
              <w:t xml:space="preserve"> אנבל לוקס </w:t>
            </w:r>
          </w:p>
          <w:p w14:paraId="2FD4F300" w14:textId="77777777" w:rsidR="00B63976" w:rsidRPr="001B1BA5" w:rsidRDefault="00B63976" w:rsidP="00D10373">
            <w:pPr>
              <w:rPr>
                <w:rFonts w:ascii="David" w:hAnsi="David"/>
                <w:sz w:val="26"/>
                <w:szCs w:val="26"/>
              </w:rPr>
            </w:pPr>
          </w:p>
        </w:tc>
      </w:tr>
      <w:bookmarkEnd w:id="0"/>
      <w:bookmarkEnd w:id="1"/>
      <w:tr w:rsidR="00B63976" w:rsidRPr="001B1BA5" w14:paraId="2CDB490F" w14:textId="77777777" w:rsidTr="00B63976">
        <w:trPr>
          <w:trHeight w:val="355"/>
          <w:jc w:val="center"/>
        </w:trPr>
        <w:tc>
          <w:tcPr>
            <w:tcW w:w="923" w:type="dxa"/>
            <w:tcBorders>
              <w:top w:val="nil"/>
              <w:left w:val="nil"/>
              <w:bottom w:val="nil"/>
              <w:right w:val="nil"/>
            </w:tcBorders>
            <w:shd w:val="clear" w:color="auto" w:fill="auto"/>
          </w:tcPr>
          <w:p w14:paraId="6874179D" w14:textId="77777777" w:rsidR="00B63976" w:rsidRPr="001B1BA5" w:rsidRDefault="00B63976" w:rsidP="00B6397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8BACE62" w14:textId="77777777" w:rsidR="00B63976" w:rsidRPr="001B1BA5" w:rsidRDefault="00B63976" w:rsidP="00B63976">
            <w:pPr>
              <w:jc w:val="center"/>
              <w:rPr>
                <w:rFonts w:ascii="David" w:hAnsi="David"/>
                <w:b/>
                <w:bCs/>
                <w:sz w:val="26"/>
                <w:szCs w:val="26"/>
                <w:rtl/>
              </w:rPr>
            </w:pPr>
          </w:p>
          <w:p w14:paraId="418C521B" w14:textId="77777777" w:rsidR="00B63976" w:rsidRPr="001B1BA5" w:rsidRDefault="00B63976" w:rsidP="00B63976">
            <w:pPr>
              <w:jc w:val="center"/>
              <w:rPr>
                <w:rFonts w:ascii="David" w:hAnsi="David"/>
                <w:b/>
                <w:bCs/>
                <w:sz w:val="26"/>
                <w:szCs w:val="26"/>
                <w:rtl/>
              </w:rPr>
            </w:pPr>
            <w:r w:rsidRPr="001B1BA5">
              <w:rPr>
                <w:rFonts w:ascii="David" w:hAnsi="David"/>
                <w:b/>
                <w:bCs/>
                <w:sz w:val="26"/>
                <w:szCs w:val="26"/>
                <w:rtl/>
              </w:rPr>
              <w:t>נגד</w:t>
            </w:r>
          </w:p>
          <w:p w14:paraId="3F369ABE" w14:textId="77777777" w:rsidR="00B63976" w:rsidRPr="001B1BA5" w:rsidRDefault="00B63976" w:rsidP="00B63976">
            <w:pPr>
              <w:jc w:val="both"/>
              <w:rPr>
                <w:rFonts w:ascii="David" w:hAnsi="David"/>
                <w:sz w:val="26"/>
                <w:szCs w:val="26"/>
              </w:rPr>
            </w:pPr>
          </w:p>
        </w:tc>
      </w:tr>
      <w:tr w:rsidR="00B63976" w:rsidRPr="001B1BA5" w14:paraId="07D7AAAF" w14:textId="77777777" w:rsidTr="00B63976">
        <w:trPr>
          <w:trHeight w:val="355"/>
          <w:jc w:val="center"/>
        </w:trPr>
        <w:tc>
          <w:tcPr>
            <w:tcW w:w="923" w:type="dxa"/>
            <w:tcBorders>
              <w:top w:val="nil"/>
              <w:left w:val="nil"/>
              <w:bottom w:val="nil"/>
              <w:right w:val="nil"/>
            </w:tcBorders>
            <w:shd w:val="clear" w:color="auto" w:fill="auto"/>
          </w:tcPr>
          <w:p w14:paraId="738E9CB6" w14:textId="77777777" w:rsidR="00B63976" w:rsidRPr="001B1BA5" w:rsidRDefault="00B63976" w:rsidP="00D10373">
            <w:pPr>
              <w:rPr>
                <w:rFonts w:ascii="David" w:hAnsi="David"/>
                <w:sz w:val="26"/>
                <w:szCs w:val="26"/>
                <w:rtl/>
              </w:rPr>
            </w:pPr>
          </w:p>
        </w:tc>
        <w:tc>
          <w:tcPr>
            <w:tcW w:w="3219" w:type="dxa"/>
            <w:tcBorders>
              <w:top w:val="nil"/>
              <w:left w:val="nil"/>
              <w:bottom w:val="nil"/>
              <w:right w:val="nil"/>
            </w:tcBorders>
            <w:shd w:val="clear" w:color="auto" w:fill="auto"/>
          </w:tcPr>
          <w:p w14:paraId="411EF145" w14:textId="77777777" w:rsidR="00B63976" w:rsidRPr="001B1BA5" w:rsidRDefault="00B63976" w:rsidP="00D10373">
            <w:pPr>
              <w:rPr>
                <w:rFonts w:ascii="Arial" w:hAnsi="Arial"/>
                <w:b/>
                <w:bCs/>
                <w:sz w:val="26"/>
                <w:szCs w:val="26"/>
                <w:rtl/>
              </w:rPr>
            </w:pPr>
            <w:r w:rsidRPr="001B1BA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B1AC758" w14:textId="77777777" w:rsidR="00B63976" w:rsidRPr="001B1BA5" w:rsidRDefault="00B63976" w:rsidP="00B63976">
            <w:pPr>
              <w:suppressLineNumbers/>
              <w:rPr>
                <w:rFonts w:ascii="Arial" w:hAnsi="Arial"/>
                <w:b/>
                <w:bCs/>
                <w:sz w:val="26"/>
                <w:szCs w:val="26"/>
                <w:rtl/>
              </w:rPr>
            </w:pPr>
            <w:r w:rsidRPr="001B1BA5">
              <w:rPr>
                <w:rFonts w:ascii="Arial" w:hAnsi="Arial"/>
                <w:b/>
                <w:bCs/>
                <w:sz w:val="26"/>
                <w:szCs w:val="26"/>
                <w:rtl/>
              </w:rPr>
              <w:t>שמעון גיא לוין</w:t>
            </w:r>
            <w:r w:rsidRPr="001B1BA5">
              <w:rPr>
                <w:rFonts w:ascii="Arial" w:hAnsi="Arial" w:hint="cs"/>
                <w:b/>
                <w:bCs/>
                <w:sz w:val="26"/>
                <w:szCs w:val="26"/>
                <w:rtl/>
              </w:rPr>
              <w:t xml:space="preserve"> </w:t>
            </w:r>
          </w:p>
          <w:p w14:paraId="2D5E6EA9" w14:textId="77777777" w:rsidR="00B63976" w:rsidRPr="001B1BA5" w:rsidRDefault="00B63976" w:rsidP="00B63976">
            <w:pPr>
              <w:suppressLineNumbers/>
              <w:rPr>
                <w:sz w:val="22"/>
                <w:szCs w:val="22"/>
              </w:rPr>
            </w:pPr>
            <w:r w:rsidRPr="001B1BA5">
              <w:rPr>
                <w:rFonts w:ascii="Arial" w:hAnsi="Arial"/>
                <w:rtl/>
              </w:rPr>
              <w:t>ע"י ב"כ</w:t>
            </w:r>
            <w:r w:rsidRPr="001B1BA5">
              <w:rPr>
                <w:rFonts w:ascii="Arial" w:hAnsi="Arial" w:hint="cs"/>
                <w:rtl/>
              </w:rPr>
              <w:t>,</w:t>
            </w:r>
            <w:r w:rsidRPr="001B1BA5">
              <w:rPr>
                <w:rFonts w:ascii="Arial" w:hAnsi="Arial"/>
                <w:rtl/>
              </w:rPr>
              <w:t xml:space="preserve"> עו"ד</w:t>
            </w:r>
            <w:r w:rsidRPr="001B1BA5">
              <w:rPr>
                <w:rFonts w:hint="cs"/>
                <w:sz w:val="22"/>
                <w:szCs w:val="22"/>
                <w:rtl/>
              </w:rPr>
              <w:t xml:space="preserve"> איתן און</w:t>
            </w:r>
          </w:p>
          <w:p w14:paraId="1AC80E42" w14:textId="77777777" w:rsidR="00B63976" w:rsidRPr="001B1BA5" w:rsidRDefault="00B63976" w:rsidP="00D10373">
            <w:pPr>
              <w:rPr>
                <w:rFonts w:ascii="David" w:hAnsi="David"/>
                <w:sz w:val="26"/>
                <w:szCs w:val="26"/>
              </w:rPr>
            </w:pPr>
          </w:p>
        </w:tc>
      </w:tr>
    </w:tbl>
    <w:p w14:paraId="77BBB198" w14:textId="77777777" w:rsidR="002134AF" w:rsidRPr="002134AF" w:rsidRDefault="002134AF" w:rsidP="002134AF">
      <w:pPr>
        <w:spacing w:before="120" w:after="120" w:line="240" w:lineRule="exact"/>
        <w:ind w:left="283" w:hanging="283"/>
        <w:jc w:val="both"/>
        <w:rPr>
          <w:rFonts w:ascii="FrankRuehl" w:hAnsi="FrankRuehl" w:cs="FrankRuehl"/>
          <w:rtl/>
        </w:rPr>
      </w:pPr>
    </w:p>
    <w:p w14:paraId="769912FF" w14:textId="77777777" w:rsidR="007B4520" w:rsidRPr="007B4520" w:rsidRDefault="007B4520" w:rsidP="007B4520">
      <w:pPr>
        <w:spacing w:before="120" w:after="120" w:line="240" w:lineRule="exact"/>
        <w:ind w:left="283" w:hanging="283"/>
        <w:jc w:val="both"/>
        <w:rPr>
          <w:rFonts w:ascii="FrankRuehl" w:hAnsi="FrankRuehl" w:cs="FrankRuehl"/>
          <w:rtl/>
        </w:rPr>
      </w:pPr>
    </w:p>
    <w:p w14:paraId="697AA75C" w14:textId="77777777" w:rsidR="00737FC8" w:rsidRDefault="00737FC8" w:rsidP="00737FC8">
      <w:pPr>
        <w:jc w:val="center"/>
        <w:rPr>
          <w:rFonts w:ascii="David" w:hAnsi="David"/>
          <w:sz w:val="32"/>
          <w:szCs w:val="32"/>
          <w:rtl/>
        </w:rPr>
      </w:pPr>
      <w:bookmarkStart w:id="3" w:name="LawTable"/>
      <w:bookmarkEnd w:id="3"/>
    </w:p>
    <w:p w14:paraId="217375D3" w14:textId="77777777" w:rsidR="00737FC8" w:rsidRPr="00737FC8" w:rsidRDefault="00737FC8" w:rsidP="00737FC8">
      <w:pPr>
        <w:spacing w:before="120" w:after="120" w:line="240" w:lineRule="exact"/>
        <w:ind w:left="283" w:hanging="283"/>
        <w:jc w:val="both"/>
        <w:rPr>
          <w:rFonts w:ascii="FrankRuehl" w:hAnsi="FrankRuehl" w:cs="FrankRuehl"/>
          <w:rtl/>
        </w:rPr>
      </w:pPr>
    </w:p>
    <w:p w14:paraId="657BEDBA" w14:textId="77777777" w:rsidR="00737FC8" w:rsidRPr="00737FC8" w:rsidRDefault="00737FC8" w:rsidP="00737FC8">
      <w:pPr>
        <w:spacing w:before="120" w:after="120" w:line="240" w:lineRule="exact"/>
        <w:ind w:left="283" w:hanging="283"/>
        <w:jc w:val="both"/>
        <w:rPr>
          <w:rFonts w:ascii="FrankRuehl" w:hAnsi="FrankRuehl" w:cs="FrankRuehl"/>
          <w:rtl/>
        </w:rPr>
      </w:pPr>
    </w:p>
    <w:p w14:paraId="5E5BDCBF" w14:textId="77777777" w:rsidR="00737FC8" w:rsidRPr="00737FC8" w:rsidRDefault="00737FC8" w:rsidP="00737FC8">
      <w:pPr>
        <w:spacing w:before="120" w:after="120" w:line="240" w:lineRule="exact"/>
        <w:ind w:left="283" w:hanging="283"/>
        <w:jc w:val="both"/>
        <w:rPr>
          <w:rFonts w:ascii="FrankRuehl" w:hAnsi="FrankRuehl" w:cs="FrankRuehl"/>
          <w:rtl/>
        </w:rPr>
      </w:pPr>
      <w:r w:rsidRPr="00737FC8">
        <w:rPr>
          <w:rFonts w:ascii="FrankRuehl" w:hAnsi="FrankRuehl" w:cs="FrankRuehl"/>
          <w:rtl/>
        </w:rPr>
        <w:t xml:space="preserve">חקיקה שאוזכרה: </w:t>
      </w:r>
    </w:p>
    <w:p w14:paraId="053085F9" w14:textId="77777777" w:rsidR="00737FC8" w:rsidRPr="00737FC8" w:rsidRDefault="00737FC8" w:rsidP="00737FC8">
      <w:pPr>
        <w:spacing w:before="120" w:after="120" w:line="240" w:lineRule="exact"/>
        <w:ind w:left="283" w:hanging="283"/>
        <w:jc w:val="both"/>
        <w:rPr>
          <w:rFonts w:ascii="FrankRuehl" w:hAnsi="FrankRuehl" w:cs="FrankRuehl"/>
          <w:rtl/>
        </w:rPr>
      </w:pPr>
      <w:hyperlink r:id="rId7" w:history="1">
        <w:r w:rsidRPr="00737FC8">
          <w:rPr>
            <w:rFonts w:ascii="FrankRuehl" w:hAnsi="FrankRuehl" w:cs="FrankRuehl"/>
            <w:color w:val="0000FF"/>
            <w:rtl/>
          </w:rPr>
          <w:t>פקודת הסמים המסוכנים [נוסח חדש], תשל"ג-1973</w:t>
        </w:r>
      </w:hyperlink>
      <w:r w:rsidRPr="00737FC8">
        <w:rPr>
          <w:rFonts w:ascii="FrankRuehl" w:hAnsi="FrankRuehl" w:cs="FrankRuehl"/>
          <w:rtl/>
        </w:rPr>
        <w:t xml:space="preserve">: סע'  </w:t>
      </w:r>
      <w:hyperlink r:id="rId8" w:history="1">
        <w:r w:rsidRPr="00737FC8">
          <w:rPr>
            <w:rFonts w:ascii="FrankRuehl" w:hAnsi="FrankRuehl" w:cs="FrankRuehl"/>
            <w:color w:val="0000FF"/>
            <w:rtl/>
          </w:rPr>
          <w:t>6</w:t>
        </w:r>
      </w:hyperlink>
      <w:r w:rsidRPr="00737FC8">
        <w:rPr>
          <w:rFonts w:ascii="FrankRuehl" w:hAnsi="FrankRuehl" w:cs="FrankRuehl"/>
          <w:rtl/>
        </w:rPr>
        <w:t xml:space="preserve">, </w:t>
      </w:r>
      <w:hyperlink r:id="rId9" w:history="1">
        <w:r w:rsidRPr="00737FC8">
          <w:rPr>
            <w:rFonts w:ascii="FrankRuehl" w:hAnsi="FrankRuehl" w:cs="FrankRuehl"/>
            <w:color w:val="0000FF"/>
            <w:rtl/>
          </w:rPr>
          <w:t>7(א)</w:t>
        </w:r>
      </w:hyperlink>
      <w:r w:rsidRPr="00737FC8">
        <w:rPr>
          <w:rFonts w:ascii="FrankRuehl" w:hAnsi="FrankRuehl" w:cs="FrankRuehl"/>
          <w:rtl/>
        </w:rPr>
        <w:t xml:space="preserve">, </w:t>
      </w:r>
      <w:hyperlink r:id="rId10" w:history="1">
        <w:r w:rsidRPr="00737FC8">
          <w:rPr>
            <w:rFonts w:ascii="FrankRuehl" w:hAnsi="FrankRuehl" w:cs="FrankRuehl"/>
            <w:color w:val="0000FF"/>
            <w:rtl/>
          </w:rPr>
          <w:t>7(ג)</w:t>
        </w:r>
      </w:hyperlink>
      <w:r w:rsidRPr="00737FC8">
        <w:rPr>
          <w:rFonts w:ascii="FrankRuehl" w:hAnsi="FrankRuehl" w:cs="FrankRuehl"/>
          <w:rtl/>
        </w:rPr>
        <w:t xml:space="preserve">, </w:t>
      </w:r>
      <w:hyperlink r:id="rId11" w:history="1">
        <w:r w:rsidRPr="00737FC8">
          <w:rPr>
            <w:rFonts w:ascii="FrankRuehl" w:hAnsi="FrankRuehl" w:cs="FrankRuehl"/>
            <w:color w:val="0000FF"/>
            <w:rtl/>
          </w:rPr>
          <w:t>36א(ב)</w:t>
        </w:r>
      </w:hyperlink>
    </w:p>
    <w:p w14:paraId="31905B3A" w14:textId="77777777" w:rsidR="00737FC8" w:rsidRPr="00737FC8" w:rsidRDefault="00737FC8" w:rsidP="00737FC8">
      <w:pPr>
        <w:spacing w:before="120" w:after="120" w:line="240" w:lineRule="exact"/>
        <w:ind w:left="283" w:hanging="283"/>
        <w:jc w:val="both"/>
        <w:rPr>
          <w:rFonts w:ascii="FrankRuehl" w:hAnsi="FrankRuehl" w:cs="FrankRuehl"/>
          <w:rtl/>
        </w:rPr>
      </w:pPr>
      <w:hyperlink r:id="rId12" w:history="1">
        <w:r w:rsidRPr="00737FC8">
          <w:rPr>
            <w:rFonts w:ascii="FrankRuehl" w:hAnsi="FrankRuehl" w:cs="FrankRuehl"/>
            <w:color w:val="0000FF"/>
            <w:rtl/>
          </w:rPr>
          <w:t>חוק העונשין, תשל"ז-1977</w:t>
        </w:r>
      </w:hyperlink>
      <w:r w:rsidRPr="00737FC8">
        <w:rPr>
          <w:rFonts w:ascii="FrankRuehl" w:hAnsi="FrankRuehl" w:cs="FrankRuehl"/>
          <w:rtl/>
        </w:rPr>
        <w:t xml:space="preserve">: סע'  </w:t>
      </w:r>
      <w:hyperlink r:id="rId13" w:history="1">
        <w:r w:rsidRPr="00737FC8">
          <w:rPr>
            <w:rFonts w:ascii="FrankRuehl" w:hAnsi="FrankRuehl" w:cs="FrankRuehl"/>
            <w:color w:val="0000FF"/>
            <w:rtl/>
          </w:rPr>
          <w:t>40ב</w:t>
        </w:r>
      </w:hyperlink>
      <w:r w:rsidRPr="00737FC8">
        <w:rPr>
          <w:rFonts w:ascii="FrankRuehl" w:hAnsi="FrankRuehl" w:cs="FrankRuehl"/>
          <w:rtl/>
        </w:rPr>
        <w:t xml:space="preserve">, </w:t>
      </w:r>
      <w:hyperlink r:id="rId14" w:history="1">
        <w:r w:rsidRPr="00737FC8">
          <w:rPr>
            <w:rFonts w:ascii="FrankRuehl" w:hAnsi="FrankRuehl" w:cs="FrankRuehl"/>
            <w:color w:val="0000FF"/>
            <w:rtl/>
          </w:rPr>
          <w:t>40 ד</w:t>
        </w:r>
      </w:hyperlink>
      <w:r w:rsidRPr="00737FC8">
        <w:rPr>
          <w:rFonts w:ascii="FrankRuehl" w:hAnsi="FrankRuehl" w:cs="FrankRuehl"/>
          <w:rtl/>
        </w:rPr>
        <w:t xml:space="preserve">, </w:t>
      </w:r>
      <w:hyperlink r:id="rId15" w:history="1">
        <w:r w:rsidRPr="00737FC8">
          <w:rPr>
            <w:rFonts w:ascii="FrankRuehl" w:hAnsi="FrankRuehl" w:cs="FrankRuehl"/>
            <w:color w:val="0000FF"/>
            <w:rtl/>
          </w:rPr>
          <w:t>40 יא</w:t>
        </w:r>
      </w:hyperlink>
      <w:r w:rsidRPr="00737FC8">
        <w:rPr>
          <w:rFonts w:ascii="FrankRuehl" w:hAnsi="FrankRuehl" w:cs="FrankRuehl"/>
          <w:rtl/>
        </w:rPr>
        <w:t xml:space="preserve">, </w:t>
      </w:r>
      <w:hyperlink r:id="rId16" w:history="1">
        <w:r w:rsidRPr="00737FC8">
          <w:rPr>
            <w:rFonts w:ascii="FrankRuehl" w:hAnsi="FrankRuehl" w:cs="FrankRuehl"/>
            <w:color w:val="0000FF"/>
            <w:rtl/>
          </w:rPr>
          <w:t>40יג')</w:t>
        </w:r>
      </w:hyperlink>
    </w:p>
    <w:p w14:paraId="0A089BA3" w14:textId="77777777" w:rsidR="00737FC8" w:rsidRPr="00737FC8" w:rsidRDefault="00737FC8" w:rsidP="00737FC8">
      <w:pPr>
        <w:spacing w:before="120" w:after="120" w:line="240" w:lineRule="exact"/>
        <w:ind w:left="283" w:hanging="283"/>
        <w:jc w:val="both"/>
        <w:rPr>
          <w:rFonts w:ascii="FrankRuehl" w:hAnsi="FrankRuehl" w:cs="FrankRuehl"/>
          <w:rtl/>
        </w:rPr>
      </w:pPr>
      <w:hyperlink r:id="rId17" w:history="1">
        <w:r w:rsidRPr="00737FC8">
          <w:rPr>
            <w:rFonts w:ascii="FrankRuehl" w:hAnsi="FrankRuehl" w:cs="FrankRuehl"/>
            <w:color w:val="0000FF"/>
            <w:rtl/>
          </w:rPr>
          <w:t>פקודת המבחן [נוסח חדש], תשכ"ט-1969</w:t>
        </w:r>
      </w:hyperlink>
    </w:p>
    <w:p w14:paraId="07476E58" w14:textId="77777777" w:rsidR="00737FC8" w:rsidRPr="00737FC8" w:rsidRDefault="00737FC8" w:rsidP="00737FC8">
      <w:pPr>
        <w:jc w:val="center"/>
        <w:rPr>
          <w:rFonts w:ascii="David" w:hAnsi="David"/>
          <w:sz w:val="32"/>
          <w:szCs w:val="32"/>
          <w:rtl/>
        </w:rPr>
      </w:pPr>
      <w:bookmarkStart w:id="4" w:name="LawTable_End"/>
      <w:bookmarkEnd w:id="4"/>
    </w:p>
    <w:p w14:paraId="5A60ED4D" w14:textId="77777777" w:rsidR="002134AF" w:rsidRPr="007B4520" w:rsidRDefault="002134AF" w:rsidP="007B4520">
      <w:pPr>
        <w:jc w:val="center"/>
        <w:rPr>
          <w:rFonts w:ascii="David" w:hAnsi="David"/>
          <w:sz w:val="32"/>
          <w:szCs w:val="32"/>
          <w:rtl/>
        </w:rPr>
      </w:pPr>
    </w:p>
    <w:p w14:paraId="537C79D0" w14:textId="77777777" w:rsidR="002134AF" w:rsidRPr="001B1BA5" w:rsidRDefault="002134AF" w:rsidP="001B1BA5">
      <w:pPr>
        <w:jc w:val="center"/>
        <w:rPr>
          <w:rFonts w:ascii="David" w:hAnsi="David"/>
          <w:b/>
          <w:bCs/>
          <w:sz w:val="32"/>
          <w:szCs w:val="32"/>
          <w:u w:val="single"/>
          <w:rtl/>
        </w:rPr>
      </w:pPr>
      <w:bookmarkStart w:id="5" w:name="PsakDin"/>
      <w:r w:rsidRPr="001B1BA5">
        <w:rPr>
          <w:rFonts w:ascii="David" w:hAnsi="David"/>
          <w:b/>
          <w:bCs/>
          <w:sz w:val="32"/>
          <w:szCs w:val="32"/>
          <w:u w:val="single"/>
          <w:rtl/>
        </w:rPr>
        <w:t>גזר דין</w:t>
      </w:r>
    </w:p>
    <w:bookmarkEnd w:id="5"/>
    <w:p w14:paraId="695A0E68" w14:textId="77777777" w:rsidR="002134AF" w:rsidRPr="00B63976" w:rsidRDefault="002134AF" w:rsidP="00B63976">
      <w:pPr>
        <w:jc w:val="center"/>
        <w:rPr>
          <w:rFonts w:ascii="David" w:hAnsi="David"/>
          <w:sz w:val="32"/>
          <w:szCs w:val="32"/>
          <w:u w:val="single"/>
          <w:rtl/>
        </w:rPr>
      </w:pPr>
    </w:p>
    <w:p w14:paraId="3EE7908F" w14:textId="77777777" w:rsidR="00B63976" w:rsidRPr="000F2247" w:rsidRDefault="00B63976" w:rsidP="00B63976">
      <w:pPr>
        <w:rPr>
          <w:rFonts w:ascii="Arial" w:hAnsi="Arial"/>
          <w:b/>
          <w:bCs/>
          <w:sz w:val="26"/>
          <w:szCs w:val="26"/>
          <w:rtl/>
        </w:rPr>
      </w:pPr>
    </w:p>
    <w:p w14:paraId="54A1A38D"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בהכרעת דין מיום 08.06.21 הורשע הנאשם על פי הודאתו במסגרת הסדר טיעון, בעובדות כתב האישום המתוקן בעבירות החזקה/ שימוש בסמים שלא לצריכה עצמית לפי </w:t>
      </w:r>
      <w:hyperlink r:id="rId18" w:history="1">
        <w:r w:rsidR="002134AF" w:rsidRPr="002134AF">
          <w:rPr>
            <w:rStyle w:val="Hyperlink"/>
            <w:rFonts w:ascii="David" w:hAnsi="David" w:cs="David"/>
            <w:sz w:val="24"/>
            <w:szCs w:val="24"/>
            <w:rtl/>
          </w:rPr>
          <w:t>סעיפים 7(א)</w:t>
        </w:r>
      </w:hyperlink>
      <w:r w:rsidRPr="006D3D04">
        <w:rPr>
          <w:rFonts w:ascii="David" w:hAnsi="David" w:cs="David"/>
          <w:sz w:val="24"/>
          <w:szCs w:val="24"/>
          <w:rtl/>
        </w:rPr>
        <w:t xml:space="preserve"> ו</w:t>
      </w:r>
      <w:hyperlink r:id="rId19" w:history="1">
        <w:r w:rsidR="002134AF" w:rsidRPr="002134AF">
          <w:rPr>
            <w:rStyle w:val="Hyperlink"/>
            <w:rFonts w:ascii="David" w:hAnsi="David" w:cs="David"/>
            <w:sz w:val="24"/>
            <w:szCs w:val="24"/>
            <w:rtl/>
          </w:rPr>
          <w:t>7(ג)</w:t>
        </w:r>
      </w:hyperlink>
      <w:r w:rsidRPr="006D3D04">
        <w:rPr>
          <w:rFonts w:ascii="David" w:hAnsi="David" w:cs="David"/>
          <w:sz w:val="24"/>
          <w:szCs w:val="24"/>
          <w:rtl/>
        </w:rPr>
        <w:t xml:space="preserve"> רישא ל</w:t>
      </w:r>
      <w:hyperlink r:id="rId20" w:history="1">
        <w:r w:rsidR="001B1BA5" w:rsidRPr="001B1BA5">
          <w:rPr>
            <w:rFonts w:ascii="David" w:hAnsi="David" w:cs="David"/>
            <w:color w:val="0000FF"/>
            <w:sz w:val="24"/>
            <w:szCs w:val="24"/>
            <w:u w:val="single"/>
            <w:rtl/>
          </w:rPr>
          <w:t>פקודת הסמים המסוכנים</w:t>
        </w:r>
      </w:hyperlink>
      <w:r w:rsidRPr="006D3D04">
        <w:rPr>
          <w:rFonts w:ascii="David" w:hAnsi="David" w:cs="David"/>
          <w:sz w:val="24"/>
          <w:szCs w:val="24"/>
          <w:rtl/>
        </w:rPr>
        <w:t xml:space="preserve">; גידול יצור, הכנה והפקה לפי </w:t>
      </w:r>
      <w:hyperlink r:id="rId21" w:history="1">
        <w:r w:rsidR="002134AF" w:rsidRPr="002134AF">
          <w:rPr>
            <w:rStyle w:val="Hyperlink"/>
            <w:rFonts w:ascii="David" w:hAnsi="David" w:cs="David"/>
            <w:sz w:val="24"/>
            <w:szCs w:val="24"/>
            <w:rtl/>
          </w:rPr>
          <w:t>סעיף 6</w:t>
        </w:r>
      </w:hyperlink>
      <w:r w:rsidRPr="006D3D04">
        <w:rPr>
          <w:rFonts w:ascii="David" w:hAnsi="David" w:cs="David"/>
          <w:sz w:val="24"/>
          <w:szCs w:val="24"/>
          <w:rtl/>
        </w:rPr>
        <w:t xml:space="preserve"> לפקודת הסמים המסוכנים (נוסח חדש) תשל"ג-1973. </w:t>
      </w:r>
    </w:p>
    <w:p w14:paraId="580C3DC0" w14:textId="77777777" w:rsidR="00B63976" w:rsidRDefault="00B63976" w:rsidP="00B63976">
      <w:pPr>
        <w:spacing w:line="360" w:lineRule="auto"/>
        <w:ind w:left="-58"/>
        <w:jc w:val="both"/>
        <w:rPr>
          <w:rFonts w:ascii="David" w:hAnsi="David"/>
          <w:b/>
          <w:bCs/>
          <w:u w:val="single"/>
          <w:rtl/>
        </w:rPr>
      </w:pPr>
    </w:p>
    <w:p w14:paraId="68A9CD4F" w14:textId="77777777" w:rsidR="00B63976" w:rsidRPr="006D3D04" w:rsidRDefault="00B63976" w:rsidP="00B63976">
      <w:pPr>
        <w:spacing w:line="360" w:lineRule="auto"/>
        <w:ind w:left="-58"/>
        <w:jc w:val="both"/>
        <w:rPr>
          <w:rFonts w:ascii="David" w:hAnsi="David"/>
          <w:b/>
          <w:bCs/>
          <w:u w:val="single"/>
        </w:rPr>
      </w:pPr>
      <w:r w:rsidRPr="006D3D04">
        <w:rPr>
          <w:rFonts w:ascii="David" w:hAnsi="David"/>
          <w:b/>
          <w:bCs/>
          <w:u w:val="single"/>
          <w:rtl/>
        </w:rPr>
        <w:t xml:space="preserve">כתב האישום </w:t>
      </w:r>
    </w:p>
    <w:p w14:paraId="55363261"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bookmarkStart w:id="6" w:name="ABSTRACT_START"/>
      <w:bookmarkEnd w:id="6"/>
      <w:r w:rsidRPr="006D3D04">
        <w:rPr>
          <w:rFonts w:ascii="David" w:hAnsi="David" w:cs="David"/>
          <w:sz w:val="24"/>
          <w:szCs w:val="24"/>
          <w:rtl/>
        </w:rPr>
        <w:t>על פי עובדות כתב האישום המתוקן במועד שאיננו ידוע למאשימה לאחר התאריך 19.02.20 התקין הנאשם בדירה אוהל לגידול סמים מסוכנים בה גידל סם מסוכן מסוג קנבוס</w:t>
      </w:r>
      <w:bookmarkStart w:id="7" w:name="ABSTRACT_END"/>
      <w:bookmarkEnd w:id="7"/>
      <w:r w:rsidRPr="006D3D04">
        <w:rPr>
          <w:rFonts w:ascii="David" w:hAnsi="David" w:cs="David"/>
          <w:sz w:val="24"/>
          <w:szCs w:val="24"/>
          <w:rtl/>
        </w:rPr>
        <w:t>.</w:t>
      </w:r>
    </w:p>
    <w:p w14:paraId="1B37958C"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lastRenderedPageBreak/>
        <w:t>ביום 10.06.20 בשעה 8:35 או בסמוך, במהלך חיפוש בדירה נמצאו בדירה במקומות שונים סמים מסוכנים כדלהלן:</w:t>
      </w:r>
    </w:p>
    <w:p w14:paraId="3E70DB53" w14:textId="77777777" w:rsidR="00B63976" w:rsidRPr="006D3D04" w:rsidRDefault="00B63976" w:rsidP="00B63976">
      <w:pPr>
        <w:pStyle w:val="aa"/>
        <w:numPr>
          <w:ilvl w:val="0"/>
          <w:numId w:val="2"/>
        </w:numPr>
        <w:spacing w:after="0" w:line="360" w:lineRule="auto"/>
        <w:jc w:val="both"/>
        <w:rPr>
          <w:rFonts w:ascii="David" w:hAnsi="David" w:cs="David"/>
          <w:sz w:val="24"/>
          <w:szCs w:val="24"/>
        </w:rPr>
      </w:pPr>
      <w:r w:rsidRPr="006D3D04">
        <w:rPr>
          <w:rFonts w:ascii="David" w:hAnsi="David" w:cs="David"/>
          <w:sz w:val="24"/>
          <w:szCs w:val="24"/>
          <w:rtl/>
        </w:rPr>
        <w:t xml:space="preserve">על השולחן הממוקם בסלון הדירה בתוך קופסה בשתי שקיות שקופות, סם מסוכן מסוג קנבוס במשקל נטו כולל של 14.4 גרם וסם מסוכן מסוג חשיש במשקל נטו כולל של 3.7 גרם. </w:t>
      </w:r>
    </w:p>
    <w:p w14:paraId="0A9AD33A" w14:textId="77777777" w:rsidR="00B63976" w:rsidRPr="006D3D04" w:rsidRDefault="00B63976" w:rsidP="00B63976">
      <w:pPr>
        <w:pStyle w:val="aa"/>
        <w:spacing w:after="0" w:line="360" w:lineRule="auto"/>
        <w:ind w:left="869"/>
        <w:jc w:val="both"/>
        <w:rPr>
          <w:rFonts w:ascii="David" w:hAnsi="David" w:cs="David"/>
          <w:sz w:val="24"/>
          <w:szCs w:val="24"/>
        </w:rPr>
      </w:pPr>
      <w:r w:rsidRPr="006D3D04">
        <w:rPr>
          <w:rFonts w:ascii="David" w:hAnsi="David" w:cs="David"/>
          <w:sz w:val="24"/>
          <w:szCs w:val="24"/>
          <w:rtl/>
        </w:rPr>
        <w:t>בבקבוק</w:t>
      </w:r>
      <w:r>
        <w:rPr>
          <w:rFonts w:ascii="David" w:hAnsi="David" w:cs="David" w:hint="cs"/>
          <w:sz w:val="24"/>
          <w:szCs w:val="24"/>
          <w:rtl/>
        </w:rPr>
        <w:t xml:space="preserve"> </w:t>
      </w:r>
      <w:r w:rsidRPr="006D3D04">
        <w:rPr>
          <w:rFonts w:ascii="David" w:hAnsi="David" w:cs="David"/>
          <w:sz w:val="24"/>
          <w:szCs w:val="24"/>
          <w:rtl/>
        </w:rPr>
        <w:t xml:space="preserve">זכוכית עם כיתוב "שמן קנאביס" סם מסוכן מסוג </w:t>
      </w:r>
      <w:r w:rsidRPr="006D3D04">
        <w:rPr>
          <w:rFonts w:ascii="David" w:hAnsi="David" w:cs="David"/>
          <w:sz w:val="24"/>
          <w:szCs w:val="24"/>
        </w:rPr>
        <w:t>DELTA9-TETRAHYDROCANNABINOL</w:t>
      </w:r>
      <w:r w:rsidRPr="006D3D04">
        <w:rPr>
          <w:rFonts w:ascii="David" w:hAnsi="David" w:cs="David"/>
          <w:sz w:val="24"/>
          <w:szCs w:val="24"/>
          <w:rtl/>
        </w:rPr>
        <w:t xml:space="preserve"> במשקל נטו כולל של 7.50 מ"ל. בשקית אטומה סם מסוכן מסוג קנבוס במשקל נטו כולל של 5.2 גרם, בשקית נוספת סם מסוכן מסוג קנבוס במשקל נטו כולל של 12.2 גרם, בשקית אחרת סם מסוכן מסוג קנבוס במשקל נטו כולל של 9 גרם ובתוך צנצנת סם מסוכן מסוג חשיש במשקל נטו כולל 2.37 גרם. </w:t>
      </w:r>
    </w:p>
    <w:p w14:paraId="70A603E7" w14:textId="77777777" w:rsidR="00B63976" w:rsidRPr="006D3D04" w:rsidRDefault="00B63976" w:rsidP="00B63976">
      <w:pPr>
        <w:pStyle w:val="aa"/>
        <w:numPr>
          <w:ilvl w:val="0"/>
          <w:numId w:val="2"/>
        </w:numPr>
        <w:spacing w:after="0" w:line="360" w:lineRule="auto"/>
        <w:jc w:val="both"/>
        <w:rPr>
          <w:rFonts w:ascii="David" w:hAnsi="David" w:cs="David"/>
          <w:sz w:val="24"/>
          <w:szCs w:val="24"/>
          <w:rtl/>
        </w:rPr>
      </w:pPr>
      <w:r w:rsidRPr="006D3D04">
        <w:rPr>
          <w:rFonts w:ascii="David" w:hAnsi="David" w:cs="David"/>
          <w:sz w:val="24"/>
          <w:szCs w:val="24"/>
          <w:rtl/>
        </w:rPr>
        <w:t xml:space="preserve">במזנון מתחת לטלוויזיה במדף האמצעי בתוך קופסה בצבע כסף סם מסוכן מסוג קנבוס במשקל נטו כולל של 1.9 גרם. </w:t>
      </w:r>
    </w:p>
    <w:p w14:paraId="2BF098B9" w14:textId="77777777" w:rsidR="00B63976" w:rsidRPr="006D3D04" w:rsidRDefault="00B63976" w:rsidP="00B63976">
      <w:pPr>
        <w:pStyle w:val="aa"/>
        <w:numPr>
          <w:ilvl w:val="0"/>
          <w:numId w:val="2"/>
        </w:numPr>
        <w:spacing w:after="0" w:line="360" w:lineRule="auto"/>
        <w:jc w:val="both"/>
        <w:rPr>
          <w:rFonts w:ascii="David" w:hAnsi="David" w:cs="David"/>
          <w:sz w:val="24"/>
          <w:szCs w:val="24"/>
        </w:rPr>
      </w:pPr>
      <w:r w:rsidRPr="006D3D04">
        <w:rPr>
          <w:rFonts w:ascii="David" w:hAnsi="David" w:cs="David"/>
          <w:sz w:val="24"/>
          <w:szCs w:val="24"/>
          <w:rtl/>
        </w:rPr>
        <w:t xml:space="preserve">במגירה במזנון הממוקם לצד כניסה לדירה בשקית אטימה סם מסוכן מסוג </w:t>
      </w:r>
      <w:r w:rsidRPr="006D3D04">
        <w:rPr>
          <w:rFonts w:ascii="David" w:hAnsi="David" w:cs="David"/>
          <w:sz w:val="24"/>
          <w:szCs w:val="24"/>
        </w:rPr>
        <w:t>MDMA</w:t>
      </w:r>
      <w:r w:rsidRPr="006D3D04">
        <w:rPr>
          <w:rFonts w:ascii="David" w:hAnsi="David" w:cs="David"/>
          <w:sz w:val="24"/>
          <w:szCs w:val="24"/>
          <w:rtl/>
        </w:rPr>
        <w:t xml:space="preserve"> במשקל נטו כולל של 1.9190 גרם, סם מסוכן מסוג </w:t>
      </w:r>
      <w:r w:rsidRPr="006D3D04">
        <w:rPr>
          <w:rFonts w:ascii="David" w:hAnsi="David" w:cs="David"/>
          <w:sz w:val="24"/>
          <w:szCs w:val="24"/>
        </w:rPr>
        <w:t>COCAINE</w:t>
      </w:r>
      <w:r w:rsidRPr="006D3D04">
        <w:rPr>
          <w:rFonts w:ascii="David" w:hAnsi="David" w:cs="David"/>
          <w:sz w:val="24"/>
          <w:szCs w:val="24"/>
          <w:rtl/>
        </w:rPr>
        <w:t xml:space="preserve"> במשקל נטו כולל של 0.7363 גרם ובמשקל נטו כולל 2.9259 גרם, בקופסת פלסטיק סם מסוכן מסוג חשיש במשקל נטו כולל של 4.5 גרם ובקופסת פלסטיק אחרת 36 יחידות של סם מסוכן מסוג </w:t>
      </w:r>
      <w:r w:rsidRPr="006D3D04">
        <w:rPr>
          <w:rFonts w:ascii="David" w:hAnsi="David" w:cs="David"/>
          <w:sz w:val="24"/>
          <w:szCs w:val="24"/>
        </w:rPr>
        <w:t>LSD</w:t>
      </w:r>
      <w:r w:rsidRPr="006D3D04">
        <w:rPr>
          <w:rFonts w:ascii="David" w:hAnsi="David" w:cs="David"/>
          <w:sz w:val="24"/>
          <w:szCs w:val="24"/>
          <w:rtl/>
        </w:rPr>
        <w:t>.</w:t>
      </w:r>
    </w:p>
    <w:p w14:paraId="481FC8F3" w14:textId="77777777" w:rsidR="00B63976" w:rsidRPr="006D3D04" w:rsidRDefault="00B63976" w:rsidP="00B63976">
      <w:pPr>
        <w:pStyle w:val="aa"/>
        <w:numPr>
          <w:ilvl w:val="0"/>
          <w:numId w:val="2"/>
        </w:numPr>
        <w:spacing w:after="0" w:line="360" w:lineRule="auto"/>
        <w:jc w:val="both"/>
        <w:rPr>
          <w:rFonts w:ascii="David" w:hAnsi="David" w:cs="David"/>
          <w:sz w:val="24"/>
          <w:szCs w:val="24"/>
        </w:rPr>
      </w:pPr>
      <w:r w:rsidRPr="006D3D04">
        <w:rPr>
          <w:rFonts w:ascii="David" w:hAnsi="David" w:cs="David"/>
          <w:sz w:val="24"/>
          <w:szCs w:val="24"/>
          <w:rtl/>
        </w:rPr>
        <w:t xml:space="preserve">בארונית הממוקמת בסלון הדירה בתוך צנצנת סם מסוכן מסוג קנבוס במשקל נטו כולל של 126.4 גרם, בתוך שקית סם מסוכן מסוג קנבוס במשקל נטו כולל של 80.9 גרם ובתוך שקית קטנה סם מסוכן מסוג קנבוס במשקל נטו כולל של 33 גרם. </w:t>
      </w:r>
    </w:p>
    <w:p w14:paraId="066CE0A8" w14:textId="77777777" w:rsidR="00B63976" w:rsidRPr="006D3D04" w:rsidRDefault="00B63976" w:rsidP="00B63976">
      <w:pPr>
        <w:pStyle w:val="aa"/>
        <w:numPr>
          <w:ilvl w:val="0"/>
          <w:numId w:val="2"/>
        </w:numPr>
        <w:spacing w:after="0" w:line="360" w:lineRule="auto"/>
        <w:jc w:val="both"/>
        <w:rPr>
          <w:rFonts w:ascii="David" w:hAnsi="David" w:cs="David"/>
          <w:sz w:val="24"/>
          <w:szCs w:val="24"/>
        </w:rPr>
      </w:pPr>
      <w:r w:rsidRPr="006D3D04">
        <w:rPr>
          <w:rFonts w:ascii="David" w:hAnsi="David" w:cs="David"/>
          <w:sz w:val="24"/>
          <w:szCs w:val="24"/>
          <w:rtl/>
        </w:rPr>
        <w:t>במזנון הממוקם בסלון הדירה בתוך שקית סם מסוכן מסוג חשיש במשקל נטו כולל של 321.6 גרם.</w:t>
      </w:r>
    </w:p>
    <w:p w14:paraId="19F3405C" w14:textId="77777777" w:rsidR="00B63976" w:rsidRPr="006D3D04" w:rsidRDefault="00B63976" w:rsidP="00B63976">
      <w:pPr>
        <w:pStyle w:val="aa"/>
        <w:numPr>
          <w:ilvl w:val="0"/>
          <w:numId w:val="2"/>
        </w:numPr>
        <w:spacing w:after="0" w:line="360" w:lineRule="auto"/>
        <w:jc w:val="both"/>
        <w:rPr>
          <w:rFonts w:ascii="David" w:hAnsi="David" w:cs="David"/>
          <w:sz w:val="24"/>
          <w:szCs w:val="24"/>
        </w:rPr>
      </w:pPr>
      <w:r w:rsidRPr="006D3D04">
        <w:rPr>
          <w:rFonts w:ascii="David" w:hAnsi="David" w:cs="David"/>
          <w:sz w:val="24"/>
          <w:szCs w:val="24"/>
          <w:rtl/>
        </w:rPr>
        <w:t xml:space="preserve">במקרר הממוקם במטבח בתוך שקית ניילון בצבע לבן סם מסוכן מסוג קנבוס במשקל נטו כולל של 582.4 גרם, בתא מקפיא של המקרר בתוך שלוש שקיות שקופות סם מסוכן מסוג </w:t>
      </w:r>
      <w:r w:rsidRPr="006D3D04">
        <w:rPr>
          <w:rFonts w:ascii="David" w:hAnsi="David" w:cs="David"/>
          <w:sz w:val="24"/>
          <w:szCs w:val="24"/>
        </w:rPr>
        <w:t>PSILOCIN</w:t>
      </w:r>
      <w:r w:rsidRPr="006D3D04">
        <w:rPr>
          <w:rFonts w:ascii="David" w:hAnsi="David" w:cs="David"/>
          <w:sz w:val="24"/>
          <w:szCs w:val="24"/>
          <w:rtl/>
        </w:rPr>
        <w:t xml:space="preserve"> במשקל נטו כולל 68.27 גרם.</w:t>
      </w:r>
    </w:p>
    <w:p w14:paraId="23F8CD29" w14:textId="77777777" w:rsidR="00B63976" w:rsidRPr="006D3D04" w:rsidRDefault="00B63976" w:rsidP="00B63976">
      <w:pPr>
        <w:pStyle w:val="aa"/>
        <w:numPr>
          <w:ilvl w:val="0"/>
          <w:numId w:val="2"/>
        </w:numPr>
        <w:spacing w:after="0" w:line="360" w:lineRule="auto"/>
        <w:jc w:val="both"/>
        <w:rPr>
          <w:rFonts w:ascii="David" w:hAnsi="David" w:cs="David"/>
          <w:sz w:val="24"/>
          <w:szCs w:val="24"/>
        </w:rPr>
      </w:pPr>
      <w:r w:rsidRPr="006D3D04">
        <w:rPr>
          <w:rFonts w:ascii="David" w:hAnsi="David" w:cs="David"/>
          <w:sz w:val="24"/>
          <w:szCs w:val="24"/>
          <w:rtl/>
        </w:rPr>
        <w:t xml:space="preserve">בחדר השינה של הנאשם על הרצפה בשקית שקופה סם מסוכן מסוג קנבוס במשקל נטו כולל של 341.5 גרם, במגירה הסמוכה למיטתו שני כדורים בצבע צהוב עם סם מסוכן מסוג </w:t>
      </w:r>
      <w:r w:rsidRPr="006D3D04">
        <w:rPr>
          <w:rFonts w:ascii="David" w:hAnsi="David" w:cs="David"/>
          <w:sz w:val="24"/>
          <w:szCs w:val="24"/>
        </w:rPr>
        <w:t xml:space="preserve">METHYLPHENIDATE </w:t>
      </w:r>
      <w:r w:rsidRPr="006D3D04">
        <w:rPr>
          <w:rFonts w:ascii="David" w:hAnsi="David" w:cs="David"/>
          <w:sz w:val="24"/>
          <w:szCs w:val="24"/>
          <w:rtl/>
        </w:rPr>
        <w:t xml:space="preserve"> ובארון מדפים הממוקם בסמוך למיטתו כסף מזומן בסך של 30,000 ₪. </w:t>
      </w:r>
    </w:p>
    <w:p w14:paraId="1AE3592A" w14:textId="77777777" w:rsidR="00B63976" w:rsidRPr="006D3D04" w:rsidRDefault="00B63976" w:rsidP="00B63976">
      <w:pPr>
        <w:pStyle w:val="aa"/>
        <w:numPr>
          <w:ilvl w:val="0"/>
          <w:numId w:val="2"/>
        </w:numPr>
        <w:spacing w:after="0" w:line="360" w:lineRule="auto"/>
        <w:jc w:val="both"/>
        <w:rPr>
          <w:rFonts w:ascii="David" w:hAnsi="David" w:cs="David"/>
          <w:sz w:val="24"/>
          <w:szCs w:val="24"/>
        </w:rPr>
      </w:pPr>
      <w:r w:rsidRPr="006D3D04">
        <w:rPr>
          <w:rFonts w:ascii="David" w:hAnsi="David" w:cs="David"/>
          <w:sz w:val="24"/>
          <w:szCs w:val="24"/>
          <w:rtl/>
        </w:rPr>
        <w:t xml:space="preserve">במרפסת הדירה בתוך שידת עץ בשקית זבל בצבע שחור סם מסוכן מסוג קנבוס במשקל נטו כולל של 894.8 גרם. </w:t>
      </w:r>
    </w:p>
    <w:p w14:paraId="1EE06DBC"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בנסיבות הללו החזיק הנאשם במטבח שמונה משקלים דיגיטליים וגידל במרפסת הבית באוהל 33 שתילים של סם מסוכן מסוג קנבוס במשקל נטו כולל של 689.80 גרם. </w:t>
      </w:r>
    </w:p>
    <w:p w14:paraId="22DE9818"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lastRenderedPageBreak/>
        <w:t>בהמשך, ביום 16.06.20 בשעה 9:10 או בסמוך לה, נערך חיפוש במחסן אותו שכר הנאשם ביום 01.03.20, ברח' שולמית אלוני 1 בראשון לציון ובמהלכו נמצאו במחסן על המדפים בתוך שקית סם מסוכן מסוג חשיש במשקל נטו כולל של 500 גרם.</w:t>
      </w:r>
    </w:p>
    <w:p w14:paraId="507D9F8B" w14:textId="77777777" w:rsidR="00B63976" w:rsidRDefault="00B63976" w:rsidP="00B63976">
      <w:pPr>
        <w:spacing w:line="360" w:lineRule="auto"/>
        <w:jc w:val="both"/>
        <w:rPr>
          <w:rFonts w:ascii="David" w:hAnsi="David"/>
          <w:b/>
          <w:bCs/>
          <w:u w:val="single"/>
          <w:rtl/>
        </w:rPr>
      </w:pPr>
    </w:p>
    <w:p w14:paraId="7E5E74A1" w14:textId="77777777" w:rsidR="00B63976" w:rsidRPr="006D3D04" w:rsidRDefault="00B63976" w:rsidP="00B63976">
      <w:pPr>
        <w:spacing w:line="360" w:lineRule="auto"/>
        <w:jc w:val="both"/>
        <w:rPr>
          <w:rFonts w:ascii="David" w:hAnsi="David"/>
          <w:b/>
          <w:bCs/>
          <w:u w:val="single"/>
        </w:rPr>
      </w:pPr>
      <w:r w:rsidRPr="006D3D04">
        <w:rPr>
          <w:rFonts w:ascii="David" w:hAnsi="David"/>
          <w:b/>
          <w:bCs/>
          <w:u w:val="single"/>
          <w:rtl/>
        </w:rPr>
        <w:t>טענות הצדדים לעונש</w:t>
      </w:r>
    </w:p>
    <w:p w14:paraId="08AD3C3A"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tl/>
        </w:rPr>
      </w:pPr>
      <w:r w:rsidRPr="006D3D04">
        <w:rPr>
          <w:rFonts w:ascii="David" w:hAnsi="David" w:cs="David"/>
          <w:b/>
          <w:bCs/>
          <w:sz w:val="24"/>
          <w:szCs w:val="24"/>
          <w:rtl/>
        </w:rPr>
        <w:t>ב"כ המאשימה</w:t>
      </w:r>
      <w:r w:rsidRPr="006D3D04">
        <w:rPr>
          <w:rFonts w:ascii="David" w:hAnsi="David" w:cs="David"/>
          <w:sz w:val="24"/>
          <w:szCs w:val="24"/>
          <w:rtl/>
        </w:rPr>
        <w:t xml:space="preserve"> טענה לערכים המוגנים שנפגעו כתוצאה ממעשי הנאשם ובכללם ההגנה על ביטחון הציבור, שלומו ובריאותו.</w:t>
      </w:r>
    </w:p>
    <w:p w14:paraId="78EC3ABC"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ב"כ המאשימה בטיעוניה הפנתה לנסיבות ביצוע העבירות ולחומרת המעשים בהדגישה את כמויות הסם, היקפם והציוד בו נעשה שימוש. לטענת המאשימה עבירות הסמים גורמות לנזקים ישירים ועקיפים ומכאן שפוגעות בערכים </w:t>
      </w:r>
      <w:r>
        <w:rPr>
          <w:rFonts w:ascii="David" w:hAnsi="David" w:cs="David" w:hint="cs"/>
          <w:sz w:val="24"/>
          <w:szCs w:val="24"/>
          <w:rtl/>
        </w:rPr>
        <w:t xml:space="preserve">מוגנים </w:t>
      </w:r>
      <w:r w:rsidRPr="006D3D04">
        <w:rPr>
          <w:rFonts w:ascii="David" w:hAnsi="David" w:cs="David"/>
          <w:sz w:val="24"/>
          <w:szCs w:val="24"/>
          <w:rtl/>
        </w:rPr>
        <w:t>באורח משמעותי.</w:t>
      </w:r>
    </w:p>
    <w:p w14:paraId="19962AF2"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ב"כ המאשימה התייחסה בטיעוניה לתסקיר שירות המבחן וסברה כי המלצותיו חורגות באורח משמעותי ממדיניות הענישה הנוהגת ומשכך עתרה לקביעת מתחם ענישה הנע בין 15 ל</w:t>
      </w:r>
      <w:r>
        <w:rPr>
          <w:rFonts w:ascii="David" w:hAnsi="David" w:cs="David" w:hint="cs"/>
          <w:sz w:val="24"/>
          <w:szCs w:val="24"/>
          <w:rtl/>
        </w:rPr>
        <w:t>-</w:t>
      </w:r>
      <w:r w:rsidRPr="006D3D04">
        <w:rPr>
          <w:rFonts w:ascii="David" w:hAnsi="David" w:cs="David"/>
          <w:sz w:val="24"/>
          <w:szCs w:val="24"/>
          <w:rtl/>
        </w:rPr>
        <w:t>30 חודשי מאסר בפועל.</w:t>
      </w:r>
    </w:p>
    <w:p w14:paraId="30FA4814"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בכל הנוגע לנסיבות שאינן קשורות בביצוע העבירות, נטען כי יש לשקול לחומרה את עמדותיו המקלות של הנאשם לעניין שימוש בסמים ולעניין הנזקקות למסגרת טיפול שהוצעה על ידי שירות המבחן. לקולא הוסיפה וטענה שיש להביא בחשבון את העובדה שהודה וחסך בזמן שיפוטי. </w:t>
      </w:r>
    </w:p>
    <w:p w14:paraId="0CABE9A8"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אשר לענישה בתוככי המתחם עותרת המאשימה להטלת עונש מאסר למשך 15 חודשים לצד ענישה נלווית הכוללת מאסר מותנה, קנס, התחייבות, שלילת רישיון וחילוט הכספים. </w:t>
      </w:r>
    </w:p>
    <w:p w14:paraId="3A2F82F6"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b/>
          <w:bCs/>
          <w:sz w:val="24"/>
          <w:szCs w:val="24"/>
          <w:rtl/>
        </w:rPr>
        <w:t>ב"כ הנאשם</w:t>
      </w:r>
      <w:r w:rsidRPr="006D3D04">
        <w:rPr>
          <w:rFonts w:ascii="David" w:hAnsi="David" w:cs="David"/>
          <w:sz w:val="24"/>
          <w:szCs w:val="24"/>
          <w:rtl/>
        </w:rPr>
        <w:t xml:space="preserve"> הפנה בטיעוניו לנסיבות ביצוע העבירה הנלמדות מתסקיר שירות המבחן לטענתו הרקע לביצוע העבירה נבע ממצוקה נפשית שחווה הנאשם על רקע שירותו הצבאי. </w:t>
      </w:r>
    </w:p>
    <w:p w14:paraId="4BBFE24C"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בכל הנוגע לנסיבות שאינן קשורות בביצוע העבירה נטען כי הנאשם נורמטיבי, נעדר עבר פלילי קודם, מנהל אורח חיים תקין באמצעות פעילות התנדבותית ומועסק כעובד כללי בחברת מעליות העובדת עם גופים ביטחוניים.  </w:t>
      </w:r>
    </w:p>
    <w:p w14:paraId="1B5949AA"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עוד נטען שבעבר נהג הנאשם להשתמש בסמים מסוגים שונים, כיום מקבל אחריות על מעשיו ובהתאמה שינה אורחותיו ונמנע מצריכת סמים פרט לאל</w:t>
      </w:r>
      <w:r>
        <w:rPr>
          <w:rFonts w:ascii="David" w:hAnsi="David" w:cs="David" w:hint="cs"/>
          <w:sz w:val="24"/>
          <w:szCs w:val="24"/>
          <w:rtl/>
        </w:rPr>
        <w:t>ה</w:t>
      </w:r>
      <w:r w:rsidRPr="006D3D04">
        <w:rPr>
          <w:rFonts w:ascii="David" w:hAnsi="David" w:cs="David"/>
          <w:sz w:val="24"/>
          <w:szCs w:val="24"/>
          <w:rtl/>
        </w:rPr>
        <w:t xml:space="preserve"> שהותרו לו ברישיון עקב אנמנזה פסיכיאטרית בה אובחן כסובל מהפרעה פוסט טראומטית (</w:t>
      </w:r>
      <w:r w:rsidRPr="006D3D04">
        <w:rPr>
          <w:rFonts w:ascii="David" w:hAnsi="David" w:cs="David"/>
          <w:sz w:val="24"/>
          <w:szCs w:val="24"/>
        </w:rPr>
        <w:t>PTSD</w:t>
      </w:r>
      <w:r w:rsidRPr="006D3D04">
        <w:rPr>
          <w:rFonts w:ascii="David" w:hAnsi="David" w:cs="David"/>
          <w:sz w:val="24"/>
          <w:szCs w:val="24"/>
          <w:rtl/>
        </w:rPr>
        <w:t>).</w:t>
      </w:r>
    </w:p>
    <w:p w14:paraId="4B6BC03F"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ב"כ הנאשם ביקש לאמץ את המלצת שירות המבחן ולהימנע מהרשעת הנאשם וזאת מחשש לפגיעה בעתידו המקצועי, בהעסקתו בחברה המספקת שירותים לגופים ביטחוניים ובשל גילו הצעיר. לחלופין מנעד הענישה צריך לנוע בין מאסר בעבודות שירות ועד מאסר בפועל כאשר שיקול</w:t>
      </w:r>
      <w:r>
        <w:rPr>
          <w:rFonts w:ascii="David" w:hAnsi="David" w:cs="David" w:hint="cs"/>
          <w:sz w:val="24"/>
          <w:szCs w:val="24"/>
          <w:rtl/>
        </w:rPr>
        <w:t>י</w:t>
      </w:r>
      <w:r w:rsidRPr="006D3D04">
        <w:rPr>
          <w:rFonts w:ascii="David" w:hAnsi="David" w:cs="David"/>
          <w:sz w:val="24"/>
          <w:szCs w:val="24"/>
          <w:rtl/>
        </w:rPr>
        <w:t xml:space="preserve"> השיקום גוברים. ב"כ הנאשם ביקש להסתפק בענישה בדמות שירות לתועלת הציבור תוך שהפנה לפסיקה התומכת בבקשתו.   </w:t>
      </w:r>
    </w:p>
    <w:p w14:paraId="7FBB0148" w14:textId="77777777" w:rsidR="00B63976" w:rsidRDefault="00B63976" w:rsidP="00B63976">
      <w:pPr>
        <w:spacing w:line="360" w:lineRule="auto"/>
        <w:jc w:val="both"/>
        <w:rPr>
          <w:rFonts w:ascii="David" w:hAnsi="David"/>
          <w:b/>
          <w:bCs/>
          <w:u w:val="single"/>
          <w:rtl/>
        </w:rPr>
      </w:pPr>
    </w:p>
    <w:p w14:paraId="442D238A" w14:textId="77777777" w:rsidR="00B63976" w:rsidRPr="006D3D04" w:rsidRDefault="00B63976" w:rsidP="00B63976">
      <w:pPr>
        <w:spacing w:line="360" w:lineRule="auto"/>
        <w:jc w:val="both"/>
        <w:rPr>
          <w:rFonts w:ascii="David" w:hAnsi="David"/>
          <w:b/>
          <w:bCs/>
          <w:u w:val="single"/>
          <w:rtl/>
        </w:rPr>
      </w:pPr>
      <w:r>
        <w:rPr>
          <w:rFonts w:ascii="David" w:hAnsi="David" w:hint="cs"/>
          <w:b/>
          <w:bCs/>
          <w:u w:val="single"/>
          <w:rtl/>
        </w:rPr>
        <w:t>תסקיר שירות המבחן ו</w:t>
      </w:r>
      <w:r w:rsidRPr="006D3D04">
        <w:rPr>
          <w:rFonts w:ascii="David" w:hAnsi="David"/>
          <w:b/>
          <w:bCs/>
          <w:u w:val="single"/>
          <w:rtl/>
        </w:rPr>
        <w:t xml:space="preserve">חוות דעת הממונה עבודות השירות </w:t>
      </w:r>
    </w:p>
    <w:p w14:paraId="12B92CB1"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tl/>
        </w:rPr>
      </w:pPr>
      <w:r w:rsidRPr="006D3D04">
        <w:rPr>
          <w:rFonts w:ascii="David" w:hAnsi="David" w:cs="David"/>
          <w:sz w:val="24"/>
          <w:szCs w:val="24"/>
          <w:rtl/>
        </w:rPr>
        <w:t>ביום 08.06.21 ועל יסוד ההסדר הדיוני אליו הגיעו הצדדים הופנה הנאשם לשירות המבחן ולממונה על עבודות השירות.</w:t>
      </w:r>
    </w:p>
    <w:p w14:paraId="64F447AF"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ביום 03.03.22 הוגש תסקיר שירות מבחן ממנו עולה כי הנאשם בן 26, רווק, בעל 12 שנות לימוד, מתגורר בגפו בתל אביב ושומר על רצף תעסוקתי. הנאשם נעדר הרשעות קודמות ולוקח אחריות על מעשיו. הנאשם גדל בסביבה נורמטיבית בה הפנים נורמות ומודלים להתנהגות תקינה. </w:t>
      </w:r>
    </w:p>
    <w:p w14:paraId="0A6EE60F"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מתסקיר שירות המבחן עולה כי העבירות בוצעו על רקע שירותו הצבאי שם החל לסבול מתסמינים פוסט טראומטיים (</w:t>
      </w:r>
      <w:r w:rsidRPr="006D3D04">
        <w:rPr>
          <w:rFonts w:ascii="David" w:hAnsi="David" w:cs="David"/>
          <w:sz w:val="24"/>
          <w:szCs w:val="24"/>
        </w:rPr>
        <w:t>PTSD</w:t>
      </w:r>
      <w:r w:rsidRPr="006D3D04">
        <w:rPr>
          <w:rFonts w:ascii="David" w:hAnsi="David" w:cs="David"/>
          <w:sz w:val="24"/>
          <w:szCs w:val="24"/>
          <w:rtl/>
        </w:rPr>
        <w:t>) אשר הוחרפו כשנתיים עובר למועד הגשת כתב האישום. שירות המבחן התרשם כי קיימת התרופפות ביכולתו להציב לעצמו גבולות פנימיים וחיצוניים וכי מתקשה להתמודד בצורה אפקטיבית עם מצוקותיו וקשייו. לאחר כתב האישום אף נזקק לשימוש בקנביס רפואי ברישיון ועל פי המלצה פסיכיאטרית.</w:t>
      </w:r>
    </w:p>
    <w:p w14:paraId="5B7C8CFD"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שירות המבחן המליץ על ענישה מוחשית בדמות שירות לתועלת הציבור בהיקף של 300 שעות וצו מבחן להמשך טיפול ומעקב. </w:t>
      </w:r>
    </w:p>
    <w:p w14:paraId="5439A0F2"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אשר לשאלת אי ההרשעה המליץ שירות המבחן להימנע מהרשעת הנאשם וזאת מאחר ומועסק במתקנים צבאיים שם נדרש לסיווג ביטחוני. עוד נטען בתסקיר לקיומו של חשש לפיו הרשעה בדין תגרום לפגיעה בדימוי העצמי ובאופק התעסוקתי. </w:t>
      </w:r>
    </w:p>
    <w:p w14:paraId="41E0585A"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 ביום 26.06.22 נתקבלה חוות דעת ממונה על עבודות השירות ממנה עולה כי הנאשם כשיר לריצוי עבודות שירות.</w:t>
      </w:r>
    </w:p>
    <w:p w14:paraId="56AA58E0" w14:textId="77777777" w:rsidR="00B63976" w:rsidRDefault="00B63976" w:rsidP="00B63976">
      <w:pPr>
        <w:spacing w:line="360" w:lineRule="auto"/>
        <w:ind w:left="-58"/>
        <w:jc w:val="both"/>
        <w:rPr>
          <w:rFonts w:ascii="David" w:hAnsi="David"/>
          <w:b/>
          <w:bCs/>
          <w:u w:val="single"/>
          <w:rtl/>
        </w:rPr>
      </w:pPr>
    </w:p>
    <w:p w14:paraId="60205D98" w14:textId="77777777" w:rsidR="00B63976" w:rsidRPr="006D3D04" w:rsidRDefault="00B63976" w:rsidP="00B63976">
      <w:pPr>
        <w:spacing w:line="360" w:lineRule="auto"/>
        <w:ind w:left="-58"/>
        <w:jc w:val="both"/>
        <w:rPr>
          <w:rFonts w:ascii="David" w:hAnsi="David"/>
          <w:b/>
          <w:bCs/>
          <w:u w:val="single"/>
        </w:rPr>
      </w:pPr>
      <w:r w:rsidRPr="006D3D04">
        <w:rPr>
          <w:rFonts w:ascii="David" w:hAnsi="David"/>
          <w:b/>
          <w:bCs/>
          <w:u w:val="single"/>
          <w:rtl/>
        </w:rPr>
        <w:t xml:space="preserve">סוגיית אי ההרשעה או ביטולה: </w:t>
      </w:r>
    </w:p>
    <w:p w14:paraId="54B3705A"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כלל הוא, כי מקום בו הוכחה אשמתו של אדם בביצוע עבירות, יורשע בביצוען. סטייה מכלל זה תיעשה רק באותם מקרים חריגים ויוצאי דופן, ובהתקיים התנאים המצטברים אשר נקבעו ב</w:t>
      </w:r>
      <w:hyperlink r:id="rId22" w:history="1">
        <w:r w:rsidR="001B1BA5" w:rsidRPr="001B1BA5">
          <w:rPr>
            <w:rFonts w:ascii="David" w:hAnsi="David" w:cs="David"/>
            <w:color w:val="0000FF"/>
            <w:spacing w:val="10"/>
            <w:sz w:val="24"/>
            <w:szCs w:val="24"/>
            <w:u w:val="single"/>
            <w:rtl/>
          </w:rPr>
          <w:t>ע"פ 2083/96</w:t>
        </w:r>
      </w:hyperlink>
      <w:r w:rsidRPr="006D3D04">
        <w:rPr>
          <w:rFonts w:ascii="David" w:hAnsi="David" w:cs="David"/>
          <w:spacing w:val="10"/>
          <w:sz w:val="24"/>
          <w:szCs w:val="24"/>
          <w:rtl/>
        </w:rPr>
        <w:t xml:space="preserve"> </w:t>
      </w:r>
      <w:r w:rsidRPr="006D3D04">
        <w:rPr>
          <w:rFonts w:ascii="David" w:hAnsi="David" w:cs="David"/>
          <w:b/>
          <w:bCs/>
          <w:spacing w:val="10"/>
          <w:sz w:val="24"/>
          <w:szCs w:val="24"/>
          <w:rtl/>
        </w:rPr>
        <w:t>כתב נ' מדינת ישראל</w:t>
      </w:r>
      <w:r w:rsidRPr="006D3D04">
        <w:rPr>
          <w:rFonts w:ascii="David" w:hAnsi="David" w:cs="David"/>
          <w:spacing w:val="10"/>
          <w:sz w:val="24"/>
          <w:szCs w:val="24"/>
          <w:rtl/>
        </w:rPr>
        <w:t>, פ"ד נב(3) 337 (1997) (להלן:</w:t>
      </w:r>
      <w:r w:rsidRPr="006D3D04">
        <w:rPr>
          <w:rFonts w:ascii="David" w:hAnsi="David" w:cs="David"/>
          <w:b/>
          <w:bCs/>
          <w:spacing w:val="10"/>
          <w:sz w:val="24"/>
          <w:szCs w:val="24"/>
          <w:rtl/>
        </w:rPr>
        <w:t xml:space="preserve"> עניין </w:t>
      </w:r>
      <w:r w:rsidRPr="006D3D04">
        <w:rPr>
          <w:rFonts w:ascii="David" w:hAnsi="David" w:cs="David"/>
          <w:b/>
          <w:bCs/>
          <w:sz w:val="24"/>
          <w:szCs w:val="24"/>
          <w:rtl/>
        </w:rPr>
        <w:t>כתב</w:t>
      </w:r>
      <w:r w:rsidRPr="006D3D04">
        <w:rPr>
          <w:rFonts w:ascii="David" w:hAnsi="David" w:cs="David"/>
          <w:spacing w:val="10"/>
          <w:sz w:val="24"/>
          <w:szCs w:val="24"/>
          <w:rtl/>
        </w:rPr>
        <w:t>)</w:t>
      </w:r>
      <w:r w:rsidRPr="006D3D04">
        <w:rPr>
          <w:rFonts w:ascii="David" w:hAnsi="David" w:cs="David"/>
          <w:sz w:val="24"/>
          <w:szCs w:val="24"/>
          <w:rtl/>
        </w:rPr>
        <w:t>, בהם סוג העבירה ונסיבותיה מאפשרים להימנע מהרשעה מבלי לפגוע בשיקולי הענישה הנוספים, ולאחר שהוכח כי הרשעת הנאשם תפגע בו ובסיכויי שיקומו באופן חמור ומוחשי</w:t>
      </w:r>
      <w:r w:rsidRPr="006D3D04">
        <w:rPr>
          <w:rFonts w:ascii="David" w:hAnsi="David" w:cs="David"/>
          <w:spacing w:val="10"/>
          <w:sz w:val="24"/>
          <w:szCs w:val="24"/>
          <w:rtl/>
        </w:rPr>
        <w:t xml:space="preserve">. </w:t>
      </w:r>
    </w:p>
    <w:p w14:paraId="02EA0843"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על מנת שיחול החריג של אי הרשעה, חובה על הנאשם להוכיח שהרשעה תסב נזק חמור לשיקומו ותפגע פגיעה קונקרטית בתעסוקתו. יפים הדברים שנקבעו בעניין זה ב</w:t>
      </w:r>
      <w:hyperlink r:id="rId23" w:history="1">
        <w:r w:rsidR="001B1BA5" w:rsidRPr="001B1BA5">
          <w:rPr>
            <w:rFonts w:ascii="David" w:hAnsi="David" w:cs="David"/>
            <w:color w:val="0000FF"/>
            <w:sz w:val="24"/>
            <w:szCs w:val="24"/>
            <w:u w:val="single"/>
            <w:rtl/>
          </w:rPr>
          <w:t>רע"פ 3589/14</w:t>
        </w:r>
      </w:hyperlink>
      <w:r w:rsidRPr="006D3D04">
        <w:rPr>
          <w:rFonts w:ascii="David" w:hAnsi="David" w:cs="David"/>
          <w:sz w:val="24"/>
          <w:szCs w:val="24"/>
          <w:rtl/>
        </w:rPr>
        <w:t xml:space="preserve"> </w:t>
      </w:r>
      <w:r w:rsidRPr="006D3D04">
        <w:rPr>
          <w:rFonts w:ascii="David" w:hAnsi="David" w:cs="David"/>
          <w:b/>
          <w:bCs/>
          <w:sz w:val="24"/>
          <w:szCs w:val="24"/>
          <w:rtl/>
        </w:rPr>
        <w:t>לוזון נ' מדינת ישראל</w:t>
      </w:r>
      <w:r w:rsidRPr="006D3D04">
        <w:rPr>
          <w:rFonts w:ascii="David" w:hAnsi="David" w:cs="David"/>
          <w:sz w:val="24"/>
          <w:szCs w:val="24"/>
          <w:rtl/>
        </w:rPr>
        <w:t xml:space="preserve"> (פורסם בנבו, 10.6.14): "</w:t>
      </w:r>
      <w:r w:rsidRPr="006D3D04">
        <w:rPr>
          <w:rFonts w:ascii="David" w:hAnsi="David" w:cs="David"/>
          <w:b/>
          <w:bCs/>
          <w:sz w:val="24"/>
          <w:szCs w:val="24"/>
          <w:rtl/>
        </w:rPr>
        <w:t>על העותר לאי-הרשעה מוטלת החובה להצביע על כך שהרשעתו תביא לפגיעה קשה וקונקרטית בסיכויי שיקומו, ולתמוך את טענותיו בתשתית ראייתית מתאימה ... החובה להצביע על נזק קונקרטי, עולה בקנה אחד עם אופיו המצומצם של החריג שעניינו הימנעות מהרשעה, אשר נועד לחול אך במקרים בהם קיימים טעמים כבדי משקל הנוגעים לשיקומו של הנאשם</w:t>
      </w:r>
      <w:r w:rsidRPr="006D3D04">
        <w:rPr>
          <w:rFonts w:ascii="David" w:hAnsi="David" w:cs="David"/>
          <w:sz w:val="24"/>
          <w:szCs w:val="24"/>
          <w:rtl/>
        </w:rPr>
        <w:t>".</w:t>
      </w:r>
    </w:p>
    <w:p w14:paraId="674BA477"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בפסיקה הודגש כי בין שני הגורמים הנלקחים בחשבון לצורך בחינת שאלת אי ההרשעה מתקיימים יחסי גומלין, בבחינת</w:t>
      </w:r>
      <w:r w:rsidRPr="006D3D04">
        <w:rPr>
          <w:rFonts w:ascii="David" w:hAnsi="David" w:cs="David"/>
          <w:sz w:val="24"/>
          <w:szCs w:val="24"/>
        </w:rPr>
        <w:t xml:space="preserve"> </w:t>
      </w:r>
      <w:r w:rsidRPr="006D3D04">
        <w:rPr>
          <w:rFonts w:ascii="David" w:hAnsi="David" w:cs="David"/>
          <w:sz w:val="24"/>
          <w:szCs w:val="24"/>
          <w:rtl/>
        </w:rPr>
        <w:t>"מקבילית כוחות", לאמור: "</w:t>
      </w:r>
      <w:r w:rsidRPr="006D3D04">
        <w:rPr>
          <w:rFonts w:ascii="David" w:hAnsi="David" w:cs="David"/>
          <w:b/>
          <w:bCs/>
          <w:sz w:val="24"/>
          <w:szCs w:val="24"/>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r w:rsidRPr="006D3D04">
        <w:rPr>
          <w:rFonts w:ascii="David" w:hAnsi="David" w:cs="David"/>
          <w:sz w:val="24"/>
          <w:szCs w:val="24"/>
          <w:rtl/>
        </w:rPr>
        <w:t xml:space="preserve">" </w:t>
      </w:r>
      <w:r w:rsidRPr="006D3D04">
        <w:rPr>
          <w:rFonts w:ascii="David" w:hAnsi="David" w:cs="David"/>
          <w:spacing w:val="-2"/>
          <w:sz w:val="24"/>
          <w:szCs w:val="24"/>
          <w:rtl/>
        </w:rPr>
        <w:t>[</w:t>
      </w:r>
      <w:hyperlink r:id="rId24" w:history="1">
        <w:r w:rsidR="001B1BA5" w:rsidRPr="001B1BA5">
          <w:rPr>
            <w:rFonts w:ascii="David" w:hAnsi="David" w:cs="David"/>
            <w:color w:val="0000FF"/>
            <w:spacing w:val="-2"/>
            <w:sz w:val="24"/>
            <w:szCs w:val="24"/>
            <w:u w:val="single"/>
            <w:rtl/>
          </w:rPr>
          <w:t>ע"פ (מרכז) 24457-03-15</w:t>
        </w:r>
      </w:hyperlink>
      <w:r w:rsidRPr="006D3D04">
        <w:rPr>
          <w:rFonts w:ascii="David" w:hAnsi="David" w:cs="David"/>
          <w:spacing w:val="-2"/>
          <w:sz w:val="24"/>
          <w:szCs w:val="24"/>
          <w:rtl/>
        </w:rPr>
        <w:t xml:space="preserve">‏ ‏ </w:t>
      </w:r>
      <w:r w:rsidRPr="006D3D04">
        <w:rPr>
          <w:rFonts w:ascii="David" w:hAnsi="David" w:cs="David"/>
          <w:b/>
          <w:bCs/>
          <w:spacing w:val="-2"/>
          <w:sz w:val="24"/>
          <w:szCs w:val="24"/>
          <w:rtl/>
        </w:rPr>
        <w:t>פבל גוטרמן</w:t>
      </w:r>
      <w:r w:rsidR="001B1BA5">
        <w:rPr>
          <w:rFonts w:ascii="David" w:hAnsi="David" w:cs="David"/>
          <w:b/>
          <w:bCs/>
          <w:spacing w:val="-2"/>
          <w:sz w:val="24"/>
          <w:szCs w:val="24"/>
          <w:rtl/>
        </w:rPr>
        <w:t xml:space="preserve"> </w:t>
      </w:r>
      <w:r w:rsidRPr="006D3D04">
        <w:rPr>
          <w:rFonts w:ascii="David" w:hAnsi="David" w:cs="David"/>
          <w:b/>
          <w:bCs/>
          <w:spacing w:val="-2"/>
          <w:sz w:val="24"/>
          <w:szCs w:val="24"/>
          <w:rtl/>
        </w:rPr>
        <w:t xml:space="preserve"> נ' מדינת ישראל</w:t>
      </w:r>
      <w:r w:rsidRPr="006D3D04">
        <w:rPr>
          <w:rFonts w:ascii="David" w:hAnsi="David" w:cs="David"/>
          <w:spacing w:val="-2"/>
          <w:sz w:val="24"/>
          <w:szCs w:val="24"/>
          <w:rtl/>
        </w:rPr>
        <w:t xml:space="preserve"> (פורסם בנבו, 30.8.15)].</w:t>
      </w:r>
    </w:p>
    <w:p w14:paraId="5BF156ED"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במקרה שבפניי סבורני כי עניינו של הנאשם איננו נמנה עם אותם מקרים חריגים בהם יש לבטל את הרשעתו של הנאשם בדין.</w:t>
      </w:r>
    </w:p>
    <w:p w14:paraId="54A0AFF1"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tl/>
        </w:rPr>
      </w:pPr>
      <w:r w:rsidRPr="006D3D04">
        <w:rPr>
          <w:rFonts w:ascii="David" w:hAnsi="David" w:cs="David"/>
          <w:sz w:val="24"/>
          <w:szCs w:val="24"/>
          <w:rtl/>
        </w:rPr>
        <w:t>אשר למבחן הראשון, בתי המשפט בכל הערכאות שבו ועמדו על חשיבות המאבק בעבירות סמים, ועל הנזק הרב הנגרם מנגע הסם. יפים לעניין זה דברים שנאמרו ב</w:t>
      </w:r>
      <w:hyperlink r:id="rId25" w:history="1">
        <w:r w:rsidR="001B1BA5" w:rsidRPr="001B1BA5">
          <w:rPr>
            <w:rFonts w:ascii="David" w:hAnsi="David" w:cs="David"/>
            <w:color w:val="0000FF"/>
            <w:sz w:val="24"/>
            <w:szCs w:val="24"/>
            <w:u w:val="single"/>
            <w:rtl/>
          </w:rPr>
          <w:t>ע"פ 4484/05</w:t>
        </w:r>
      </w:hyperlink>
      <w:r w:rsidRPr="006D3D04">
        <w:rPr>
          <w:rFonts w:ascii="David" w:hAnsi="David" w:cs="David"/>
          <w:sz w:val="24"/>
          <w:szCs w:val="24"/>
          <w:rtl/>
        </w:rPr>
        <w:t xml:space="preserve"> </w:t>
      </w:r>
      <w:r w:rsidRPr="006D3D04">
        <w:rPr>
          <w:rFonts w:ascii="David" w:hAnsi="David" w:cs="David"/>
          <w:b/>
          <w:bCs/>
          <w:sz w:val="24"/>
          <w:szCs w:val="24"/>
          <w:rtl/>
        </w:rPr>
        <w:t xml:space="preserve">גונן שגב נ' מד"י </w:t>
      </w:r>
      <w:r w:rsidRPr="006D3D04">
        <w:rPr>
          <w:rFonts w:ascii="David" w:hAnsi="David" w:cs="David"/>
          <w:sz w:val="24"/>
          <w:szCs w:val="24"/>
          <w:rtl/>
        </w:rPr>
        <w:t>(לא פורסם) (8.8.06):</w:t>
      </w:r>
    </w:p>
    <w:p w14:paraId="338A9555" w14:textId="77777777" w:rsidR="00B63976" w:rsidRPr="006D3D04" w:rsidRDefault="00B63976" w:rsidP="00B63976">
      <w:pPr>
        <w:tabs>
          <w:tab w:val="num" w:pos="509"/>
        </w:tabs>
        <w:spacing w:line="360" w:lineRule="auto"/>
        <w:ind w:left="509" w:hanging="708"/>
        <w:contextualSpacing/>
        <w:jc w:val="both"/>
        <w:rPr>
          <w:rFonts w:ascii="David" w:hAnsi="David"/>
        </w:rPr>
      </w:pPr>
      <w:r w:rsidRPr="006D3D04">
        <w:rPr>
          <w:rFonts w:ascii="David" w:hAnsi="David"/>
          <w:rtl/>
        </w:rPr>
        <w:tab/>
        <w:t>"</w:t>
      </w:r>
      <w:r w:rsidRPr="006D3D04">
        <w:rPr>
          <w:rFonts w:ascii="David" w:hAnsi="David"/>
          <w:b/>
          <w:bCs/>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r w:rsidRPr="006D3D04">
        <w:rPr>
          <w:rFonts w:ascii="David" w:hAnsi="David"/>
          <w:rtl/>
        </w:rPr>
        <w:t>".</w:t>
      </w:r>
    </w:p>
    <w:p w14:paraId="668F9D1E" w14:textId="77777777" w:rsidR="00B63976" w:rsidRPr="006D3D04" w:rsidRDefault="00B63976" w:rsidP="00B63976">
      <w:pPr>
        <w:spacing w:line="360" w:lineRule="auto"/>
        <w:ind w:left="509"/>
        <w:jc w:val="both"/>
        <w:rPr>
          <w:rFonts w:ascii="David" w:hAnsi="David"/>
          <w:color w:val="000000"/>
        </w:rPr>
      </w:pPr>
      <w:r w:rsidRPr="006D3D04">
        <w:rPr>
          <w:rFonts w:ascii="David" w:hAnsi="David"/>
          <w:rtl/>
        </w:rPr>
        <w:t xml:space="preserve">הנאשם הציג מכתב ממעסיקו כי הרשעה בעניינו עלולה לפגוע באפשרות לקידומו המקצועי בעתיד. לא שוכנעתי כי הרשעה בדין תוביל לנזק חמור או למצער לפגיעה קונקרטית </w:t>
      </w:r>
      <w:r>
        <w:rPr>
          <w:rFonts w:ascii="David" w:hAnsi="David" w:hint="cs"/>
          <w:rtl/>
        </w:rPr>
        <w:t>ב</w:t>
      </w:r>
      <w:r w:rsidRPr="006D3D04">
        <w:rPr>
          <w:rFonts w:ascii="David" w:hAnsi="David"/>
          <w:rtl/>
        </w:rPr>
        <w:t>נאשם. לא עלה בידי הנאשם להוכיח את הפגיעה האמורה ולא הוצגה כל ראיה או עדות לפגיעה קונקרטית.</w:t>
      </w:r>
      <w:r w:rsidR="001B1BA5">
        <w:rPr>
          <w:rFonts w:ascii="David" w:hAnsi="David"/>
          <w:color w:val="000000"/>
        </w:rPr>
        <w:t xml:space="preserve"> </w:t>
      </w:r>
      <w:r w:rsidRPr="006D3D04">
        <w:rPr>
          <w:rFonts w:ascii="David" w:hAnsi="David"/>
          <w:color w:val="000000"/>
          <w:rtl/>
        </w:rPr>
        <w:t xml:space="preserve">בבוא בית המשפט לבחון את הנזק העלול להיגרם </w:t>
      </w:r>
      <w:r w:rsidRPr="006D3D04">
        <w:rPr>
          <w:rFonts w:ascii="David" w:hAnsi="David"/>
          <w:rtl/>
        </w:rPr>
        <w:t>לנאשם, יש להתייחס לנזק מוחשי קונקרטי, ולא לאפשרויות תיאור</w:t>
      </w:r>
      <w:r>
        <w:rPr>
          <w:rFonts w:ascii="David" w:hAnsi="David"/>
          <w:rtl/>
        </w:rPr>
        <w:t>טיות לפיהן ייגרם לנאשם נזק בעתי</w:t>
      </w:r>
      <w:r>
        <w:rPr>
          <w:rFonts w:ascii="David" w:hAnsi="David" w:hint="cs"/>
          <w:rtl/>
        </w:rPr>
        <w:t xml:space="preserve">ד, </w:t>
      </w:r>
      <w:r w:rsidRPr="006D3D04">
        <w:rPr>
          <w:rFonts w:ascii="David" w:hAnsi="David"/>
          <w:rtl/>
        </w:rPr>
        <w:t>ר' למשל</w:t>
      </w:r>
      <w:r w:rsidRPr="006D3D04">
        <w:rPr>
          <w:rFonts w:ascii="David" w:hAnsi="David"/>
        </w:rPr>
        <w:t xml:space="preserve"> </w:t>
      </w:r>
      <w:hyperlink r:id="rId26" w:history="1">
        <w:r w:rsidR="001B1BA5" w:rsidRPr="001B1BA5">
          <w:rPr>
            <w:rFonts w:ascii="David" w:hAnsi="David"/>
            <w:color w:val="0000FF"/>
            <w:u w:val="single"/>
            <w:rtl/>
          </w:rPr>
          <w:t>רע"פ 9118/12</w:t>
        </w:r>
      </w:hyperlink>
      <w:r w:rsidR="001B1BA5">
        <w:rPr>
          <w:rFonts w:ascii="David" w:hAnsi="David"/>
        </w:rPr>
        <w:t xml:space="preserve"> </w:t>
      </w:r>
      <w:r w:rsidRPr="006D3D04">
        <w:rPr>
          <w:rFonts w:ascii="David" w:hAnsi="David"/>
          <w:b/>
          <w:bCs/>
          <w:rtl/>
        </w:rPr>
        <w:t>פריגין נ' מדינת ישראל</w:t>
      </w:r>
      <w:r w:rsidR="001B1BA5">
        <w:rPr>
          <w:rFonts w:ascii="David" w:hAnsi="David"/>
          <w:rtl/>
        </w:rPr>
        <w:t xml:space="preserve"> </w:t>
      </w:r>
      <w:r w:rsidRPr="006D3D04">
        <w:rPr>
          <w:rFonts w:ascii="David" w:hAnsi="David"/>
          <w:rtl/>
        </w:rPr>
        <w:t xml:space="preserve">(פורסם בנבו, 01.01.13). הטענה לפיה בעקבות הרשעתו לא יהיה ניתן לחדש </w:t>
      </w:r>
      <w:r w:rsidRPr="006D3D04">
        <w:rPr>
          <w:rFonts w:ascii="David" w:hAnsi="David"/>
          <w:color w:val="000000"/>
          <w:rtl/>
        </w:rPr>
        <w:t xml:space="preserve">עבורו את הסיווג הביטחוני הנדרש אינה בבחינת אותו נזק מוחשי וקונקרטי כנדרש. </w:t>
      </w:r>
      <w:r w:rsidR="001B1BA5">
        <w:rPr>
          <w:rFonts w:ascii="David" w:hAnsi="David"/>
          <w:color w:val="000000"/>
          <w:rtl/>
        </w:rPr>
        <w:t xml:space="preserve"> </w:t>
      </w:r>
    </w:p>
    <w:p w14:paraId="2E8B6D6D" w14:textId="77777777" w:rsidR="00B63976" w:rsidRPr="00B63976"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במקרה ש</w:t>
      </w:r>
      <w:r>
        <w:rPr>
          <w:rFonts w:ascii="David" w:hAnsi="David" w:cs="David" w:hint="cs"/>
          <w:sz w:val="24"/>
          <w:szCs w:val="24"/>
          <w:rtl/>
        </w:rPr>
        <w:t>ל</w:t>
      </w:r>
      <w:r w:rsidRPr="006D3D04">
        <w:rPr>
          <w:rFonts w:ascii="David" w:hAnsi="David" w:cs="David"/>
          <w:sz w:val="24"/>
          <w:szCs w:val="24"/>
          <w:rtl/>
        </w:rPr>
        <w:t xml:space="preserve">פניי הוקעת העבירה והאינטרס הציבורי גוברים על הנזק הפוטנציאלי העתידי והמסוים ולא מצאתי מקום לאמץ את המלצת שירות המבחן בעניין זה. מדובר בנאשם אשר החזיק כמות רבה של סמים מסוכנים במקומות שונים וזאת לצד גידול הסמים והחזקת משקלים דיגיטליים באופן המלמד כי אין מדובר בסמים המוחזקים לשימוש עצמי בלבד. נוכח כך- הבקשה לביטול הרשעה נדחית.  </w:t>
      </w:r>
    </w:p>
    <w:p w14:paraId="35F1CD28" w14:textId="77777777" w:rsidR="00B63976" w:rsidRDefault="00B63976" w:rsidP="00B63976">
      <w:pPr>
        <w:spacing w:line="360" w:lineRule="auto"/>
        <w:jc w:val="both"/>
        <w:rPr>
          <w:rFonts w:ascii="David" w:hAnsi="David"/>
          <w:b/>
          <w:bCs/>
          <w:u w:val="single"/>
          <w:rtl/>
        </w:rPr>
      </w:pPr>
    </w:p>
    <w:p w14:paraId="18585A37" w14:textId="77777777" w:rsidR="00B63976" w:rsidRPr="006D3D04" w:rsidRDefault="00B63976" w:rsidP="00B63976">
      <w:pPr>
        <w:spacing w:line="360" w:lineRule="auto"/>
        <w:jc w:val="both"/>
        <w:rPr>
          <w:rFonts w:ascii="David" w:hAnsi="David"/>
          <w:b/>
          <w:bCs/>
          <w:u w:val="single"/>
          <w:rtl/>
        </w:rPr>
      </w:pPr>
      <w:r w:rsidRPr="006D3D04">
        <w:rPr>
          <w:rFonts w:ascii="David" w:hAnsi="David"/>
          <w:b/>
          <w:bCs/>
          <w:u w:val="single"/>
          <w:rtl/>
        </w:rPr>
        <w:t xml:space="preserve">מתחם העונש ההולם  </w:t>
      </w:r>
    </w:p>
    <w:p w14:paraId="1089ABED"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עקרון ההלימה הוא העיקרון המנחה בהתאם </w:t>
      </w:r>
      <w:hyperlink r:id="rId27" w:history="1">
        <w:r w:rsidR="002134AF" w:rsidRPr="002134AF">
          <w:rPr>
            <w:rStyle w:val="Hyperlink"/>
            <w:rFonts w:ascii="David" w:hAnsi="David" w:cs="David"/>
            <w:sz w:val="24"/>
            <w:szCs w:val="24"/>
            <w:rtl/>
          </w:rPr>
          <w:t>לסעיף 40ב</w:t>
        </w:r>
      </w:hyperlink>
      <w:r w:rsidRPr="006D3D04">
        <w:rPr>
          <w:rFonts w:ascii="David" w:hAnsi="David" w:cs="David"/>
          <w:sz w:val="24"/>
          <w:szCs w:val="24"/>
          <w:rtl/>
        </w:rPr>
        <w:t xml:space="preserve"> לחוק. בקביעת מתחם העונש ההולם, יש להתחשב בערך החברתי שנפגע כתוצאה מביצוע העבירה בה הורשע הנאשם, במידת הפגיעה באותם ערכים, במדיניות הענישה הנוהגת ובנסיבות הקשורות בביצוע העבירה. </w:t>
      </w:r>
    </w:p>
    <w:p w14:paraId="0C956291" w14:textId="77777777" w:rsidR="00B63976" w:rsidRPr="006D3D04" w:rsidRDefault="00B63976" w:rsidP="00B63976">
      <w:pPr>
        <w:numPr>
          <w:ilvl w:val="0"/>
          <w:numId w:val="1"/>
        </w:numPr>
        <w:shd w:val="clear" w:color="auto" w:fill="FFFFFF"/>
        <w:spacing w:line="360" w:lineRule="auto"/>
        <w:ind w:left="509" w:hanging="567"/>
        <w:contextualSpacing/>
        <w:jc w:val="both"/>
        <w:rPr>
          <w:rFonts w:ascii="David" w:hAnsi="David"/>
        </w:rPr>
      </w:pPr>
      <w:r w:rsidRPr="006D3D04">
        <w:rPr>
          <w:rFonts w:ascii="David" w:hAnsi="David"/>
          <w:rtl/>
        </w:rPr>
        <w:t>לאור אופיים של האירועים, המצביעים על שיטתיות ודפוס פעולה חוזר בביצוע העבירות בנסיבות דומות ומהווים מסכת עבריינית אחת, המדובר בריבוי עבירות שיש לקבוע בגינן מתחם ענישה כולל. ר' לעניין זה ראו לעניין זה</w:t>
      </w:r>
      <w:r w:rsidR="001B1BA5">
        <w:rPr>
          <w:rFonts w:ascii="David" w:hAnsi="David"/>
          <w:rtl/>
        </w:rPr>
        <w:t xml:space="preserve"> </w:t>
      </w:r>
      <w:hyperlink r:id="rId28" w:history="1">
        <w:r w:rsidR="001B1BA5" w:rsidRPr="001B1BA5">
          <w:rPr>
            <w:rFonts w:ascii="David" w:hAnsi="David"/>
            <w:color w:val="0000FF"/>
            <w:u w:val="single"/>
            <w:rtl/>
          </w:rPr>
          <w:t>ע"פ 4910/13</w:t>
        </w:r>
      </w:hyperlink>
      <w:r w:rsidR="001B1BA5">
        <w:rPr>
          <w:rFonts w:ascii="David" w:hAnsi="David"/>
        </w:rPr>
        <w:t xml:space="preserve"> </w:t>
      </w:r>
      <w:r w:rsidRPr="006D3D04">
        <w:rPr>
          <w:rFonts w:ascii="David" w:hAnsi="David"/>
          <w:b/>
          <w:bCs/>
          <w:rtl/>
        </w:rPr>
        <w:t>ג'אבר נ' מדינת ישראל</w:t>
      </w:r>
      <w:r w:rsidR="001B1BA5">
        <w:rPr>
          <w:rFonts w:ascii="David" w:hAnsi="David"/>
          <w:rtl/>
        </w:rPr>
        <w:t xml:space="preserve"> </w:t>
      </w:r>
      <w:r w:rsidRPr="006D3D04">
        <w:rPr>
          <w:rFonts w:ascii="David" w:hAnsi="David"/>
          <w:rtl/>
        </w:rPr>
        <w:t xml:space="preserve"> (פורסם בנבו, 29.10.14), שם התייחס בית המשפט העליון למונח "אירוע אחד", בקבעו: </w:t>
      </w:r>
      <w:r w:rsidRPr="006D3D04">
        <w:rPr>
          <w:rFonts w:ascii="David" w:hAnsi="David"/>
          <w:b/>
          <w:bCs/>
          <w:rtl/>
        </w:rPr>
        <w:t xml:space="preserve">"התיבה </w:t>
      </w:r>
      <w:r w:rsidRPr="006D3D04">
        <w:rPr>
          <w:rFonts w:ascii="David" w:hAnsi="David"/>
          <w:b/>
          <w:bCs/>
        </w:rPr>
        <w:t>'</w:t>
      </w:r>
      <w:r w:rsidRPr="006D3D04">
        <w:rPr>
          <w:rFonts w:ascii="David" w:hAnsi="David"/>
          <w:b/>
          <w:bCs/>
          <w:rtl/>
        </w:rPr>
        <w:t xml:space="preserve">אירוע אחד' רחבה דיה כדי לכלול גם פעולות עברייניות שבוצעו על פני רצף זמן; כללו מעשים שונים; ביחס לקורבנות שונים; ובמקומות שונים. הכל – כל עוד מהווים מסכת עבריינית אחת". </w:t>
      </w:r>
    </w:p>
    <w:p w14:paraId="59F30261"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במקרה דנן, פגע הנאשם בערכים חברתיים שנועדו להגן על זכות הציבור להגנה על בריאותו והמלחמה בנגע הסמים. פגיעה פוטנציאלית עקיפה נוספת היא בביטחון הציבור נוכח עבריינות נלווית לעבירות הסמים. </w:t>
      </w:r>
    </w:p>
    <w:p w14:paraId="5AAF3BCC"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בחינת מידת הפגיעה בערך המוגן מובילה למסקנה כי מדובר בפגיעה שהנזק הצפוי ממשי. חומרת נסיבות ביצוע עבירות סמים נלמדת הדבר בין השאר בהתחשב במגוון הסמים שנתפסו ברשות הנאשם, בכמותם, בסוגם ובהשפעתם (ראו בעניין זה </w:t>
      </w:r>
      <w:hyperlink r:id="rId29" w:history="1">
        <w:r w:rsidR="001B1BA5" w:rsidRPr="001B1BA5">
          <w:rPr>
            <w:rFonts w:ascii="David" w:hAnsi="David" w:cs="David"/>
            <w:color w:val="0000FF"/>
            <w:sz w:val="24"/>
            <w:szCs w:val="24"/>
            <w:u w:val="single"/>
            <w:rtl/>
          </w:rPr>
          <w:t>ע"פ 1654/16</w:t>
        </w:r>
      </w:hyperlink>
      <w:r w:rsidRPr="006D3D04">
        <w:rPr>
          <w:rFonts w:ascii="David" w:hAnsi="David" w:cs="David"/>
          <w:sz w:val="24"/>
          <w:szCs w:val="24"/>
          <w:rtl/>
        </w:rPr>
        <w:t xml:space="preserve"> גל </w:t>
      </w:r>
      <w:r w:rsidRPr="006D3D04">
        <w:rPr>
          <w:rFonts w:ascii="David" w:hAnsi="David" w:cs="David"/>
          <w:b/>
          <w:bCs/>
          <w:sz w:val="24"/>
          <w:szCs w:val="24"/>
          <w:rtl/>
        </w:rPr>
        <w:t>שרר נ' מדינת ישראל</w:t>
      </w:r>
      <w:r w:rsidRPr="006D3D04">
        <w:rPr>
          <w:rFonts w:ascii="David" w:hAnsi="David" w:cs="David"/>
          <w:sz w:val="24"/>
          <w:szCs w:val="24"/>
          <w:rtl/>
        </w:rPr>
        <w:t xml:space="preserve"> (פורסם בנבו, 27.02.17).</w:t>
      </w:r>
      <w:r>
        <w:rPr>
          <w:rFonts w:ascii="David" w:hAnsi="David" w:cs="David" w:hint="cs"/>
          <w:sz w:val="24"/>
          <w:szCs w:val="24"/>
          <w:rtl/>
        </w:rPr>
        <w:t xml:space="preserve"> </w:t>
      </w:r>
      <w:r w:rsidRPr="006D3D04">
        <w:rPr>
          <w:rFonts w:ascii="David" w:hAnsi="David" w:cs="David"/>
          <w:sz w:val="24"/>
          <w:szCs w:val="24"/>
          <w:rtl/>
        </w:rPr>
        <w:t xml:space="preserve">נסיבות נוספות אותן יש להביא בחשבון בעת קביעת מידת הפגיעה </w:t>
      </w:r>
      <w:r>
        <w:rPr>
          <w:rFonts w:ascii="David" w:hAnsi="David" w:cs="David" w:hint="cs"/>
          <w:sz w:val="24"/>
          <w:szCs w:val="24"/>
          <w:rtl/>
        </w:rPr>
        <w:t xml:space="preserve">כאמור קשורות </w:t>
      </w:r>
      <w:r w:rsidRPr="006D3D04">
        <w:rPr>
          <w:rFonts w:ascii="David" w:hAnsi="David" w:cs="David"/>
          <w:sz w:val="24"/>
          <w:szCs w:val="24"/>
          <w:rtl/>
        </w:rPr>
        <w:t xml:space="preserve">בכספים שנתפסו, בכלי הייצור והשקילה ומעצם העובדה כי הסמים חולקו לאריזות, נמצאו במקומות שונים והיה זה הנאשם שגידל את חלקם.  </w:t>
      </w:r>
    </w:p>
    <w:p w14:paraId="0F95E4EB" w14:textId="77777777" w:rsidR="00B63976" w:rsidRPr="006D3D04" w:rsidRDefault="00B63976" w:rsidP="00B63976">
      <w:pPr>
        <w:pStyle w:val="aa"/>
        <w:spacing w:after="0" w:line="360" w:lineRule="auto"/>
        <w:ind w:left="509"/>
        <w:jc w:val="both"/>
        <w:rPr>
          <w:rFonts w:ascii="David" w:hAnsi="David" w:cs="David"/>
          <w:sz w:val="24"/>
          <w:szCs w:val="24"/>
        </w:rPr>
      </w:pPr>
    </w:p>
    <w:p w14:paraId="047BBCC1"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בחינת מדיניות הענישה הנוהגת מעלה כי כאשר מדובר היה בהחזקת סם מסוכן מסוג קנביס </w:t>
      </w:r>
    </w:p>
    <w:p w14:paraId="1A04E021" w14:textId="77777777" w:rsidR="00B63976" w:rsidRPr="006D3D04" w:rsidRDefault="00B63976" w:rsidP="00B63976">
      <w:pPr>
        <w:pStyle w:val="aa"/>
        <w:spacing w:after="0" w:line="360" w:lineRule="auto"/>
        <w:ind w:left="509"/>
        <w:jc w:val="both"/>
        <w:rPr>
          <w:rFonts w:ascii="David" w:hAnsi="David" w:cs="David"/>
          <w:sz w:val="24"/>
          <w:szCs w:val="24"/>
          <w:rtl/>
        </w:rPr>
      </w:pPr>
      <w:r w:rsidRPr="006D3D04">
        <w:rPr>
          <w:rFonts w:ascii="David" w:hAnsi="David" w:cs="David"/>
          <w:sz w:val="24"/>
          <w:szCs w:val="24"/>
          <w:rtl/>
        </w:rPr>
        <w:t xml:space="preserve">וכאשר הוחזקו סמים מסוגים שונים או בכמויות גבוהות כבמקרה דנן מתחם הענישה נע במנעד רחב: </w:t>
      </w:r>
    </w:p>
    <w:p w14:paraId="48170550" w14:textId="77777777" w:rsidR="00B63976" w:rsidRPr="006D3D04" w:rsidRDefault="001B1BA5" w:rsidP="00B63976">
      <w:pPr>
        <w:pStyle w:val="aa"/>
        <w:numPr>
          <w:ilvl w:val="0"/>
          <w:numId w:val="3"/>
        </w:numPr>
        <w:spacing w:after="0" w:line="360" w:lineRule="auto"/>
        <w:jc w:val="both"/>
        <w:rPr>
          <w:rFonts w:ascii="David" w:hAnsi="David" w:cs="David"/>
          <w:sz w:val="24"/>
          <w:szCs w:val="24"/>
          <w:rtl/>
        </w:rPr>
      </w:pPr>
      <w:hyperlink r:id="rId30" w:history="1">
        <w:r w:rsidRPr="001B1BA5">
          <w:rPr>
            <w:rFonts w:ascii="David" w:hAnsi="David" w:cs="David"/>
            <w:color w:val="0000FF"/>
            <w:sz w:val="24"/>
            <w:szCs w:val="24"/>
            <w:u w:val="single"/>
            <w:rtl/>
          </w:rPr>
          <w:t>רע"פ 2277/21</w:t>
        </w:r>
      </w:hyperlink>
      <w:r>
        <w:rPr>
          <w:rFonts w:ascii="David" w:hAnsi="David" w:cs="David"/>
          <w:sz w:val="24"/>
          <w:szCs w:val="24"/>
        </w:rPr>
        <w:t xml:space="preserve"> </w:t>
      </w:r>
      <w:r w:rsidR="00B63976" w:rsidRPr="006D3D04">
        <w:rPr>
          <w:rFonts w:ascii="David" w:hAnsi="David" w:cs="David"/>
          <w:b/>
          <w:bCs/>
          <w:sz w:val="24"/>
          <w:szCs w:val="24"/>
          <w:rtl/>
        </w:rPr>
        <w:t>אברהם יוחננוב נ' מדינת ישראל</w:t>
      </w:r>
      <w:r>
        <w:rPr>
          <w:rFonts w:ascii="David" w:hAnsi="David" w:cs="David"/>
          <w:sz w:val="24"/>
          <w:szCs w:val="24"/>
          <w:rtl/>
        </w:rPr>
        <w:t xml:space="preserve"> </w:t>
      </w:r>
      <w:r w:rsidR="00B63976" w:rsidRPr="006D3D04">
        <w:rPr>
          <w:rFonts w:ascii="David" w:hAnsi="David" w:cs="David"/>
          <w:sz w:val="24"/>
          <w:szCs w:val="24"/>
        </w:rPr>
        <w:t xml:space="preserve"> (8.4.2021), </w:t>
      </w:r>
      <w:r w:rsidR="00B63976" w:rsidRPr="006D3D04">
        <w:rPr>
          <w:rFonts w:ascii="David" w:hAnsi="David" w:cs="David"/>
          <w:sz w:val="24"/>
          <w:szCs w:val="24"/>
          <w:rtl/>
        </w:rPr>
        <w:t>בו נידון עניינו של נאשם שהורשע בעבירות גידול סמים והחזקת סמים לצריכה עצמית ונידון לשישה חודשי מאסר לריצוי בדרך של עבודות שירות. הנאשם הקים מעבדה לגידול סמים ובה נתפס 1 ק"ג של קנבוס (לא צוינו מספר השתילים) וכן ציוד רב ו-42.89 גרם של קנבוס לצריכה עצמית. ערעור הנאשם נדחה וכך גם בקשת רשות ערעור שהגיש ובית המשפט העליון קבע כי</w:t>
      </w:r>
      <w:r w:rsidR="00B63976" w:rsidRPr="006D3D04">
        <w:rPr>
          <w:rFonts w:ascii="David" w:hAnsi="David" w:cs="David"/>
          <w:sz w:val="24"/>
          <w:szCs w:val="24"/>
        </w:rPr>
        <w:t xml:space="preserve"> "</w:t>
      </w:r>
      <w:r w:rsidR="00B63976" w:rsidRPr="006D3D04">
        <w:rPr>
          <w:rFonts w:ascii="David" w:hAnsi="David" w:cs="David"/>
          <w:b/>
          <w:bCs/>
          <w:sz w:val="24"/>
          <w:szCs w:val="24"/>
          <w:rtl/>
        </w:rPr>
        <w:t>העונש שהוטל על המבקש אינו סוטה ממדיניות הענישה הראויה והמקובלת</w:t>
      </w:r>
      <w:r w:rsidR="00B63976" w:rsidRPr="006D3D04">
        <w:rPr>
          <w:rFonts w:ascii="David" w:hAnsi="David" w:cs="David"/>
          <w:sz w:val="24"/>
          <w:szCs w:val="24"/>
        </w:rPr>
        <w:t>"</w:t>
      </w:r>
      <w:r w:rsidR="00B63976" w:rsidRPr="006D3D04">
        <w:rPr>
          <w:rFonts w:ascii="David" w:hAnsi="David" w:cs="David"/>
          <w:sz w:val="24"/>
          <w:szCs w:val="24"/>
          <w:rtl/>
        </w:rPr>
        <w:t>.</w:t>
      </w:r>
    </w:p>
    <w:p w14:paraId="3633B829" w14:textId="77777777" w:rsidR="00B63976" w:rsidRPr="006D3D04" w:rsidRDefault="001B1BA5" w:rsidP="00B63976">
      <w:pPr>
        <w:pStyle w:val="aa"/>
        <w:numPr>
          <w:ilvl w:val="0"/>
          <w:numId w:val="3"/>
        </w:numPr>
        <w:spacing w:after="0" w:line="360" w:lineRule="auto"/>
        <w:jc w:val="both"/>
        <w:rPr>
          <w:rFonts w:ascii="David" w:hAnsi="David" w:cs="David"/>
          <w:sz w:val="24"/>
          <w:szCs w:val="24"/>
        </w:rPr>
      </w:pPr>
      <w:hyperlink r:id="rId31" w:history="1">
        <w:r w:rsidRPr="001B1BA5">
          <w:rPr>
            <w:rFonts w:ascii="David" w:hAnsi="David" w:cs="David"/>
            <w:color w:val="0000FF"/>
            <w:sz w:val="24"/>
            <w:szCs w:val="24"/>
            <w:u w:val="single"/>
            <w:rtl/>
          </w:rPr>
          <w:t>רע"פ 513/21</w:t>
        </w:r>
      </w:hyperlink>
      <w:r>
        <w:rPr>
          <w:rFonts w:ascii="David" w:hAnsi="David" w:cs="David"/>
          <w:sz w:val="24"/>
          <w:szCs w:val="24"/>
          <w:rtl/>
        </w:rPr>
        <w:t xml:space="preserve"> </w:t>
      </w:r>
      <w:r w:rsidR="00B63976" w:rsidRPr="006D3D04">
        <w:rPr>
          <w:rFonts w:ascii="David" w:hAnsi="David" w:cs="David"/>
          <w:b/>
          <w:bCs/>
          <w:sz w:val="24"/>
          <w:szCs w:val="24"/>
          <w:rtl/>
        </w:rPr>
        <w:t>עידן יהושע נ' מדינת ישראל</w:t>
      </w:r>
      <w:r>
        <w:rPr>
          <w:rFonts w:ascii="David" w:hAnsi="David" w:cs="David"/>
          <w:sz w:val="24"/>
          <w:szCs w:val="24"/>
          <w:rtl/>
        </w:rPr>
        <w:t xml:space="preserve"> </w:t>
      </w:r>
      <w:r w:rsidR="00B63976" w:rsidRPr="006D3D04">
        <w:rPr>
          <w:rFonts w:ascii="David" w:hAnsi="David" w:cs="David"/>
          <w:sz w:val="24"/>
          <w:szCs w:val="24"/>
          <w:rtl/>
        </w:rPr>
        <w:t>(4.3.2021), בו נידון עניינו של נאשם שהורשע בעבירת גידול סמים לאחר שברשותו נתפסו 60 שתילים במשקל כולל של 10 ק"ג. בית משפט השלום קיבל את טענת הנאשם וקבע כי הגידול היה למטרת שימוש עצמי, ונגזרו עליו צו של"צ, צו מבחן ועונשים נלווים. ערעור המדינה התקבל בבית המשפט המחוזי, נקבע כי האיסור לגדל סם מסוכן הוא מוחלט, ללא קשר למטרת הגידול, ועל אף שהנסיבות הצדיקו הקלה מסוימת, אין הצדקה להימנע מעונש מאסר כלל. הנאשם נידון לעשרה חודשי מאסר בפועל, ובקשת רשות ערעור שהגיש לעליון נדחתה;</w:t>
      </w:r>
    </w:p>
    <w:p w14:paraId="792CDE86" w14:textId="77777777" w:rsidR="00B63976" w:rsidRPr="006D3D04" w:rsidRDefault="00B63976" w:rsidP="00B63976">
      <w:pPr>
        <w:pStyle w:val="aa"/>
        <w:numPr>
          <w:ilvl w:val="0"/>
          <w:numId w:val="3"/>
        </w:numPr>
        <w:spacing w:after="0" w:line="360" w:lineRule="auto"/>
        <w:jc w:val="both"/>
        <w:rPr>
          <w:rFonts w:ascii="David" w:hAnsi="David" w:cs="David"/>
          <w:sz w:val="24"/>
          <w:szCs w:val="24"/>
          <w:rtl/>
        </w:rPr>
      </w:pPr>
      <w:r w:rsidRPr="006D3D04">
        <w:rPr>
          <w:rFonts w:ascii="David" w:hAnsi="David" w:cs="David"/>
          <w:sz w:val="24"/>
          <w:szCs w:val="24"/>
          <w:rtl/>
        </w:rPr>
        <w:t>ב-</w:t>
      </w:r>
      <w:hyperlink r:id="rId32" w:history="1">
        <w:r w:rsidR="001B1BA5" w:rsidRPr="001B1BA5">
          <w:rPr>
            <w:rFonts w:ascii="David" w:hAnsi="David" w:cs="David"/>
            <w:color w:val="0000FF"/>
            <w:sz w:val="24"/>
            <w:szCs w:val="24"/>
            <w:u w:val="single"/>
            <w:rtl/>
          </w:rPr>
          <w:t>ע"פ 2279/15</w:t>
        </w:r>
      </w:hyperlink>
      <w:r w:rsidR="001B1BA5">
        <w:rPr>
          <w:rFonts w:ascii="David" w:hAnsi="David" w:cs="David"/>
          <w:sz w:val="24"/>
          <w:szCs w:val="24"/>
        </w:rPr>
        <w:t xml:space="preserve"> </w:t>
      </w:r>
      <w:r w:rsidRPr="006D3D04">
        <w:rPr>
          <w:rFonts w:ascii="David" w:hAnsi="David" w:cs="David"/>
          <w:b/>
          <w:bCs/>
          <w:sz w:val="24"/>
          <w:szCs w:val="24"/>
          <w:rtl/>
        </w:rPr>
        <w:t xml:space="preserve">בורוחוב נ' מדינת ישראל, </w:t>
      </w:r>
      <w:r w:rsidRPr="006D3D04">
        <w:rPr>
          <w:rFonts w:ascii="David" w:hAnsi="David" w:cs="David"/>
          <w:sz w:val="24"/>
          <w:szCs w:val="24"/>
          <w:rtl/>
        </w:rPr>
        <w:t>פורסם בנבו</w:t>
      </w:r>
      <w:r w:rsidR="001B1BA5">
        <w:rPr>
          <w:rFonts w:ascii="David" w:hAnsi="David" w:cs="David"/>
          <w:sz w:val="24"/>
          <w:szCs w:val="24"/>
        </w:rPr>
        <w:t xml:space="preserve"> </w:t>
      </w:r>
      <w:r w:rsidRPr="006D3D04">
        <w:rPr>
          <w:rFonts w:ascii="David" w:hAnsi="David" w:cs="David"/>
          <w:sz w:val="24"/>
          <w:szCs w:val="24"/>
        </w:rPr>
        <w:t xml:space="preserve">(31/1/2016) </w:t>
      </w:r>
      <w:r w:rsidRPr="006D3D04">
        <w:rPr>
          <w:rFonts w:ascii="David" w:hAnsi="David" w:cs="David"/>
          <w:sz w:val="24"/>
          <w:szCs w:val="24"/>
          <w:rtl/>
        </w:rPr>
        <w:t>בו הורשע הנאשם בעבירות של החזקת סם מסוכן מסוג חשיש לצריכה עצמית ובהחזקת כלים להכנת סם ובאישום נוסף הורשע בעבירת החזקת סמים שלא לצריכה עצמית. באישום זה, דובר בסוגי סם מגוונים, בין היתר קוקאין במשקל כולל של כ- 50 גרם, חשיש במשקל כשל כ- 17.5 גרם ו- 293 טבליות</w:t>
      </w:r>
      <w:r w:rsidR="001B1BA5">
        <w:rPr>
          <w:rFonts w:ascii="David" w:hAnsi="David" w:cs="David"/>
          <w:sz w:val="24"/>
          <w:szCs w:val="24"/>
          <w:rtl/>
        </w:rPr>
        <w:t xml:space="preserve"> </w:t>
      </w:r>
      <w:r w:rsidRPr="006D3D04">
        <w:rPr>
          <w:rFonts w:ascii="David" w:hAnsi="David" w:cs="David"/>
          <w:sz w:val="24"/>
          <w:szCs w:val="24"/>
        </w:rPr>
        <w:t>MDMA</w:t>
      </w:r>
      <w:r w:rsidR="001B1BA5">
        <w:rPr>
          <w:rFonts w:ascii="David" w:hAnsi="David" w:cs="David"/>
          <w:sz w:val="24"/>
          <w:szCs w:val="24"/>
        </w:rPr>
        <w:t xml:space="preserve"> </w:t>
      </w:r>
      <w:r w:rsidRPr="006D3D04">
        <w:rPr>
          <w:rFonts w:ascii="David" w:hAnsi="David" w:cs="David"/>
          <w:sz w:val="24"/>
          <w:szCs w:val="24"/>
          <w:rtl/>
        </w:rPr>
        <w:t xml:space="preserve"> שהיו מחולקים לאריזות רבות. ביחס לעבירת ההחזקה, קבעה הערכאה הדיונית מתחם של 24 עד 48 חודשי מאסר. הנאשם נידון ל-28 חודשי מאסר לריצוי בפועל בניכוי ימי מעצרו לצד ענישה נלווית. ערעור שהגיש הנאשם על חומרת העונש נדחה</w:t>
      </w:r>
      <w:r w:rsidRPr="006D3D04">
        <w:rPr>
          <w:rFonts w:ascii="David" w:hAnsi="David" w:cs="David"/>
          <w:sz w:val="24"/>
          <w:szCs w:val="24"/>
        </w:rPr>
        <w:t>.</w:t>
      </w:r>
    </w:p>
    <w:p w14:paraId="4961AE85" w14:textId="77777777" w:rsidR="00B63976" w:rsidRPr="006D3D04" w:rsidRDefault="001B1BA5" w:rsidP="00B63976">
      <w:pPr>
        <w:pStyle w:val="aa"/>
        <w:numPr>
          <w:ilvl w:val="0"/>
          <w:numId w:val="3"/>
        </w:numPr>
        <w:spacing w:after="0" w:line="360" w:lineRule="auto"/>
        <w:jc w:val="both"/>
        <w:rPr>
          <w:rFonts w:ascii="David" w:hAnsi="David" w:cs="David"/>
          <w:sz w:val="24"/>
          <w:szCs w:val="24"/>
          <w:rtl/>
        </w:rPr>
      </w:pPr>
      <w:hyperlink r:id="rId33" w:history="1">
        <w:r w:rsidRPr="001B1BA5">
          <w:rPr>
            <w:rFonts w:ascii="David" w:hAnsi="David" w:cs="David"/>
            <w:color w:val="0000FF"/>
            <w:sz w:val="24"/>
            <w:szCs w:val="24"/>
            <w:u w:val="single"/>
            <w:rtl/>
          </w:rPr>
          <w:t>רע"פ 314/16</w:t>
        </w:r>
      </w:hyperlink>
      <w:r>
        <w:rPr>
          <w:rFonts w:ascii="David" w:hAnsi="David" w:cs="David"/>
          <w:sz w:val="24"/>
          <w:szCs w:val="24"/>
        </w:rPr>
        <w:t xml:space="preserve"> </w:t>
      </w:r>
      <w:r w:rsidR="00B63976" w:rsidRPr="006D3D04">
        <w:rPr>
          <w:rFonts w:ascii="David" w:hAnsi="David" w:cs="David"/>
          <w:b/>
          <w:bCs/>
          <w:sz w:val="24"/>
          <w:szCs w:val="24"/>
          <w:rtl/>
        </w:rPr>
        <w:t>בן</w:t>
      </w:r>
      <w:r>
        <w:rPr>
          <w:rFonts w:ascii="David" w:hAnsi="David" w:cs="David"/>
          <w:sz w:val="24"/>
          <w:szCs w:val="24"/>
          <w:rtl/>
        </w:rPr>
        <w:t xml:space="preserve"> </w:t>
      </w:r>
      <w:r w:rsidR="00B63976" w:rsidRPr="006D3D04">
        <w:rPr>
          <w:rFonts w:ascii="David" w:hAnsi="David" w:cs="David"/>
          <w:b/>
          <w:bCs/>
          <w:sz w:val="24"/>
          <w:szCs w:val="24"/>
          <w:rtl/>
        </w:rPr>
        <w:t>צבי נ' מדינת ישראל,</w:t>
      </w:r>
      <w:r w:rsidR="00B63976" w:rsidRPr="006D3D04">
        <w:rPr>
          <w:rFonts w:ascii="David" w:hAnsi="David" w:cs="David"/>
          <w:sz w:val="24"/>
          <w:szCs w:val="24"/>
        </w:rPr>
        <w:t xml:space="preserve"> (22.2.2016) </w:t>
      </w:r>
      <w:r w:rsidR="00B63976" w:rsidRPr="006D3D04">
        <w:rPr>
          <w:rFonts w:ascii="David" w:hAnsi="David" w:cs="David"/>
          <w:sz w:val="24"/>
          <w:szCs w:val="24"/>
          <w:rtl/>
        </w:rPr>
        <w:t>הוחמר עונשו של נאשם ל-10 חודשי מאסר, בשל גידול</w:t>
      </w:r>
      <w:r>
        <w:rPr>
          <w:rFonts w:ascii="David" w:hAnsi="David" w:cs="David"/>
          <w:sz w:val="24"/>
          <w:szCs w:val="24"/>
          <w:rtl/>
        </w:rPr>
        <w:t xml:space="preserve"> </w:t>
      </w:r>
      <w:r w:rsidR="00B63976" w:rsidRPr="006D3D04">
        <w:rPr>
          <w:rFonts w:ascii="David" w:hAnsi="David" w:cs="David"/>
          <w:sz w:val="24"/>
          <w:szCs w:val="24"/>
          <w:rtl/>
        </w:rPr>
        <w:t>תשעה</w:t>
      </w:r>
      <w:r>
        <w:rPr>
          <w:rFonts w:ascii="David" w:hAnsi="David" w:cs="David"/>
          <w:sz w:val="24"/>
          <w:szCs w:val="24"/>
          <w:rtl/>
        </w:rPr>
        <w:t xml:space="preserve"> </w:t>
      </w:r>
      <w:r w:rsidR="00B63976" w:rsidRPr="006D3D04">
        <w:rPr>
          <w:rFonts w:ascii="David" w:hAnsi="David" w:cs="David"/>
          <w:sz w:val="24"/>
          <w:szCs w:val="24"/>
          <w:rtl/>
        </w:rPr>
        <w:t>שתילי קנבוס במשקל של 2.5 קילו.</w:t>
      </w:r>
    </w:p>
    <w:p w14:paraId="4370F743" w14:textId="77777777" w:rsidR="00B63976" w:rsidRPr="006D3D04" w:rsidRDefault="001B1BA5" w:rsidP="00B63976">
      <w:pPr>
        <w:pStyle w:val="aa"/>
        <w:numPr>
          <w:ilvl w:val="0"/>
          <w:numId w:val="3"/>
        </w:numPr>
        <w:spacing w:after="0" w:line="360" w:lineRule="auto"/>
        <w:jc w:val="both"/>
        <w:rPr>
          <w:rFonts w:ascii="David" w:hAnsi="David" w:cs="David"/>
          <w:sz w:val="24"/>
          <w:szCs w:val="24"/>
        </w:rPr>
      </w:pPr>
      <w:hyperlink r:id="rId34" w:history="1">
        <w:r w:rsidRPr="001B1BA5">
          <w:rPr>
            <w:rFonts w:ascii="David" w:hAnsi="David" w:cs="David"/>
            <w:color w:val="0000FF"/>
            <w:sz w:val="24"/>
            <w:szCs w:val="24"/>
            <w:u w:val="single"/>
            <w:rtl/>
          </w:rPr>
          <w:t>ת"פ 57043-06-16</w:t>
        </w:r>
      </w:hyperlink>
      <w:r>
        <w:rPr>
          <w:rFonts w:ascii="David" w:hAnsi="David" w:cs="David"/>
          <w:sz w:val="24"/>
          <w:szCs w:val="24"/>
        </w:rPr>
        <w:t xml:space="preserve"> </w:t>
      </w:r>
      <w:r w:rsidR="00B63976" w:rsidRPr="006D3D04">
        <w:rPr>
          <w:rFonts w:ascii="David" w:hAnsi="David" w:cs="David"/>
          <w:b/>
          <w:bCs/>
          <w:sz w:val="24"/>
          <w:szCs w:val="24"/>
          <w:rtl/>
        </w:rPr>
        <w:t>תביעות צפת נ' חבני</w:t>
      </w:r>
      <w:r>
        <w:rPr>
          <w:rFonts w:ascii="David" w:hAnsi="David" w:cs="David"/>
          <w:sz w:val="24"/>
          <w:szCs w:val="24"/>
          <w:rtl/>
        </w:rPr>
        <w:t xml:space="preserve"> </w:t>
      </w:r>
      <w:r w:rsidR="00B63976" w:rsidRPr="006D3D04">
        <w:rPr>
          <w:rFonts w:ascii="David" w:hAnsi="David" w:cs="David"/>
          <w:sz w:val="24"/>
          <w:szCs w:val="24"/>
        </w:rPr>
        <w:t xml:space="preserve">(17.7.2017) </w:t>
      </w:r>
      <w:r w:rsidR="00B63976" w:rsidRPr="006D3D04">
        <w:rPr>
          <w:rFonts w:ascii="David" w:hAnsi="David" w:cs="David"/>
          <w:sz w:val="24"/>
          <w:szCs w:val="24"/>
          <w:rtl/>
        </w:rPr>
        <w:t xml:space="preserve"> הורשע הנאשם בעבירות של גידול סמים והחזקת סמים</w:t>
      </w:r>
      <w:r>
        <w:rPr>
          <w:rFonts w:ascii="David" w:hAnsi="David" w:cs="David"/>
          <w:sz w:val="24"/>
          <w:szCs w:val="24"/>
          <w:rtl/>
        </w:rPr>
        <w:t xml:space="preserve"> </w:t>
      </w:r>
      <w:r w:rsidR="00B63976" w:rsidRPr="006D3D04">
        <w:rPr>
          <w:rFonts w:ascii="David" w:hAnsi="David" w:cs="David"/>
          <w:sz w:val="24"/>
          <w:szCs w:val="24"/>
          <w:rtl/>
        </w:rPr>
        <w:t>שלא</w:t>
      </w:r>
      <w:r>
        <w:rPr>
          <w:rFonts w:ascii="David" w:hAnsi="David" w:cs="David"/>
          <w:sz w:val="24"/>
          <w:szCs w:val="24"/>
          <w:rtl/>
        </w:rPr>
        <w:t xml:space="preserve"> </w:t>
      </w:r>
      <w:r w:rsidR="00B63976" w:rsidRPr="006D3D04">
        <w:rPr>
          <w:rFonts w:ascii="David" w:hAnsi="David" w:cs="David"/>
          <w:sz w:val="24"/>
          <w:szCs w:val="24"/>
          <w:rtl/>
        </w:rPr>
        <w:t>לצריכה עצמית. הנאשם החזיק ב- 154.08 גרם של סם מסוכן מסוג קנבוס ו- 0.79 גרם של סם מסוכן מסוג חשיש. בנוסף, גידל הנאשם על גג ביתו</w:t>
      </w:r>
      <w:r>
        <w:rPr>
          <w:rFonts w:ascii="David" w:hAnsi="David" w:cs="David"/>
          <w:sz w:val="24"/>
          <w:szCs w:val="24"/>
          <w:rtl/>
        </w:rPr>
        <w:t xml:space="preserve"> </w:t>
      </w:r>
      <w:r w:rsidR="00B63976" w:rsidRPr="006D3D04">
        <w:rPr>
          <w:rFonts w:ascii="David" w:hAnsi="David" w:cs="David"/>
          <w:sz w:val="24"/>
          <w:szCs w:val="24"/>
        </w:rPr>
        <w:t>3</w:t>
      </w:r>
      <w:r>
        <w:rPr>
          <w:rFonts w:ascii="David" w:hAnsi="David" w:cs="David"/>
          <w:sz w:val="24"/>
          <w:szCs w:val="24"/>
        </w:rPr>
        <w:t xml:space="preserve"> </w:t>
      </w:r>
      <w:r w:rsidR="00B63976" w:rsidRPr="006D3D04">
        <w:rPr>
          <w:rFonts w:ascii="David" w:hAnsi="David" w:cs="David"/>
          <w:sz w:val="24"/>
          <w:szCs w:val="24"/>
          <w:rtl/>
        </w:rPr>
        <w:t xml:space="preserve"> שתילי סם מסוג קנבוס במשקל 210 גרם. בית המשפט דחה את עתירת הנאשם לביטול הרשעתו והוא נידון למאסר על תנאי, קנס, התחייבות ופסילה על תנאי.</w:t>
      </w:r>
    </w:p>
    <w:p w14:paraId="5FCAA219" w14:textId="77777777" w:rsidR="00B63976" w:rsidRPr="006D3D04" w:rsidRDefault="001B1BA5" w:rsidP="00B63976">
      <w:pPr>
        <w:pStyle w:val="aa"/>
        <w:numPr>
          <w:ilvl w:val="0"/>
          <w:numId w:val="3"/>
        </w:numPr>
        <w:spacing w:after="0" w:line="360" w:lineRule="auto"/>
        <w:jc w:val="both"/>
        <w:rPr>
          <w:rFonts w:ascii="David" w:hAnsi="David" w:cs="David"/>
          <w:sz w:val="24"/>
          <w:szCs w:val="24"/>
          <w:rtl/>
        </w:rPr>
      </w:pPr>
      <w:hyperlink r:id="rId35" w:history="1">
        <w:r w:rsidRPr="001B1BA5">
          <w:rPr>
            <w:rFonts w:ascii="David" w:hAnsi="David" w:cs="David"/>
            <w:color w:val="0000FF"/>
            <w:sz w:val="24"/>
            <w:szCs w:val="24"/>
            <w:u w:val="single"/>
            <w:rtl/>
          </w:rPr>
          <w:t>ת"פ (ת"א) 43983-05-19</w:t>
        </w:r>
      </w:hyperlink>
      <w:r>
        <w:rPr>
          <w:rFonts w:ascii="David" w:hAnsi="David" w:cs="David"/>
          <w:sz w:val="24"/>
          <w:szCs w:val="24"/>
        </w:rPr>
        <w:t xml:space="preserve"> </w:t>
      </w:r>
      <w:r w:rsidR="00B63976" w:rsidRPr="006D3D04">
        <w:rPr>
          <w:rFonts w:ascii="David" w:hAnsi="David" w:cs="David"/>
          <w:b/>
          <w:bCs/>
          <w:sz w:val="24"/>
          <w:szCs w:val="24"/>
          <w:rtl/>
        </w:rPr>
        <w:t>מדינת ישראל נ' ראובן</w:t>
      </w:r>
      <w:r>
        <w:rPr>
          <w:rFonts w:ascii="David" w:hAnsi="David" w:cs="David"/>
          <w:sz w:val="24"/>
          <w:szCs w:val="24"/>
          <w:rtl/>
        </w:rPr>
        <w:t xml:space="preserve"> </w:t>
      </w:r>
      <w:r w:rsidR="00B63976" w:rsidRPr="006D3D04">
        <w:rPr>
          <w:rFonts w:ascii="David" w:hAnsi="David" w:cs="David"/>
          <w:sz w:val="24"/>
          <w:szCs w:val="24"/>
          <w:rtl/>
        </w:rPr>
        <w:t>פורסם בנבו</w:t>
      </w:r>
      <w:r w:rsidR="00B63976" w:rsidRPr="006D3D04">
        <w:rPr>
          <w:rFonts w:ascii="David" w:hAnsi="David" w:cs="David"/>
          <w:sz w:val="24"/>
          <w:szCs w:val="24"/>
        </w:rPr>
        <w:t>]</w:t>
      </w:r>
      <w:r>
        <w:rPr>
          <w:rFonts w:ascii="David" w:hAnsi="David" w:cs="David"/>
          <w:sz w:val="24"/>
          <w:szCs w:val="24"/>
        </w:rPr>
        <w:t xml:space="preserve"> </w:t>
      </w:r>
      <w:r w:rsidR="00B63976" w:rsidRPr="006D3D04">
        <w:rPr>
          <w:rFonts w:ascii="David" w:hAnsi="David" w:cs="David"/>
          <w:sz w:val="24"/>
          <w:szCs w:val="24"/>
        </w:rPr>
        <w:t xml:space="preserve">(19/03/2020) </w:t>
      </w:r>
      <w:r w:rsidR="00B63976" w:rsidRPr="006D3D04">
        <w:rPr>
          <w:rFonts w:ascii="David" w:hAnsi="David" w:cs="David"/>
          <w:sz w:val="24"/>
          <w:szCs w:val="24"/>
          <w:rtl/>
        </w:rPr>
        <w:t>במסגרתו קבע בית המשפט מתחם של 18 עד 42 חודשי מאסר לנאשם שהחזיק בין היתר</w:t>
      </w:r>
      <w:r w:rsidR="00B63976" w:rsidRPr="006D3D04">
        <w:rPr>
          <w:rFonts w:ascii="David" w:hAnsi="David" w:cs="David"/>
          <w:sz w:val="24"/>
          <w:szCs w:val="24"/>
        </w:rPr>
        <w:t>,MDMA</w:t>
      </w:r>
      <w:r>
        <w:rPr>
          <w:rFonts w:ascii="David" w:hAnsi="David" w:cs="David"/>
          <w:sz w:val="24"/>
          <w:szCs w:val="24"/>
        </w:rPr>
        <w:t xml:space="preserve"> </w:t>
      </w:r>
      <w:r w:rsidR="00B63976">
        <w:rPr>
          <w:rFonts w:ascii="David" w:hAnsi="David" w:cs="David" w:hint="cs"/>
          <w:sz w:val="24"/>
          <w:szCs w:val="24"/>
          <w:rtl/>
        </w:rPr>
        <w:t xml:space="preserve"> </w:t>
      </w:r>
      <w:r w:rsidR="00B63976" w:rsidRPr="006D3D04">
        <w:rPr>
          <w:rFonts w:ascii="David" w:hAnsi="David" w:cs="David"/>
          <w:sz w:val="24"/>
          <w:szCs w:val="24"/>
          <w:rtl/>
        </w:rPr>
        <w:t>במשקל של מעל 300 גרם מחולק, 19 טבליות</w:t>
      </w:r>
      <w:r w:rsidR="00B63976" w:rsidRPr="006D3D04">
        <w:rPr>
          <w:rFonts w:ascii="David" w:hAnsi="David" w:cs="David"/>
          <w:sz w:val="24"/>
          <w:szCs w:val="24"/>
        </w:rPr>
        <w:t xml:space="preserve">MDMA </w:t>
      </w:r>
      <w:r w:rsidR="00B63976" w:rsidRPr="006D3D04">
        <w:rPr>
          <w:rFonts w:ascii="David" w:hAnsi="David" w:cs="David"/>
          <w:sz w:val="24"/>
          <w:szCs w:val="24"/>
          <w:rtl/>
        </w:rPr>
        <w:t xml:space="preserve"> ,קוקאין במשקל 10 גרם,</w:t>
      </w:r>
      <w:r>
        <w:rPr>
          <w:rFonts w:ascii="David" w:hAnsi="David" w:cs="David"/>
          <w:sz w:val="24"/>
          <w:szCs w:val="24"/>
        </w:rPr>
        <w:t xml:space="preserve"> </w:t>
      </w:r>
      <w:r w:rsidR="00B63976" w:rsidRPr="006D3D04">
        <w:rPr>
          <w:rFonts w:ascii="David" w:hAnsi="David" w:cs="David"/>
          <w:sz w:val="24"/>
          <w:szCs w:val="24"/>
        </w:rPr>
        <w:t xml:space="preserve">KETAMINE </w:t>
      </w:r>
      <w:r w:rsidR="00B63976" w:rsidRPr="006D3D04">
        <w:rPr>
          <w:rFonts w:ascii="David" w:hAnsi="David" w:cs="David"/>
          <w:sz w:val="24"/>
          <w:szCs w:val="24"/>
          <w:rtl/>
        </w:rPr>
        <w:t>במשקל 12 גרם, 56 בולים של סם מסוג</w:t>
      </w:r>
      <w:r>
        <w:rPr>
          <w:rFonts w:ascii="David" w:hAnsi="David" w:cs="David"/>
          <w:sz w:val="24"/>
          <w:szCs w:val="24"/>
          <w:rtl/>
        </w:rPr>
        <w:t xml:space="preserve"> </w:t>
      </w:r>
      <w:r w:rsidR="00B63976" w:rsidRPr="006D3D04">
        <w:rPr>
          <w:rFonts w:ascii="David" w:hAnsi="David" w:cs="David"/>
          <w:sz w:val="24"/>
          <w:szCs w:val="24"/>
        </w:rPr>
        <w:t xml:space="preserve"> LSD</w:t>
      </w:r>
      <w:r>
        <w:rPr>
          <w:rFonts w:ascii="David" w:hAnsi="David" w:cs="David"/>
          <w:sz w:val="24"/>
          <w:szCs w:val="24"/>
        </w:rPr>
        <w:t xml:space="preserve"> </w:t>
      </w:r>
      <w:r w:rsidR="00B63976" w:rsidRPr="006D3D04">
        <w:rPr>
          <w:rFonts w:ascii="David" w:hAnsi="David" w:cs="David"/>
          <w:sz w:val="24"/>
          <w:szCs w:val="24"/>
          <w:rtl/>
        </w:rPr>
        <w:t>וכן החזיק כלים להכנת סם</w:t>
      </w:r>
      <w:r w:rsidR="00B63976" w:rsidRPr="006D3D04">
        <w:rPr>
          <w:rFonts w:ascii="David" w:hAnsi="David" w:cs="David"/>
          <w:sz w:val="24"/>
          <w:szCs w:val="24"/>
        </w:rPr>
        <w:t>.</w:t>
      </w:r>
      <w:r w:rsidR="00B63976" w:rsidRPr="006D3D04">
        <w:rPr>
          <w:rFonts w:ascii="David" w:hAnsi="David" w:cs="David"/>
          <w:sz w:val="24"/>
          <w:szCs w:val="24"/>
          <w:rtl/>
        </w:rPr>
        <w:t xml:space="preserve"> הנאשם נידון ל 18 חודשי מאסר לרצוי בפועל בניכוי ימי מעצרו לצד ענישה מותנית, פסילת רישיון וחילוט רכבו וכספיו.</w:t>
      </w:r>
    </w:p>
    <w:p w14:paraId="7BB99456" w14:textId="77777777" w:rsidR="00B63976" w:rsidRPr="000370C7" w:rsidRDefault="001B1BA5" w:rsidP="00B63976">
      <w:pPr>
        <w:pStyle w:val="aa"/>
        <w:numPr>
          <w:ilvl w:val="0"/>
          <w:numId w:val="3"/>
        </w:numPr>
        <w:spacing w:after="0" w:line="360" w:lineRule="auto"/>
        <w:jc w:val="both"/>
        <w:rPr>
          <w:rFonts w:ascii="David" w:hAnsi="David" w:cs="David"/>
          <w:sz w:val="24"/>
          <w:szCs w:val="24"/>
          <w:rtl/>
        </w:rPr>
      </w:pPr>
      <w:hyperlink r:id="rId36" w:history="1">
        <w:r w:rsidRPr="001B1BA5">
          <w:rPr>
            <w:rFonts w:ascii="David" w:hAnsi="David" w:cs="David"/>
            <w:color w:val="0000FF"/>
            <w:sz w:val="24"/>
            <w:szCs w:val="24"/>
            <w:u w:val="single"/>
            <w:rtl/>
          </w:rPr>
          <w:t>ת"פ (ת"א) 24514-09-15</w:t>
        </w:r>
      </w:hyperlink>
      <w:r>
        <w:rPr>
          <w:rFonts w:ascii="David" w:hAnsi="David" w:cs="David"/>
          <w:sz w:val="24"/>
          <w:szCs w:val="24"/>
        </w:rPr>
        <w:t xml:space="preserve"> </w:t>
      </w:r>
      <w:r w:rsidR="00B63976" w:rsidRPr="000370C7">
        <w:rPr>
          <w:rFonts w:ascii="David" w:hAnsi="David" w:cs="David"/>
          <w:b/>
          <w:bCs/>
          <w:sz w:val="24"/>
          <w:szCs w:val="24"/>
          <w:rtl/>
        </w:rPr>
        <w:t xml:space="preserve">מדינת ישראל נ' פורת ואח' </w:t>
      </w:r>
      <w:r w:rsidR="00B63976" w:rsidRPr="000370C7">
        <w:rPr>
          <w:rFonts w:ascii="David" w:hAnsi="David" w:cs="David"/>
          <w:sz w:val="24"/>
          <w:szCs w:val="24"/>
          <w:rtl/>
        </w:rPr>
        <w:t>(פורסם בנבו</w:t>
      </w:r>
      <w:r>
        <w:rPr>
          <w:rFonts w:ascii="David" w:hAnsi="David" w:cs="David"/>
          <w:sz w:val="24"/>
          <w:szCs w:val="24"/>
        </w:rPr>
        <w:t xml:space="preserve"> </w:t>
      </w:r>
      <w:r w:rsidR="00B63976" w:rsidRPr="000370C7">
        <w:rPr>
          <w:rFonts w:ascii="David" w:hAnsi="David" w:cs="David"/>
          <w:sz w:val="24"/>
          <w:szCs w:val="24"/>
        </w:rPr>
        <w:t xml:space="preserve">(2/1/2017) </w:t>
      </w:r>
      <w:r w:rsidR="00B63976" w:rsidRPr="000370C7">
        <w:rPr>
          <w:rFonts w:ascii="David" w:hAnsi="David" w:cs="David"/>
          <w:sz w:val="24"/>
          <w:szCs w:val="24"/>
          <w:rtl/>
        </w:rPr>
        <w:t>הורשע הנאשם בעבירה של החזקת סמים מסוכנים שלא לצריכה עצמית בכך שהחזיק בארון בדירתו סם מסוג</w:t>
      </w:r>
      <w:r>
        <w:rPr>
          <w:rFonts w:ascii="David" w:hAnsi="David" w:cs="David"/>
          <w:sz w:val="24"/>
          <w:szCs w:val="24"/>
          <w:rtl/>
        </w:rPr>
        <w:t xml:space="preserve"> </w:t>
      </w:r>
      <w:r w:rsidR="00B63976" w:rsidRPr="000370C7">
        <w:rPr>
          <w:rFonts w:ascii="David" w:hAnsi="David" w:cs="David"/>
          <w:sz w:val="24"/>
          <w:szCs w:val="24"/>
        </w:rPr>
        <w:t xml:space="preserve"> MDMA</w:t>
      </w:r>
      <w:r>
        <w:rPr>
          <w:rFonts w:ascii="David" w:hAnsi="David" w:cs="David"/>
          <w:sz w:val="24"/>
          <w:szCs w:val="24"/>
        </w:rPr>
        <w:t xml:space="preserve"> </w:t>
      </w:r>
      <w:r w:rsidR="00B63976" w:rsidRPr="000370C7">
        <w:rPr>
          <w:rFonts w:ascii="David" w:hAnsi="David" w:cs="David"/>
          <w:sz w:val="24"/>
          <w:szCs w:val="24"/>
          <w:rtl/>
        </w:rPr>
        <w:t>במשקל 901 גרם, ובמקומות שונים נוספים בדירה החזיק סם מסוג</w:t>
      </w:r>
      <w:r>
        <w:rPr>
          <w:rFonts w:ascii="David" w:hAnsi="David" w:cs="David"/>
          <w:sz w:val="24"/>
          <w:szCs w:val="24"/>
          <w:rtl/>
        </w:rPr>
        <w:t xml:space="preserve"> </w:t>
      </w:r>
      <w:r w:rsidR="00B63976" w:rsidRPr="000370C7">
        <w:rPr>
          <w:rFonts w:ascii="David" w:hAnsi="David" w:cs="David"/>
          <w:sz w:val="24"/>
          <w:szCs w:val="24"/>
        </w:rPr>
        <w:t>MDMA</w:t>
      </w:r>
      <w:r>
        <w:rPr>
          <w:rFonts w:ascii="David" w:hAnsi="David" w:cs="David"/>
          <w:sz w:val="24"/>
          <w:szCs w:val="24"/>
        </w:rPr>
        <w:t xml:space="preserve"> </w:t>
      </w:r>
      <w:r w:rsidR="00B63976" w:rsidRPr="000370C7">
        <w:rPr>
          <w:rFonts w:ascii="David" w:hAnsi="David" w:cs="David"/>
          <w:sz w:val="24"/>
          <w:szCs w:val="24"/>
          <w:rtl/>
        </w:rPr>
        <w:t xml:space="preserve"> במשקל 1.49 גרם, סם מסוג קנבוס במשקל כולל של כ- 117 גרם וסם מסוג קוקאין במשקל של 0.85 גרם. נקבע כי סוג הסמים המוחזקים וכמותם מובילים לקביעת מתחם ענישה הנע בין 18 ועד 36 חודשי מאסר, אך לבסוף נקט בית המשפט בענישה שיקומית וגזר על הנאשם 6 ח' עבודות שירות לצד ענישה נלווית. </w:t>
      </w:r>
    </w:p>
    <w:p w14:paraId="197C9FBB" w14:textId="77777777" w:rsidR="00B63976" w:rsidRDefault="00B63976" w:rsidP="00B63976">
      <w:pPr>
        <w:pStyle w:val="aa"/>
        <w:spacing w:after="0" w:line="360" w:lineRule="auto"/>
        <w:ind w:left="869"/>
        <w:jc w:val="both"/>
        <w:rPr>
          <w:rFonts w:ascii="David" w:hAnsi="David" w:cs="David"/>
          <w:sz w:val="24"/>
          <w:szCs w:val="24"/>
          <w:rtl/>
        </w:rPr>
      </w:pPr>
    </w:p>
    <w:p w14:paraId="5D087F68" w14:textId="77777777" w:rsidR="00B63976" w:rsidRPr="006D3D04" w:rsidRDefault="00B63976" w:rsidP="00B63976">
      <w:pPr>
        <w:pStyle w:val="aa"/>
        <w:spacing w:after="0" w:line="360" w:lineRule="auto"/>
        <w:ind w:left="869"/>
        <w:jc w:val="both"/>
        <w:rPr>
          <w:rFonts w:ascii="David" w:hAnsi="David" w:cs="David"/>
          <w:sz w:val="24"/>
          <w:szCs w:val="24"/>
          <w:rtl/>
        </w:rPr>
      </w:pPr>
    </w:p>
    <w:p w14:paraId="2A0C94A5"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לאחר שנדרשתי למכלול השיקולים הרלוונטיים ובהתאם לתיקון 113 ל</w:t>
      </w:r>
      <w:hyperlink r:id="rId37" w:history="1">
        <w:r w:rsidR="001B1BA5" w:rsidRPr="001B1BA5">
          <w:rPr>
            <w:rFonts w:ascii="David" w:hAnsi="David" w:cs="David"/>
            <w:color w:val="0000FF"/>
            <w:sz w:val="24"/>
            <w:szCs w:val="24"/>
            <w:u w:val="single"/>
            <w:rtl/>
          </w:rPr>
          <w:t>חוק העונשין</w:t>
        </w:r>
      </w:hyperlink>
      <w:r w:rsidRPr="006D3D04">
        <w:rPr>
          <w:rFonts w:ascii="David" w:hAnsi="David" w:cs="David"/>
          <w:sz w:val="24"/>
          <w:szCs w:val="24"/>
          <w:rtl/>
        </w:rPr>
        <w:t xml:space="preserve"> (</w:t>
      </w:r>
      <w:hyperlink r:id="rId38" w:history="1">
        <w:r w:rsidR="002134AF" w:rsidRPr="002134AF">
          <w:rPr>
            <w:rStyle w:val="Hyperlink"/>
            <w:rFonts w:ascii="David" w:hAnsi="David" w:cs="David"/>
            <w:sz w:val="24"/>
            <w:szCs w:val="24"/>
            <w:rtl/>
          </w:rPr>
          <w:t>סעיף 40יג')</w:t>
        </w:r>
      </w:hyperlink>
      <w:r w:rsidRPr="006D3D04">
        <w:rPr>
          <w:rFonts w:ascii="David" w:hAnsi="David" w:cs="David"/>
          <w:sz w:val="24"/>
          <w:szCs w:val="24"/>
          <w:rtl/>
        </w:rPr>
        <w:t xml:space="preserve"> ובהתחשב בכמות הסמים, העובדה שחלקם סמים קשים אני קובע מתחם עונש הולם הנע </w:t>
      </w:r>
      <w:r w:rsidRPr="006D3D04">
        <w:rPr>
          <w:rFonts w:ascii="David" w:hAnsi="David" w:cs="David"/>
          <w:color w:val="000000"/>
          <w:sz w:val="24"/>
          <w:szCs w:val="24"/>
          <w:rtl/>
        </w:rPr>
        <w:t>בין 10 ועד 24 חודשי מאסר בפועל לצד רכיבי ענישה נוספים</w:t>
      </w:r>
      <w:r w:rsidRPr="006D3D04">
        <w:rPr>
          <w:rFonts w:ascii="David" w:hAnsi="David" w:cs="David"/>
          <w:sz w:val="24"/>
          <w:szCs w:val="24"/>
          <w:rtl/>
        </w:rPr>
        <w:t>.</w:t>
      </w:r>
    </w:p>
    <w:p w14:paraId="3FAF4BF1"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לפי</w:t>
      </w:r>
      <w:r w:rsidR="001B1BA5">
        <w:rPr>
          <w:rFonts w:ascii="David" w:hAnsi="David" w:cs="David"/>
          <w:sz w:val="24"/>
          <w:szCs w:val="24"/>
          <w:rtl/>
        </w:rPr>
        <w:t xml:space="preserve"> </w:t>
      </w:r>
      <w:hyperlink r:id="rId39" w:history="1">
        <w:r w:rsidR="002134AF" w:rsidRPr="002134AF">
          <w:rPr>
            <w:rStyle w:val="Hyperlink"/>
            <w:rFonts w:ascii="David" w:hAnsi="David" w:cs="David"/>
            <w:sz w:val="24"/>
            <w:szCs w:val="24"/>
            <w:rtl/>
          </w:rPr>
          <w:t>סעיף 40 ד</w:t>
        </w:r>
      </w:hyperlink>
      <w:r w:rsidRPr="006D3D04">
        <w:rPr>
          <w:rFonts w:ascii="David" w:hAnsi="David" w:cs="David"/>
          <w:sz w:val="24"/>
          <w:szCs w:val="24"/>
          <w:rtl/>
        </w:rPr>
        <w:t>'</w:t>
      </w:r>
      <w:r w:rsidR="001B1BA5">
        <w:rPr>
          <w:rFonts w:ascii="David" w:hAnsi="David" w:cs="David"/>
          <w:sz w:val="24"/>
          <w:szCs w:val="24"/>
        </w:rPr>
        <w:t xml:space="preserve"> </w:t>
      </w:r>
      <w:r w:rsidRPr="006D3D04">
        <w:rPr>
          <w:rFonts w:ascii="David" w:hAnsi="David" w:cs="David"/>
          <w:sz w:val="24"/>
          <w:szCs w:val="24"/>
          <w:rtl/>
        </w:rPr>
        <w:t>ל</w:t>
      </w:r>
      <w:hyperlink r:id="rId40" w:history="1">
        <w:r w:rsidR="001B1BA5" w:rsidRPr="001B1BA5">
          <w:rPr>
            <w:rFonts w:ascii="David" w:hAnsi="David" w:cs="David"/>
            <w:color w:val="0000FF"/>
            <w:sz w:val="24"/>
            <w:szCs w:val="24"/>
            <w:u w:val="single"/>
            <w:rtl/>
          </w:rPr>
          <w:t>חוק העונשין</w:t>
        </w:r>
      </w:hyperlink>
      <w:r w:rsidRPr="006D3D04">
        <w:rPr>
          <w:rFonts w:ascii="David" w:hAnsi="David" w:cs="David"/>
          <w:sz w:val="24"/>
          <w:szCs w:val="24"/>
          <w:rtl/>
        </w:rPr>
        <w:t>, בית המשפט רשאי לחרוג לקולא ממתחם הענש ההולם, אם מצא כי הנאשם השתקם או כי יש סיכוי של ממש שישתקם. בית המשפט העליון קבע, כי במסגרת בחינת פוטנציאל השיקום יש לבחון את עברו של הנאשם, את עמדתו של הנאשם ביחס לעבירה, את הסיכון להישנות עבירות בעתיד, את מידת התקדמות הליכי השיקום, ואת ההשלכות העלולות להיות לעונש על הליכי השיקום. ר'</w:t>
      </w:r>
      <w:r w:rsidR="001B1BA5">
        <w:rPr>
          <w:rFonts w:ascii="David" w:hAnsi="David" w:cs="David"/>
          <w:sz w:val="24"/>
          <w:szCs w:val="24"/>
          <w:rtl/>
        </w:rPr>
        <w:t xml:space="preserve"> </w:t>
      </w:r>
      <w:hyperlink r:id="rId41" w:history="1">
        <w:r w:rsidR="001B1BA5" w:rsidRPr="001B1BA5">
          <w:rPr>
            <w:rFonts w:ascii="David" w:hAnsi="David" w:cs="David"/>
            <w:color w:val="0000FF"/>
            <w:sz w:val="24"/>
            <w:szCs w:val="24"/>
            <w:u w:val="single"/>
            <w:rtl/>
          </w:rPr>
          <w:t>ע"פ 1903/13</w:t>
        </w:r>
      </w:hyperlink>
      <w:r w:rsidR="001B1BA5">
        <w:rPr>
          <w:rFonts w:ascii="David" w:hAnsi="David" w:cs="David"/>
          <w:sz w:val="24"/>
          <w:szCs w:val="24"/>
        </w:rPr>
        <w:t xml:space="preserve"> </w:t>
      </w:r>
      <w:r w:rsidRPr="006D3D04">
        <w:rPr>
          <w:rFonts w:ascii="David" w:hAnsi="David" w:cs="David"/>
          <w:b/>
          <w:bCs/>
          <w:sz w:val="24"/>
          <w:szCs w:val="24"/>
          <w:rtl/>
        </w:rPr>
        <w:t>עיאשה נ' מדינת ישראל</w:t>
      </w:r>
      <w:r w:rsidR="001B1BA5">
        <w:rPr>
          <w:rFonts w:ascii="David" w:hAnsi="David" w:cs="David"/>
          <w:sz w:val="24"/>
          <w:szCs w:val="24"/>
          <w:rtl/>
        </w:rPr>
        <w:t xml:space="preserve"> </w:t>
      </w:r>
      <w:r w:rsidRPr="006D3D04">
        <w:rPr>
          <w:rFonts w:ascii="David" w:hAnsi="David" w:cs="David"/>
          <w:sz w:val="24"/>
          <w:szCs w:val="24"/>
          <w:rtl/>
        </w:rPr>
        <w:t xml:space="preserve">(פורסם בנבו, 14.07.13). </w:t>
      </w:r>
    </w:p>
    <w:p w14:paraId="430139C3"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tl/>
        </w:rPr>
      </w:pPr>
      <w:r w:rsidRPr="006D3D04">
        <w:rPr>
          <w:rFonts w:ascii="David" w:hAnsi="David" w:cs="David"/>
          <w:sz w:val="24"/>
          <w:szCs w:val="24"/>
          <w:rtl/>
        </w:rPr>
        <w:t>ב</w:t>
      </w:r>
      <w:hyperlink r:id="rId42" w:history="1">
        <w:r w:rsidR="001B1BA5" w:rsidRPr="001B1BA5">
          <w:rPr>
            <w:rFonts w:ascii="David" w:hAnsi="David" w:cs="David"/>
            <w:color w:val="0000FF"/>
            <w:sz w:val="24"/>
            <w:szCs w:val="24"/>
            <w:u w:val="single"/>
            <w:rtl/>
          </w:rPr>
          <w:t>ת"פ (מרכז) 30039-04-20</w:t>
        </w:r>
      </w:hyperlink>
      <w:r w:rsidR="001B1BA5">
        <w:rPr>
          <w:rFonts w:ascii="David" w:hAnsi="David" w:cs="David"/>
          <w:sz w:val="24"/>
          <w:szCs w:val="24"/>
        </w:rPr>
        <w:t xml:space="preserve"> </w:t>
      </w:r>
      <w:r w:rsidRPr="006D3D04">
        <w:rPr>
          <w:rFonts w:ascii="David" w:hAnsi="David" w:cs="David"/>
          <w:b/>
          <w:bCs/>
          <w:sz w:val="24"/>
          <w:szCs w:val="24"/>
          <w:rtl/>
        </w:rPr>
        <w:t>מדינת ישראל נ' זלצברג</w:t>
      </w:r>
      <w:r w:rsidR="001B1BA5">
        <w:rPr>
          <w:rFonts w:ascii="David" w:hAnsi="David" w:cs="David"/>
          <w:sz w:val="24"/>
          <w:szCs w:val="24"/>
          <w:rtl/>
        </w:rPr>
        <w:t xml:space="preserve"> </w:t>
      </w:r>
      <w:r w:rsidRPr="006D3D04">
        <w:rPr>
          <w:rFonts w:ascii="David" w:hAnsi="David" w:cs="David"/>
          <w:sz w:val="24"/>
          <w:szCs w:val="24"/>
          <w:rtl/>
        </w:rPr>
        <w:t>(פורסם בנבו, 16.11.21), עמד בית המשפט המחוזי על</w:t>
      </w:r>
      <w:r w:rsidR="001B1BA5">
        <w:rPr>
          <w:rFonts w:ascii="David" w:hAnsi="David" w:cs="David"/>
          <w:sz w:val="24"/>
          <w:szCs w:val="24"/>
          <w:rtl/>
        </w:rPr>
        <w:t xml:space="preserve"> </w:t>
      </w:r>
      <w:r w:rsidRPr="006D3D04">
        <w:rPr>
          <w:rFonts w:ascii="David" w:hAnsi="David" w:cs="David"/>
          <w:sz w:val="24"/>
          <w:szCs w:val="24"/>
          <w:rtl/>
        </w:rPr>
        <w:t>הפרמטרים המרכזיים</w:t>
      </w:r>
      <w:r>
        <w:rPr>
          <w:rFonts w:ascii="David" w:hAnsi="David" w:cs="David"/>
          <w:sz w:val="24"/>
          <w:szCs w:val="24"/>
          <w:rtl/>
        </w:rPr>
        <w:t xml:space="preserve"> אשר מצביעים על סיכויי שיקום ו</w:t>
      </w:r>
      <w:r>
        <w:rPr>
          <w:rFonts w:ascii="David" w:hAnsi="David" w:cs="David" w:hint="cs"/>
          <w:sz w:val="24"/>
          <w:szCs w:val="24"/>
          <w:rtl/>
        </w:rPr>
        <w:t xml:space="preserve">הם: </w:t>
      </w:r>
      <w:r>
        <w:rPr>
          <w:rFonts w:ascii="David" w:hAnsi="David" w:cs="David" w:hint="cs"/>
          <w:b/>
          <w:bCs/>
          <w:sz w:val="24"/>
          <w:szCs w:val="24"/>
          <w:rtl/>
        </w:rPr>
        <w:t>"</w:t>
      </w:r>
      <w:r w:rsidRPr="006D3D04">
        <w:rPr>
          <w:rFonts w:ascii="David" w:hAnsi="David" w:cs="David"/>
          <w:b/>
          <w:bCs/>
          <w:sz w:val="24"/>
          <w:szCs w:val="24"/>
          <w:rtl/>
        </w:rPr>
        <w:t>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w:t>
      </w:r>
      <w:r w:rsidR="001B1BA5">
        <w:rPr>
          <w:rFonts w:ascii="David" w:hAnsi="David" w:cs="David"/>
          <w:b/>
          <w:bCs/>
          <w:sz w:val="24"/>
          <w:szCs w:val="24"/>
          <w:rtl/>
        </w:rPr>
        <w:t xml:space="preserve"> </w:t>
      </w:r>
      <w:r w:rsidRPr="001B1BA5">
        <w:rPr>
          <w:rFonts w:ascii="David" w:hAnsi="David" w:cs="David"/>
          <w:color w:val="000000"/>
          <w:sz w:val="24"/>
          <w:szCs w:val="24"/>
          <w:rtl/>
        </w:rPr>
        <w:t>סעיף 40ד'(א)</w:t>
      </w:r>
      <w:r w:rsidR="001B1BA5">
        <w:rPr>
          <w:rFonts w:ascii="David" w:hAnsi="David" w:cs="David"/>
          <w:b/>
          <w:bCs/>
          <w:sz w:val="24"/>
          <w:szCs w:val="24"/>
        </w:rPr>
        <w:t xml:space="preserve"> </w:t>
      </w:r>
      <w:r w:rsidRPr="006D3D04">
        <w:rPr>
          <w:rFonts w:ascii="David" w:hAnsi="David" w:cs="David"/>
          <w:b/>
          <w:bCs/>
          <w:sz w:val="24"/>
          <w:szCs w:val="24"/>
          <w:rtl/>
        </w:rPr>
        <w:t>לחוק. דברים אלה זוכים למשנה תוקף מקום בו מדובר באדם צעיר ונעדר עבר פלילי (ראו דברי כב' השופטת ד' ברק ארז ב</w:t>
      </w:r>
      <w:hyperlink r:id="rId43" w:history="1">
        <w:r w:rsidR="001B1BA5" w:rsidRPr="001B1BA5">
          <w:rPr>
            <w:rFonts w:ascii="David" w:hAnsi="David" w:cs="David"/>
            <w:b/>
            <w:bCs/>
            <w:color w:val="0000FF"/>
            <w:sz w:val="24"/>
            <w:szCs w:val="24"/>
            <w:u w:val="single"/>
            <w:rtl/>
          </w:rPr>
          <w:t>ע"פ 6637/17</w:t>
        </w:r>
      </w:hyperlink>
      <w:r w:rsidR="001B1BA5">
        <w:rPr>
          <w:rFonts w:ascii="David" w:hAnsi="David" w:cs="David"/>
          <w:b/>
          <w:bCs/>
          <w:sz w:val="24"/>
          <w:szCs w:val="24"/>
        </w:rPr>
        <w:t xml:space="preserve"> </w:t>
      </w:r>
      <w:r w:rsidRPr="006D3D04">
        <w:rPr>
          <w:rFonts w:ascii="David" w:hAnsi="David" w:cs="David"/>
          <w:b/>
          <w:bCs/>
          <w:sz w:val="24"/>
          <w:szCs w:val="24"/>
          <w:rtl/>
        </w:rPr>
        <w:t>קרנדל נ' מדינת ישראל (18.4.18). בכל הנוגע למידת החריגה מהמתחם, ככלל</w:t>
      </w:r>
      <w:r w:rsidR="001B1BA5">
        <w:rPr>
          <w:rFonts w:ascii="David" w:hAnsi="David" w:cs="David"/>
          <w:b/>
          <w:bCs/>
          <w:sz w:val="24"/>
          <w:szCs w:val="24"/>
          <w:rtl/>
        </w:rPr>
        <w:t xml:space="preserve"> </w:t>
      </w:r>
      <w:r w:rsidRPr="006D3D04">
        <w:rPr>
          <w:rFonts w:ascii="David" w:hAnsi="David" w:cs="David"/>
          <w:b/>
          <w:bCs/>
          <w:sz w:val="24"/>
          <w:szCs w:val="24"/>
          <w:rtl/>
        </w:rPr>
        <w:t>קיימת קורלציה בין מידת</w:t>
      </w:r>
      <w:r>
        <w:rPr>
          <w:rFonts w:ascii="David" w:hAnsi="David" w:cs="David"/>
          <w:b/>
          <w:bCs/>
          <w:sz w:val="24"/>
          <w:szCs w:val="24"/>
          <w:rtl/>
        </w:rPr>
        <w:t xml:space="preserve"> השיקום, לבין מידת החריגה מהמת</w:t>
      </w:r>
      <w:r>
        <w:rPr>
          <w:rFonts w:ascii="David" w:hAnsi="David" w:cs="David" w:hint="cs"/>
          <w:b/>
          <w:bCs/>
          <w:sz w:val="24"/>
          <w:szCs w:val="24"/>
          <w:rtl/>
        </w:rPr>
        <w:t>חם".</w:t>
      </w:r>
      <w:r>
        <w:rPr>
          <w:rFonts w:ascii="David" w:hAnsi="David" w:cs="David" w:hint="cs"/>
          <w:sz w:val="24"/>
          <w:szCs w:val="24"/>
          <w:rtl/>
        </w:rPr>
        <w:t xml:space="preserve"> וכן ר'</w:t>
      </w:r>
      <w:r w:rsidR="001B1BA5">
        <w:rPr>
          <w:rFonts w:ascii="David" w:hAnsi="David" w:cs="David"/>
          <w:sz w:val="24"/>
          <w:szCs w:val="24"/>
          <w:rtl/>
        </w:rPr>
        <w:t xml:space="preserve"> </w:t>
      </w:r>
      <w:hyperlink r:id="rId44" w:history="1">
        <w:r w:rsidR="001B1BA5" w:rsidRPr="001B1BA5">
          <w:rPr>
            <w:rFonts w:ascii="David" w:hAnsi="David" w:cs="David"/>
            <w:color w:val="0000FF"/>
            <w:sz w:val="24"/>
            <w:szCs w:val="24"/>
            <w:u w:val="single"/>
            <w:rtl/>
          </w:rPr>
          <w:t>ת"פ (מרכז) 58591-08-18</w:t>
        </w:r>
      </w:hyperlink>
      <w:r w:rsidRPr="006D3D04">
        <w:rPr>
          <w:rFonts w:ascii="David" w:hAnsi="David" w:cs="David"/>
          <w:sz w:val="24"/>
          <w:szCs w:val="24"/>
          <w:rtl/>
        </w:rPr>
        <w:t>‏ ‏</w:t>
      </w:r>
      <w:r w:rsidRPr="006D3D04">
        <w:rPr>
          <w:rFonts w:ascii="David" w:hAnsi="David" w:cs="David"/>
          <w:b/>
          <w:bCs/>
          <w:sz w:val="24"/>
          <w:szCs w:val="24"/>
          <w:rtl/>
        </w:rPr>
        <w:t>מדינת ישראל נ' ארז גרייף</w:t>
      </w:r>
      <w:r w:rsidR="001B1BA5">
        <w:rPr>
          <w:rFonts w:ascii="David" w:hAnsi="David" w:cs="David"/>
          <w:sz w:val="24"/>
          <w:szCs w:val="24"/>
          <w:rtl/>
        </w:rPr>
        <w:t xml:space="preserve"> </w:t>
      </w:r>
      <w:r w:rsidRPr="006D3D04">
        <w:rPr>
          <w:rFonts w:ascii="David" w:hAnsi="David" w:cs="David"/>
          <w:sz w:val="24"/>
          <w:szCs w:val="24"/>
          <w:rtl/>
        </w:rPr>
        <w:t>(פורסם בנבו, 10.8.20).</w:t>
      </w:r>
    </w:p>
    <w:p w14:paraId="2111C62F" w14:textId="77777777" w:rsidR="00B63976" w:rsidRPr="006D3D04" w:rsidRDefault="00B63976" w:rsidP="00B63976">
      <w:pPr>
        <w:pStyle w:val="aa"/>
        <w:spacing w:after="0" w:line="360" w:lineRule="auto"/>
        <w:ind w:left="509"/>
        <w:jc w:val="both"/>
        <w:rPr>
          <w:rFonts w:ascii="David" w:hAnsi="David" w:cs="David"/>
          <w:sz w:val="24"/>
          <w:szCs w:val="24"/>
        </w:rPr>
      </w:pPr>
    </w:p>
    <w:p w14:paraId="41ECB278" w14:textId="77777777" w:rsidR="00B63976" w:rsidRPr="002228AA" w:rsidRDefault="00B63976" w:rsidP="00B63976">
      <w:pPr>
        <w:pStyle w:val="aa"/>
        <w:numPr>
          <w:ilvl w:val="0"/>
          <w:numId w:val="1"/>
        </w:numPr>
        <w:spacing w:after="0" w:line="360" w:lineRule="auto"/>
        <w:ind w:left="509" w:hanging="567"/>
        <w:jc w:val="both"/>
        <w:rPr>
          <w:rFonts w:ascii="David" w:hAnsi="David" w:cs="David"/>
          <w:color w:val="000000"/>
          <w:sz w:val="24"/>
          <w:szCs w:val="24"/>
          <w:rtl/>
        </w:rPr>
      </w:pPr>
      <w:r w:rsidRPr="006D3D04">
        <w:rPr>
          <w:rFonts w:ascii="David" w:hAnsi="David" w:cs="David"/>
          <w:color w:val="000000"/>
          <w:sz w:val="24"/>
          <w:szCs w:val="24"/>
          <w:rtl/>
        </w:rPr>
        <w:t xml:space="preserve">חריגה ממתחם העונש ההולם אפשרית, בהתקיים פוטנציאל שיקומי, יכול ותיעשה גם בעבירות גידול הפקה וסחר בסמים מסוגים שונים בכמויות בלתי מבוטלות. </w:t>
      </w:r>
      <w:r>
        <w:rPr>
          <w:rFonts w:ascii="David" w:hAnsi="David" w:cs="David" w:hint="cs"/>
          <w:color w:val="000000"/>
          <w:sz w:val="24"/>
          <w:szCs w:val="24"/>
          <w:rtl/>
        </w:rPr>
        <w:t xml:space="preserve">כך למשל: </w:t>
      </w:r>
      <w:r w:rsidRPr="002228AA">
        <w:rPr>
          <w:rFonts w:ascii="David" w:hAnsi="David" w:cs="David" w:hint="cs"/>
          <w:sz w:val="24"/>
          <w:szCs w:val="24"/>
          <w:rtl/>
        </w:rPr>
        <w:t>ב</w:t>
      </w:r>
      <w:hyperlink r:id="rId45" w:history="1">
        <w:r w:rsidR="001B1BA5" w:rsidRPr="001B1BA5">
          <w:rPr>
            <w:rFonts w:ascii="David" w:hAnsi="David" w:cs="David"/>
            <w:color w:val="0000FF"/>
            <w:sz w:val="24"/>
            <w:szCs w:val="24"/>
            <w:u w:val="single"/>
            <w:rtl/>
          </w:rPr>
          <w:t>ת"פ (ת"א) 63255-11-16</w:t>
        </w:r>
      </w:hyperlink>
      <w:r w:rsidR="001B1BA5">
        <w:rPr>
          <w:rFonts w:ascii="David" w:hAnsi="David" w:cs="David"/>
          <w:sz w:val="24"/>
          <w:szCs w:val="24"/>
        </w:rPr>
        <w:t xml:space="preserve"> </w:t>
      </w:r>
      <w:r w:rsidRPr="002228AA">
        <w:rPr>
          <w:rFonts w:ascii="David" w:hAnsi="David" w:cs="David"/>
          <w:b/>
          <w:bCs/>
          <w:sz w:val="24"/>
          <w:szCs w:val="24"/>
          <w:rtl/>
        </w:rPr>
        <w:t>מדינת ישראל נ' טורז'מן</w:t>
      </w:r>
      <w:r w:rsidR="001B1BA5">
        <w:rPr>
          <w:rFonts w:ascii="David" w:hAnsi="David" w:cs="David"/>
          <w:b/>
          <w:bCs/>
          <w:sz w:val="24"/>
          <w:szCs w:val="24"/>
          <w:rtl/>
        </w:rPr>
        <w:t xml:space="preserve"> </w:t>
      </w:r>
      <w:r w:rsidRPr="002228AA">
        <w:rPr>
          <w:rFonts w:ascii="David" w:hAnsi="David" w:cs="David"/>
          <w:sz w:val="24"/>
          <w:szCs w:val="24"/>
          <w:rtl/>
        </w:rPr>
        <w:t>(פורסם בנבו 07.02.18) הושתו 400 שעות של"צ וענישה נלווית על נאשמת שהורשעה בעבירות של קשירת קשר לביצוע פשע, החזקת סם שלא לצריכה</w:t>
      </w:r>
      <w:r w:rsidRPr="002228AA">
        <w:rPr>
          <w:rFonts w:ascii="David" w:hAnsi="David" w:cs="David" w:hint="cs"/>
          <w:sz w:val="24"/>
          <w:szCs w:val="24"/>
          <w:rtl/>
        </w:rPr>
        <w:t xml:space="preserve"> </w:t>
      </w:r>
      <w:r w:rsidRPr="002228AA">
        <w:rPr>
          <w:rFonts w:ascii="David" w:hAnsi="David" w:cs="David"/>
          <w:sz w:val="24"/>
          <w:szCs w:val="24"/>
          <w:rtl/>
        </w:rPr>
        <w:t>עצמית, החזקת כלים, וסחר בסמים מסוכנים מסוג אקסטזי, קוקאין</w:t>
      </w:r>
      <w:r w:rsidRPr="002228AA">
        <w:rPr>
          <w:rFonts w:ascii="David" w:hAnsi="David" w:cs="David"/>
          <w:sz w:val="24"/>
          <w:szCs w:val="24"/>
        </w:rPr>
        <w:t>,</w:t>
      </w:r>
      <w:r w:rsidR="001B1BA5">
        <w:rPr>
          <w:rFonts w:ascii="David" w:hAnsi="David" w:cs="David"/>
          <w:sz w:val="24"/>
          <w:szCs w:val="24"/>
        </w:rPr>
        <w:t xml:space="preserve"> </w:t>
      </w:r>
      <w:r w:rsidRPr="002228AA">
        <w:rPr>
          <w:rFonts w:ascii="David" w:hAnsi="David" w:cs="David"/>
          <w:sz w:val="24"/>
          <w:szCs w:val="24"/>
        </w:rPr>
        <w:t>MDMA</w:t>
      </w:r>
      <w:r w:rsidR="001B1BA5">
        <w:rPr>
          <w:rFonts w:ascii="David" w:hAnsi="David" w:cs="David"/>
          <w:sz w:val="24"/>
          <w:szCs w:val="24"/>
        </w:rPr>
        <w:t xml:space="preserve"> </w:t>
      </w:r>
      <w:r w:rsidRPr="002228AA">
        <w:rPr>
          <w:rFonts w:ascii="David" w:hAnsi="David" w:cs="David"/>
          <w:sz w:val="24"/>
          <w:szCs w:val="24"/>
          <w:rtl/>
        </w:rPr>
        <w:t>וקנאביס, ובהחזקת סמים מסוגים דומים ואחרים במשקלים לא מבוטלים. העונש ה</w:t>
      </w:r>
      <w:r w:rsidRPr="002228AA">
        <w:rPr>
          <w:rFonts w:ascii="David" w:hAnsi="David" w:cs="David" w:hint="cs"/>
          <w:sz w:val="24"/>
          <w:szCs w:val="24"/>
          <w:rtl/>
        </w:rPr>
        <w:t>מ</w:t>
      </w:r>
      <w:r w:rsidRPr="002228AA">
        <w:rPr>
          <w:rFonts w:ascii="David" w:hAnsi="David" w:cs="David"/>
          <w:sz w:val="24"/>
          <w:szCs w:val="24"/>
          <w:rtl/>
        </w:rPr>
        <w:t xml:space="preserve">קל הוטל בשל הליך שיקום משמעותי אותו עברה הנאשמת לאורך </w:t>
      </w:r>
      <w:r w:rsidRPr="002228AA">
        <w:rPr>
          <w:rFonts w:ascii="David" w:hAnsi="David" w:cs="David" w:hint="cs"/>
          <w:sz w:val="24"/>
          <w:szCs w:val="24"/>
          <w:rtl/>
        </w:rPr>
        <w:t xml:space="preserve">תקופה בת </w:t>
      </w:r>
      <w:r w:rsidRPr="002228AA">
        <w:rPr>
          <w:rFonts w:ascii="David" w:hAnsi="David" w:cs="David"/>
          <w:sz w:val="24"/>
          <w:szCs w:val="24"/>
          <w:rtl/>
        </w:rPr>
        <w:t>למעלה משנה, שהחל ביוזמתה וכלל טיפול גמילה מסמים במסגרת יחידה לטיפול בנפגעי סמים, וכן בשל נסיבות חיים קשות והעדר עבר פלילי</w:t>
      </w:r>
      <w:r w:rsidRPr="002228AA">
        <w:rPr>
          <w:rFonts w:ascii="David" w:hAnsi="David" w:cs="David"/>
          <w:sz w:val="24"/>
          <w:szCs w:val="24"/>
        </w:rPr>
        <w:t>.</w:t>
      </w:r>
    </w:p>
    <w:p w14:paraId="308784AE" w14:textId="77777777" w:rsidR="00B63976" w:rsidRPr="006D3D04" w:rsidRDefault="00B63976" w:rsidP="00B63976">
      <w:pPr>
        <w:pStyle w:val="aa"/>
        <w:numPr>
          <w:ilvl w:val="0"/>
          <w:numId w:val="1"/>
        </w:numPr>
        <w:spacing w:after="0" w:line="360" w:lineRule="auto"/>
        <w:ind w:left="509" w:hanging="567"/>
        <w:jc w:val="both"/>
        <w:rPr>
          <w:rFonts w:ascii="David" w:hAnsi="David" w:cs="David"/>
          <w:sz w:val="24"/>
          <w:szCs w:val="24"/>
        </w:rPr>
      </w:pPr>
      <w:r w:rsidRPr="006D3D04">
        <w:rPr>
          <w:rFonts w:ascii="David" w:hAnsi="David" w:cs="David"/>
          <w:sz w:val="24"/>
          <w:szCs w:val="24"/>
          <w:rtl/>
        </w:rPr>
        <w:t>במקרה</w:t>
      </w:r>
      <w:r>
        <w:rPr>
          <w:rFonts w:ascii="David" w:hAnsi="David" w:cs="David"/>
          <w:sz w:val="24"/>
          <w:szCs w:val="24"/>
          <w:rtl/>
        </w:rPr>
        <w:t xml:space="preserve"> דנן אני סבור נוכח האמור בתסקיר</w:t>
      </w:r>
      <w:r w:rsidRPr="006D3D04">
        <w:rPr>
          <w:rFonts w:ascii="David" w:hAnsi="David" w:cs="David"/>
          <w:sz w:val="24"/>
          <w:szCs w:val="24"/>
          <w:rtl/>
        </w:rPr>
        <w:t xml:space="preserve"> שירות מבחן, כי יש סיכויי ממשי שהנאשם ישתקם כדרישת</w:t>
      </w:r>
      <w:r w:rsidR="001B1BA5">
        <w:rPr>
          <w:rFonts w:ascii="David" w:hAnsi="David" w:cs="David"/>
          <w:sz w:val="24"/>
          <w:szCs w:val="24"/>
          <w:rtl/>
        </w:rPr>
        <w:t xml:space="preserve"> </w:t>
      </w:r>
      <w:hyperlink r:id="rId46" w:history="1">
        <w:r w:rsidR="002134AF" w:rsidRPr="002134AF">
          <w:rPr>
            <w:rStyle w:val="Hyperlink"/>
            <w:rFonts w:ascii="David" w:hAnsi="David" w:cs="David"/>
            <w:sz w:val="24"/>
            <w:szCs w:val="24"/>
            <w:rtl/>
          </w:rPr>
          <w:t>סעיף 40ד'</w:t>
        </w:r>
      </w:hyperlink>
      <w:r w:rsidR="001B1BA5">
        <w:rPr>
          <w:rFonts w:ascii="David" w:hAnsi="David" w:cs="David"/>
          <w:sz w:val="24"/>
          <w:szCs w:val="24"/>
          <w:rtl/>
        </w:rPr>
        <w:t xml:space="preserve"> </w:t>
      </w:r>
      <w:r w:rsidRPr="006D3D04">
        <w:rPr>
          <w:rFonts w:ascii="David" w:hAnsi="David" w:cs="David"/>
          <w:sz w:val="24"/>
          <w:szCs w:val="24"/>
          <w:rtl/>
        </w:rPr>
        <w:t>ל</w:t>
      </w:r>
      <w:hyperlink r:id="rId47" w:history="1">
        <w:r w:rsidR="001B1BA5" w:rsidRPr="001B1BA5">
          <w:rPr>
            <w:rFonts w:ascii="David" w:hAnsi="David" w:cs="David"/>
            <w:color w:val="0000FF"/>
            <w:sz w:val="24"/>
            <w:szCs w:val="24"/>
            <w:u w:val="single"/>
            <w:rtl/>
          </w:rPr>
          <w:t>חוק העונשין</w:t>
        </w:r>
      </w:hyperlink>
      <w:r w:rsidRPr="006D3D04">
        <w:rPr>
          <w:rFonts w:ascii="David" w:hAnsi="David" w:cs="David"/>
          <w:sz w:val="24"/>
          <w:szCs w:val="24"/>
          <w:rtl/>
        </w:rPr>
        <w:t>.</w:t>
      </w:r>
      <w:r w:rsidR="001B1BA5">
        <w:rPr>
          <w:rFonts w:ascii="David" w:hAnsi="David" w:cs="David"/>
          <w:sz w:val="24"/>
          <w:szCs w:val="24"/>
          <w:rtl/>
        </w:rPr>
        <w:t xml:space="preserve"> </w:t>
      </w:r>
      <w:r w:rsidRPr="006D3D04">
        <w:rPr>
          <w:rFonts w:ascii="David" w:hAnsi="David" w:cs="David"/>
          <w:sz w:val="24"/>
          <w:szCs w:val="24"/>
          <w:rtl/>
        </w:rPr>
        <w:t>מהתסק</w:t>
      </w:r>
      <w:r>
        <w:rPr>
          <w:rFonts w:ascii="David" w:hAnsi="David" w:cs="David"/>
          <w:sz w:val="24"/>
          <w:szCs w:val="24"/>
          <w:rtl/>
        </w:rPr>
        <w:t>יר נלמד על קיומו של הליך שיקומי</w:t>
      </w:r>
      <w:r>
        <w:rPr>
          <w:rFonts w:ascii="David" w:hAnsi="David" w:cs="David" w:hint="cs"/>
          <w:sz w:val="24"/>
          <w:szCs w:val="24"/>
          <w:rtl/>
        </w:rPr>
        <w:t xml:space="preserve"> משמעותי </w:t>
      </w:r>
      <w:r w:rsidRPr="006D3D04">
        <w:rPr>
          <w:rFonts w:ascii="David" w:hAnsi="David" w:cs="David"/>
          <w:sz w:val="24"/>
          <w:szCs w:val="24"/>
          <w:rtl/>
        </w:rPr>
        <w:t xml:space="preserve">בעניינו של הנאשם, לרבות שיתוף פעולה מלא מצידו ומוטיבציה להשתלבות בהליך טיפולי. הנאשם קיבל רישיון לשימוש בקנאביס, ובדיקות שתן שבוצעו הצביעו על שימוש בקנאביס בלבד ונשלל שימוש בסמים אחרים. בנוסף, התרשמות שירות המבחן, כי המשך הטיפול עשוי לתרום להפחתת רמת הסיכון להישנות ביצוע עבירות דומות בעתיד. התרשמותו החיובית של שירות המבחן והמלצותיו מצדיקות בעיני הטלת ענישה מקלה, הסוטה לקולה ממתחם הענישה המקובל.  </w:t>
      </w:r>
    </w:p>
    <w:p w14:paraId="59F9CDF1" w14:textId="77777777" w:rsidR="00B63976" w:rsidRPr="006D3D04" w:rsidRDefault="00B63976" w:rsidP="00B63976">
      <w:pPr>
        <w:pStyle w:val="aa"/>
        <w:spacing w:after="0" w:line="360" w:lineRule="auto"/>
        <w:rPr>
          <w:rFonts w:ascii="David" w:hAnsi="David" w:cs="David"/>
          <w:sz w:val="24"/>
          <w:szCs w:val="24"/>
        </w:rPr>
      </w:pPr>
    </w:p>
    <w:p w14:paraId="5F5E825F" w14:textId="77777777" w:rsidR="00B63976" w:rsidRPr="006D3D04" w:rsidRDefault="00B63976" w:rsidP="00B63976">
      <w:pPr>
        <w:shd w:val="clear" w:color="auto" w:fill="FFFFFF"/>
        <w:spacing w:line="360" w:lineRule="auto"/>
        <w:jc w:val="both"/>
        <w:rPr>
          <w:rFonts w:ascii="David" w:hAnsi="David"/>
          <w:b/>
          <w:bCs/>
          <w:u w:val="single"/>
          <w:rtl/>
        </w:rPr>
      </w:pPr>
      <w:r w:rsidRPr="006D3D04">
        <w:rPr>
          <w:rFonts w:ascii="David" w:hAnsi="David"/>
          <w:b/>
          <w:bCs/>
          <w:u w:val="single"/>
          <w:rtl/>
        </w:rPr>
        <w:t>הכרזה על הנאשם כ"סוחר סמים"</w:t>
      </w:r>
    </w:p>
    <w:p w14:paraId="47BC5EF6" w14:textId="77777777" w:rsidR="00B63976" w:rsidRPr="006D3D04" w:rsidRDefault="00B63976" w:rsidP="00B63976">
      <w:pPr>
        <w:pStyle w:val="aa"/>
        <w:numPr>
          <w:ilvl w:val="0"/>
          <w:numId w:val="1"/>
        </w:numPr>
        <w:shd w:val="clear" w:color="auto" w:fill="FFFFFF"/>
        <w:spacing w:after="0" w:line="360" w:lineRule="auto"/>
        <w:ind w:left="509" w:hanging="567"/>
        <w:jc w:val="both"/>
        <w:rPr>
          <w:rFonts w:ascii="David" w:hAnsi="David" w:cs="David"/>
          <w:sz w:val="24"/>
          <w:szCs w:val="24"/>
          <w:rtl/>
        </w:rPr>
      </w:pPr>
      <w:r w:rsidRPr="006D3D04">
        <w:rPr>
          <w:rFonts w:ascii="David" w:hAnsi="David" w:cs="David"/>
          <w:sz w:val="24"/>
          <w:szCs w:val="24"/>
          <w:rtl/>
        </w:rPr>
        <w:t>בכתב האישום בו הודה הנאשם נכללה בקשת התביעה להכריז על הנאשם כ"סוחר סמים</w:t>
      </w:r>
      <w:r w:rsidRPr="006D3D04">
        <w:rPr>
          <w:rFonts w:ascii="David" w:hAnsi="David" w:cs="David"/>
          <w:sz w:val="24"/>
          <w:szCs w:val="24"/>
        </w:rPr>
        <w:t>"</w:t>
      </w:r>
      <w:r w:rsidRPr="006D3D04">
        <w:rPr>
          <w:rFonts w:ascii="David" w:hAnsi="David" w:cs="David"/>
          <w:sz w:val="24"/>
          <w:szCs w:val="24"/>
          <w:rtl/>
        </w:rPr>
        <w:t xml:space="preserve"> בקשה זו שבה והועלתה בשנית בשלב הטיעונים לעונש.</w:t>
      </w:r>
    </w:p>
    <w:p w14:paraId="2093E527" w14:textId="77777777" w:rsidR="00B63976" w:rsidRPr="006D3D04" w:rsidRDefault="00B63976" w:rsidP="00B63976">
      <w:pPr>
        <w:pStyle w:val="aa"/>
        <w:numPr>
          <w:ilvl w:val="0"/>
          <w:numId w:val="1"/>
        </w:numPr>
        <w:shd w:val="clear" w:color="auto" w:fill="FFFFFF"/>
        <w:spacing w:after="0" w:line="360" w:lineRule="auto"/>
        <w:ind w:left="509" w:hanging="567"/>
        <w:jc w:val="both"/>
        <w:rPr>
          <w:rFonts w:ascii="David" w:hAnsi="David" w:cs="David"/>
          <w:sz w:val="24"/>
          <w:szCs w:val="24"/>
        </w:rPr>
      </w:pPr>
      <w:r>
        <w:rPr>
          <w:rFonts w:ascii="David" w:hAnsi="David" w:cs="David" w:hint="cs"/>
          <w:sz w:val="24"/>
          <w:szCs w:val="24"/>
          <w:rtl/>
        </w:rPr>
        <w:t xml:space="preserve">ככלל, </w:t>
      </w:r>
      <w:r w:rsidRPr="006D3D04">
        <w:rPr>
          <w:rFonts w:ascii="David" w:hAnsi="David" w:cs="David"/>
          <w:sz w:val="24"/>
          <w:szCs w:val="24"/>
          <w:rtl/>
        </w:rPr>
        <w:t>הכרזה על אדם 'כסוחר סמים' תעשה בשלב הכרעת הדין</w:t>
      </w:r>
      <w:r>
        <w:rPr>
          <w:rFonts w:ascii="David" w:hAnsi="David" w:cs="David" w:hint="cs"/>
          <w:sz w:val="24"/>
          <w:szCs w:val="24"/>
          <w:rtl/>
        </w:rPr>
        <w:t xml:space="preserve">. עם זאת, משזו מועלית, על בית משפט לבחון אם יש בכך כדי לפגוע בזכויות נאשם. במקרה שלפניי, אין ולא נגרם עיוות דין הכריז על הנאשם כסוחר סמים, </w:t>
      </w:r>
      <w:r w:rsidRPr="006D3D04">
        <w:rPr>
          <w:rFonts w:ascii="David" w:hAnsi="David" w:cs="David"/>
          <w:sz w:val="24"/>
          <w:szCs w:val="24"/>
          <w:rtl/>
        </w:rPr>
        <w:t>ר</w:t>
      </w:r>
      <w:r>
        <w:rPr>
          <w:rFonts w:ascii="David" w:hAnsi="David" w:cs="David" w:hint="cs"/>
          <w:sz w:val="24"/>
          <w:szCs w:val="24"/>
          <w:rtl/>
        </w:rPr>
        <w:t>'</w:t>
      </w:r>
      <w:r w:rsidRPr="006D3D04">
        <w:rPr>
          <w:rFonts w:ascii="David" w:hAnsi="David" w:cs="David"/>
          <w:sz w:val="24"/>
          <w:szCs w:val="24"/>
          <w:rtl/>
        </w:rPr>
        <w:t xml:space="preserve"> בעניין זה </w:t>
      </w:r>
      <w:r>
        <w:rPr>
          <w:rFonts w:ascii="David" w:hAnsi="David" w:cs="David" w:hint="cs"/>
          <w:sz w:val="24"/>
          <w:szCs w:val="24"/>
          <w:rtl/>
        </w:rPr>
        <w:t xml:space="preserve">למשל </w:t>
      </w:r>
      <w:hyperlink r:id="rId48" w:history="1">
        <w:r w:rsidR="001B1BA5" w:rsidRPr="001B1BA5">
          <w:rPr>
            <w:rFonts w:ascii="David" w:hAnsi="David" w:cs="David"/>
            <w:color w:val="0000FF"/>
            <w:sz w:val="24"/>
            <w:szCs w:val="24"/>
            <w:u w:val="single"/>
            <w:rtl/>
          </w:rPr>
          <w:t>ע"פ 170/07</w:t>
        </w:r>
      </w:hyperlink>
      <w:r w:rsidRPr="006D3D04">
        <w:rPr>
          <w:rFonts w:ascii="David" w:hAnsi="David" w:cs="David"/>
          <w:sz w:val="24"/>
          <w:szCs w:val="24"/>
          <w:rtl/>
        </w:rPr>
        <w:t xml:space="preserve"> </w:t>
      </w:r>
      <w:r w:rsidRPr="006D3D04">
        <w:rPr>
          <w:rFonts w:ascii="David" w:hAnsi="David" w:cs="David"/>
          <w:b/>
          <w:bCs/>
          <w:sz w:val="24"/>
          <w:szCs w:val="24"/>
          <w:rtl/>
        </w:rPr>
        <w:t xml:space="preserve">ליאור מטיס נ' מדינת ישראל </w:t>
      </w:r>
      <w:r w:rsidRPr="006D3D04">
        <w:rPr>
          <w:rFonts w:ascii="David" w:hAnsi="David" w:cs="David"/>
          <w:sz w:val="24"/>
          <w:szCs w:val="24"/>
          <w:rtl/>
        </w:rPr>
        <w:t xml:space="preserve">(פורסם בנבו 19.11.07).   </w:t>
      </w:r>
    </w:p>
    <w:p w14:paraId="64CABE37" w14:textId="77777777" w:rsidR="00B63976" w:rsidRPr="006D3D04" w:rsidRDefault="002134AF" w:rsidP="00B63976">
      <w:pPr>
        <w:pStyle w:val="aa"/>
        <w:numPr>
          <w:ilvl w:val="0"/>
          <w:numId w:val="1"/>
        </w:numPr>
        <w:shd w:val="clear" w:color="auto" w:fill="FFFFFF"/>
        <w:spacing w:after="0" w:line="360" w:lineRule="auto"/>
        <w:ind w:left="509" w:hanging="567"/>
        <w:jc w:val="both"/>
        <w:rPr>
          <w:rFonts w:ascii="David" w:hAnsi="David" w:cs="David"/>
          <w:sz w:val="24"/>
          <w:szCs w:val="24"/>
        </w:rPr>
      </w:pPr>
      <w:hyperlink r:id="rId49" w:history="1">
        <w:r w:rsidRPr="002134AF">
          <w:rPr>
            <w:rStyle w:val="Hyperlink"/>
            <w:rFonts w:ascii="David" w:hAnsi="David" w:cs="David"/>
            <w:sz w:val="24"/>
            <w:szCs w:val="24"/>
            <w:rtl/>
          </w:rPr>
          <w:t>סעיף 36א(ב)</w:t>
        </w:r>
      </w:hyperlink>
      <w:r w:rsidR="001B1BA5">
        <w:rPr>
          <w:rFonts w:ascii="David" w:hAnsi="David" w:cs="David"/>
          <w:sz w:val="24"/>
          <w:szCs w:val="24"/>
          <w:rtl/>
        </w:rPr>
        <w:t xml:space="preserve"> </w:t>
      </w:r>
      <w:r w:rsidR="00B63976" w:rsidRPr="006D3D04">
        <w:rPr>
          <w:rFonts w:ascii="David" w:hAnsi="David" w:cs="David"/>
          <w:sz w:val="24"/>
          <w:szCs w:val="24"/>
          <w:rtl/>
        </w:rPr>
        <w:t>ל</w:t>
      </w:r>
      <w:hyperlink r:id="rId50" w:history="1">
        <w:r w:rsidR="001B1BA5" w:rsidRPr="001B1BA5">
          <w:rPr>
            <w:rFonts w:ascii="David" w:hAnsi="David" w:cs="David"/>
            <w:color w:val="0000FF"/>
            <w:sz w:val="24"/>
            <w:szCs w:val="24"/>
            <w:u w:val="single"/>
            <w:rtl/>
          </w:rPr>
          <w:t>פקודת הסמים המסוכנים</w:t>
        </w:r>
      </w:hyperlink>
      <w:r w:rsidR="001B1BA5">
        <w:rPr>
          <w:rFonts w:ascii="David" w:hAnsi="David" w:cs="David"/>
          <w:sz w:val="24"/>
          <w:szCs w:val="24"/>
          <w:rtl/>
        </w:rPr>
        <w:t xml:space="preserve"> </w:t>
      </w:r>
      <w:r w:rsidR="00B63976" w:rsidRPr="006D3D04">
        <w:rPr>
          <w:rFonts w:ascii="David" w:hAnsi="David" w:cs="David"/>
          <w:sz w:val="24"/>
          <w:szCs w:val="24"/>
          <w:rtl/>
        </w:rPr>
        <w:t xml:space="preserve">קובע שני תנאים מצטברים להכרזת סוחר סמים. תנאי אחד הוא שמדובר בעבירה של עסקת סמים והתנאי השני הוא כי הנאשם הפיק רווח מעבירה של עסקת סמים או שהיה אמור להפיק רווח מהעבירה. </w:t>
      </w:r>
    </w:p>
    <w:p w14:paraId="50F034E6" w14:textId="77777777" w:rsidR="00B63976" w:rsidRPr="006D3D04" w:rsidRDefault="00B63976" w:rsidP="00B63976">
      <w:pPr>
        <w:pStyle w:val="aa"/>
        <w:numPr>
          <w:ilvl w:val="0"/>
          <w:numId w:val="1"/>
        </w:numPr>
        <w:shd w:val="clear" w:color="auto" w:fill="FFFFFF"/>
        <w:spacing w:after="0" w:line="360" w:lineRule="auto"/>
        <w:ind w:left="509" w:hanging="567"/>
        <w:jc w:val="both"/>
        <w:rPr>
          <w:rFonts w:ascii="David" w:hAnsi="David" w:cs="David"/>
          <w:sz w:val="24"/>
          <w:szCs w:val="24"/>
        </w:rPr>
      </w:pPr>
      <w:r w:rsidRPr="006D3D04">
        <w:rPr>
          <w:rFonts w:ascii="David" w:hAnsi="David" w:cs="David"/>
          <w:sz w:val="24"/>
          <w:szCs w:val="24"/>
          <w:rtl/>
        </w:rPr>
        <w:t xml:space="preserve">נוכח כמות הסמים המשמעותית והכספים שנמצאו בחזקתו של הנאשם ובהיעדר הסבר מצידו של הנאשם  קמה ועולה חזקה שמקורה בשכל הישר ובניסיון החיים כי החזקת הסמים נעשתה לצורך הפקת רווחים. הנאשם לא סתר חזקה זו ואף לא העלאה כל טענה אחרת לעניין מידת ההוכחה הנדרשת. </w:t>
      </w:r>
    </w:p>
    <w:p w14:paraId="2A2A2B21" w14:textId="77777777" w:rsidR="00B63976" w:rsidRPr="006D3D04" w:rsidRDefault="00B63976" w:rsidP="00B63976">
      <w:pPr>
        <w:pStyle w:val="aa"/>
        <w:numPr>
          <w:ilvl w:val="0"/>
          <w:numId w:val="1"/>
        </w:numPr>
        <w:shd w:val="clear" w:color="auto" w:fill="FFFFFF"/>
        <w:spacing w:after="0" w:line="360" w:lineRule="auto"/>
        <w:ind w:left="509" w:hanging="567"/>
        <w:jc w:val="both"/>
        <w:rPr>
          <w:rFonts w:ascii="David" w:hAnsi="David" w:cs="David"/>
          <w:sz w:val="24"/>
          <w:szCs w:val="24"/>
        </w:rPr>
      </w:pPr>
      <w:r w:rsidRPr="006D3D04">
        <w:rPr>
          <w:rFonts w:ascii="David" w:hAnsi="David" w:cs="David"/>
          <w:sz w:val="24"/>
          <w:szCs w:val="24"/>
          <w:rtl/>
        </w:rPr>
        <w:t>בנסיבות אלו אני מכריז על הנאשם "</w:t>
      </w:r>
      <w:r w:rsidRPr="006D3D04">
        <w:rPr>
          <w:rFonts w:ascii="David" w:hAnsi="David" w:cs="David"/>
          <w:b/>
          <w:bCs/>
          <w:sz w:val="24"/>
          <w:szCs w:val="24"/>
          <w:rtl/>
        </w:rPr>
        <w:t>כסוחר סמים</w:t>
      </w:r>
      <w:r w:rsidRPr="006D3D04">
        <w:rPr>
          <w:rFonts w:ascii="David" w:hAnsi="David" w:cs="David"/>
          <w:sz w:val="24"/>
          <w:szCs w:val="24"/>
          <w:rtl/>
        </w:rPr>
        <w:t xml:space="preserve">" על פי העילה המנויה </w:t>
      </w:r>
      <w:hyperlink r:id="rId51" w:history="1">
        <w:r w:rsidR="002134AF" w:rsidRPr="002134AF">
          <w:rPr>
            <w:rStyle w:val="Hyperlink"/>
            <w:rFonts w:ascii="David" w:hAnsi="David" w:cs="David"/>
            <w:sz w:val="24"/>
            <w:szCs w:val="24"/>
            <w:rtl/>
          </w:rPr>
          <w:t>בסעיף 36א(ב)</w:t>
        </w:r>
      </w:hyperlink>
      <w:r w:rsidR="001B1BA5">
        <w:rPr>
          <w:rFonts w:ascii="David" w:hAnsi="David" w:cs="David"/>
          <w:sz w:val="24"/>
          <w:szCs w:val="24"/>
        </w:rPr>
        <w:t xml:space="preserve"> </w:t>
      </w:r>
      <w:r w:rsidRPr="006D3D04">
        <w:rPr>
          <w:rFonts w:ascii="David" w:hAnsi="David" w:cs="David"/>
          <w:sz w:val="24"/>
          <w:szCs w:val="24"/>
          <w:rtl/>
        </w:rPr>
        <w:t>ל</w:t>
      </w:r>
      <w:hyperlink r:id="rId52" w:history="1">
        <w:r w:rsidR="001B1BA5" w:rsidRPr="001B1BA5">
          <w:rPr>
            <w:rFonts w:ascii="David" w:hAnsi="David" w:cs="David"/>
            <w:color w:val="0000FF"/>
            <w:sz w:val="24"/>
            <w:szCs w:val="24"/>
            <w:u w:val="single"/>
            <w:rtl/>
          </w:rPr>
          <w:t>פקודת הסמים המסוכנים</w:t>
        </w:r>
      </w:hyperlink>
      <w:r w:rsidRPr="006D3D04">
        <w:rPr>
          <w:rFonts w:ascii="David" w:hAnsi="David" w:cs="David"/>
          <w:sz w:val="24"/>
          <w:szCs w:val="24"/>
          <w:rtl/>
        </w:rPr>
        <w:t xml:space="preserve"> [נוסח חדש], תשל"ג-1973.</w:t>
      </w:r>
    </w:p>
    <w:p w14:paraId="2EC56715" w14:textId="77777777" w:rsidR="00B63976" w:rsidRPr="006D3D04" w:rsidRDefault="00B63976" w:rsidP="00B63976">
      <w:pPr>
        <w:spacing w:line="360" w:lineRule="auto"/>
        <w:jc w:val="both"/>
        <w:rPr>
          <w:rFonts w:ascii="David" w:hAnsi="David"/>
          <w:b/>
          <w:bCs/>
          <w:u w:val="single"/>
        </w:rPr>
      </w:pPr>
    </w:p>
    <w:p w14:paraId="66105F27" w14:textId="77777777" w:rsidR="00B63976" w:rsidRPr="006D3D04" w:rsidRDefault="00B63976" w:rsidP="00B63976">
      <w:pPr>
        <w:spacing w:line="360" w:lineRule="auto"/>
        <w:jc w:val="both"/>
        <w:rPr>
          <w:rFonts w:ascii="David" w:hAnsi="David"/>
          <w:b/>
          <w:bCs/>
          <w:u w:val="single"/>
          <w:rtl/>
        </w:rPr>
      </w:pPr>
      <w:r w:rsidRPr="006D3D04">
        <w:rPr>
          <w:rFonts w:ascii="David" w:hAnsi="David"/>
          <w:b/>
          <w:bCs/>
          <w:u w:val="single"/>
          <w:rtl/>
        </w:rPr>
        <w:t xml:space="preserve">העונש ההולם </w:t>
      </w:r>
    </w:p>
    <w:p w14:paraId="1D1F42CC" w14:textId="77777777" w:rsidR="00B63976" w:rsidRPr="006D3D04" w:rsidRDefault="00B63976" w:rsidP="00B63976">
      <w:pPr>
        <w:pStyle w:val="aa"/>
        <w:numPr>
          <w:ilvl w:val="0"/>
          <w:numId w:val="1"/>
        </w:numPr>
        <w:spacing w:after="0" w:line="360" w:lineRule="auto"/>
        <w:ind w:left="509" w:hanging="567"/>
        <w:jc w:val="both"/>
        <w:rPr>
          <w:rFonts w:ascii="David" w:hAnsi="David" w:cs="David"/>
          <w:color w:val="000000"/>
          <w:sz w:val="24"/>
          <w:szCs w:val="24"/>
          <w:rtl/>
        </w:rPr>
      </w:pPr>
      <w:r w:rsidRPr="006D3D04">
        <w:rPr>
          <w:rFonts w:ascii="David" w:hAnsi="David" w:cs="David"/>
          <w:color w:val="000000"/>
          <w:sz w:val="24"/>
          <w:szCs w:val="24"/>
          <w:rtl/>
        </w:rPr>
        <w:t xml:space="preserve">בגזירת העונש המתאים לנאשם, יש להתחשב בנסיבות שאינן קשורות בביצוע העבירה, לפי </w:t>
      </w:r>
      <w:hyperlink r:id="rId53" w:history="1">
        <w:r w:rsidR="002134AF" w:rsidRPr="002134AF">
          <w:rPr>
            <w:rStyle w:val="Hyperlink"/>
            <w:rFonts w:ascii="David" w:hAnsi="David" w:cs="David"/>
            <w:sz w:val="24"/>
            <w:szCs w:val="24"/>
            <w:rtl/>
          </w:rPr>
          <w:t>סעיף 40 י"א</w:t>
        </w:r>
      </w:hyperlink>
      <w:r w:rsidRPr="006D3D04">
        <w:rPr>
          <w:rFonts w:ascii="David" w:hAnsi="David" w:cs="David"/>
          <w:color w:val="000000"/>
          <w:sz w:val="24"/>
          <w:szCs w:val="24"/>
          <w:rtl/>
        </w:rPr>
        <w:t xml:space="preserve"> ל</w:t>
      </w:r>
      <w:hyperlink r:id="rId54" w:history="1">
        <w:r w:rsidR="001B1BA5" w:rsidRPr="001B1BA5">
          <w:rPr>
            <w:rFonts w:ascii="David" w:hAnsi="David" w:cs="David"/>
            <w:color w:val="0000FF"/>
            <w:sz w:val="24"/>
            <w:szCs w:val="24"/>
            <w:u w:val="single"/>
            <w:rtl/>
          </w:rPr>
          <w:t>חוק העונשין</w:t>
        </w:r>
      </w:hyperlink>
      <w:r w:rsidRPr="006D3D04">
        <w:rPr>
          <w:rFonts w:ascii="David" w:hAnsi="David" w:cs="David"/>
          <w:color w:val="000000"/>
          <w:sz w:val="24"/>
          <w:szCs w:val="24"/>
          <w:rtl/>
        </w:rPr>
        <w:t xml:space="preserve">. </w:t>
      </w:r>
    </w:p>
    <w:p w14:paraId="5352479A" w14:textId="77777777" w:rsidR="00B63976" w:rsidRPr="006D3D04" w:rsidRDefault="00B63976" w:rsidP="00B63976">
      <w:pPr>
        <w:pStyle w:val="aa"/>
        <w:numPr>
          <w:ilvl w:val="0"/>
          <w:numId w:val="1"/>
        </w:numPr>
        <w:spacing w:after="0" w:line="360" w:lineRule="auto"/>
        <w:ind w:left="509" w:hanging="567"/>
        <w:jc w:val="both"/>
        <w:rPr>
          <w:rFonts w:ascii="David" w:hAnsi="David" w:cs="David"/>
          <w:color w:val="000000"/>
          <w:sz w:val="24"/>
          <w:szCs w:val="24"/>
        </w:rPr>
      </w:pPr>
      <w:r w:rsidRPr="006D3D04">
        <w:rPr>
          <w:rFonts w:ascii="David" w:hAnsi="David" w:cs="David"/>
          <w:sz w:val="24"/>
          <w:szCs w:val="24"/>
          <w:rtl/>
        </w:rPr>
        <w:t>במסגרת השיקולים לקולא, נתתי דעתי לגילו של הנאשם, ולכך שהודה, הביע חרטה, קיבל אחריות על מעשיו וחסך בזמן שיפוטי. כמו כן, הבאתי בחשבון כי הנאשם נעדר עבר פלילי והתסקיר שהוגש בעניינו חיובי וממלי</w:t>
      </w:r>
      <w:r>
        <w:rPr>
          <w:rFonts w:ascii="David" w:hAnsi="David" w:cs="David" w:hint="cs"/>
          <w:sz w:val="24"/>
          <w:szCs w:val="24"/>
          <w:rtl/>
        </w:rPr>
        <w:t>ץ</w:t>
      </w:r>
      <w:r w:rsidRPr="006D3D04">
        <w:rPr>
          <w:rFonts w:ascii="David" w:hAnsi="David" w:cs="David"/>
          <w:sz w:val="24"/>
          <w:szCs w:val="24"/>
          <w:rtl/>
        </w:rPr>
        <w:t xml:space="preserve"> על נקיטת גישה שיקומית. </w:t>
      </w:r>
    </w:p>
    <w:p w14:paraId="1691C154" w14:textId="77777777" w:rsidR="00B63976" w:rsidRPr="006D3D04" w:rsidRDefault="00B63976" w:rsidP="00B63976">
      <w:pPr>
        <w:pStyle w:val="aa"/>
        <w:numPr>
          <w:ilvl w:val="0"/>
          <w:numId w:val="1"/>
        </w:numPr>
        <w:spacing w:after="0" w:line="360" w:lineRule="auto"/>
        <w:ind w:left="509" w:hanging="567"/>
        <w:jc w:val="both"/>
        <w:rPr>
          <w:rFonts w:ascii="David" w:hAnsi="David" w:cs="David"/>
          <w:color w:val="000000"/>
          <w:sz w:val="24"/>
          <w:szCs w:val="24"/>
          <w:rtl/>
        </w:rPr>
      </w:pPr>
      <w:r w:rsidRPr="006D3D04">
        <w:rPr>
          <w:rFonts w:ascii="David" w:hAnsi="David" w:cs="David"/>
          <w:color w:val="000000"/>
          <w:sz w:val="24"/>
          <w:szCs w:val="24"/>
          <w:rtl/>
        </w:rPr>
        <w:t xml:space="preserve">לקחתי בחשבון את נזקיו של הנאשם ואת הקשיים הנפשיים, הרגשיים והתפקודיים שחווה בזמן שירותו הצבאי ולאחריו ונתתי דעתי לעובדה כי כיום נזקק לטיפול נפשי תומך לרבות באמצעות שימוש בקנביס רפואי ברישיון.     </w:t>
      </w:r>
    </w:p>
    <w:p w14:paraId="70B279F2" w14:textId="77777777" w:rsidR="00B63976" w:rsidRPr="0011712E" w:rsidRDefault="00B63976" w:rsidP="00B63976">
      <w:pPr>
        <w:pStyle w:val="aa"/>
        <w:numPr>
          <w:ilvl w:val="0"/>
          <w:numId w:val="1"/>
        </w:numPr>
        <w:shd w:val="clear" w:color="auto" w:fill="FFFFFF"/>
        <w:spacing w:after="0" w:line="360" w:lineRule="auto"/>
        <w:ind w:left="509" w:hanging="567"/>
        <w:jc w:val="both"/>
        <w:rPr>
          <w:rFonts w:ascii="David" w:hAnsi="David" w:cs="David"/>
          <w:b/>
          <w:bCs/>
          <w:sz w:val="24"/>
          <w:szCs w:val="24"/>
          <w:u w:val="single"/>
        </w:rPr>
      </w:pPr>
      <w:r w:rsidRPr="0011712E">
        <w:rPr>
          <w:rFonts w:ascii="David" w:hAnsi="David" w:cs="David"/>
          <w:color w:val="000000"/>
          <w:sz w:val="24"/>
          <w:szCs w:val="24"/>
          <w:rtl/>
        </w:rPr>
        <w:t xml:space="preserve">מנגד, כנסיבות לחומרה, </w:t>
      </w:r>
      <w:r w:rsidRPr="0011712E">
        <w:rPr>
          <w:rFonts w:ascii="David" w:hAnsi="David" w:cs="David"/>
          <w:sz w:val="24"/>
          <w:szCs w:val="24"/>
          <w:rtl/>
        </w:rPr>
        <w:t xml:space="preserve">שקלתי את הצורך להבטיח את האינטרס הציבורי והגנה מנזקי עבירות הסמים וכן את הצורך בהרתעת הנאשם והרתעת הרבים וזאת </w:t>
      </w:r>
      <w:r w:rsidRPr="0011712E">
        <w:rPr>
          <w:rFonts w:ascii="David" w:hAnsi="David" w:cs="David"/>
          <w:color w:val="000000"/>
          <w:sz w:val="24"/>
          <w:szCs w:val="24"/>
          <w:rtl/>
        </w:rPr>
        <w:t xml:space="preserve">מבלי להקל ראש בחומרת העבירות בהן הורשע הנאשם ומהצורך </w:t>
      </w:r>
      <w:r w:rsidRPr="0011712E">
        <w:rPr>
          <w:rFonts w:ascii="David" w:hAnsi="David" w:cs="David" w:hint="cs"/>
          <w:color w:val="000000"/>
          <w:sz w:val="24"/>
          <w:szCs w:val="24"/>
          <w:rtl/>
        </w:rPr>
        <w:t xml:space="preserve">להילחם בעבירות הסמים ולמגרם. </w:t>
      </w:r>
    </w:p>
    <w:p w14:paraId="09FD2F3B" w14:textId="77777777" w:rsidR="00B63976" w:rsidRDefault="00B63976" w:rsidP="00B63976">
      <w:pPr>
        <w:shd w:val="clear" w:color="auto" w:fill="FFFFFF"/>
        <w:spacing w:line="360" w:lineRule="auto"/>
        <w:ind w:left="-58"/>
        <w:jc w:val="both"/>
        <w:rPr>
          <w:rFonts w:ascii="David" w:hAnsi="David"/>
          <w:b/>
          <w:bCs/>
          <w:u w:val="single"/>
          <w:rtl/>
        </w:rPr>
      </w:pPr>
    </w:p>
    <w:p w14:paraId="510996B7" w14:textId="77777777" w:rsidR="00B63976" w:rsidRPr="006D3D04" w:rsidRDefault="00B63976" w:rsidP="00B63976">
      <w:pPr>
        <w:pStyle w:val="listparagraph"/>
        <w:shd w:val="clear" w:color="auto" w:fill="FFFFFF"/>
        <w:spacing w:after="0" w:line="360" w:lineRule="auto"/>
        <w:ind w:left="509" w:hanging="567"/>
        <w:jc w:val="both"/>
        <w:rPr>
          <w:rFonts w:ascii="David" w:hAnsi="David" w:cs="David"/>
          <w:b/>
          <w:bCs/>
          <w:sz w:val="24"/>
          <w:szCs w:val="24"/>
          <w:u w:val="single"/>
          <w:rtl/>
        </w:rPr>
      </w:pPr>
      <w:r w:rsidRPr="006D3D04">
        <w:rPr>
          <w:rFonts w:ascii="David" w:hAnsi="David" w:cs="David"/>
          <w:b/>
          <w:bCs/>
          <w:sz w:val="24"/>
          <w:szCs w:val="24"/>
          <w:u w:val="single"/>
          <w:rtl/>
        </w:rPr>
        <w:t>סוף דבר</w:t>
      </w:r>
    </w:p>
    <w:p w14:paraId="77E7D1BB" w14:textId="77777777" w:rsidR="00B63976" w:rsidRDefault="00B63976" w:rsidP="00B63976">
      <w:pPr>
        <w:pStyle w:val="aa"/>
        <w:numPr>
          <w:ilvl w:val="0"/>
          <w:numId w:val="1"/>
        </w:numPr>
        <w:shd w:val="clear" w:color="auto" w:fill="FFFFFF"/>
        <w:spacing w:after="0" w:line="360" w:lineRule="auto"/>
        <w:ind w:left="509" w:hanging="567"/>
        <w:jc w:val="both"/>
        <w:rPr>
          <w:rFonts w:ascii="David" w:hAnsi="David" w:cs="David"/>
          <w:b/>
          <w:bCs/>
          <w:sz w:val="24"/>
          <w:szCs w:val="24"/>
          <w:u w:val="single"/>
        </w:rPr>
      </w:pPr>
      <w:r w:rsidRPr="0011712E">
        <w:rPr>
          <w:rFonts w:ascii="David" w:hAnsi="David" w:cs="David"/>
          <w:sz w:val="24"/>
          <w:szCs w:val="24"/>
          <w:rtl/>
        </w:rPr>
        <w:t>אשר על כן, אני גוזר על הנאשם את העונשים הבאים:</w:t>
      </w:r>
    </w:p>
    <w:p w14:paraId="1365D851" w14:textId="77777777" w:rsidR="00B63976" w:rsidRPr="006D3D04" w:rsidRDefault="00B63976" w:rsidP="00B63976">
      <w:pPr>
        <w:pStyle w:val="aa"/>
        <w:numPr>
          <w:ilvl w:val="0"/>
          <w:numId w:val="4"/>
        </w:numPr>
        <w:shd w:val="clear" w:color="auto" w:fill="FFFFFF"/>
        <w:spacing w:after="0" w:line="360" w:lineRule="auto"/>
        <w:ind w:left="509" w:hanging="567"/>
        <w:jc w:val="both"/>
        <w:rPr>
          <w:rFonts w:ascii="David" w:hAnsi="David" w:cs="David"/>
          <w:sz w:val="24"/>
          <w:szCs w:val="24"/>
        </w:rPr>
      </w:pPr>
      <w:r>
        <w:rPr>
          <w:rFonts w:ascii="David" w:hAnsi="David" w:cs="David" w:hint="cs"/>
          <w:color w:val="000000"/>
          <w:sz w:val="24"/>
          <w:szCs w:val="24"/>
          <w:rtl/>
        </w:rPr>
        <w:t>8</w:t>
      </w:r>
      <w:r w:rsidRPr="006D3D04">
        <w:rPr>
          <w:rFonts w:ascii="David" w:hAnsi="David" w:cs="David"/>
          <w:color w:val="000000"/>
          <w:sz w:val="24"/>
          <w:szCs w:val="24"/>
          <w:rtl/>
        </w:rPr>
        <w:t xml:space="preserve"> חודשי מאסר לריצוי בעבודות שירות בהתאם לחוות דעת ממונה מיום 26.06.22 </w:t>
      </w:r>
      <w:r>
        <w:rPr>
          <w:rFonts w:ascii="David" w:hAnsi="David" w:cs="David" w:hint="cs"/>
          <w:color w:val="000000"/>
          <w:sz w:val="24"/>
          <w:szCs w:val="24"/>
          <w:rtl/>
        </w:rPr>
        <w:t xml:space="preserve">שיבוצעו </w:t>
      </w:r>
      <w:r w:rsidRPr="006D3D04">
        <w:rPr>
          <w:rFonts w:ascii="David" w:hAnsi="David" w:cs="David"/>
          <w:color w:val="000000"/>
          <w:sz w:val="24"/>
          <w:szCs w:val="24"/>
          <w:rtl/>
        </w:rPr>
        <w:t>ב</w:t>
      </w:r>
      <w:r>
        <w:rPr>
          <w:rFonts w:ascii="David" w:hAnsi="David" w:cs="David" w:hint="cs"/>
          <w:color w:val="000000"/>
          <w:sz w:val="24"/>
          <w:szCs w:val="24"/>
          <w:rtl/>
        </w:rPr>
        <w:t>"</w:t>
      </w:r>
      <w:r w:rsidRPr="006D3D04">
        <w:rPr>
          <w:rFonts w:ascii="David" w:hAnsi="David" w:cs="David"/>
          <w:color w:val="000000"/>
          <w:sz w:val="24"/>
          <w:szCs w:val="24"/>
          <w:rtl/>
        </w:rPr>
        <w:t>משקם</w:t>
      </w:r>
      <w:r>
        <w:rPr>
          <w:rFonts w:ascii="David" w:hAnsi="David" w:cs="David" w:hint="cs"/>
          <w:color w:val="000000"/>
          <w:sz w:val="24"/>
          <w:szCs w:val="24"/>
          <w:rtl/>
        </w:rPr>
        <w:t>"</w:t>
      </w:r>
      <w:r w:rsidRPr="006D3D04">
        <w:rPr>
          <w:rFonts w:ascii="David" w:hAnsi="David" w:cs="David"/>
          <w:color w:val="000000"/>
          <w:sz w:val="24"/>
          <w:szCs w:val="24"/>
          <w:rtl/>
        </w:rPr>
        <w:t xml:space="preserve"> נס ציונה. הנאשם יתייצב לריצוי עבודות השירות ביום 18.10.22 עד השעה 8:00 במפקדת הממונה על עבודות שירות ברמלה. הנאשם מוזהר כי במידה ולא יבצע עבודות השירות כנדרש או לא ימלא אחר הוראות הממונה רשאי הממונה להורות על ריצוי יתרת העונש </w:t>
      </w:r>
      <w:r>
        <w:rPr>
          <w:rFonts w:ascii="David" w:hAnsi="David" w:cs="David" w:hint="cs"/>
          <w:color w:val="000000"/>
          <w:sz w:val="24"/>
          <w:szCs w:val="24"/>
          <w:rtl/>
        </w:rPr>
        <w:t xml:space="preserve">בדרך של </w:t>
      </w:r>
      <w:r w:rsidRPr="006D3D04">
        <w:rPr>
          <w:rFonts w:ascii="David" w:hAnsi="David" w:cs="David"/>
          <w:color w:val="000000"/>
          <w:sz w:val="24"/>
          <w:szCs w:val="24"/>
          <w:rtl/>
        </w:rPr>
        <w:t xml:space="preserve">במאסר בפועל. </w:t>
      </w:r>
    </w:p>
    <w:p w14:paraId="452845C3" w14:textId="77777777" w:rsidR="00B63976" w:rsidRPr="006D3D04" w:rsidRDefault="001B1BA5" w:rsidP="00B63976">
      <w:pPr>
        <w:pStyle w:val="aa"/>
        <w:numPr>
          <w:ilvl w:val="0"/>
          <w:numId w:val="4"/>
        </w:numPr>
        <w:shd w:val="clear" w:color="auto" w:fill="FFFFFF"/>
        <w:spacing w:after="0" w:line="360" w:lineRule="auto"/>
        <w:ind w:left="509" w:hanging="567"/>
        <w:jc w:val="both"/>
        <w:rPr>
          <w:rFonts w:ascii="David" w:hAnsi="David" w:cs="David"/>
          <w:sz w:val="24"/>
          <w:szCs w:val="24"/>
        </w:rPr>
      </w:pPr>
      <w:bookmarkStart w:id="8" w:name="Nitan"/>
      <w:r>
        <w:rPr>
          <w:rFonts w:ascii="David" w:hAnsi="David" w:cs="David"/>
          <w:sz w:val="24"/>
          <w:szCs w:val="24"/>
          <w:rtl/>
        </w:rPr>
        <w:t xml:space="preserve">מאסר מותנה בן 8 חודשים למשך 3 שנים מהיום לבל יעבור כל עבירה בה הורשע.  </w:t>
      </w:r>
      <w:bookmarkEnd w:id="8"/>
      <w:r w:rsidR="00B63976">
        <w:rPr>
          <w:rFonts w:ascii="David" w:hAnsi="David" w:cs="David" w:hint="cs"/>
          <w:color w:val="000000"/>
          <w:sz w:val="24"/>
          <w:szCs w:val="24"/>
          <w:rtl/>
        </w:rPr>
        <w:t>נ</w:t>
      </w:r>
      <w:r w:rsidR="00B63976" w:rsidRPr="006D3D04">
        <w:rPr>
          <w:rFonts w:ascii="David" w:hAnsi="David" w:cs="David"/>
          <w:color w:val="000000"/>
          <w:sz w:val="24"/>
          <w:szCs w:val="24"/>
          <w:rtl/>
        </w:rPr>
        <w:t>וכח הכרזתו של הנאשם "סוחר סמים", אני מורה על חילוט 30,000 ₪ שנתפסו בחזקתו</w:t>
      </w:r>
      <w:r>
        <w:rPr>
          <w:rFonts w:ascii="David" w:hAnsi="David" w:cs="David"/>
          <w:color w:val="000000"/>
          <w:sz w:val="24"/>
          <w:szCs w:val="24"/>
          <w:rtl/>
        </w:rPr>
        <w:t xml:space="preserve"> </w:t>
      </w:r>
      <w:r w:rsidR="00B63976" w:rsidRPr="006D3D04">
        <w:rPr>
          <w:rFonts w:ascii="David" w:hAnsi="David" w:cs="David"/>
          <w:color w:val="000000"/>
          <w:sz w:val="24"/>
          <w:szCs w:val="24"/>
          <w:rtl/>
        </w:rPr>
        <w:t xml:space="preserve">לטובת אוצר המדינה. </w:t>
      </w:r>
    </w:p>
    <w:p w14:paraId="3509155E" w14:textId="77777777" w:rsidR="00B63976" w:rsidRPr="006D3D04" w:rsidRDefault="00B63976" w:rsidP="00B63976">
      <w:pPr>
        <w:pStyle w:val="aa"/>
        <w:numPr>
          <w:ilvl w:val="0"/>
          <w:numId w:val="4"/>
        </w:numPr>
        <w:spacing w:after="0" w:line="360" w:lineRule="auto"/>
        <w:ind w:left="509" w:hanging="567"/>
        <w:jc w:val="both"/>
        <w:rPr>
          <w:rFonts w:ascii="David" w:hAnsi="David" w:cs="David"/>
          <w:sz w:val="24"/>
          <w:szCs w:val="24"/>
        </w:rPr>
      </w:pPr>
      <w:r w:rsidRPr="006D3D04">
        <w:rPr>
          <w:rFonts w:ascii="David" w:hAnsi="David" w:cs="David"/>
          <w:sz w:val="24"/>
          <w:szCs w:val="24"/>
          <w:rtl/>
        </w:rPr>
        <w:t>קנס בסך 7,000 ₪ או 70 ימי מאסר תמורתו. הקנס ישולם ב-7 תשלומים שווים ורצופים</w:t>
      </w:r>
    </w:p>
    <w:p w14:paraId="38859496" w14:textId="77777777" w:rsidR="00B63976" w:rsidRPr="0011712E" w:rsidRDefault="00B63976" w:rsidP="00B63976">
      <w:pPr>
        <w:pStyle w:val="aa"/>
        <w:spacing w:after="0" w:line="360" w:lineRule="auto"/>
        <w:ind w:left="509"/>
        <w:jc w:val="both"/>
        <w:rPr>
          <w:rFonts w:ascii="David" w:hAnsi="David" w:cs="David"/>
          <w:sz w:val="24"/>
          <w:szCs w:val="24"/>
        </w:rPr>
      </w:pPr>
      <w:r w:rsidRPr="006D3D04">
        <w:rPr>
          <w:rFonts w:ascii="David" w:hAnsi="David" w:cs="David"/>
          <w:sz w:val="24"/>
          <w:szCs w:val="24"/>
          <w:rtl/>
        </w:rPr>
        <w:t xml:space="preserve">החל מיום 01.10.22, וכל ראשון לחודש העוקב. לא ישולם תשלום במועדו, יעמוד כל הקנס </w:t>
      </w:r>
      <w:r w:rsidR="001B1BA5">
        <w:rPr>
          <w:rFonts w:ascii="David" w:hAnsi="David" w:cs="David"/>
          <w:sz w:val="24"/>
          <w:szCs w:val="24"/>
          <w:rtl/>
        </w:rPr>
        <w:t xml:space="preserve">לפירעון מיידי ויישא הפרשי ריבית והצמדה החל מהיום. הקנס יועבר למרכז לגביית קנסות, </w:t>
      </w:r>
      <w:r w:rsidRPr="0011712E">
        <w:rPr>
          <w:rFonts w:ascii="David" w:hAnsi="David" w:cs="David"/>
          <w:sz w:val="24"/>
          <w:szCs w:val="24"/>
          <w:rtl/>
        </w:rPr>
        <w:t xml:space="preserve">אגרות והוצאות ברשות האכיפה והגבייה, וניתן יהיה לשלמו בתוך 3 ימים מיום גזר הדין באחת הדרכים המפורטות באתר המרכז. </w:t>
      </w:r>
    </w:p>
    <w:p w14:paraId="77A2055F" w14:textId="77777777" w:rsidR="00B63976" w:rsidRPr="006D3D04" w:rsidRDefault="001B1BA5" w:rsidP="00B63976">
      <w:pPr>
        <w:pStyle w:val="aa"/>
        <w:numPr>
          <w:ilvl w:val="0"/>
          <w:numId w:val="4"/>
        </w:numPr>
        <w:spacing w:after="0" w:line="360" w:lineRule="auto"/>
        <w:ind w:left="509" w:hanging="567"/>
        <w:jc w:val="both"/>
        <w:rPr>
          <w:rFonts w:ascii="David" w:hAnsi="David" w:cs="David"/>
          <w:sz w:val="24"/>
          <w:szCs w:val="24"/>
          <w:rtl/>
        </w:rPr>
      </w:pPr>
      <w:r>
        <w:rPr>
          <w:rFonts w:ascii="David" w:hAnsi="David" w:cs="David"/>
          <w:sz w:val="24"/>
          <w:szCs w:val="24"/>
          <w:rtl/>
        </w:rPr>
        <w:t>ניתן בזאת צו מבחן למשך 12 חודשים מהיום, שיבוצע בהתאם ל</w:t>
      </w:r>
      <w:hyperlink r:id="rId55" w:history="1">
        <w:r w:rsidRPr="001B1BA5">
          <w:rPr>
            <w:rFonts w:ascii="David" w:hAnsi="David" w:cs="David"/>
            <w:color w:val="0000FF"/>
            <w:sz w:val="24"/>
            <w:szCs w:val="24"/>
            <w:u w:val="single"/>
            <w:rtl/>
          </w:rPr>
          <w:t>פקודת המבחן</w:t>
        </w:r>
      </w:hyperlink>
      <w:r>
        <w:rPr>
          <w:rFonts w:ascii="David" w:hAnsi="David" w:cs="David"/>
          <w:sz w:val="24"/>
          <w:szCs w:val="24"/>
          <w:rtl/>
        </w:rPr>
        <w:t xml:space="preserve"> (נוסח חדש), </w:t>
      </w:r>
      <w:r w:rsidR="00B63976" w:rsidRPr="006D3D04">
        <w:rPr>
          <w:rFonts w:ascii="David" w:hAnsi="David" w:cs="David"/>
          <w:sz w:val="24"/>
          <w:szCs w:val="24"/>
          <w:rtl/>
        </w:rPr>
        <w:t>תשכ"ט-1969. במסגרת צו המבחן יהיה על הנאשם להיות בקשר רציף עם שירות המבחן ועם הגורמים הטיפוליים, לפי הוראות שירות המבחן</w:t>
      </w:r>
      <w:r w:rsidR="00B63976" w:rsidRPr="006D3D04">
        <w:rPr>
          <w:rFonts w:ascii="David" w:hAnsi="David" w:cs="David"/>
          <w:sz w:val="24"/>
          <w:szCs w:val="24"/>
        </w:rPr>
        <w:t>.</w:t>
      </w:r>
      <w:r w:rsidR="00B63976" w:rsidRPr="006D3D04">
        <w:rPr>
          <w:rFonts w:ascii="David" w:hAnsi="David" w:cs="David"/>
          <w:sz w:val="24"/>
          <w:szCs w:val="24"/>
          <w:rtl/>
        </w:rPr>
        <w:t xml:space="preserve"> הנאשם מוזהר כי במידה ויפר את הצו עלול בית משפט לגזור עונשו מחדש. </w:t>
      </w:r>
    </w:p>
    <w:p w14:paraId="1DB50746" w14:textId="77777777" w:rsidR="00B63976" w:rsidRDefault="00B63976" w:rsidP="00B63976">
      <w:pPr>
        <w:rPr>
          <w:rFonts w:ascii="Arial" w:hAnsi="Arial"/>
          <w:b/>
          <w:bCs/>
          <w:rtl/>
        </w:rPr>
      </w:pPr>
    </w:p>
    <w:p w14:paraId="44E4C259" w14:textId="77777777" w:rsidR="00B63976" w:rsidRDefault="00B63976" w:rsidP="00B63976">
      <w:pPr>
        <w:rPr>
          <w:rFonts w:ascii="Arial" w:hAnsi="Arial"/>
          <w:b/>
          <w:bCs/>
          <w:rtl/>
        </w:rPr>
      </w:pPr>
    </w:p>
    <w:p w14:paraId="1700B9D5" w14:textId="77777777" w:rsidR="00B63976" w:rsidRPr="0011712E" w:rsidRDefault="00B63976" w:rsidP="00B63976">
      <w:pPr>
        <w:rPr>
          <w:rFonts w:ascii="Arial" w:hAnsi="Arial"/>
          <w:rtl/>
        </w:rPr>
      </w:pPr>
      <w:r w:rsidRPr="0011712E">
        <w:rPr>
          <w:rFonts w:ascii="Arial" w:hAnsi="Arial" w:hint="cs"/>
          <w:rtl/>
        </w:rPr>
        <w:t>מזכירות בית המשפט תשלח העתק גזר הדין לשירות המבחן</w:t>
      </w:r>
      <w:r>
        <w:rPr>
          <w:rFonts w:ascii="Arial" w:hAnsi="Arial" w:hint="cs"/>
          <w:rtl/>
        </w:rPr>
        <w:t xml:space="preserve"> ולממונה על עבודות שירות</w:t>
      </w:r>
      <w:r w:rsidRPr="0011712E">
        <w:rPr>
          <w:rFonts w:ascii="Arial" w:hAnsi="Arial" w:hint="cs"/>
          <w:rtl/>
        </w:rPr>
        <w:t xml:space="preserve">. </w:t>
      </w:r>
    </w:p>
    <w:p w14:paraId="11E5F0A1" w14:textId="77777777" w:rsidR="00B63976" w:rsidRPr="001B1BA5" w:rsidRDefault="001B1BA5" w:rsidP="00B63976">
      <w:pPr>
        <w:rPr>
          <w:rFonts w:ascii="Arial" w:hAnsi="Arial"/>
          <w:b/>
          <w:bCs/>
          <w:color w:val="FFFFFF"/>
          <w:sz w:val="2"/>
          <w:szCs w:val="2"/>
          <w:rtl/>
        </w:rPr>
      </w:pPr>
      <w:r w:rsidRPr="001B1BA5">
        <w:rPr>
          <w:rFonts w:ascii="Arial" w:hAnsi="Arial"/>
          <w:b/>
          <w:bCs/>
          <w:color w:val="FFFFFF"/>
          <w:sz w:val="2"/>
          <w:szCs w:val="2"/>
          <w:rtl/>
        </w:rPr>
        <w:t>5129371</w:t>
      </w:r>
    </w:p>
    <w:p w14:paraId="3D4D1892" w14:textId="77777777" w:rsidR="00B63976" w:rsidRPr="006D3D04" w:rsidRDefault="001B1BA5" w:rsidP="00B63976">
      <w:pPr>
        <w:rPr>
          <w:rFonts w:ascii="Arial" w:hAnsi="Arial"/>
          <w:b/>
          <w:bCs/>
          <w:rtl/>
        </w:rPr>
      </w:pPr>
      <w:r w:rsidRPr="001B1BA5">
        <w:rPr>
          <w:rFonts w:ascii="Arial" w:hAnsi="Arial"/>
          <w:b/>
          <w:bCs/>
          <w:color w:val="FFFFFF"/>
          <w:sz w:val="2"/>
          <w:szCs w:val="2"/>
          <w:rtl/>
        </w:rPr>
        <w:t>54678313</w:t>
      </w:r>
      <w:r w:rsidR="00B63976">
        <w:rPr>
          <w:rFonts w:ascii="Arial" w:hAnsi="Arial" w:hint="cs"/>
          <w:b/>
          <w:bCs/>
          <w:rtl/>
        </w:rPr>
        <w:t xml:space="preserve">ניתן צו כללי למוצגים. </w:t>
      </w:r>
    </w:p>
    <w:p w14:paraId="51B468D6" w14:textId="77777777" w:rsidR="00B63976" w:rsidRDefault="00B63976" w:rsidP="00B63976">
      <w:pPr>
        <w:rPr>
          <w:rFonts w:ascii="Arial" w:hAnsi="Arial"/>
          <w:b/>
          <w:bCs/>
          <w:sz w:val="26"/>
          <w:szCs w:val="26"/>
          <w:rtl/>
        </w:rPr>
      </w:pPr>
    </w:p>
    <w:p w14:paraId="1126C4BE" w14:textId="77777777" w:rsidR="00B63976" w:rsidRDefault="00B63976" w:rsidP="00B63976">
      <w:pPr>
        <w:shd w:val="clear" w:color="auto" w:fill="FFFFFF"/>
        <w:spacing w:line="360" w:lineRule="auto"/>
        <w:ind w:left="567" w:hanging="567"/>
        <w:contextualSpacing/>
        <w:jc w:val="both"/>
        <w:rPr>
          <w:rFonts w:ascii="David" w:hAnsi="David"/>
          <w:b/>
          <w:bCs/>
          <w:rtl/>
        </w:rPr>
      </w:pPr>
    </w:p>
    <w:p w14:paraId="17566F30" w14:textId="77777777" w:rsidR="00B63976" w:rsidRDefault="00B63976" w:rsidP="00B63976">
      <w:pPr>
        <w:shd w:val="clear" w:color="auto" w:fill="FFFFFF"/>
        <w:spacing w:line="360" w:lineRule="auto"/>
        <w:ind w:left="567" w:hanging="567"/>
        <w:contextualSpacing/>
        <w:jc w:val="both"/>
        <w:rPr>
          <w:rFonts w:ascii="David" w:hAnsi="David"/>
          <w:b/>
          <w:bCs/>
          <w:rtl/>
        </w:rPr>
      </w:pPr>
      <w:r w:rsidRPr="005479B6">
        <w:rPr>
          <w:rFonts w:ascii="David" w:hAnsi="David"/>
          <w:b/>
          <w:bCs/>
          <w:rtl/>
        </w:rPr>
        <w:t>זכות ערעור כדין תוך 45 ימים.</w:t>
      </w:r>
    </w:p>
    <w:p w14:paraId="69F446D2" w14:textId="77777777" w:rsidR="00B63976" w:rsidRPr="005479B6" w:rsidRDefault="00B63976" w:rsidP="00B63976">
      <w:pPr>
        <w:shd w:val="clear" w:color="auto" w:fill="FFFFFF"/>
        <w:spacing w:line="360" w:lineRule="auto"/>
        <w:ind w:left="567" w:hanging="567"/>
        <w:contextualSpacing/>
        <w:jc w:val="both"/>
        <w:rPr>
          <w:rFonts w:ascii="David" w:hAnsi="David"/>
          <w:b/>
          <w:bCs/>
        </w:rPr>
      </w:pPr>
    </w:p>
    <w:p w14:paraId="5B4DE3F1" w14:textId="77777777" w:rsidR="00683555" w:rsidRPr="001B1BA5" w:rsidRDefault="00683555" w:rsidP="001B1BA5">
      <w:pPr>
        <w:keepNext/>
        <w:rPr>
          <w:rFonts w:ascii="David" w:hAnsi="David"/>
          <w:color w:val="000000"/>
          <w:sz w:val="22"/>
          <w:szCs w:val="22"/>
          <w:rtl/>
        </w:rPr>
      </w:pPr>
    </w:p>
    <w:p w14:paraId="562E85D7" w14:textId="77777777" w:rsidR="001B1BA5" w:rsidRPr="001B1BA5" w:rsidRDefault="001B1BA5" w:rsidP="001B1BA5">
      <w:pPr>
        <w:keepNext/>
        <w:rPr>
          <w:rFonts w:ascii="David" w:hAnsi="David"/>
          <w:color w:val="000000"/>
          <w:sz w:val="22"/>
          <w:szCs w:val="22"/>
          <w:rtl/>
        </w:rPr>
      </w:pPr>
      <w:r w:rsidRPr="001B1BA5">
        <w:rPr>
          <w:rFonts w:ascii="David" w:hAnsi="David"/>
          <w:color w:val="000000"/>
          <w:sz w:val="22"/>
          <w:szCs w:val="22"/>
          <w:rtl/>
        </w:rPr>
        <w:t>ה ארז נוריאלי 54678313</w:t>
      </w:r>
    </w:p>
    <w:p w14:paraId="51D17B85" w14:textId="77777777" w:rsidR="001B1BA5" w:rsidRDefault="001B1BA5" w:rsidP="001B1BA5">
      <w:r w:rsidRPr="001B1BA5">
        <w:rPr>
          <w:color w:val="000000"/>
          <w:rtl/>
        </w:rPr>
        <w:t>נוסח מסמך זה כפוף לשינויי ניסוח ועריכה</w:t>
      </w:r>
    </w:p>
    <w:p w14:paraId="6C7C852A" w14:textId="77777777" w:rsidR="001B1BA5" w:rsidRDefault="001B1BA5" w:rsidP="001B1BA5">
      <w:pPr>
        <w:rPr>
          <w:rtl/>
        </w:rPr>
      </w:pPr>
    </w:p>
    <w:p w14:paraId="000D9306" w14:textId="77777777" w:rsidR="001B1BA5" w:rsidRDefault="001B1BA5" w:rsidP="001B1BA5">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23CDFCE9" w14:textId="77777777" w:rsidR="001B1BA5" w:rsidRPr="001B1BA5" w:rsidRDefault="001B1BA5" w:rsidP="001B1BA5">
      <w:pPr>
        <w:jc w:val="center"/>
        <w:rPr>
          <w:color w:val="0000FF"/>
          <w:u w:val="single"/>
        </w:rPr>
      </w:pPr>
    </w:p>
    <w:sectPr w:rsidR="001B1BA5" w:rsidRPr="001B1BA5" w:rsidSect="001B1BA5">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D2E16" w14:textId="77777777" w:rsidR="00F150AC" w:rsidRDefault="00F150AC" w:rsidP="007C277E">
      <w:r>
        <w:separator/>
      </w:r>
    </w:p>
  </w:endnote>
  <w:endnote w:type="continuationSeparator" w:id="0">
    <w:p w14:paraId="15E3E47D" w14:textId="77777777" w:rsidR="00F150AC" w:rsidRDefault="00F150AC" w:rsidP="007C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1176D" w14:textId="77777777" w:rsidR="001B1BA5" w:rsidRDefault="001B1BA5" w:rsidP="001B1BA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AC65F2" w14:textId="77777777" w:rsidR="00D10373" w:rsidRPr="001B1BA5" w:rsidRDefault="001B1BA5" w:rsidP="001B1BA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E7E0E" w14:textId="77777777" w:rsidR="001B1BA5" w:rsidRDefault="001B1BA5" w:rsidP="001B1BA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54DA">
      <w:rPr>
        <w:rFonts w:ascii="FrankRuehl" w:hAnsi="FrankRuehl" w:cs="FrankRuehl"/>
        <w:noProof/>
        <w:rtl/>
      </w:rPr>
      <w:t>1</w:t>
    </w:r>
    <w:r>
      <w:rPr>
        <w:rFonts w:ascii="FrankRuehl" w:hAnsi="FrankRuehl" w:cs="FrankRuehl"/>
        <w:rtl/>
      </w:rPr>
      <w:fldChar w:fldCharType="end"/>
    </w:r>
  </w:p>
  <w:p w14:paraId="44D6DD0A" w14:textId="77777777" w:rsidR="00D10373" w:rsidRPr="001B1BA5" w:rsidRDefault="001B1BA5" w:rsidP="001B1BA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246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677E2" w14:textId="77777777" w:rsidR="00F150AC" w:rsidRDefault="00F150AC" w:rsidP="007C277E">
      <w:r>
        <w:separator/>
      </w:r>
    </w:p>
  </w:footnote>
  <w:footnote w:type="continuationSeparator" w:id="0">
    <w:p w14:paraId="016BA782" w14:textId="77777777" w:rsidR="00F150AC" w:rsidRDefault="00F150AC" w:rsidP="007C2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50B6" w14:textId="77777777" w:rsidR="001B1BA5" w:rsidRPr="001B1BA5" w:rsidRDefault="001B1BA5" w:rsidP="001B1BA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67234-06-20</w:t>
    </w:r>
    <w:r>
      <w:rPr>
        <w:rFonts w:ascii="David" w:hAnsi="David"/>
        <w:color w:val="000000"/>
        <w:sz w:val="22"/>
        <w:szCs w:val="22"/>
        <w:rtl/>
      </w:rPr>
      <w:tab/>
      <w:t xml:space="preserve"> מדינת ישראל נ' שמעון גיא לוין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E034F" w14:textId="77777777" w:rsidR="001B1BA5" w:rsidRPr="001B1BA5" w:rsidRDefault="001B1BA5" w:rsidP="001B1BA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67234-06-20</w:t>
    </w:r>
    <w:r>
      <w:rPr>
        <w:rFonts w:ascii="David" w:hAnsi="David"/>
        <w:color w:val="000000"/>
        <w:sz w:val="22"/>
        <w:szCs w:val="22"/>
        <w:rtl/>
      </w:rPr>
      <w:tab/>
      <w:t xml:space="preserve"> מדינת ישראל נ' שמעון גיא לוין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A0F15"/>
    <w:multiLevelType w:val="hybridMultilevel"/>
    <w:tmpl w:val="325E9C0C"/>
    <w:lvl w:ilvl="0" w:tplc="BAC475F2">
      <w:start w:val="1"/>
      <w:numFmt w:val="hebrew1"/>
      <w:lvlText w:val="%1."/>
      <w:lvlJc w:val="left"/>
      <w:pPr>
        <w:ind w:left="2988" w:hanging="360"/>
      </w:pPr>
    </w:lvl>
    <w:lvl w:ilvl="1" w:tplc="04090019">
      <w:start w:val="1"/>
      <w:numFmt w:val="lowerLetter"/>
      <w:lvlText w:val="%2."/>
      <w:lvlJc w:val="left"/>
      <w:pPr>
        <w:ind w:left="3708" w:hanging="360"/>
      </w:pPr>
    </w:lvl>
    <w:lvl w:ilvl="2" w:tplc="0409001B">
      <w:start w:val="1"/>
      <w:numFmt w:val="lowerRoman"/>
      <w:lvlText w:val="%3."/>
      <w:lvlJc w:val="right"/>
      <w:pPr>
        <w:ind w:left="4428" w:hanging="180"/>
      </w:pPr>
    </w:lvl>
    <w:lvl w:ilvl="3" w:tplc="0409000F">
      <w:start w:val="1"/>
      <w:numFmt w:val="decimal"/>
      <w:lvlText w:val="%4."/>
      <w:lvlJc w:val="left"/>
      <w:pPr>
        <w:ind w:left="5148" w:hanging="360"/>
      </w:pPr>
    </w:lvl>
    <w:lvl w:ilvl="4" w:tplc="04090019">
      <w:start w:val="1"/>
      <w:numFmt w:val="lowerLetter"/>
      <w:lvlText w:val="%5."/>
      <w:lvlJc w:val="left"/>
      <w:pPr>
        <w:ind w:left="5868" w:hanging="360"/>
      </w:pPr>
    </w:lvl>
    <w:lvl w:ilvl="5" w:tplc="0409001B">
      <w:start w:val="1"/>
      <w:numFmt w:val="lowerRoman"/>
      <w:lvlText w:val="%6."/>
      <w:lvlJc w:val="right"/>
      <w:pPr>
        <w:ind w:left="6588" w:hanging="180"/>
      </w:pPr>
    </w:lvl>
    <w:lvl w:ilvl="6" w:tplc="0409000F">
      <w:start w:val="1"/>
      <w:numFmt w:val="decimal"/>
      <w:lvlText w:val="%7."/>
      <w:lvlJc w:val="left"/>
      <w:pPr>
        <w:ind w:left="7308" w:hanging="360"/>
      </w:pPr>
    </w:lvl>
    <w:lvl w:ilvl="7" w:tplc="04090019">
      <w:start w:val="1"/>
      <w:numFmt w:val="lowerLetter"/>
      <w:lvlText w:val="%8."/>
      <w:lvlJc w:val="left"/>
      <w:pPr>
        <w:ind w:left="8028" w:hanging="360"/>
      </w:pPr>
    </w:lvl>
    <w:lvl w:ilvl="8" w:tplc="0409001B">
      <w:start w:val="1"/>
      <w:numFmt w:val="lowerRoman"/>
      <w:lvlText w:val="%9."/>
      <w:lvlJc w:val="right"/>
      <w:pPr>
        <w:ind w:left="8748" w:hanging="180"/>
      </w:pPr>
    </w:lvl>
  </w:abstractNum>
  <w:abstractNum w:abstractNumId="1" w15:restartNumberingAfterBreak="0">
    <w:nsid w:val="28434ED0"/>
    <w:multiLevelType w:val="hybridMultilevel"/>
    <w:tmpl w:val="84D67A9E"/>
    <w:lvl w:ilvl="0" w:tplc="8E26D3EA">
      <w:start w:val="1"/>
      <w:numFmt w:val="decimal"/>
      <w:lvlText w:val="%1."/>
      <w:lvlJc w:val="left"/>
      <w:pPr>
        <w:ind w:left="1505" w:hanging="360"/>
      </w:pPr>
      <w:rPr>
        <w:b w:val="0"/>
        <w:bCs w:val="0"/>
      </w:rPr>
    </w:lvl>
    <w:lvl w:ilvl="1" w:tplc="04090019">
      <w:start w:val="1"/>
      <w:numFmt w:val="lowerLetter"/>
      <w:lvlText w:val="%2."/>
      <w:lvlJc w:val="left"/>
      <w:pPr>
        <w:ind w:left="2225" w:hanging="360"/>
      </w:pPr>
    </w:lvl>
    <w:lvl w:ilvl="2" w:tplc="0409001B">
      <w:start w:val="1"/>
      <w:numFmt w:val="lowerRoman"/>
      <w:lvlText w:val="%3."/>
      <w:lvlJc w:val="right"/>
      <w:pPr>
        <w:ind w:left="2945" w:hanging="180"/>
      </w:pPr>
    </w:lvl>
    <w:lvl w:ilvl="3" w:tplc="0409000F">
      <w:start w:val="1"/>
      <w:numFmt w:val="decimal"/>
      <w:lvlText w:val="%4."/>
      <w:lvlJc w:val="left"/>
      <w:pPr>
        <w:ind w:left="3665" w:hanging="360"/>
      </w:pPr>
    </w:lvl>
    <w:lvl w:ilvl="4" w:tplc="04090019">
      <w:start w:val="1"/>
      <w:numFmt w:val="lowerLetter"/>
      <w:lvlText w:val="%5."/>
      <w:lvlJc w:val="left"/>
      <w:pPr>
        <w:ind w:left="4385" w:hanging="360"/>
      </w:pPr>
    </w:lvl>
    <w:lvl w:ilvl="5" w:tplc="0409001B">
      <w:start w:val="1"/>
      <w:numFmt w:val="lowerRoman"/>
      <w:lvlText w:val="%6."/>
      <w:lvlJc w:val="right"/>
      <w:pPr>
        <w:ind w:left="5105" w:hanging="180"/>
      </w:pPr>
    </w:lvl>
    <w:lvl w:ilvl="6" w:tplc="0409000F">
      <w:start w:val="1"/>
      <w:numFmt w:val="decimal"/>
      <w:lvlText w:val="%7."/>
      <w:lvlJc w:val="left"/>
      <w:pPr>
        <w:ind w:left="5825" w:hanging="360"/>
      </w:pPr>
    </w:lvl>
    <w:lvl w:ilvl="7" w:tplc="04090019">
      <w:start w:val="1"/>
      <w:numFmt w:val="lowerLetter"/>
      <w:lvlText w:val="%8."/>
      <w:lvlJc w:val="left"/>
      <w:pPr>
        <w:ind w:left="6545" w:hanging="360"/>
      </w:pPr>
    </w:lvl>
    <w:lvl w:ilvl="8" w:tplc="0409001B">
      <w:start w:val="1"/>
      <w:numFmt w:val="lowerRoman"/>
      <w:lvlText w:val="%9."/>
      <w:lvlJc w:val="right"/>
      <w:pPr>
        <w:ind w:left="7265" w:hanging="180"/>
      </w:pPr>
    </w:lvl>
  </w:abstractNum>
  <w:abstractNum w:abstractNumId="2" w15:restartNumberingAfterBreak="0">
    <w:nsid w:val="28CE28E7"/>
    <w:multiLevelType w:val="hybridMultilevel"/>
    <w:tmpl w:val="A7F04536"/>
    <w:lvl w:ilvl="0" w:tplc="08505E4A">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3" w15:restartNumberingAfterBreak="0">
    <w:nsid w:val="5A470E55"/>
    <w:multiLevelType w:val="hybridMultilevel"/>
    <w:tmpl w:val="4064B9CC"/>
    <w:lvl w:ilvl="0" w:tplc="2CC87EDC">
      <w:start w:val="1"/>
      <w:numFmt w:val="hebrew1"/>
      <w:lvlText w:val="%1."/>
      <w:lvlJc w:val="left"/>
      <w:pPr>
        <w:ind w:left="869" w:hanging="360"/>
      </w:pPr>
      <w:rPr>
        <w:rFonts w:ascii="FrankRuehl" w:hAnsi="FrankRuehl" w:cs="FrankRuehl" w:hint="default"/>
        <w:color w:val="000000"/>
        <w:sz w:val="28"/>
      </w:r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num w:numId="1" w16cid:durableId="53924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9987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1220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5885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3976"/>
    <w:rsid w:val="001B1BA5"/>
    <w:rsid w:val="001B5A3B"/>
    <w:rsid w:val="002134AF"/>
    <w:rsid w:val="002D1FD8"/>
    <w:rsid w:val="00683555"/>
    <w:rsid w:val="00737FC8"/>
    <w:rsid w:val="007454DA"/>
    <w:rsid w:val="007B4520"/>
    <w:rsid w:val="007C277E"/>
    <w:rsid w:val="00974B60"/>
    <w:rsid w:val="00A075FF"/>
    <w:rsid w:val="00A239DC"/>
    <w:rsid w:val="00B63976"/>
    <w:rsid w:val="00BE610C"/>
    <w:rsid w:val="00D10373"/>
    <w:rsid w:val="00E6523D"/>
    <w:rsid w:val="00F150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A67CFD"/>
  <w15:chartTrackingRefBased/>
  <w15:docId w15:val="{C1BA0AEA-AC43-4197-A4B8-E13EA21B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39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3976"/>
    <w:pPr>
      <w:tabs>
        <w:tab w:val="center" w:pos="4153"/>
        <w:tab w:val="right" w:pos="8306"/>
      </w:tabs>
    </w:pPr>
  </w:style>
  <w:style w:type="character" w:customStyle="1" w:styleId="a4">
    <w:name w:val="כותרת עליונה תו"/>
    <w:link w:val="a3"/>
    <w:rsid w:val="00B63976"/>
    <w:rPr>
      <w:rFonts w:ascii="Times New Roman" w:eastAsia="Times New Roman" w:hAnsi="Times New Roman" w:cs="David"/>
      <w:sz w:val="24"/>
      <w:szCs w:val="24"/>
    </w:rPr>
  </w:style>
  <w:style w:type="paragraph" w:styleId="a5">
    <w:name w:val="footer"/>
    <w:basedOn w:val="a"/>
    <w:link w:val="a6"/>
    <w:rsid w:val="00B63976"/>
    <w:pPr>
      <w:tabs>
        <w:tab w:val="center" w:pos="4153"/>
        <w:tab w:val="right" w:pos="8306"/>
      </w:tabs>
    </w:pPr>
  </w:style>
  <w:style w:type="character" w:customStyle="1" w:styleId="a6">
    <w:name w:val="כותרת תחתונה תו"/>
    <w:link w:val="a5"/>
    <w:rsid w:val="00B63976"/>
    <w:rPr>
      <w:rFonts w:ascii="Times New Roman" w:eastAsia="Times New Roman" w:hAnsi="Times New Roman" w:cs="David"/>
      <w:sz w:val="24"/>
      <w:szCs w:val="24"/>
    </w:rPr>
  </w:style>
  <w:style w:type="table" w:styleId="a7">
    <w:name w:val="Table Grid"/>
    <w:basedOn w:val="a1"/>
    <w:rsid w:val="00B639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3976"/>
  </w:style>
  <w:style w:type="character" w:styleId="Hyperlink">
    <w:name w:val="Hyperlink"/>
    <w:rsid w:val="00B63976"/>
    <w:rPr>
      <w:color w:val="0000FF"/>
      <w:u w:val="single"/>
    </w:rPr>
  </w:style>
  <w:style w:type="character" w:customStyle="1" w:styleId="a9">
    <w:name w:val="פיסקת רשימה תו"/>
    <w:link w:val="aa"/>
    <w:locked/>
    <w:rsid w:val="00B63976"/>
  </w:style>
  <w:style w:type="paragraph" w:styleId="aa">
    <w:name w:val="List Paragraph"/>
    <w:basedOn w:val="a"/>
    <w:link w:val="a9"/>
    <w:qFormat/>
    <w:rsid w:val="00B63976"/>
    <w:pPr>
      <w:spacing w:after="160" w:line="256" w:lineRule="auto"/>
      <w:ind w:left="720"/>
      <w:contextualSpacing/>
    </w:pPr>
    <w:rPr>
      <w:rFonts w:ascii="Calibri" w:eastAsia="Calibri" w:hAnsi="Calibri" w:cs="Arial"/>
      <w:sz w:val="22"/>
      <w:szCs w:val="22"/>
    </w:rPr>
  </w:style>
  <w:style w:type="paragraph" w:customStyle="1" w:styleId="listparagraph">
    <w:name w:val="listparagraph"/>
    <w:basedOn w:val="a"/>
    <w:rsid w:val="00B63976"/>
    <w:pPr>
      <w:spacing w:after="160" w:line="252" w:lineRule="auto"/>
      <w:ind w:left="72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5611948"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4216/6" TargetMode="External"/><Relationship Id="rId34" Type="http://schemas.openxmlformats.org/officeDocument/2006/relationships/hyperlink" Target="http://www.nevo.co.il/case/21888543" TargetMode="External"/><Relationship Id="rId42" Type="http://schemas.openxmlformats.org/officeDocument/2006/relationships/hyperlink" Target="http://www.nevo.co.il/case/2661991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hyperlink" Target="http://www.nevo.co.il/law/71553"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1015131" TargetMode="External"/><Relationship Id="rId11" Type="http://schemas.openxmlformats.org/officeDocument/2006/relationships/hyperlink" Target="http://www.nevo.co.il/law/4216/36a.b" TargetMode="External"/><Relationship Id="rId24" Type="http://schemas.openxmlformats.org/officeDocument/2006/relationships/hyperlink" Target="http://www.nevo.co.il/case/20114120" TargetMode="External"/><Relationship Id="rId32" Type="http://schemas.openxmlformats.org/officeDocument/2006/relationships/hyperlink" Target="http://www.nevo.co.il/case/20151395"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1694329" TargetMode="External"/><Relationship Id="rId53" Type="http://schemas.openxmlformats.org/officeDocument/2006/relationships/hyperlink" Target="http://www.nevo.co.il/law/70301/40ja"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5810781"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27517511" TargetMode="External"/><Relationship Id="rId35" Type="http://schemas.openxmlformats.org/officeDocument/2006/relationships/hyperlink" Target="http://www.nevo.co.il/case/25708829" TargetMode="External"/><Relationship Id="rId43" Type="http://schemas.openxmlformats.org/officeDocument/2006/relationships/hyperlink" Target="http://www.nevo.co.il/case/22938500" TargetMode="External"/><Relationship Id="rId48" Type="http://schemas.openxmlformats.org/officeDocument/2006/relationships/hyperlink" Target="http://www.nevo.co.il/case/5681787"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law/4216/36a.b"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1553" TargetMode="External"/><Relationship Id="rId25" Type="http://schemas.openxmlformats.org/officeDocument/2006/relationships/hyperlink" Target="http://www.nevo.co.il/case/5753269" TargetMode="External"/><Relationship Id="rId33" Type="http://schemas.openxmlformats.org/officeDocument/2006/relationships/hyperlink" Target="http://www.nevo.co.il/case/20881083"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law/70301/40d" TargetMode="External"/><Relationship Id="rId59"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case/6824952"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16941543"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20571533" TargetMode="External"/><Relationship Id="rId49" Type="http://schemas.openxmlformats.org/officeDocument/2006/relationships/hyperlink" Target="http://www.nevo.co.il/law/4216/36a.b" TargetMode="External"/><Relationship Id="rId57" Type="http://schemas.openxmlformats.org/officeDocument/2006/relationships/header" Target="header1.xml"/><Relationship Id="rId10" Type="http://schemas.openxmlformats.org/officeDocument/2006/relationships/hyperlink" Target="http://www.nevo.co.il/law/4216/7.c" TargetMode="External"/><Relationship Id="rId31" Type="http://schemas.openxmlformats.org/officeDocument/2006/relationships/hyperlink" Target="http://www.nevo.co.il/case/27347635" TargetMode="External"/><Relationship Id="rId44" Type="http://schemas.openxmlformats.org/officeDocument/2006/relationships/hyperlink" Target="http://www.nevo.co.il/case/24947203" TargetMode="External"/><Relationship Id="rId52" Type="http://schemas.openxmlformats.org/officeDocument/2006/relationships/hyperlink" Target="http://www.nevo.co.il/law/4216"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3678</Words>
  <Characters>18391</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22025</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8257634</vt:i4>
      </vt:variant>
      <vt:variant>
        <vt:i4>144</vt:i4>
      </vt:variant>
      <vt:variant>
        <vt:i4>0</vt:i4>
      </vt:variant>
      <vt:variant>
        <vt:i4>5</vt:i4>
      </vt:variant>
      <vt:variant>
        <vt:lpwstr>http://www.nevo.co.il/law/71553</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8257637</vt:i4>
      </vt:variant>
      <vt:variant>
        <vt:i4>135</vt:i4>
      </vt:variant>
      <vt:variant>
        <vt:i4>0</vt:i4>
      </vt:variant>
      <vt:variant>
        <vt:i4>5</vt:i4>
      </vt:variant>
      <vt:variant>
        <vt:lpwstr>http://www.nevo.co.il/law/4216</vt:lpwstr>
      </vt:variant>
      <vt:variant>
        <vt:lpwstr/>
      </vt:variant>
      <vt:variant>
        <vt:i4>5111890</vt:i4>
      </vt:variant>
      <vt:variant>
        <vt:i4>132</vt:i4>
      </vt:variant>
      <vt:variant>
        <vt:i4>0</vt:i4>
      </vt:variant>
      <vt:variant>
        <vt:i4>5</vt:i4>
      </vt:variant>
      <vt:variant>
        <vt:lpwstr>http://www.nevo.co.il/law/4216/36a.b</vt:lpwstr>
      </vt:variant>
      <vt:variant>
        <vt:lpwstr/>
      </vt:variant>
      <vt:variant>
        <vt:i4>8257637</vt:i4>
      </vt:variant>
      <vt:variant>
        <vt:i4>129</vt:i4>
      </vt:variant>
      <vt:variant>
        <vt:i4>0</vt:i4>
      </vt:variant>
      <vt:variant>
        <vt:i4>5</vt:i4>
      </vt:variant>
      <vt:variant>
        <vt:lpwstr>http://www.nevo.co.il/law/4216</vt:lpwstr>
      </vt:variant>
      <vt:variant>
        <vt:lpwstr/>
      </vt:variant>
      <vt:variant>
        <vt:i4>5111890</vt:i4>
      </vt:variant>
      <vt:variant>
        <vt:i4>126</vt:i4>
      </vt:variant>
      <vt:variant>
        <vt:i4>0</vt:i4>
      </vt:variant>
      <vt:variant>
        <vt:i4>5</vt:i4>
      </vt:variant>
      <vt:variant>
        <vt:lpwstr>http://www.nevo.co.il/law/4216/36a.b</vt:lpwstr>
      </vt:variant>
      <vt:variant>
        <vt:lpwstr/>
      </vt:variant>
      <vt:variant>
        <vt:i4>3997819</vt:i4>
      </vt:variant>
      <vt:variant>
        <vt:i4>123</vt:i4>
      </vt:variant>
      <vt:variant>
        <vt:i4>0</vt:i4>
      </vt:variant>
      <vt:variant>
        <vt:i4>5</vt:i4>
      </vt:variant>
      <vt:variant>
        <vt:lpwstr>http://www.nevo.co.il/case/5681787</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3276927</vt:i4>
      </vt:variant>
      <vt:variant>
        <vt:i4>114</vt:i4>
      </vt:variant>
      <vt:variant>
        <vt:i4>0</vt:i4>
      </vt:variant>
      <vt:variant>
        <vt:i4>5</vt:i4>
      </vt:variant>
      <vt:variant>
        <vt:lpwstr>http://www.nevo.co.il/case/21694329</vt:lpwstr>
      </vt:variant>
      <vt:variant>
        <vt:lpwstr/>
      </vt:variant>
      <vt:variant>
        <vt:i4>3932278</vt:i4>
      </vt:variant>
      <vt:variant>
        <vt:i4>111</vt:i4>
      </vt:variant>
      <vt:variant>
        <vt:i4>0</vt:i4>
      </vt:variant>
      <vt:variant>
        <vt:i4>5</vt:i4>
      </vt:variant>
      <vt:variant>
        <vt:lpwstr>http://www.nevo.co.il/case/24947203</vt:lpwstr>
      </vt:variant>
      <vt:variant>
        <vt:lpwstr/>
      </vt:variant>
      <vt:variant>
        <vt:i4>3342448</vt:i4>
      </vt:variant>
      <vt:variant>
        <vt:i4>108</vt:i4>
      </vt:variant>
      <vt:variant>
        <vt:i4>0</vt:i4>
      </vt:variant>
      <vt:variant>
        <vt:i4>5</vt:i4>
      </vt:variant>
      <vt:variant>
        <vt:lpwstr>http://www.nevo.co.il/case/22938500</vt:lpwstr>
      </vt:variant>
      <vt:variant>
        <vt:lpwstr/>
      </vt:variant>
      <vt:variant>
        <vt:i4>3932282</vt:i4>
      </vt:variant>
      <vt:variant>
        <vt:i4>105</vt:i4>
      </vt:variant>
      <vt:variant>
        <vt:i4>0</vt:i4>
      </vt:variant>
      <vt:variant>
        <vt:i4>5</vt:i4>
      </vt:variant>
      <vt:variant>
        <vt:lpwstr>http://www.nevo.co.il/case/26619911</vt:lpwstr>
      </vt:variant>
      <vt:variant>
        <vt:lpwstr/>
      </vt:variant>
      <vt:variant>
        <vt:i4>4128893</vt:i4>
      </vt:variant>
      <vt:variant>
        <vt:i4>102</vt:i4>
      </vt:variant>
      <vt:variant>
        <vt:i4>0</vt:i4>
      </vt:variant>
      <vt:variant>
        <vt:i4>5</vt:i4>
      </vt:variant>
      <vt:variant>
        <vt:lpwstr>http://www.nevo.co.il/case/6824952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3473526</vt:i4>
      </vt:variant>
      <vt:variant>
        <vt:i4>87</vt:i4>
      </vt:variant>
      <vt:variant>
        <vt:i4>0</vt:i4>
      </vt:variant>
      <vt:variant>
        <vt:i4>5</vt:i4>
      </vt:variant>
      <vt:variant>
        <vt:lpwstr>http://www.nevo.co.il/case/20571533</vt:lpwstr>
      </vt:variant>
      <vt:variant>
        <vt:lpwstr/>
      </vt:variant>
      <vt:variant>
        <vt:i4>4128889</vt:i4>
      </vt:variant>
      <vt:variant>
        <vt:i4>84</vt:i4>
      </vt:variant>
      <vt:variant>
        <vt:i4>0</vt:i4>
      </vt:variant>
      <vt:variant>
        <vt:i4>5</vt:i4>
      </vt:variant>
      <vt:variant>
        <vt:lpwstr>http://www.nevo.co.il/case/25708829</vt:lpwstr>
      </vt:variant>
      <vt:variant>
        <vt:lpwstr/>
      </vt:variant>
      <vt:variant>
        <vt:i4>3539064</vt:i4>
      </vt:variant>
      <vt:variant>
        <vt:i4>81</vt:i4>
      </vt:variant>
      <vt:variant>
        <vt:i4>0</vt:i4>
      </vt:variant>
      <vt:variant>
        <vt:i4>5</vt:i4>
      </vt:variant>
      <vt:variant>
        <vt:lpwstr>http://www.nevo.co.il/case/21888543</vt:lpwstr>
      </vt:variant>
      <vt:variant>
        <vt:lpwstr/>
      </vt:variant>
      <vt:variant>
        <vt:i4>3342460</vt:i4>
      </vt:variant>
      <vt:variant>
        <vt:i4>78</vt:i4>
      </vt:variant>
      <vt:variant>
        <vt:i4>0</vt:i4>
      </vt:variant>
      <vt:variant>
        <vt:i4>5</vt:i4>
      </vt:variant>
      <vt:variant>
        <vt:lpwstr>http://www.nevo.co.il/case/20881083</vt:lpwstr>
      </vt:variant>
      <vt:variant>
        <vt:lpwstr/>
      </vt:variant>
      <vt:variant>
        <vt:i4>3866738</vt:i4>
      </vt:variant>
      <vt:variant>
        <vt:i4>75</vt:i4>
      </vt:variant>
      <vt:variant>
        <vt:i4>0</vt:i4>
      </vt:variant>
      <vt:variant>
        <vt:i4>5</vt:i4>
      </vt:variant>
      <vt:variant>
        <vt:lpwstr>http://www.nevo.co.il/case/20151395</vt:lpwstr>
      </vt:variant>
      <vt:variant>
        <vt:lpwstr/>
      </vt:variant>
      <vt:variant>
        <vt:i4>3473521</vt:i4>
      </vt:variant>
      <vt:variant>
        <vt:i4>72</vt:i4>
      </vt:variant>
      <vt:variant>
        <vt:i4>0</vt:i4>
      </vt:variant>
      <vt:variant>
        <vt:i4>5</vt:i4>
      </vt:variant>
      <vt:variant>
        <vt:lpwstr>http://www.nevo.co.il/case/27347635</vt:lpwstr>
      </vt:variant>
      <vt:variant>
        <vt:lpwstr/>
      </vt:variant>
      <vt:variant>
        <vt:i4>3211383</vt:i4>
      </vt:variant>
      <vt:variant>
        <vt:i4>69</vt:i4>
      </vt:variant>
      <vt:variant>
        <vt:i4>0</vt:i4>
      </vt:variant>
      <vt:variant>
        <vt:i4>5</vt:i4>
      </vt:variant>
      <vt:variant>
        <vt:lpwstr>http://www.nevo.co.il/case/27517511</vt:lpwstr>
      </vt:variant>
      <vt:variant>
        <vt:lpwstr/>
      </vt:variant>
      <vt:variant>
        <vt:i4>3407989</vt:i4>
      </vt:variant>
      <vt:variant>
        <vt:i4>66</vt:i4>
      </vt:variant>
      <vt:variant>
        <vt:i4>0</vt:i4>
      </vt:variant>
      <vt:variant>
        <vt:i4>5</vt:i4>
      </vt:variant>
      <vt:variant>
        <vt:lpwstr>http://www.nevo.co.il/case/21015131</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3473527</vt:i4>
      </vt:variant>
      <vt:variant>
        <vt:i4>57</vt:i4>
      </vt:variant>
      <vt:variant>
        <vt:i4>0</vt:i4>
      </vt:variant>
      <vt:variant>
        <vt:i4>5</vt:i4>
      </vt:variant>
      <vt:variant>
        <vt:lpwstr>http://www.nevo.co.il/case/5611948</vt:lpwstr>
      </vt:variant>
      <vt:variant>
        <vt:lpwstr/>
      </vt:variant>
      <vt:variant>
        <vt:i4>3866742</vt:i4>
      </vt:variant>
      <vt:variant>
        <vt:i4>54</vt:i4>
      </vt:variant>
      <vt:variant>
        <vt:i4>0</vt:i4>
      </vt:variant>
      <vt:variant>
        <vt:i4>5</vt:i4>
      </vt:variant>
      <vt:variant>
        <vt:lpwstr>http://www.nevo.co.il/case/5753269</vt:lpwstr>
      </vt:variant>
      <vt:variant>
        <vt:lpwstr/>
      </vt:variant>
      <vt:variant>
        <vt:i4>3473524</vt:i4>
      </vt:variant>
      <vt:variant>
        <vt:i4>51</vt:i4>
      </vt:variant>
      <vt:variant>
        <vt:i4>0</vt:i4>
      </vt:variant>
      <vt:variant>
        <vt:i4>5</vt:i4>
      </vt:variant>
      <vt:variant>
        <vt:lpwstr>http://www.nevo.co.il/case/20114120</vt:lpwstr>
      </vt:variant>
      <vt:variant>
        <vt:lpwstr/>
      </vt:variant>
      <vt:variant>
        <vt:i4>3997811</vt:i4>
      </vt:variant>
      <vt:variant>
        <vt:i4>48</vt:i4>
      </vt:variant>
      <vt:variant>
        <vt:i4>0</vt:i4>
      </vt:variant>
      <vt:variant>
        <vt:i4>5</vt:i4>
      </vt:variant>
      <vt:variant>
        <vt:lpwstr>http://www.nevo.co.il/case/16941543</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4718666</vt:i4>
      </vt:variant>
      <vt:variant>
        <vt:i4>42</vt:i4>
      </vt:variant>
      <vt:variant>
        <vt:i4>0</vt:i4>
      </vt:variant>
      <vt:variant>
        <vt:i4>5</vt:i4>
      </vt:variant>
      <vt:variant>
        <vt:lpwstr>http://www.nevo.co.il/law/4216/6</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8257634</vt:i4>
      </vt:variant>
      <vt:variant>
        <vt:i4>30</vt:i4>
      </vt:variant>
      <vt:variant>
        <vt:i4>0</vt:i4>
      </vt:variant>
      <vt:variant>
        <vt:i4>5</vt:i4>
      </vt:variant>
      <vt:variant>
        <vt:lpwstr>http://www.nevo.co.il/law/71553</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67234</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שמעון גיא לוין</vt:lpwstr>
  </property>
  <property fmtid="{D5CDD505-2E9C-101B-9397-08002B2CF9AE}" pid="10" name="LAWYER">
    <vt:lpwstr>אנבל לוקס;איתן און</vt:lpwstr>
  </property>
  <property fmtid="{D5CDD505-2E9C-101B-9397-08002B2CF9AE}" pid="11" name="JUDGE">
    <vt:lpwstr>ארז נוריאלי</vt:lpwstr>
  </property>
  <property fmtid="{D5CDD505-2E9C-101B-9397-08002B2CF9AE}" pid="12" name="CITY">
    <vt:lpwstr>ראשל"צ</vt:lpwstr>
  </property>
  <property fmtid="{D5CDD505-2E9C-101B-9397-08002B2CF9AE}" pid="13" name="TYPE_N_DATE">
    <vt:lpwstr>3801900001</vt:lpwstr>
  </property>
  <property fmtid="{D5CDD505-2E9C-101B-9397-08002B2CF9AE}" pid="14" name="WORDNUMPAGES">
    <vt:lpwstr>10</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20220920</vt:lpwstr>
  </property>
  <property fmtid="{D5CDD505-2E9C-101B-9397-08002B2CF9AE}" pid="34" name="CASESLISTTMP1">
    <vt:lpwstr>5810781;16941543;20114120;5753269;5611948;13093721;21015131;27517511;27347635;20151395;20881083;21888543;25708829;20571533;6824952;26619911;22938500;24947203;21694329;5681787</vt:lpwstr>
  </property>
  <property fmtid="{D5CDD505-2E9C-101B-9397-08002B2CF9AE}" pid="35" name="LAWLISTTMP1">
    <vt:lpwstr>4216/007.a;007.c;006;036a.b:2</vt:lpwstr>
  </property>
  <property fmtid="{D5CDD505-2E9C-101B-9397-08002B2CF9AE}" pid="36" name="LAWLISTTMP2">
    <vt:lpwstr>70301/040b;40jc;040d:2;40ja</vt:lpwstr>
  </property>
  <property fmtid="{D5CDD505-2E9C-101B-9397-08002B2CF9AE}" pid="37" name="LAWLISTTMP3">
    <vt:lpwstr>71553</vt:lpwstr>
  </property>
</Properties>
</file>