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09510B" w:rsidRPr="00A273B6" w14:paraId="41E32C45" w14:textId="77777777" w:rsidTr="0042421F">
        <w:trPr>
          <w:trHeight w:hRule="exact" w:val="418"/>
          <w:jc w:val="center"/>
        </w:trPr>
        <w:tc>
          <w:tcPr>
            <w:tcW w:w="8505" w:type="dxa"/>
          </w:tcPr>
          <w:p w14:paraId="772AD967" w14:textId="77777777" w:rsidR="0009510B" w:rsidRPr="00A273B6" w:rsidRDefault="0009510B" w:rsidP="0042421F">
            <w:pPr>
              <w:pStyle w:val="a3"/>
              <w:jc w:val="center"/>
              <w:rPr>
                <w:rFonts w:ascii="Tahoma" w:hAnsi="Tahoma" w:cs="Tahoma"/>
                <w:color w:val="000080"/>
                <w:rtl/>
              </w:rPr>
            </w:pPr>
            <w:r w:rsidRPr="00A273B6">
              <w:rPr>
                <w:rFonts w:ascii="Tahoma" w:hAnsi="Tahoma" w:cs="Tahoma"/>
                <w:b/>
                <w:bCs/>
                <w:color w:val="000080"/>
                <w:rtl/>
              </w:rPr>
              <w:t>בית משפט ה</w:t>
            </w:r>
            <w:r w:rsidRPr="00A273B6">
              <w:rPr>
                <w:rFonts w:ascii="Tahoma" w:hAnsi="Tahoma" w:cs="Tahoma" w:hint="cs"/>
                <w:b/>
                <w:bCs/>
                <w:color w:val="000080"/>
                <w:rtl/>
              </w:rPr>
              <w:t>שלום רחובות</w:t>
            </w:r>
          </w:p>
        </w:tc>
      </w:tr>
      <w:tr w:rsidR="0009510B" w:rsidRPr="00A273B6" w14:paraId="293121FE" w14:textId="77777777" w:rsidTr="0042421F">
        <w:trPr>
          <w:trHeight w:val="337"/>
          <w:jc w:val="center"/>
        </w:trPr>
        <w:tc>
          <w:tcPr>
            <w:tcW w:w="8505" w:type="dxa"/>
          </w:tcPr>
          <w:p w14:paraId="4326239D" w14:textId="77777777" w:rsidR="0009510B" w:rsidRPr="00A273B6" w:rsidRDefault="0009510B" w:rsidP="0042421F">
            <w:pPr>
              <w:rPr>
                <w:rFonts w:cs="FrankRuehl"/>
                <w:sz w:val="28"/>
                <w:szCs w:val="28"/>
                <w:rtl/>
              </w:rPr>
            </w:pPr>
            <w:r w:rsidRPr="00A273B6">
              <w:rPr>
                <w:rFonts w:cs="FrankRuehl"/>
                <w:sz w:val="28"/>
                <w:szCs w:val="28"/>
                <w:rtl/>
              </w:rPr>
              <w:t>ת"פ</w:t>
            </w:r>
            <w:r w:rsidRPr="00A273B6">
              <w:rPr>
                <w:rFonts w:cs="FrankRuehl" w:hint="cs"/>
                <w:sz w:val="28"/>
                <w:szCs w:val="28"/>
                <w:rtl/>
              </w:rPr>
              <w:t xml:space="preserve"> </w:t>
            </w:r>
            <w:hyperlink r:id="rId7" w:history="1">
              <w:r w:rsidR="003B0877" w:rsidRPr="003B0877">
                <w:rPr>
                  <w:rFonts w:cs="FrankRuehl"/>
                  <w:color w:val="0000FF"/>
                  <w:sz w:val="28"/>
                  <w:szCs w:val="28"/>
                  <w:u w:val="single"/>
                  <w:rtl/>
                </w:rPr>
                <w:t xml:space="preserve">9216-06-20 </w:t>
              </w:r>
            </w:hyperlink>
            <w:r w:rsidRPr="00A273B6">
              <w:rPr>
                <w:rFonts w:cs="FrankRuehl" w:hint="cs"/>
                <w:sz w:val="28"/>
                <w:szCs w:val="28"/>
                <w:rtl/>
              </w:rPr>
              <w:t xml:space="preserve"> </w:t>
            </w:r>
            <w:r w:rsidRPr="00A273B6">
              <w:rPr>
                <w:rFonts w:cs="FrankRuehl"/>
                <w:sz w:val="28"/>
                <w:szCs w:val="28"/>
                <w:rtl/>
              </w:rPr>
              <w:t>מדינת ישראל נ' מינס</w:t>
            </w:r>
          </w:p>
        </w:tc>
      </w:tr>
    </w:tbl>
    <w:p w14:paraId="5CF1CC96" w14:textId="77777777" w:rsidR="0009510B" w:rsidRPr="00A273B6" w:rsidRDefault="0009510B" w:rsidP="0009510B">
      <w:pPr>
        <w:pStyle w:val="a3"/>
        <w:rPr>
          <w:rtl/>
        </w:rPr>
      </w:pPr>
      <w:r w:rsidRPr="00A273B6">
        <w:rPr>
          <w:rFonts w:hint="cs"/>
          <w:rtl/>
        </w:rPr>
        <w:t xml:space="preserve"> </w:t>
      </w:r>
    </w:p>
    <w:p w14:paraId="434282FD" w14:textId="77777777" w:rsidR="0009510B" w:rsidRPr="00A273B6" w:rsidRDefault="0009510B" w:rsidP="0009510B">
      <w:pPr>
        <w:spacing w:line="360" w:lineRule="auto"/>
        <w:jc w:val="both"/>
        <w:rPr>
          <w:rFonts w:ascii="David" w:hAnsi="David"/>
          <w:b/>
          <w:bCs/>
          <w:rtl/>
        </w:rPr>
      </w:pPr>
    </w:p>
    <w:p w14:paraId="69A7FE59" w14:textId="77777777" w:rsidR="0009510B" w:rsidRPr="00A273B6" w:rsidRDefault="0009510B" w:rsidP="0009510B">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9510B" w:rsidRPr="00A273B6" w14:paraId="6455B20C" w14:textId="77777777" w:rsidTr="0009510B">
        <w:trPr>
          <w:trHeight w:val="295"/>
          <w:jc w:val="center"/>
        </w:trPr>
        <w:tc>
          <w:tcPr>
            <w:tcW w:w="923" w:type="dxa"/>
            <w:tcBorders>
              <w:top w:val="nil"/>
              <w:left w:val="nil"/>
              <w:bottom w:val="nil"/>
              <w:right w:val="nil"/>
            </w:tcBorders>
            <w:shd w:val="clear" w:color="auto" w:fill="auto"/>
          </w:tcPr>
          <w:p w14:paraId="6CD57F63" w14:textId="77777777" w:rsidR="0009510B" w:rsidRPr="00A273B6" w:rsidRDefault="0009510B" w:rsidP="0009510B">
            <w:pPr>
              <w:jc w:val="both"/>
              <w:rPr>
                <w:rFonts w:ascii="David" w:hAnsi="David"/>
                <w:b/>
                <w:bCs/>
                <w:sz w:val="26"/>
                <w:szCs w:val="26"/>
              </w:rPr>
            </w:pPr>
            <w:r w:rsidRPr="00A273B6">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584D7C0" w14:textId="77777777" w:rsidR="0009510B" w:rsidRPr="00A273B6" w:rsidRDefault="0009510B" w:rsidP="0042421F">
            <w:pPr>
              <w:rPr>
                <w:rFonts w:ascii="David" w:hAnsi="David"/>
                <w:b/>
                <w:bCs/>
                <w:sz w:val="26"/>
                <w:szCs w:val="26"/>
              </w:rPr>
            </w:pPr>
            <w:r w:rsidRPr="00A273B6">
              <w:rPr>
                <w:rFonts w:ascii="David" w:hAnsi="David"/>
                <w:b/>
                <w:bCs/>
                <w:sz w:val="26"/>
                <w:szCs w:val="26"/>
                <w:rtl/>
              </w:rPr>
              <w:t>כבוד השופטת, סגנית הנשיאה  אפרת פינק</w:t>
            </w:r>
          </w:p>
        </w:tc>
      </w:tr>
      <w:tr w:rsidR="0009510B" w:rsidRPr="00A273B6" w14:paraId="5B247D0F" w14:textId="77777777" w:rsidTr="0009510B">
        <w:trPr>
          <w:trHeight w:val="355"/>
          <w:jc w:val="center"/>
        </w:trPr>
        <w:tc>
          <w:tcPr>
            <w:tcW w:w="923" w:type="dxa"/>
            <w:tcBorders>
              <w:top w:val="nil"/>
              <w:left w:val="nil"/>
              <w:bottom w:val="nil"/>
              <w:right w:val="nil"/>
            </w:tcBorders>
            <w:shd w:val="clear" w:color="auto" w:fill="auto"/>
          </w:tcPr>
          <w:p w14:paraId="469C5345" w14:textId="77777777" w:rsidR="0009510B" w:rsidRPr="00A273B6" w:rsidRDefault="0009510B" w:rsidP="0009510B">
            <w:pPr>
              <w:jc w:val="both"/>
              <w:rPr>
                <w:rFonts w:ascii="David" w:hAnsi="David"/>
                <w:sz w:val="26"/>
                <w:szCs w:val="26"/>
              </w:rPr>
            </w:pPr>
            <w:bookmarkStart w:id="0" w:name="FirstAppellant"/>
            <w:bookmarkStart w:id="1" w:name="LastJudge"/>
            <w:bookmarkEnd w:id="1"/>
            <w:r w:rsidRPr="00A273B6">
              <w:rPr>
                <w:rFonts w:ascii="David" w:hAnsi="David"/>
                <w:sz w:val="26"/>
                <w:szCs w:val="26"/>
                <w:rtl/>
              </w:rPr>
              <w:t>בעניין:</w:t>
            </w:r>
          </w:p>
        </w:tc>
        <w:tc>
          <w:tcPr>
            <w:tcW w:w="4126" w:type="dxa"/>
            <w:tcBorders>
              <w:top w:val="nil"/>
              <w:left w:val="nil"/>
              <w:bottom w:val="nil"/>
              <w:right w:val="nil"/>
            </w:tcBorders>
            <w:shd w:val="clear" w:color="auto" w:fill="auto"/>
          </w:tcPr>
          <w:p w14:paraId="763360E5" w14:textId="77777777" w:rsidR="0009510B" w:rsidRPr="00A273B6" w:rsidRDefault="0009510B" w:rsidP="0042421F">
            <w:pPr>
              <w:rPr>
                <w:rFonts w:ascii="David" w:hAnsi="David"/>
                <w:sz w:val="26"/>
                <w:szCs w:val="26"/>
              </w:rPr>
            </w:pPr>
            <w:r w:rsidRPr="00A273B6">
              <w:rPr>
                <w:rFonts w:ascii="David" w:hAnsi="David"/>
                <w:sz w:val="26"/>
                <w:szCs w:val="26"/>
                <w:rtl/>
              </w:rPr>
              <w:t>מדינת ישראל</w:t>
            </w:r>
          </w:p>
        </w:tc>
        <w:tc>
          <w:tcPr>
            <w:tcW w:w="3771" w:type="dxa"/>
            <w:tcBorders>
              <w:top w:val="nil"/>
              <w:left w:val="nil"/>
              <w:bottom w:val="nil"/>
              <w:right w:val="nil"/>
            </w:tcBorders>
            <w:shd w:val="clear" w:color="auto" w:fill="auto"/>
          </w:tcPr>
          <w:p w14:paraId="2C19216F" w14:textId="77777777" w:rsidR="0009510B" w:rsidRPr="00A273B6" w:rsidRDefault="0009510B" w:rsidP="0009510B">
            <w:pPr>
              <w:jc w:val="both"/>
              <w:rPr>
                <w:rFonts w:ascii="David" w:hAnsi="David"/>
                <w:sz w:val="26"/>
                <w:szCs w:val="26"/>
              </w:rPr>
            </w:pPr>
          </w:p>
        </w:tc>
      </w:tr>
      <w:bookmarkEnd w:id="0"/>
      <w:tr w:rsidR="0009510B" w:rsidRPr="00A273B6" w14:paraId="38C6DF2D" w14:textId="77777777" w:rsidTr="0009510B">
        <w:trPr>
          <w:trHeight w:val="355"/>
          <w:jc w:val="center"/>
        </w:trPr>
        <w:tc>
          <w:tcPr>
            <w:tcW w:w="923" w:type="dxa"/>
            <w:tcBorders>
              <w:top w:val="nil"/>
              <w:left w:val="nil"/>
              <w:bottom w:val="nil"/>
              <w:right w:val="nil"/>
            </w:tcBorders>
            <w:shd w:val="clear" w:color="auto" w:fill="auto"/>
          </w:tcPr>
          <w:p w14:paraId="21DE8B35" w14:textId="77777777" w:rsidR="0009510B" w:rsidRPr="00A273B6" w:rsidRDefault="0009510B" w:rsidP="0009510B">
            <w:pPr>
              <w:jc w:val="both"/>
              <w:rPr>
                <w:rFonts w:ascii="David" w:hAnsi="David"/>
                <w:sz w:val="26"/>
                <w:szCs w:val="26"/>
                <w:rtl/>
              </w:rPr>
            </w:pPr>
          </w:p>
        </w:tc>
        <w:tc>
          <w:tcPr>
            <w:tcW w:w="4126" w:type="dxa"/>
            <w:tcBorders>
              <w:top w:val="nil"/>
              <w:left w:val="nil"/>
              <w:bottom w:val="nil"/>
              <w:right w:val="nil"/>
            </w:tcBorders>
            <w:shd w:val="clear" w:color="auto" w:fill="auto"/>
          </w:tcPr>
          <w:p w14:paraId="718F332A" w14:textId="77777777" w:rsidR="0009510B" w:rsidRPr="00A273B6" w:rsidRDefault="0009510B" w:rsidP="0009510B">
            <w:pPr>
              <w:jc w:val="both"/>
              <w:rPr>
                <w:rFonts w:ascii="David" w:hAnsi="David"/>
                <w:sz w:val="26"/>
                <w:szCs w:val="26"/>
                <w:rtl/>
              </w:rPr>
            </w:pPr>
          </w:p>
        </w:tc>
        <w:tc>
          <w:tcPr>
            <w:tcW w:w="3771" w:type="dxa"/>
            <w:tcBorders>
              <w:top w:val="nil"/>
              <w:left w:val="nil"/>
              <w:bottom w:val="nil"/>
              <w:right w:val="nil"/>
            </w:tcBorders>
            <w:shd w:val="clear" w:color="auto" w:fill="auto"/>
          </w:tcPr>
          <w:p w14:paraId="1DAAB3F7" w14:textId="77777777" w:rsidR="0009510B" w:rsidRPr="00A273B6" w:rsidRDefault="0009510B" w:rsidP="0009510B">
            <w:pPr>
              <w:jc w:val="right"/>
              <w:rPr>
                <w:rFonts w:ascii="David" w:hAnsi="David"/>
                <w:sz w:val="26"/>
                <w:szCs w:val="26"/>
                <w:rtl/>
              </w:rPr>
            </w:pPr>
            <w:r w:rsidRPr="00A273B6">
              <w:rPr>
                <w:rFonts w:ascii="David" w:hAnsi="David"/>
                <w:sz w:val="26"/>
                <w:szCs w:val="26"/>
                <w:rtl/>
              </w:rPr>
              <w:t>המאשימה</w:t>
            </w:r>
          </w:p>
        </w:tc>
      </w:tr>
      <w:tr w:rsidR="0009510B" w:rsidRPr="00A273B6" w14:paraId="238133DB" w14:textId="77777777" w:rsidTr="0009510B">
        <w:trPr>
          <w:trHeight w:val="355"/>
          <w:jc w:val="center"/>
        </w:trPr>
        <w:tc>
          <w:tcPr>
            <w:tcW w:w="923" w:type="dxa"/>
            <w:tcBorders>
              <w:top w:val="nil"/>
              <w:left w:val="nil"/>
              <w:bottom w:val="nil"/>
              <w:right w:val="nil"/>
            </w:tcBorders>
            <w:shd w:val="clear" w:color="auto" w:fill="auto"/>
          </w:tcPr>
          <w:p w14:paraId="406C9006" w14:textId="77777777" w:rsidR="0009510B" w:rsidRPr="00A273B6" w:rsidRDefault="0009510B" w:rsidP="0009510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FDE0562" w14:textId="77777777" w:rsidR="0009510B" w:rsidRPr="00A273B6" w:rsidRDefault="0009510B" w:rsidP="0009510B">
            <w:pPr>
              <w:jc w:val="center"/>
              <w:rPr>
                <w:rFonts w:ascii="David" w:hAnsi="David"/>
                <w:b/>
                <w:bCs/>
                <w:sz w:val="26"/>
                <w:szCs w:val="26"/>
              </w:rPr>
            </w:pPr>
            <w:r w:rsidRPr="00A273B6">
              <w:rPr>
                <w:rFonts w:ascii="David" w:hAnsi="David"/>
                <w:b/>
                <w:bCs/>
                <w:sz w:val="26"/>
                <w:szCs w:val="26"/>
                <w:rtl/>
              </w:rPr>
              <w:t>נגד</w:t>
            </w:r>
          </w:p>
        </w:tc>
      </w:tr>
      <w:tr w:rsidR="0009510B" w:rsidRPr="00A273B6" w14:paraId="716158EB" w14:textId="77777777" w:rsidTr="0009510B">
        <w:trPr>
          <w:trHeight w:val="355"/>
          <w:jc w:val="center"/>
        </w:trPr>
        <w:tc>
          <w:tcPr>
            <w:tcW w:w="923" w:type="dxa"/>
            <w:tcBorders>
              <w:top w:val="nil"/>
              <w:left w:val="nil"/>
              <w:bottom w:val="nil"/>
              <w:right w:val="nil"/>
            </w:tcBorders>
            <w:shd w:val="clear" w:color="auto" w:fill="auto"/>
          </w:tcPr>
          <w:p w14:paraId="2EAF1554" w14:textId="77777777" w:rsidR="0009510B" w:rsidRPr="00A273B6" w:rsidRDefault="0009510B" w:rsidP="0042421F">
            <w:pPr>
              <w:rPr>
                <w:rFonts w:ascii="David" w:hAnsi="David"/>
                <w:sz w:val="26"/>
                <w:szCs w:val="26"/>
                <w:rtl/>
              </w:rPr>
            </w:pPr>
          </w:p>
        </w:tc>
        <w:tc>
          <w:tcPr>
            <w:tcW w:w="4126" w:type="dxa"/>
            <w:tcBorders>
              <w:top w:val="nil"/>
              <w:left w:val="nil"/>
              <w:bottom w:val="nil"/>
              <w:right w:val="nil"/>
            </w:tcBorders>
            <w:shd w:val="clear" w:color="auto" w:fill="auto"/>
          </w:tcPr>
          <w:p w14:paraId="0DD1F6E9" w14:textId="77777777" w:rsidR="0009510B" w:rsidRPr="00A273B6" w:rsidRDefault="0009510B" w:rsidP="0042421F">
            <w:pPr>
              <w:rPr>
                <w:rFonts w:ascii="David" w:hAnsi="David"/>
                <w:sz w:val="26"/>
                <w:szCs w:val="26"/>
                <w:rtl/>
              </w:rPr>
            </w:pPr>
            <w:r w:rsidRPr="00A273B6">
              <w:rPr>
                <w:rFonts w:ascii="David" w:hAnsi="David"/>
                <w:sz w:val="26"/>
                <w:szCs w:val="26"/>
                <w:rtl/>
              </w:rPr>
              <w:t>נועם מינס</w:t>
            </w:r>
          </w:p>
        </w:tc>
        <w:tc>
          <w:tcPr>
            <w:tcW w:w="3771" w:type="dxa"/>
            <w:tcBorders>
              <w:top w:val="nil"/>
              <w:left w:val="nil"/>
              <w:bottom w:val="nil"/>
              <w:right w:val="nil"/>
            </w:tcBorders>
            <w:shd w:val="clear" w:color="auto" w:fill="auto"/>
          </w:tcPr>
          <w:p w14:paraId="4AF9EF62" w14:textId="77777777" w:rsidR="0009510B" w:rsidRPr="00A273B6" w:rsidRDefault="0009510B" w:rsidP="0009510B">
            <w:pPr>
              <w:jc w:val="right"/>
              <w:rPr>
                <w:rFonts w:ascii="David" w:hAnsi="David"/>
                <w:sz w:val="26"/>
                <w:szCs w:val="26"/>
              </w:rPr>
            </w:pPr>
          </w:p>
        </w:tc>
      </w:tr>
      <w:tr w:rsidR="0009510B" w:rsidRPr="00A273B6" w14:paraId="72611D7F" w14:textId="77777777" w:rsidTr="0009510B">
        <w:trPr>
          <w:trHeight w:val="355"/>
          <w:jc w:val="center"/>
        </w:trPr>
        <w:tc>
          <w:tcPr>
            <w:tcW w:w="923" w:type="dxa"/>
            <w:tcBorders>
              <w:top w:val="nil"/>
              <w:left w:val="nil"/>
              <w:bottom w:val="nil"/>
              <w:right w:val="nil"/>
            </w:tcBorders>
            <w:shd w:val="clear" w:color="auto" w:fill="auto"/>
          </w:tcPr>
          <w:p w14:paraId="3E9D12CD" w14:textId="77777777" w:rsidR="0009510B" w:rsidRPr="00A273B6" w:rsidRDefault="0009510B" w:rsidP="0009510B">
            <w:pPr>
              <w:jc w:val="both"/>
              <w:rPr>
                <w:rFonts w:ascii="David" w:hAnsi="David"/>
                <w:sz w:val="26"/>
                <w:szCs w:val="26"/>
                <w:rtl/>
              </w:rPr>
            </w:pPr>
          </w:p>
        </w:tc>
        <w:tc>
          <w:tcPr>
            <w:tcW w:w="4126" w:type="dxa"/>
            <w:tcBorders>
              <w:top w:val="nil"/>
              <w:left w:val="nil"/>
              <w:bottom w:val="nil"/>
              <w:right w:val="nil"/>
            </w:tcBorders>
            <w:shd w:val="clear" w:color="auto" w:fill="auto"/>
          </w:tcPr>
          <w:p w14:paraId="2AE71DD0" w14:textId="77777777" w:rsidR="0009510B" w:rsidRPr="00A273B6" w:rsidRDefault="0009510B" w:rsidP="0009510B">
            <w:pPr>
              <w:jc w:val="both"/>
              <w:rPr>
                <w:rFonts w:ascii="David" w:hAnsi="David"/>
                <w:sz w:val="26"/>
                <w:szCs w:val="26"/>
                <w:rtl/>
              </w:rPr>
            </w:pPr>
          </w:p>
        </w:tc>
        <w:tc>
          <w:tcPr>
            <w:tcW w:w="3771" w:type="dxa"/>
            <w:tcBorders>
              <w:top w:val="nil"/>
              <w:left w:val="nil"/>
              <w:bottom w:val="nil"/>
              <w:right w:val="nil"/>
            </w:tcBorders>
            <w:shd w:val="clear" w:color="auto" w:fill="auto"/>
          </w:tcPr>
          <w:p w14:paraId="7F6F7825" w14:textId="77777777" w:rsidR="0009510B" w:rsidRPr="00A273B6" w:rsidRDefault="0009510B" w:rsidP="0009510B">
            <w:pPr>
              <w:jc w:val="right"/>
              <w:rPr>
                <w:rFonts w:ascii="David" w:hAnsi="David"/>
                <w:sz w:val="26"/>
                <w:szCs w:val="26"/>
              </w:rPr>
            </w:pPr>
            <w:r w:rsidRPr="00A273B6">
              <w:rPr>
                <w:rFonts w:ascii="David" w:hAnsi="David"/>
                <w:sz w:val="26"/>
                <w:szCs w:val="26"/>
                <w:rtl/>
              </w:rPr>
              <w:t>הנאשמים</w:t>
            </w:r>
          </w:p>
        </w:tc>
      </w:tr>
    </w:tbl>
    <w:p w14:paraId="12B58D4C" w14:textId="77777777" w:rsidR="00A273B6" w:rsidRPr="00A273B6" w:rsidRDefault="00A273B6">
      <w:pPr>
        <w:rPr>
          <w:rtl/>
        </w:rPr>
      </w:pPr>
    </w:p>
    <w:p w14:paraId="59FA4F56" w14:textId="77777777" w:rsidR="005F6CF7" w:rsidRPr="005F6CF7" w:rsidRDefault="005F6CF7" w:rsidP="005F6CF7">
      <w:pPr>
        <w:spacing w:before="120" w:after="120" w:line="240" w:lineRule="exact"/>
        <w:ind w:left="283" w:hanging="283"/>
        <w:jc w:val="both"/>
        <w:rPr>
          <w:rFonts w:ascii="FrankRuehl" w:hAnsi="FrankRuehl" w:cs="FrankRuehl"/>
          <w:color w:val="0000FF"/>
          <w:rtl/>
        </w:rPr>
      </w:pPr>
    </w:p>
    <w:p w14:paraId="72C26EF4" w14:textId="77777777" w:rsidR="003B0877" w:rsidRPr="003B0877" w:rsidRDefault="003B0877" w:rsidP="003B0877">
      <w:pPr>
        <w:spacing w:before="120" w:after="120" w:line="240" w:lineRule="exact"/>
        <w:ind w:left="283" w:hanging="283"/>
        <w:jc w:val="both"/>
        <w:rPr>
          <w:rFonts w:ascii="FrankRuehl" w:hAnsi="FrankRuehl" w:cs="FrankRuehl"/>
          <w:rtl/>
        </w:rPr>
      </w:pPr>
    </w:p>
    <w:p w14:paraId="2827893E" w14:textId="77777777" w:rsidR="00B304F7" w:rsidRDefault="00B304F7" w:rsidP="00B304F7">
      <w:pPr>
        <w:spacing w:after="120" w:line="240" w:lineRule="exact"/>
        <w:ind w:left="283" w:hanging="283"/>
        <w:jc w:val="both"/>
        <w:rPr>
          <w:rtl/>
        </w:rPr>
      </w:pPr>
      <w:bookmarkStart w:id="2" w:name="LawTable"/>
      <w:bookmarkEnd w:id="2"/>
    </w:p>
    <w:p w14:paraId="0FC8DA15" w14:textId="77777777" w:rsidR="00B304F7" w:rsidRPr="00B304F7" w:rsidRDefault="00B304F7" w:rsidP="00B304F7">
      <w:pPr>
        <w:spacing w:before="120" w:after="120" w:line="240" w:lineRule="exact"/>
        <w:ind w:left="283" w:hanging="283"/>
        <w:jc w:val="both"/>
        <w:rPr>
          <w:rFonts w:ascii="FrankRuehl" w:hAnsi="FrankRuehl" w:cs="FrankRuehl"/>
          <w:rtl/>
        </w:rPr>
      </w:pPr>
    </w:p>
    <w:p w14:paraId="276300D7" w14:textId="77777777" w:rsidR="00B304F7" w:rsidRPr="00B304F7" w:rsidRDefault="00B304F7" w:rsidP="00B304F7">
      <w:pPr>
        <w:spacing w:before="120" w:after="120" w:line="240" w:lineRule="exact"/>
        <w:ind w:left="283" w:hanging="283"/>
        <w:jc w:val="both"/>
        <w:rPr>
          <w:rFonts w:ascii="FrankRuehl" w:hAnsi="FrankRuehl" w:cs="FrankRuehl"/>
          <w:rtl/>
        </w:rPr>
      </w:pPr>
    </w:p>
    <w:p w14:paraId="1C240E33" w14:textId="77777777" w:rsidR="00B304F7" w:rsidRPr="00B304F7" w:rsidRDefault="00B304F7" w:rsidP="00B304F7">
      <w:pPr>
        <w:spacing w:before="120" w:after="120" w:line="240" w:lineRule="exact"/>
        <w:ind w:left="283" w:hanging="283"/>
        <w:jc w:val="both"/>
        <w:rPr>
          <w:rFonts w:ascii="FrankRuehl" w:hAnsi="FrankRuehl" w:cs="FrankRuehl"/>
          <w:rtl/>
        </w:rPr>
      </w:pPr>
      <w:r w:rsidRPr="00B304F7">
        <w:rPr>
          <w:rFonts w:ascii="FrankRuehl" w:hAnsi="FrankRuehl" w:cs="FrankRuehl"/>
          <w:rtl/>
        </w:rPr>
        <w:t xml:space="preserve">חקיקה שאוזכרה: </w:t>
      </w:r>
    </w:p>
    <w:p w14:paraId="2E41890E" w14:textId="77777777" w:rsidR="00B304F7" w:rsidRPr="00B304F7" w:rsidRDefault="00B304F7" w:rsidP="00B304F7">
      <w:pPr>
        <w:spacing w:before="120" w:after="120" w:line="240" w:lineRule="exact"/>
        <w:ind w:left="283" w:hanging="283"/>
        <w:jc w:val="both"/>
        <w:rPr>
          <w:rFonts w:ascii="FrankRuehl" w:hAnsi="FrankRuehl" w:cs="FrankRuehl"/>
          <w:rtl/>
        </w:rPr>
      </w:pPr>
      <w:hyperlink r:id="rId8" w:history="1">
        <w:r w:rsidRPr="00B304F7">
          <w:rPr>
            <w:rFonts w:ascii="FrankRuehl" w:hAnsi="FrankRuehl" w:cs="FrankRuehl"/>
            <w:color w:val="0000FF"/>
            <w:rtl/>
          </w:rPr>
          <w:t>פקודת הסמים המסוכנים [נוסח חדש], תשל"ג-1973</w:t>
        </w:r>
      </w:hyperlink>
      <w:r w:rsidRPr="00B304F7">
        <w:rPr>
          <w:rFonts w:ascii="FrankRuehl" w:hAnsi="FrankRuehl" w:cs="FrankRuehl"/>
          <w:rtl/>
        </w:rPr>
        <w:t xml:space="preserve">: סע'  </w:t>
      </w:r>
      <w:hyperlink r:id="rId9" w:history="1">
        <w:r w:rsidRPr="00B304F7">
          <w:rPr>
            <w:rFonts w:ascii="FrankRuehl" w:hAnsi="FrankRuehl" w:cs="FrankRuehl"/>
            <w:color w:val="0000FF"/>
            <w:rtl/>
          </w:rPr>
          <w:t>13</w:t>
        </w:r>
      </w:hyperlink>
      <w:r w:rsidRPr="00B304F7">
        <w:rPr>
          <w:rFonts w:ascii="FrankRuehl" w:hAnsi="FrankRuehl" w:cs="FrankRuehl"/>
          <w:rtl/>
        </w:rPr>
        <w:t xml:space="preserve">, </w:t>
      </w:r>
      <w:hyperlink r:id="rId10" w:history="1">
        <w:r w:rsidRPr="00B304F7">
          <w:rPr>
            <w:rFonts w:ascii="FrankRuehl" w:hAnsi="FrankRuehl" w:cs="FrankRuehl"/>
            <w:color w:val="0000FF"/>
            <w:rtl/>
          </w:rPr>
          <w:t>19א</w:t>
        </w:r>
      </w:hyperlink>
    </w:p>
    <w:p w14:paraId="23339F5A" w14:textId="77777777" w:rsidR="00B304F7" w:rsidRPr="00B304F7" w:rsidRDefault="00B304F7" w:rsidP="00B304F7">
      <w:pPr>
        <w:spacing w:after="120" w:line="240" w:lineRule="exact"/>
        <w:ind w:left="283" w:hanging="283"/>
        <w:jc w:val="both"/>
        <w:rPr>
          <w:rtl/>
        </w:rPr>
      </w:pPr>
      <w:bookmarkStart w:id="3" w:name="LawTable_End"/>
      <w:bookmarkEnd w:id="3"/>
    </w:p>
    <w:p w14:paraId="0E74FB31" w14:textId="77777777" w:rsidR="00A273B6" w:rsidRPr="003B0877" w:rsidRDefault="00A273B6" w:rsidP="003B0877">
      <w:pPr>
        <w:spacing w:after="120" w:line="240" w:lineRule="exact"/>
        <w:ind w:left="283" w:hanging="283"/>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510B" w:rsidRPr="00FC7E80" w14:paraId="5A99E127" w14:textId="77777777" w:rsidTr="0009510B">
        <w:trPr>
          <w:trHeight w:val="355"/>
          <w:jc w:val="center"/>
        </w:trPr>
        <w:tc>
          <w:tcPr>
            <w:tcW w:w="8820" w:type="dxa"/>
            <w:tcBorders>
              <w:top w:val="nil"/>
              <w:left w:val="nil"/>
              <w:bottom w:val="nil"/>
              <w:right w:val="nil"/>
            </w:tcBorders>
            <w:shd w:val="clear" w:color="auto" w:fill="auto"/>
          </w:tcPr>
          <w:p w14:paraId="38D542D2" w14:textId="77777777" w:rsidR="00A273B6" w:rsidRPr="00A273B6" w:rsidRDefault="00A273B6" w:rsidP="00A273B6">
            <w:pPr>
              <w:jc w:val="center"/>
              <w:rPr>
                <w:rFonts w:ascii="David" w:hAnsi="David"/>
                <w:b/>
                <w:bCs/>
                <w:sz w:val="32"/>
                <w:szCs w:val="32"/>
                <w:rtl/>
              </w:rPr>
            </w:pPr>
            <w:bookmarkStart w:id="4" w:name="PsakDin" w:colFirst="0" w:colLast="0"/>
            <w:r w:rsidRPr="00A273B6">
              <w:rPr>
                <w:rFonts w:ascii="David" w:hAnsi="David"/>
                <w:b/>
                <w:bCs/>
                <w:sz w:val="32"/>
                <w:szCs w:val="32"/>
                <w:rtl/>
              </w:rPr>
              <w:t>גזר דין</w:t>
            </w:r>
          </w:p>
          <w:p w14:paraId="687138B8" w14:textId="77777777" w:rsidR="0009510B" w:rsidRPr="00A273B6" w:rsidRDefault="0009510B" w:rsidP="00A273B6">
            <w:pPr>
              <w:jc w:val="center"/>
              <w:rPr>
                <w:rFonts w:ascii="David" w:hAnsi="David"/>
                <w:bCs/>
                <w:sz w:val="32"/>
                <w:szCs w:val="32"/>
                <w:rtl/>
              </w:rPr>
            </w:pPr>
          </w:p>
        </w:tc>
      </w:tr>
      <w:bookmarkEnd w:id="4"/>
    </w:tbl>
    <w:p w14:paraId="5C5F8E1A" w14:textId="77777777" w:rsidR="0009510B" w:rsidRDefault="0009510B" w:rsidP="0009510B">
      <w:pPr>
        <w:spacing w:line="360" w:lineRule="auto"/>
        <w:jc w:val="both"/>
        <w:rPr>
          <w:rFonts w:ascii="David" w:hAnsi="David"/>
          <w:b/>
          <w:bCs/>
          <w:u w:val="single"/>
          <w:rtl/>
        </w:rPr>
      </w:pPr>
    </w:p>
    <w:p w14:paraId="58DB5BBA" w14:textId="77777777" w:rsidR="0009510B" w:rsidRDefault="0009510B" w:rsidP="0009510B">
      <w:pPr>
        <w:spacing w:line="360" w:lineRule="auto"/>
        <w:jc w:val="both"/>
        <w:rPr>
          <w:rFonts w:ascii="David" w:hAnsi="David"/>
          <w:b/>
          <w:bCs/>
          <w:u w:val="single"/>
          <w:rtl/>
        </w:rPr>
      </w:pPr>
      <w:r>
        <w:rPr>
          <w:rFonts w:ascii="David" w:hAnsi="David"/>
          <w:b/>
          <w:bCs/>
          <w:u w:val="single"/>
          <w:rtl/>
        </w:rPr>
        <w:t>מבוא</w:t>
      </w:r>
    </w:p>
    <w:p w14:paraId="725AD811" w14:textId="77777777" w:rsidR="0009510B" w:rsidRDefault="0009510B" w:rsidP="0009510B">
      <w:pPr>
        <w:pStyle w:val="aa"/>
        <w:numPr>
          <w:ilvl w:val="0"/>
          <w:numId w:val="1"/>
        </w:numPr>
        <w:spacing w:after="0" w:line="360" w:lineRule="auto"/>
        <w:ind w:left="509" w:hanging="509"/>
        <w:jc w:val="both"/>
        <w:rPr>
          <w:rFonts w:ascii="David" w:hAnsi="David" w:cs="David"/>
          <w:b/>
          <w:bCs/>
          <w:sz w:val="24"/>
          <w:szCs w:val="24"/>
          <w:rtl/>
        </w:rPr>
      </w:pPr>
      <w:bookmarkStart w:id="5" w:name="ABSTRACT_START"/>
      <w:bookmarkEnd w:id="5"/>
      <w:r>
        <w:rPr>
          <w:rFonts w:ascii="David" w:hAnsi="David" w:cs="David"/>
          <w:sz w:val="24"/>
          <w:szCs w:val="24"/>
          <w:rtl/>
        </w:rPr>
        <w:t>בהכרעת דין מיום 22.6.20 הורשע הנאשם, לפי הודאתו בעובדות כתב האישום המתוקן, בעבירות סמים, כדלקמן:</w:t>
      </w:r>
    </w:p>
    <w:p w14:paraId="221FFACA" w14:textId="77777777" w:rsidR="0009510B" w:rsidRDefault="0009510B" w:rsidP="0009510B">
      <w:pPr>
        <w:pStyle w:val="aa"/>
        <w:numPr>
          <w:ilvl w:val="0"/>
          <w:numId w:val="3"/>
        </w:numPr>
        <w:spacing w:after="0" w:line="360" w:lineRule="auto"/>
        <w:jc w:val="both"/>
        <w:rPr>
          <w:rFonts w:ascii="David" w:hAnsi="David" w:cs="David"/>
          <w:b/>
          <w:bCs/>
          <w:sz w:val="24"/>
          <w:szCs w:val="24"/>
        </w:rPr>
      </w:pPr>
      <w:r>
        <w:rPr>
          <w:rFonts w:ascii="David" w:hAnsi="David" w:cs="David"/>
          <w:b/>
          <w:bCs/>
          <w:sz w:val="24"/>
          <w:szCs w:val="24"/>
          <w:rtl/>
        </w:rPr>
        <w:t xml:space="preserve">באישום השני – </w:t>
      </w:r>
      <w:r>
        <w:rPr>
          <w:rFonts w:ascii="David" w:hAnsi="David" w:cs="David"/>
          <w:sz w:val="24"/>
          <w:szCs w:val="24"/>
          <w:rtl/>
        </w:rPr>
        <w:t xml:space="preserve">בעבירה של סחר בסמים, לפי </w:t>
      </w:r>
      <w:hyperlink r:id="rId11" w:history="1">
        <w:r w:rsidR="0006135C" w:rsidRPr="0006135C">
          <w:rPr>
            <w:rStyle w:val="Hyperlink"/>
            <w:rFonts w:ascii="David" w:hAnsi="David" w:cs="David"/>
            <w:sz w:val="24"/>
            <w:szCs w:val="24"/>
            <w:rtl/>
          </w:rPr>
          <w:t>סעיף 13</w:t>
        </w:r>
      </w:hyperlink>
      <w:r>
        <w:rPr>
          <w:rFonts w:ascii="David" w:hAnsi="David" w:cs="David"/>
          <w:sz w:val="24"/>
          <w:szCs w:val="24"/>
          <w:rtl/>
        </w:rPr>
        <w:t xml:space="preserve"> יחד עם </w:t>
      </w:r>
      <w:hyperlink r:id="rId12" w:history="1">
        <w:r w:rsidR="0006135C" w:rsidRPr="0006135C">
          <w:rPr>
            <w:rStyle w:val="Hyperlink"/>
            <w:rFonts w:ascii="David" w:hAnsi="David" w:cs="David"/>
            <w:sz w:val="24"/>
            <w:szCs w:val="24"/>
            <w:rtl/>
          </w:rPr>
          <w:t>סעיף 19א</w:t>
        </w:r>
      </w:hyperlink>
      <w:r>
        <w:rPr>
          <w:rFonts w:ascii="David" w:hAnsi="David" w:cs="David"/>
          <w:sz w:val="24"/>
          <w:szCs w:val="24"/>
          <w:rtl/>
        </w:rPr>
        <w:t xml:space="preserve"> ל</w:t>
      </w:r>
      <w:hyperlink r:id="rId13" w:history="1">
        <w:r w:rsidR="00A273B6" w:rsidRPr="00A273B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משולב], תשל"ג – 1973.</w:t>
      </w:r>
    </w:p>
    <w:p w14:paraId="3FE4DF8A" w14:textId="77777777" w:rsidR="0009510B" w:rsidRDefault="0009510B" w:rsidP="0009510B">
      <w:pPr>
        <w:pStyle w:val="aa"/>
        <w:spacing w:after="0" w:line="360" w:lineRule="auto"/>
        <w:ind w:left="869"/>
        <w:jc w:val="both"/>
        <w:rPr>
          <w:rFonts w:ascii="David" w:hAnsi="David" w:cs="David"/>
          <w:sz w:val="24"/>
          <w:szCs w:val="24"/>
        </w:rPr>
      </w:pPr>
      <w:bookmarkStart w:id="6" w:name="ABSTRACT_END"/>
      <w:bookmarkEnd w:id="6"/>
      <w:r>
        <w:rPr>
          <w:rFonts w:ascii="David" w:hAnsi="David" w:cs="David"/>
          <w:sz w:val="24"/>
          <w:szCs w:val="24"/>
          <w:rtl/>
        </w:rPr>
        <w:t xml:space="preserve">לפי האישום השני, ביום 15.12.19 נפגש הנאשם עם מתן ברעם ומכר לו סם מסוכן מסוג קנבוס במשקל של גרם תמורת סכום של 90 ₪. </w:t>
      </w:r>
    </w:p>
    <w:p w14:paraId="4A6087E6" w14:textId="77777777" w:rsidR="0009510B" w:rsidRDefault="0009510B" w:rsidP="0009510B">
      <w:pPr>
        <w:pStyle w:val="aa"/>
        <w:numPr>
          <w:ilvl w:val="0"/>
          <w:numId w:val="3"/>
        </w:numPr>
        <w:spacing w:after="0" w:line="360" w:lineRule="auto"/>
        <w:jc w:val="both"/>
        <w:rPr>
          <w:rFonts w:ascii="David" w:hAnsi="David" w:cs="David"/>
          <w:b/>
          <w:bCs/>
          <w:sz w:val="24"/>
          <w:szCs w:val="24"/>
          <w:rtl/>
        </w:rPr>
      </w:pPr>
      <w:r>
        <w:rPr>
          <w:rFonts w:ascii="David" w:hAnsi="David" w:cs="David"/>
          <w:b/>
          <w:bCs/>
          <w:sz w:val="24"/>
          <w:szCs w:val="24"/>
          <w:rtl/>
        </w:rPr>
        <w:t xml:space="preserve">באישום השלישי - </w:t>
      </w:r>
      <w:r>
        <w:rPr>
          <w:rFonts w:ascii="David" w:hAnsi="David" w:cs="David"/>
          <w:sz w:val="24"/>
          <w:szCs w:val="24"/>
          <w:rtl/>
        </w:rPr>
        <w:t xml:space="preserve">בעבירה של סחר בסמים, לפי </w:t>
      </w:r>
      <w:hyperlink r:id="rId14" w:history="1">
        <w:r w:rsidR="0006135C" w:rsidRPr="0006135C">
          <w:rPr>
            <w:rStyle w:val="Hyperlink"/>
            <w:rFonts w:ascii="David" w:hAnsi="David" w:cs="David"/>
            <w:sz w:val="24"/>
            <w:szCs w:val="24"/>
            <w:rtl/>
          </w:rPr>
          <w:t>סעיף 13</w:t>
        </w:r>
      </w:hyperlink>
      <w:r>
        <w:rPr>
          <w:rFonts w:ascii="David" w:hAnsi="David" w:cs="David"/>
          <w:sz w:val="24"/>
          <w:szCs w:val="24"/>
          <w:rtl/>
        </w:rPr>
        <w:t xml:space="preserve"> יחד עם </w:t>
      </w:r>
      <w:hyperlink r:id="rId15" w:history="1">
        <w:r w:rsidR="0006135C" w:rsidRPr="0006135C">
          <w:rPr>
            <w:rStyle w:val="Hyperlink"/>
            <w:rFonts w:ascii="David" w:hAnsi="David" w:cs="David"/>
            <w:sz w:val="24"/>
            <w:szCs w:val="24"/>
            <w:rtl/>
          </w:rPr>
          <w:t>סעיף 19א</w:t>
        </w:r>
      </w:hyperlink>
      <w:r>
        <w:rPr>
          <w:rFonts w:ascii="David" w:hAnsi="David" w:cs="David"/>
          <w:sz w:val="24"/>
          <w:szCs w:val="24"/>
          <w:rtl/>
        </w:rPr>
        <w:t xml:space="preserve"> ל</w:t>
      </w:r>
      <w:hyperlink r:id="rId16" w:history="1">
        <w:r w:rsidR="00A273B6" w:rsidRPr="00A273B6">
          <w:rPr>
            <w:rFonts w:ascii="David" w:hAnsi="David" w:cs="David"/>
            <w:color w:val="0000FF"/>
            <w:sz w:val="24"/>
            <w:szCs w:val="24"/>
            <w:u w:val="single"/>
            <w:rtl/>
          </w:rPr>
          <w:t>פקודת הסמים המסוכנים</w:t>
        </w:r>
      </w:hyperlink>
      <w:r>
        <w:rPr>
          <w:rFonts w:ascii="David" w:hAnsi="David" w:cs="David"/>
          <w:sz w:val="24"/>
          <w:szCs w:val="24"/>
          <w:rtl/>
        </w:rPr>
        <w:t>.</w:t>
      </w:r>
    </w:p>
    <w:p w14:paraId="744A696E" w14:textId="77777777" w:rsidR="0009510B" w:rsidRDefault="0009510B" w:rsidP="0009510B">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השלישי, ביום 27.4.20, נפגש הנאשם עם דוד סרף ומכר לו סם מסוכן מסוג קנבוס במשקל של 5 גרם תמורת סכום שאינו ידוע. </w:t>
      </w:r>
    </w:p>
    <w:p w14:paraId="65BB89DC" w14:textId="77777777" w:rsidR="0009510B" w:rsidRDefault="0009510B" w:rsidP="0009510B">
      <w:pPr>
        <w:pStyle w:val="aa"/>
        <w:numPr>
          <w:ilvl w:val="0"/>
          <w:numId w:val="3"/>
        </w:numPr>
        <w:spacing w:after="0" w:line="360" w:lineRule="auto"/>
        <w:jc w:val="both"/>
        <w:rPr>
          <w:rFonts w:ascii="David" w:hAnsi="David" w:cs="David"/>
          <w:b/>
          <w:bCs/>
          <w:sz w:val="24"/>
          <w:szCs w:val="24"/>
          <w:rtl/>
        </w:rPr>
      </w:pPr>
      <w:r>
        <w:rPr>
          <w:rFonts w:ascii="David" w:hAnsi="David" w:cs="David"/>
          <w:b/>
          <w:bCs/>
          <w:sz w:val="24"/>
          <w:szCs w:val="24"/>
          <w:rtl/>
        </w:rPr>
        <w:lastRenderedPageBreak/>
        <w:t xml:space="preserve">באישום הרביעי - </w:t>
      </w:r>
      <w:r>
        <w:rPr>
          <w:rFonts w:ascii="David" w:hAnsi="David" w:cs="David"/>
          <w:sz w:val="24"/>
          <w:szCs w:val="24"/>
          <w:rtl/>
        </w:rPr>
        <w:t xml:space="preserve">בעבירה של סחר בסמים, לפי </w:t>
      </w:r>
      <w:hyperlink r:id="rId17" w:history="1">
        <w:r w:rsidR="0006135C" w:rsidRPr="0006135C">
          <w:rPr>
            <w:rStyle w:val="Hyperlink"/>
            <w:rFonts w:ascii="David" w:hAnsi="David" w:cs="David"/>
            <w:sz w:val="24"/>
            <w:szCs w:val="24"/>
            <w:rtl/>
          </w:rPr>
          <w:t>סעיף 13</w:t>
        </w:r>
      </w:hyperlink>
      <w:r>
        <w:rPr>
          <w:rFonts w:ascii="David" w:hAnsi="David" w:cs="David"/>
          <w:sz w:val="24"/>
          <w:szCs w:val="24"/>
          <w:rtl/>
        </w:rPr>
        <w:t xml:space="preserve"> יחד עם </w:t>
      </w:r>
      <w:hyperlink r:id="rId18" w:history="1">
        <w:r w:rsidR="0006135C" w:rsidRPr="0006135C">
          <w:rPr>
            <w:rStyle w:val="Hyperlink"/>
            <w:rFonts w:ascii="David" w:hAnsi="David" w:cs="David"/>
            <w:sz w:val="24"/>
            <w:szCs w:val="24"/>
            <w:rtl/>
          </w:rPr>
          <w:t>סעיף 19א</w:t>
        </w:r>
      </w:hyperlink>
      <w:r>
        <w:rPr>
          <w:rFonts w:ascii="David" w:hAnsi="David" w:cs="David"/>
          <w:sz w:val="24"/>
          <w:szCs w:val="24"/>
          <w:rtl/>
        </w:rPr>
        <w:t xml:space="preserve"> ל</w:t>
      </w:r>
      <w:hyperlink r:id="rId19" w:history="1">
        <w:r w:rsidR="00A273B6" w:rsidRPr="00A273B6">
          <w:rPr>
            <w:rFonts w:ascii="David" w:hAnsi="David" w:cs="David"/>
            <w:color w:val="0000FF"/>
            <w:sz w:val="24"/>
            <w:szCs w:val="24"/>
            <w:u w:val="single"/>
            <w:rtl/>
          </w:rPr>
          <w:t>פקודת הסמים המסוכנים</w:t>
        </w:r>
      </w:hyperlink>
      <w:r>
        <w:rPr>
          <w:rFonts w:ascii="David" w:hAnsi="David" w:cs="David"/>
          <w:sz w:val="24"/>
          <w:szCs w:val="24"/>
          <w:rtl/>
        </w:rPr>
        <w:t>.</w:t>
      </w:r>
    </w:p>
    <w:p w14:paraId="66A4A226" w14:textId="77777777" w:rsidR="0009510B" w:rsidRDefault="0009510B" w:rsidP="0009510B">
      <w:pPr>
        <w:pStyle w:val="aa"/>
        <w:spacing w:after="0" w:line="360" w:lineRule="auto"/>
        <w:ind w:left="869"/>
        <w:jc w:val="both"/>
        <w:rPr>
          <w:rFonts w:ascii="David" w:hAnsi="David" w:cs="David"/>
          <w:sz w:val="24"/>
          <w:szCs w:val="24"/>
        </w:rPr>
      </w:pPr>
      <w:r>
        <w:rPr>
          <w:rFonts w:ascii="David" w:hAnsi="David" w:cs="David"/>
          <w:sz w:val="24"/>
          <w:szCs w:val="24"/>
          <w:rtl/>
        </w:rPr>
        <w:t>לפי האישום הרביעי, ביום 31.5.20, נפגש הנאשם עם אביב נחום ומכר לו סם בכמות שאינה ידועה תמורת סכום של 500 ₪.</w:t>
      </w:r>
    </w:p>
    <w:p w14:paraId="54ED74DA" w14:textId="77777777" w:rsidR="0009510B" w:rsidRDefault="0009510B" w:rsidP="0009510B">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לפי הסדר הטיעון, נשלח הנאשם לעריכת תסקיר שירות מבחן בעניינו, ללא הסכמה עונשית.</w:t>
      </w:r>
    </w:p>
    <w:p w14:paraId="34A8C25C" w14:textId="77777777" w:rsidR="0009510B" w:rsidRDefault="0009510B" w:rsidP="0009510B">
      <w:pPr>
        <w:pStyle w:val="aa"/>
        <w:spacing w:after="0" w:line="360" w:lineRule="auto"/>
        <w:ind w:left="509"/>
        <w:jc w:val="both"/>
        <w:rPr>
          <w:rFonts w:ascii="David" w:hAnsi="David" w:cs="David"/>
          <w:sz w:val="24"/>
          <w:szCs w:val="24"/>
        </w:rPr>
      </w:pPr>
    </w:p>
    <w:p w14:paraId="4935243B" w14:textId="77777777" w:rsidR="0009510B" w:rsidRDefault="0009510B" w:rsidP="0009510B">
      <w:pPr>
        <w:spacing w:line="360" w:lineRule="auto"/>
        <w:jc w:val="both"/>
        <w:rPr>
          <w:rFonts w:ascii="David" w:hAnsi="David"/>
          <w:b/>
          <w:bCs/>
          <w:u w:val="single"/>
          <w:rtl/>
        </w:rPr>
      </w:pPr>
      <w:r>
        <w:rPr>
          <w:rFonts w:ascii="David" w:hAnsi="David"/>
          <w:b/>
          <w:bCs/>
          <w:u w:val="single"/>
          <w:rtl/>
        </w:rPr>
        <w:t>תסקירי שירות מבחן</w:t>
      </w:r>
    </w:p>
    <w:p w14:paraId="16BBB8FD" w14:textId="77777777" w:rsidR="0009510B" w:rsidRPr="0009510B" w:rsidRDefault="0009510B" w:rsidP="0009510B">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1.11.20, ציין שירות המבחן, כי הנאשם בן 25, רווק, מתגורר בגדרה עם משפחתו. טרם מעצרו עבד כמתקין מערכות אחזקה בחברת מיזוג. הנאשם סיים 12 שנות לימוד ובעל תעודת מקצוע בתחום חשמלאות רכב. הנאשם שירת שירות צבאי מלא כמכונאי רכב. הנאשם תיאר קשר קרוב עם הוריו ואורח חיים יציב ונורמטיבי. הוריו מודעים לכך שהוא צורך סמים אך התקשו להציב גבול ולהוות דמויות סמכותיות. </w:t>
      </w:r>
      <w:r>
        <w:rPr>
          <w:rFonts w:cs="David"/>
          <w:sz w:val="24"/>
          <w:szCs w:val="24"/>
          <w:rtl/>
        </w:rPr>
        <w:t>הנאשם נעדר עבר פלילי ולא נפתחו נגדו תיקים נוספים. הנאשם לוקח אחריות חלקית על ביצוע העבירות. לדבריו, סיפק את הסמים על רקע התרועעות עם חברה שולית וצריכת סמים. הנאשם שלל מכירת סמים ורצון לרווח כלכלי. מאז האירוע ניתק הנאשם קשר עם החברה השולית והפסיק לצרוך סמים. הנאשם מסר, כי החל לצרוך סמים בגיל 21 לאחר שחרורו מהצבא, אולם שלל התמכרות לסמים. הנאשם מסר בדיקת שתן שנמצאה ללא שרידי סם.</w:t>
      </w:r>
    </w:p>
    <w:p w14:paraId="3AB47550" w14:textId="77777777" w:rsidR="0009510B" w:rsidRDefault="0009510B" w:rsidP="0009510B">
      <w:pPr>
        <w:pStyle w:val="aa"/>
        <w:spacing w:after="0" w:line="360" w:lineRule="auto"/>
        <w:ind w:left="509"/>
        <w:jc w:val="both"/>
        <w:rPr>
          <w:rFonts w:cs="David"/>
          <w:sz w:val="24"/>
          <w:szCs w:val="24"/>
        </w:rPr>
      </w:pPr>
      <w:r>
        <w:rPr>
          <w:rFonts w:cs="David"/>
          <w:sz w:val="24"/>
          <w:szCs w:val="24"/>
          <w:rtl/>
        </w:rPr>
        <w:t xml:space="preserve">להתרשמות שירות המבחן, הנאשם נעדר דפוסים שוליים מושרשים והוא מחזיק בשאיפות אישיות ומקצועיות ורצון לנהל אורח חיים נורמטיבי. לצד זאת, עלתה בעייתיות בעמדות שמחזיק הנאשם ביחס לשימוש בסמים וקשריו השוליים. הנאשם הביע נכונות לקחת חלק בהליך טיפולי. מכאן, המליץ שירות המבחן לסיים ההליך בהרשעת הנאשם, ולצד זאת, להטיל עליו צו מבחן למשך שנה וחצי וצו שירות לתועלת הציבור בהיקף של 250 שעות. </w:t>
      </w:r>
    </w:p>
    <w:p w14:paraId="380548C4" w14:textId="77777777" w:rsidR="0009510B" w:rsidRDefault="0009510B" w:rsidP="0009510B">
      <w:pPr>
        <w:pStyle w:val="aa"/>
        <w:numPr>
          <w:ilvl w:val="0"/>
          <w:numId w:val="1"/>
        </w:numPr>
        <w:spacing w:after="0" w:line="360" w:lineRule="auto"/>
        <w:ind w:left="509" w:hanging="509"/>
        <w:jc w:val="both"/>
        <w:rPr>
          <w:rFonts w:cs="David"/>
          <w:b/>
          <w:bCs/>
          <w:sz w:val="24"/>
          <w:szCs w:val="24"/>
          <w:u w:val="single"/>
          <w:rtl/>
        </w:rPr>
      </w:pPr>
      <w:r>
        <w:rPr>
          <w:rFonts w:cs="David"/>
          <w:sz w:val="24"/>
          <w:szCs w:val="24"/>
          <w:rtl/>
        </w:rPr>
        <w:t xml:space="preserve">בתסקיר משלים מיום 18.3.21 הוסיף שירות המבחן, כי הנאשם ממשיך להביע נכונות להשתלב </w:t>
      </w:r>
      <w:r w:rsidR="00A273B6" w:rsidRPr="005F6CF7">
        <w:rPr>
          <w:rFonts w:cs="David" w:hint="cs"/>
          <w:color w:val="000000"/>
          <w:sz w:val="24"/>
          <w:szCs w:val="24"/>
          <w:rtl/>
        </w:rPr>
        <w:t>בקבוצה</w:t>
      </w:r>
      <w:r>
        <w:rPr>
          <w:rFonts w:cs="David"/>
          <w:sz w:val="24"/>
          <w:szCs w:val="24"/>
          <w:rtl/>
        </w:rPr>
        <w:t xml:space="preserve"> טיפולית, אולם עודנו ממתין לקבוצה. הנאשם הופנה ל-4 בדיקות שתן וביצע רק אחת אשר נמצאה ללא שרידי סמים. בתקופת הדחייה לא נפתחו תיקים חדשים נגד הנאשם. מכאן חזר שירות המבחן על המלצתו מיום 1.11.20.</w:t>
      </w:r>
    </w:p>
    <w:p w14:paraId="3DC564B7" w14:textId="77777777" w:rsidR="0009510B" w:rsidRDefault="0009510B" w:rsidP="0009510B">
      <w:pPr>
        <w:pStyle w:val="aa"/>
        <w:spacing w:after="0" w:line="360" w:lineRule="auto"/>
        <w:ind w:left="0"/>
        <w:jc w:val="both"/>
        <w:rPr>
          <w:rFonts w:cs="David"/>
          <w:b/>
          <w:bCs/>
          <w:sz w:val="24"/>
          <w:szCs w:val="24"/>
          <w:u w:val="single"/>
        </w:rPr>
      </w:pPr>
    </w:p>
    <w:p w14:paraId="58B58E54" w14:textId="77777777" w:rsidR="0009510B" w:rsidRDefault="0009510B" w:rsidP="0009510B">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48222227" w14:textId="77777777" w:rsidR="0009510B" w:rsidRDefault="0009510B" w:rsidP="0009510B">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כי לא מתקיימים התנאים לביטול הרשעתו של הנאשם, וזאת בשים לב לחומרת העבירות, היעדר הליך שיקומי ממשי ואי הנחת תשתית בדבר פגיעה קונקרטית.</w:t>
      </w:r>
    </w:p>
    <w:p w14:paraId="608512C0"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לטענתה, כתוצאה מביצוע העבירות בהן הורשע הנאשם נפגעו הערכים החברתיים של הגנה על שלום הציבור מפני נגע הסמים המחולל פשיעה על כל גווניה וכן הגנה על צרכני הסמים. עוד טענה, כי מידת הפגיעה בערכים החברתיים היא גבוהה בשים לב למספר ההזדמנויות בהם מכר הנאשם סמים תמורת בצע כסף במשך תקופה בלתי מבוטלת, משקל הסמים והתמורה שקיבל הנאשם.</w:t>
      </w:r>
    </w:p>
    <w:p w14:paraId="6C2D2EC2"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lastRenderedPageBreak/>
        <w:t>מכאן טענה, כי מתחם העונש ההולם את העבירות מושא כתב האישום נע בין מאסר לתקופה של 8 חודשים ובין מאסר לתקופה של 18 חודשים.</w:t>
      </w:r>
    </w:p>
    <w:p w14:paraId="1C67AE9B"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w:t>
      </w:r>
      <w:r w:rsidR="00A273B6" w:rsidRPr="005F6CF7">
        <w:rPr>
          <w:rFonts w:cs="David" w:hint="cs"/>
          <w:color w:val="000000"/>
          <w:sz w:val="24"/>
          <w:szCs w:val="24"/>
          <w:rtl/>
        </w:rPr>
        <w:t>בקביעת</w:t>
      </w:r>
      <w:r>
        <w:rPr>
          <w:rFonts w:cs="David"/>
          <w:sz w:val="24"/>
          <w:szCs w:val="24"/>
          <w:rtl/>
        </w:rPr>
        <w:t xml:space="preserve"> העונש ההולם בתוך המתחם יש לקחת בחשבון את הנסיבות הבאות שאינן קשורות בביצוע העבירות: הנאשם הודה במיוחס לו, נטל אחריות על מעשיו וחסך בזמן שיפוטי; הנאשם נעדר עבר פלילי; מהתסקיר עולה, כי הנאשם נטל אחריות חלקית בלבד, הפגין עמדות מקלות ביחס לשימוש בסמים והוא חסר מודעות לסיכון הגלום בשימוש וממזער מרמת החומרה. </w:t>
      </w:r>
    </w:p>
    <w:p w14:paraId="50A239F6"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טענה כי אין להיעתר להמלצת שירות המבחן ואין בתסקיר האחרון כדי לשנות מעמדת התביעה. מכאן עתרה להטיל על הנאשם מאסר לתקופה של 10 חודשים, מאסר על תנאי, קנס ופסילת רישיון בפועל ועל תנאי.</w:t>
      </w:r>
    </w:p>
    <w:p w14:paraId="7A968168"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באת כוח הנאשם טענה, לעומת זאת,  כי יש לבטל את הרשעתו של הנאשם.</w:t>
      </w:r>
    </w:p>
    <w:p w14:paraId="7AEF7A53"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לטענתה, הנאשם מכר סמים קלים במשקל 6 גרם בלבד בשלוש הזדמנויות. </w:t>
      </w:r>
    </w:p>
    <w:p w14:paraId="5034B29E"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יש לקחת בחשבון את הנסיבות הבאות שאינן קשורות בביצוע העבירות: הנאשם הודה במיוחס לו וחסך בשמיעת עדויות; הנאשם סיים 12 שנות לימוד וגדל במשפחה נורמטיבית התומכת בו; הנאשם נעדר עבר פלילי ולא נפתחו בזמן שחלף תיקים חדשים לחובתו; הנאשם מסר בדיקות שתן שנמצאו ללא שרידי סמים; הנאשם נשא במחיר מעשיו והוא מעוניין להתחיל להשתקם ולחזור למעגל העבודה;</w:t>
      </w:r>
      <w:r>
        <w:rPr>
          <w:rFonts w:cs="David"/>
          <w:b/>
          <w:bCs/>
          <w:sz w:val="24"/>
          <w:szCs w:val="24"/>
          <w:rtl/>
        </w:rPr>
        <w:t xml:space="preserve"> </w:t>
      </w:r>
      <w:r>
        <w:rPr>
          <w:rFonts w:cs="David"/>
          <w:sz w:val="24"/>
          <w:szCs w:val="24"/>
          <w:rtl/>
        </w:rPr>
        <w:t>לא תיגרם כל תועלת מהטלת מאסר בדרך של עבודות שירות.</w:t>
      </w:r>
    </w:p>
    <w:p w14:paraId="10B549F8"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לטענת באת כוח הנאשם, הלה לא החל בטיפול משום שהיה בבידוד וכן בשל תקופת הקורונה.  עוד טענה, כי הנאשם נתון בחרדות בשל ההליך הפלילי.</w:t>
      </w:r>
    </w:p>
    <w:p w14:paraId="15E35828"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כי יש לסיים ההליך ללא הרשעה גם משום שהיה מעסיק שהיה נכון להחזירו לעבודה אם תבוטל הרשעתו. היום אין הנאשם עובד.</w:t>
      </w:r>
    </w:p>
    <w:p w14:paraId="4DB9BEB0"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הנאשם לסיים ההליך ללא הרשעת הנאשם, ולהטיל עליו צו שירות לתועלת הציבור כהמלצת שירות המבחן.</w:t>
      </w:r>
    </w:p>
    <w:p w14:paraId="69D53CB4" w14:textId="77777777" w:rsidR="0009510B" w:rsidRDefault="0009510B" w:rsidP="0009510B">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הנאשם מסר בדברו האחרון, כי הוא מבין את השלכות מעשיו ומתחרט עליהם.  </w:t>
      </w:r>
    </w:p>
    <w:p w14:paraId="3486AC45" w14:textId="77777777" w:rsidR="0009510B" w:rsidRDefault="0009510B" w:rsidP="0009510B">
      <w:pPr>
        <w:spacing w:before="120" w:after="120"/>
        <w:ind w:left="-58"/>
        <w:jc w:val="both"/>
      </w:pPr>
    </w:p>
    <w:p w14:paraId="2D8B959B" w14:textId="77777777" w:rsidR="0009510B" w:rsidRDefault="0009510B" w:rsidP="0009510B">
      <w:pPr>
        <w:spacing w:before="120" w:after="120"/>
        <w:ind w:left="-58"/>
        <w:jc w:val="both"/>
        <w:rPr>
          <w:b/>
          <w:bCs/>
          <w:u w:val="single"/>
          <w:rtl/>
        </w:rPr>
      </w:pPr>
      <w:r>
        <w:rPr>
          <w:b/>
          <w:bCs/>
          <w:u w:val="single"/>
          <w:rtl/>
        </w:rPr>
        <w:t>דיון והכרעה</w:t>
      </w:r>
    </w:p>
    <w:p w14:paraId="5EF71A2C" w14:textId="77777777" w:rsidR="0009510B" w:rsidRDefault="0009510B" w:rsidP="0009510B">
      <w:pPr>
        <w:pStyle w:val="aa"/>
        <w:numPr>
          <w:ilvl w:val="0"/>
          <w:numId w:val="1"/>
        </w:numPr>
        <w:spacing w:before="120" w:after="120" w:line="360" w:lineRule="auto"/>
        <w:ind w:left="509" w:hanging="567"/>
        <w:jc w:val="both"/>
        <w:rPr>
          <w:rFonts w:cs="David"/>
          <w:sz w:val="24"/>
          <w:szCs w:val="24"/>
          <w:u w:val="single"/>
          <w:rtl/>
        </w:rPr>
      </w:pPr>
      <w:r>
        <w:rPr>
          <w:rFonts w:cs="David"/>
          <w:sz w:val="24"/>
          <w:szCs w:val="24"/>
          <w:rtl/>
        </w:rPr>
        <w:t>תחילה לשאלת הרשעתו של הנאשם.</w:t>
      </w:r>
    </w:p>
    <w:p w14:paraId="48B3F309" w14:textId="77777777" w:rsidR="0009510B" w:rsidRDefault="0009510B" w:rsidP="0009510B">
      <w:pPr>
        <w:pStyle w:val="aa"/>
        <w:numPr>
          <w:ilvl w:val="0"/>
          <w:numId w:val="1"/>
        </w:numPr>
        <w:spacing w:before="120" w:after="120" w:line="360" w:lineRule="auto"/>
        <w:ind w:left="509" w:hanging="567"/>
        <w:jc w:val="both"/>
        <w:rPr>
          <w:rFonts w:cs="David"/>
          <w:sz w:val="24"/>
          <w:szCs w:val="24"/>
          <w:u w:val="single"/>
          <w:rtl/>
        </w:rPr>
      </w:pPr>
      <w:r>
        <w:rPr>
          <w:rFonts w:cs="David"/>
          <w:sz w:val="24"/>
          <w:szCs w:val="24"/>
          <w:rtl/>
        </w:rPr>
        <w:t>כידוע, בעניינו של בגיר, ההרשעה היא הכלל וביטולה הוא החריג, וזאת בהתאם להלכה אשר נקבעה זה מכבר ב</w:t>
      </w:r>
      <w:hyperlink r:id="rId20" w:history="1">
        <w:r w:rsidR="00A273B6" w:rsidRPr="00A273B6">
          <w:rPr>
            <w:rFonts w:cs="David" w:hint="cs"/>
            <w:color w:val="0000FF"/>
            <w:sz w:val="24"/>
            <w:szCs w:val="24"/>
            <w:u w:val="single"/>
            <w:rtl/>
          </w:rPr>
          <w:t>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2083/96</w:t>
        </w:r>
      </w:hyperlink>
      <w:r>
        <w:rPr>
          <w:rFonts w:cs="David"/>
          <w:sz w:val="24"/>
          <w:szCs w:val="24"/>
          <w:rtl/>
        </w:rPr>
        <w:t xml:space="preserve"> </w:t>
      </w:r>
      <w:r>
        <w:rPr>
          <w:rFonts w:cs="David"/>
          <w:b/>
          <w:bCs/>
          <w:sz w:val="24"/>
          <w:szCs w:val="24"/>
          <w:rtl/>
        </w:rPr>
        <w:t>כתב נ' מדינת ישראל</w:t>
      </w:r>
      <w:r>
        <w:rPr>
          <w:rFonts w:cs="David"/>
          <w:sz w:val="24"/>
          <w:szCs w:val="24"/>
          <w:rtl/>
        </w:rPr>
        <w:t xml:space="preserve">, פ"ד נב(3) 337 (1997). בית המשפט העליון קבע שלושה תנאים מצטברים לסיום הליך ללא הרשעה: האחד, סוג העבירה מאפשר לוותר בנסיבות המקרה המסוים על ההרשעה מבלי לפגוע באופן מהותי בשיקולי ענישה אחרים; השני, ההרשעה תפגע פגיעה חמורה בשיקום הנאשם (ראו גם: </w:t>
      </w:r>
      <w:hyperlink r:id="rId21" w:history="1">
        <w:r w:rsidR="00A273B6" w:rsidRPr="00A273B6">
          <w:rPr>
            <w:rFonts w:cs="David" w:hint="cs"/>
            <w:color w:val="0000FF"/>
            <w:sz w:val="24"/>
            <w:szCs w:val="24"/>
            <w:u w:val="single"/>
            <w:rtl/>
          </w:rPr>
          <w:t>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8528/12</w:t>
        </w:r>
      </w:hyperlink>
      <w:r>
        <w:rPr>
          <w:rFonts w:cs="David"/>
          <w:sz w:val="24"/>
          <w:szCs w:val="24"/>
          <w:rtl/>
        </w:rPr>
        <w:t xml:space="preserve"> </w:t>
      </w:r>
      <w:r>
        <w:rPr>
          <w:rFonts w:cs="David"/>
          <w:b/>
          <w:bCs/>
          <w:sz w:val="24"/>
          <w:szCs w:val="24"/>
          <w:rtl/>
        </w:rPr>
        <w:t>צפורה נ' מדינת ישראל</w:t>
      </w:r>
      <w:r>
        <w:rPr>
          <w:rFonts w:cs="David"/>
          <w:sz w:val="24"/>
          <w:szCs w:val="24"/>
          <w:rtl/>
        </w:rPr>
        <w:t xml:space="preserve"> (3.3.13); </w:t>
      </w:r>
      <w:hyperlink r:id="rId22"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9118/12</w:t>
        </w:r>
      </w:hyperlink>
      <w:r>
        <w:rPr>
          <w:rFonts w:cs="David"/>
          <w:sz w:val="24"/>
          <w:szCs w:val="24"/>
          <w:rtl/>
        </w:rPr>
        <w:t xml:space="preserve"> </w:t>
      </w:r>
      <w:r>
        <w:rPr>
          <w:rFonts w:cs="David"/>
          <w:b/>
          <w:bCs/>
          <w:sz w:val="24"/>
          <w:szCs w:val="24"/>
          <w:rtl/>
        </w:rPr>
        <w:t>פריגין נ' מדינת ישראל</w:t>
      </w:r>
      <w:r>
        <w:rPr>
          <w:rFonts w:cs="David"/>
          <w:sz w:val="24"/>
          <w:szCs w:val="24"/>
          <w:rtl/>
        </w:rPr>
        <w:t xml:space="preserve">  (1.1.13); </w:t>
      </w:r>
      <w:hyperlink r:id="rId23" w:history="1">
        <w:r w:rsidR="00A273B6" w:rsidRPr="00A273B6">
          <w:rPr>
            <w:rFonts w:cs="David" w:hint="cs"/>
            <w:color w:val="0000FF"/>
            <w:sz w:val="24"/>
            <w:szCs w:val="24"/>
            <w:u w:val="single"/>
            <w:rtl/>
          </w:rPr>
          <w:t>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5102/03</w:t>
        </w:r>
      </w:hyperlink>
      <w:r>
        <w:rPr>
          <w:rFonts w:cs="David"/>
          <w:sz w:val="24"/>
          <w:szCs w:val="24"/>
          <w:rtl/>
        </w:rPr>
        <w:t xml:space="preserve"> </w:t>
      </w:r>
      <w:r>
        <w:rPr>
          <w:rFonts w:cs="David"/>
          <w:b/>
          <w:bCs/>
          <w:sz w:val="24"/>
          <w:szCs w:val="24"/>
          <w:rtl/>
        </w:rPr>
        <w:t>מדינת ישראל נ' קליין</w:t>
      </w:r>
      <w:r>
        <w:rPr>
          <w:rFonts w:cs="David"/>
          <w:sz w:val="24"/>
          <w:szCs w:val="24"/>
          <w:rtl/>
        </w:rPr>
        <w:t xml:space="preserve"> (4.9.09); </w:t>
      </w:r>
      <w:hyperlink r:id="rId24" w:history="1">
        <w:r w:rsidR="00A273B6" w:rsidRPr="00A273B6">
          <w:rPr>
            <w:rFonts w:cs="David" w:hint="cs"/>
            <w:color w:val="0000FF"/>
            <w:sz w:val="24"/>
            <w:szCs w:val="24"/>
            <w:u w:val="single"/>
            <w:rtl/>
          </w:rPr>
          <w:t>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9893/06</w:t>
        </w:r>
      </w:hyperlink>
      <w:r>
        <w:rPr>
          <w:rFonts w:cs="David"/>
          <w:sz w:val="24"/>
          <w:szCs w:val="24"/>
          <w:rtl/>
        </w:rPr>
        <w:t xml:space="preserve"> </w:t>
      </w:r>
      <w:r>
        <w:rPr>
          <w:rFonts w:cs="David"/>
          <w:b/>
          <w:bCs/>
          <w:sz w:val="24"/>
          <w:szCs w:val="24"/>
          <w:rtl/>
        </w:rPr>
        <w:t>לאופר נ' מדינת ישראל</w:t>
      </w:r>
      <w:r>
        <w:rPr>
          <w:rFonts w:cs="David"/>
          <w:sz w:val="24"/>
          <w:szCs w:val="24"/>
          <w:rtl/>
        </w:rPr>
        <w:t xml:space="preserve"> (31.12.07); השלישי, עלה בידי הנאשם להראות כי הותרת ההרשעה על כנה תפגע בו באופן קונקרטי וממשי (</w:t>
      </w:r>
      <w:hyperlink r:id="rId25"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5018/18</w:t>
        </w:r>
      </w:hyperlink>
      <w:r>
        <w:rPr>
          <w:rFonts w:cs="David"/>
          <w:sz w:val="24"/>
          <w:szCs w:val="24"/>
          <w:rtl/>
        </w:rPr>
        <w:t xml:space="preserve"> </w:t>
      </w:r>
      <w:r>
        <w:rPr>
          <w:rFonts w:cs="David"/>
          <w:b/>
          <w:bCs/>
          <w:sz w:val="24"/>
          <w:szCs w:val="24"/>
          <w:rtl/>
        </w:rPr>
        <w:t>בוזגלו נ' מדינת ישראל,</w:t>
      </w:r>
      <w:r>
        <w:rPr>
          <w:rFonts w:cs="David"/>
          <w:sz w:val="24"/>
          <w:szCs w:val="24"/>
          <w:rtl/>
        </w:rPr>
        <w:t xml:space="preserve"> בפסקה 9 (21.10.18); </w:t>
      </w:r>
      <w:hyperlink r:id="rId26"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1097/18</w:t>
        </w:r>
      </w:hyperlink>
      <w:r>
        <w:rPr>
          <w:rFonts w:cs="David"/>
          <w:sz w:val="24"/>
          <w:szCs w:val="24"/>
          <w:rtl/>
        </w:rPr>
        <w:t xml:space="preserve"> </w:t>
      </w:r>
      <w:r>
        <w:rPr>
          <w:rFonts w:cs="David"/>
          <w:b/>
          <w:bCs/>
          <w:sz w:val="24"/>
          <w:szCs w:val="24"/>
          <w:rtl/>
        </w:rPr>
        <w:t>בצלאל נ' מדינת ישראל</w:t>
      </w:r>
      <w:r>
        <w:rPr>
          <w:rFonts w:cs="David"/>
          <w:sz w:val="24"/>
          <w:szCs w:val="24"/>
          <w:rtl/>
        </w:rPr>
        <w:t xml:space="preserve">, בפסקה 9 (18.4.18); </w:t>
      </w:r>
      <w:hyperlink r:id="rId27"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2180/14</w:t>
        </w:r>
      </w:hyperlink>
      <w:r>
        <w:rPr>
          <w:rFonts w:cs="David"/>
          <w:sz w:val="24"/>
          <w:szCs w:val="24"/>
          <w:rtl/>
        </w:rPr>
        <w:t xml:space="preserve"> </w:t>
      </w:r>
      <w:r>
        <w:rPr>
          <w:rFonts w:cs="David"/>
          <w:b/>
          <w:bCs/>
          <w:sz w:val="24"/>
          <w:szCs w:val="24"/>
          <w:rtl/>
        </w:rPr>
        <w:t>שמואלי נ' מדינת ישראל</w:t>
      </w:r>
      <w:r>
        <w:rPr>
          <w:rFonts w:cs="David"/>
          <w:sz w:val="24"/>
          <w:szCs w:val="24"/>
          <w:rtl/>
        </w:rPr>
        <w:t xml:space="preserve"> (24.4.14); </w:t>
      </w:r>
      <w:hyperlink r:id="rId28"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1439/13</w:t>
        </w:r>
      </w:hyperlink>
      <w:r>
        <w:rPr>
          <w:rFonts w:cs="David"/>
          <w:sz w:val="24"/>
          <w:szCs w:val="24"/>
          <w:rtl/>
        </w:rPr>
        <w:t xml:space="preserve"> </w:t>
      </w:r>
      <w:r>
        <w:rPr>
          <w:rFonts w:cs="David"/>
          <w:b/>
          <w:bCs/>
          <w:sz w:val="24"/>
          <w:szCs w:val="24"/>
          <w:rtl/>
        </w:rPr>
        <w:t>קשת נ' מדינת ישראל</w:t>
      </w:r>
      <w:r>
        <w:rPr>
          <w:rFonts w:cs="David"/>
          <w:sz w:val="24"/>
          <w:szCs w:val="24"/>
          <w:rtl/>
        </w:rPr>
        <w:t xml:space="preserve"> (4.3.13); </w:t>
      </w:r>
      <w:hyperlink r:id="rId29" w:history="1">
        <w:r w:rsidR="00A273B6" w:rsidRPr="00A273B6">
          <w:rPr>
            <w:rFonts w:cs="David" w:hint="cs"/>
            <w:color w:val="0000FF"/>
            <w:sz w:val="24"/>
            <w:szCs w:val="24"/>
            <w:u w:val="single"/>
            <w:rtl/>
          </w:rPr>
          <w:t>רע</w:t>
        </w:r>
        <w:r w:rsidR="00A273B6" w:rsidRPr="00A273B6">
          <w:rPr>
            <w:rFonts w:cs="David"/>
            <w:color w:val="0000FF"/>
            <w:sz w:val="24"/>
            <w:szCs w:val="24"/>
            <w:u w:val="single"/>
            <w:rtl/>
          </w:rPr>
          <w:t>"</w:t>
        </w:r>
        <w:r w:rsidR="00A273B6" w:rsidRPr="00A273B6">
          <w:rPr>
            <w:rFonts w:cs="David" w:hint="cs"/>
            <w:color w:val="0000FF"/>
            <w:sz w:val="24"/>
            <w:szCs w:val="24"/>
            <w:u w:val="single"/>
            <w:rtl/>
          </w:rPr>
          <w:t>פ</w:t>
        </w:r>
        <w:r w:rsidR="00A273B6" w:rsidRPr="00A273B6">
          <w:rPr>
            <w:rFonts w:cs="David"/>
            <w:color w:val="0000FF"/>
            <w:sz w:val="24"/>
            <w:szCs w:val="24"/>
            <w:u w:val="single"/>
            <w:rtl/>
          </w:rPr>
          <w:t xml:space="preserve"> 8627/12</w:t>
        </w:r>
      </w:hyperlink>
      <w:r>
        <w:rPr>
          <w:rFonts w:cs="David"/>
          <w:sz w:val="24"/>
          <w:szCs w:val="24"/>
          <w:rtl/>
        </w:rPr>
        <w:t xml:space="preserve"> </w:t>
      </w:r>
      <w:r>
        <w:rPr>
          <w:rFonts w:cs="David"/>
          <w:b/>
          <w:bCs/>
          <w:sz w:val="24"/>
          <w:szCs w:val="24"/>
          <w:rtl/>
        </w:rPr>
        <w:t>הנסב נ' מדינת ישראל</w:t>
      </w:r>
      <w:r>
        <w:rPr>
          <w:rFonts w:cs="David"/>
          <w:sz w:val="24"/>
          <w:szCs w:val="24"/>
          <w:rtl/>
        </w:rPr>
        <w:t xml:space="preserve"> (31.12.12)).</w:t>
      </w:r>
    </w:p>
    <w:p w14:paraId="3A7F6D12"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ראשית, לנסיבות ביצוע העבירה – הנאשם סחר בשלוש הזדמנויות בסם מסוג קנבוס במשקל של מספר גרמים בודדים, בכל פעם. אכן, אין מדובר בעבירות סמים ברף גבוה, נוכח סוג הסמים ומשקלם, אולם, גם לא ניתן להמעיט מחומרת העבירות ואין מדובר במקרה חד פעמי או במשקל מינימאלי. מכאן, שבנסיבות דומות, סיום הליך ללא הרשעה שמור אך למקרים בהם ניתן להוכיח פגיעה ממשית בהליך שיקומי נזק קונקרטי ברמת ודאות גבוהה. </w:t>
      </w:r>
    </w:p>
    <w:p w14:paraId="45882C59" w14:textId="77777777" w:rsidR="0009510B" w:rsidRDefault="0009510B" w:rsidP="0009510B">
      <w:pPr>
        <w:pStyle w:val="aa"/>
        <w:numPr>
          <w:ilvl w:val="0"/>
          <w:numId w:val="1"/>
        </w:numPr>
        <w:spacing w:before="120" w:after="120" w:line="360" w:lineRule="auto"/>
        <w:ind w:left="509" w:hanging="567"/>
        <w:jc w:val="both"/>
        <w:rPr>
          <w:rFonts w:cs="David"/>
          <w:sz w:val="24"/>
          <w:szCs w:val="24"/>
          <w:rtl/>
        </w:rPr>
      </w:pPr>
      <w:r>
        <w:rPr>
          <w:rFonts w:cs="David"/>
          <w:sz w:val="24"/>
          <w:szCs w:val="24"/>
          <w:rtl/>
        </w:rPr>
        <w:t>שנית, לשיקומו של הנאשם – רוב רובן של הנסיבות האישיות עומדות לזכותו של הנאשם, אשר הודה במיוחס לו, נטל אחריות על מעשיו, הביע חרטה וחסך בזמן שיפוטי. הנאשם נעדר עבר פלילי וזו הסתבכותו הראשונה עם רשויות החוק; עם זאת, הנאשם טרם נרתם להליך שיקומי ולא ניתן לומר כי הרשעתו תפגע בשיקומו. אכן, חלק מהקושי להירתם לטיפול נובע מקשיים הנוגעים לתקופת הקורונה ואף מבידוד בו שהה הנאשם. עם זאת, בסופו של דבר הנאשם טרם נרתם להליך שיקומי וגם שירות המבחן לא המליץ לסיים ההליך ללא הרשעה, אלא סבר שיש בהרשעה כדי להציב גבול והרתעה.</w:t>
      </w:r>
    </w:p>
    <w:p w14:paraId="141A1FE3"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שלישית, לעניין הנזק הקונקרטי – הנאשם עבד בחברת אלקטרה כמתקין מזגנים, אולם הוא כבר אינו עובד בעבודה זו. גם לא הונחה תשתית ממשית, למעט אמירות בעלמה, כי ההרשעה תפגע באפשרויות התעסוקה של הנאשם, בין במסגרת חברת אלקטרה ובין במסגרות תעסוקתיות אחרות.</w:t>
      </w:r>
    </w:p>
    <w:p w14:paraId="4945FADE" w14:textId="77777777" w:rsidR="0009510B" w:rsidRP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הנה כי כן, נוכח חומרתן של העבירות, היעדר הליך שיקומי והיעדר פגיעה קונקרטית, לא מתקיימים התנאים החריגים לסיום הליך ללא הרשעה, וזאת למרות נסיבותיו האישיות של הנאשם ונכונותו להירתם להליך שיקום. </w:t>
      </w:r>
    </w:p>
    <w:p w14:paraId="1CB5E15B"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מכאן, כי לא מתקיימים התנאים החריגים לסיום ההליך ללא הרשעתו של הנאשם.</w:t>
      </w:r>
    </w:p>
    <w:p w14:paraId="08931736" w14:textId="77777777" w:rsidR="0009510B" w:rsidRDefault="0009510B" w:rsidP="0009510B">
      <w:pPr>
        <w:pStyle w:val="aa"/>
        <w:spacing w:before="120" w:after="120" w:line="360" w:lineRule="auto"/>
        <w:ind w:left="509"/>
        <w:jc w:val="both"/>
        <w:rPr>
          <w:rFonts w:cs="David"/>
          <w:sz w:val="24"/>
          <w:szCs w:val="24"/>
        </w:rPr>
      </w:pPr>
    </w:p>
    <w:p w14:paraId="0DEE1A1C" w14:textId="77777777" w:rsidR="0009510B" w:rsidRPr="00ED2EAA" w:rsidRDefault="0009510B" w:rsidP="0009510B">
      <w:pPr>
        <w:spacing w:before="120" w:after="120"/>
        <w:ind w:left="-58"/>
        <w:jc w:val="both"/>
        <w:rPr>
          <w:b/>
          <w:bCs/>
          <w:u w:val="single"/>
        </w:rPr>
      </w:pPr>
      <w:r w:rsidRPr="00ED2EAA">
        <w:rPr>
          <w:b/>
          <w:bCs/>
          <w:u w:val="single"/>
          <w:rtl/>
        </w:rPr>
        <w:t>קביעת מתחם הענישה</w:t>
      </w:r>
    </w:p>
    <w:p w14:paraId="026C4D16" w14:textId="77777777" w:rsidR="0009510B" w:rsidRDefault="0009510B" w:rsidP="0009510B">
      <w:pPr>
        <w:pStyle w:val="aa"/>
        <w:numPr>
          <w:ilvl w:val="0"/>
          <w:numId w:val="1"/>
        </w:numPr>
        <w:spacing w:before="120" w:after="120" w:line="360" w:lineRule="auto"/>
        <w:ind w:left="509" w:hanging="567"/>
        <w:jc w:val="both"/>
        <w:rPr>
          <w:rFonts w:cs="David"/>
          <w:sz w:val="24"/>
          <w:szCs w:val="24"/>
          <w:rtl/>
        </w:rPr>
      </w:pPr>
      <w:r>
        <w:rPr>
          <w:rFonts w:cs="David"/>
          <w:sz w:val="24"/>
          <w:szCs w:val="24"/>
          <w:rtl/>
        </w:rPr>
        <w:t>נוכח מבחן הקשר ההדוק, ומשלא הועלו טענות לעניין זה, יקבע מתחם אחד לכל האישומים.</w:t>
      </w:r>
    </w:p>
    <w:p w14:paraId="0FD5FF37" w14:textId="77777777" w:rsidR="0009510B" w:rsidRDefault="00A273B6" w:rsidP="0009510B">
      <w:pPr>
        <w:pStyle w:val="aa"/>
        <w:numPr>
          <w:ilvl w:val="0"/>
          <w:numId w:val="1"/>
        </w:numPr>
        <w:spacing w:before="120" w:after="120" w:line="360" w:lineRule="auto"/>
        <w:ind w:left="509" w:hanging="567"/>
        <w:jc w:val="both"/>
        <w:rPr>
          <w:rFonts w:cs="David"/>
          <w:sz w:val="24"/>
          <w:szCs w:val="24"/>
        </w:rPr>
      </w:pPr>
      <w:r w:rsidRPr="005F6CF7">
        <w:rPr>
          <w:rFonts w:cs="David" w:hint="cs"/>
          <w:color w:val="000000"/>
          <w:sz w:val="24"/>
          <w:szCs w:val="24"/>
          <w:rtl/>
        </w:rPr>
        <w:t>בקביעת</w:t>
      </w:r>
      <w:r w:rsidR="0009510B">
        <w:rPr>
          <w:rFonts w:cs="David"/>
          <w:sz w:val="24"/>
          <w:szCs w:val="24"/>
          <w:rtl/>
        </w:rPr>
        <w:t xml:space="preserve"> מתחם העונש ההולם את מעשי העבירות אותן ביצע הנאשם יתחשב בית המשפט </w:t>
      </w:r>
      <w:r w:rsidR="0009510B">
        <w:rPr>
          <w:rFonts w:cs="David"/>
          <w:b/>
          <w:bCs/>
          <w:sz w:val="24"/>
          <w:szCs w:val="24"/>
          <w:rtl/>
        </w:rPr>
        <w:t>בערך החברתי</w:t>
      </w:r>
      <w:r w:rsidR="0009510B">
        <w:rPr>
          <w:rFonts w:cs="David"/>
          <w:sz w:val="24"/>
          <w:szCs w:val="24"/>
          <w:rtl/>
        </w:rPr>
        <w:t xml:space="preserve"> הנפגע מביצוע העבירות, </w:t>
      </w:r>
      <w:r w:rsidR="0009510B">
        <w:rPr>
          <w:rFonts w:cs="David"/>
          <w:b/>
          <w:bCs/>
          <w:sz w:val="24"/>
          <w:szCs w:val="24"/>
          <w:rtl/>
        </w:rPr>
        <w:t>במידת הפגיעה בו,</w:t>
      </w:r>
      <w:r w:rsidR="0009510B">
        <w:rPr>
          <w:rFonts w:cs="David"/>
          <w:sz w:val="24"/>
          <w:szCs w:val="24"/>
          <w:rtl/>
        </w:rPr>
        <w:t xml:space="preserve"> </w:t>
      </w:r>
      <w:r w:rsidR="0009510B">
        <w:rPr>
          <w:rFonts w:cs="David"/>
          <w:b/>
          <w:bCs/>
          <w:sz w:val="24"/>
          <w:szCs w:val="24"/>
          <w:rtl/>
        </w:rPr>
        <w:t>במדיניות הענישה</w:t>
      </w:r>
      <w:r w:rsidR="0009510B">
        <w:rPr>
          <w:rFonts w:cs="David"/>
          <w:sz w:val="24"/>
          <w:szCs w:val="24"/>
          <w:rtl/>
        </w:rPr>
        <w:t xml:space="preserve"> הנהוגה </w:t>
      </w:r>
      <w:r w:rsidR="0009510B">
        <w:rPr>
          <w:rFonts w:cs="David"/>
          <w:b/>
          <w:bCs/>
          <w:sz w:val="24"/>
          <w:szCs w:val="24"/>
          <w:rtl/>
        </w:rPr>
        <w:t>ובנסיבות הקשורות בביצוע העבירות</w:t>
      </w:r>
      <w:r w:rsidR="0009510B">
        <w:rPr>
          <w:rFonts w:cs="David"/>
          <w:sz w:val="24"/>
          <w:szCs w:val="24"/>
          <w:rtl/>
        </w:rPr>
        <w:t>.</w:t>
      </w:r>
    </w:p>
    <w:p w14:paraId="1FAC99A2"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במעשיו פגע הנאשם בערכים החברתיים של הגנה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w:t>
      </w:r>
    </w:p>
    <w:p w14:paraId="3B8E8C41"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הפגיעה בערכים החברתיים כתוצאה מביצוע העבירות מושא כתב האישום היא נמוכה עד בינונית. הנאשם מכר סמים מסוג קנבוס בשלוש הזדמנויות, ובכל אחת מהמכירות מדובר  במשקל של גרם עד חמישה גרם.</w:t>
      </w:r>
    </w:p>
    <w:p w14:paraId="66A7807D"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 xml:space="preserve">על מדיניות הענישה המקובלת והנוהגת ביחס למספר קטן של עבירות סחר בסמים מסוג קנבוס במשקלים דומים,  ניתן ללמוד מהפסיקה שלהלן: </w:t>
      </w:r>
    </w:p>
    <w:p w14:paraId="42F9244F"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0" w:history="1">
        <w:r w:rsidRPr="00A273B6">
          <w:rPr>
            <w:rFonts w:ascii="David" w:hAnsi="David" w:cs="David"/>
            <w:color w:val="0000FF"/>
            <w:sz w:val="24"/>
            <w:szCs w:val="24"/>
            <w:u w:val="single"/>
            <w:rtl/>
          </w:rPr>
          <w:t>רע"פ 5712/16</w:t>
        </w:r>
      </w:hyperlink>
      <w:r w:rsidR="0009510B">
        <w:rPr>
          <w:rFonts w:ascii="David" w:hAnsi="David" w:cs="David"/>
          <w:b/>
          <w:bCs/>
          <w:sz w:val="24"/>
          <w:szCs w:val="24"/>
          <w:rtl/>
        </w:rPr>
        <w:t xml:space="preserve"> אייזנבאך נ' מדינת ישראל</w:t>
      </w:r>
      <w:r w:rsidR="0009510B">
        <w:rPr>
          <w:rFonts w:ascii="David" w:hAnsi="David" w:cs="David"/>
          <w:sz w:val="24"/>
          <w:szCs w:val="24"/>
          <w:rtl/>
        </w:rPr>
        <w:t xml:space="preserve"> (17.8.16)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המשפט העליון דחה את </w:t>
      </w:r>
      <w:r w:rsidRPr="005F6CF7">
        <w:rPr>
          <w:rFonts w:ascii="David" w:hAnsi="David" w:cs="David"/>
          <w:color w:val="000000"/>
          <w:sz w:val="24"/>
          <w:szCs w:val="24"/>
          <w:rtl/>
        </w:rPr>
        <w:t>בקשתו</w:t>
      </w:r>
      <w:r w:rsidR="0009510B">
        <w:rPr>
          <w:rFonts w:ascii="David" w:hAnsi="David" w:cs="David"/>
          <w:sz w:val="24"/>
          <w:szCs w:val="24"/>
          <w:rtl/>
        </w:rPr>
        <w:t xml:space="preserve"> של הנאשם להרשות ערעור;</w:t>
      </w:r>
    </w:p>
    <w:p w14:paraId="6AF2CFED"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1" w:history="1">
        <w:r w:rsidRPr="00A273B6">
          <w:rPr>
            <w:rFonts w:ascii="David" w:hAnsi="David" w:cs="David"/>
            <w:color w:val="0000FF"/>
            <w:sz w:val="24"/>
            <w:szCs w:val="24"/>
            <w:u w:val="single"/>
            <w:rtl/>
          </w:rPr>
          <w:t>רע"פ 1626/12</w:t>
        </w:r>
      </w:hyperlink>
      <w:r w:rsidR="0009510B">
        <w:rPr>
          <w:rFonts w:ascii="David" w:hAnsi="David" w:cs="David"/>
          <w:sz w:val="24"/>
          <w:szCs w:val="24"/>
          <w:rtl/>
        </w:rPr>
        <w:t xml:space="preserve"> </w:t>
      </w:r>
      <w:r w:rsidR="0009510B">
        <w:rPr>
          <w:rFonts w:ascii="David" w:hAnsi="David" w:cs="David"/>
          <w:b/>
          <w:bCs/>
          <w:sz w:val="24"/>
          <w:szCs w:val="24"/>
          <w:rtl/>
        </w:rPr>
        <w:t>מלכה נ' מדינת ישראל</w:t>
      </w:r>
      <w:r w:rsidR="0009510B">
        <w:rPr>
          <w:rFonts w:ascii="David" w:hAnsi="David" w:cs="David"/>
          <w:sz w:val="24"/>
          <w:szCs w:val="24"/>
          <w:rtl/>
        </w:rPr>
        <w:t xml:space="preserve"> (7.5.12) -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w:t>
      </w:r>
      <w:r w:rsidRPr="005F6CF7">
        <w:rPr>
          <w:rFonts w:ascii="David" w:hAnsi="David" w:cs="David"/>
          <w:color w:val="000000"/>
          <w:sz w:val="24"/>
          <w:szCs w:val="24"/>
          <w:rtl/>
        </w:rPr>
        <w:t>בקשתו</w:t>
      </w:r>
      <w:r w:rsidR="0009510B">
        <w:rPr>
          <w:rFonts w:ascii="David" w:hAnsi="David" w:cs="David"/>
          <w:sz w:val="24"/>
          <w:szCs w:val="24"/>
          <w:rtl/>
        </w:rPr>
        <w:t xml:space="preserve"> של הנאשם להרשות ערעור;</w:t>
      </w:r>
    </w:p>
    <w:p w14:paraId="001FA027"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2" w:history="1">
        <w:r w:rsidRPr="00A273B6">
          <w:rPr>
            <w:rFonts w:ascii="David" w:hAnsi="David" w:cs="David"/>
            <w:color w:val="0000FF"/>
            <w:sz w:val="24"/>
            <w:szCs w:val="24"/>
            <w:u w:val="single"/>
            <w:rtl/>
          </w:rPr>
          <w:t>ע"פ (מרכז) 22310-12-12</w:t>
        </w:r>
      </w:hyperlink>
      <w:r w:rsidR="0009510B">
        <w:rPr>
          <w:rFonts w:ascii="David" w:hAnsi="David" w:cs="David"/>
          <w:sz w:val="24"/>
          <w:szCs w:val="24"/>
          <w:rtl/>
        </w:rPr>
        <w:t xml:space="preserve"> </w:t>
      </w:r>
      <w:r w:rsidR="0009510B">
        <w:rPr>
          <w:rFonts w:ascii="David" w:hAnsi="David" w:cs="David"/>
          <w:b/>
          <w:bCs/>
          <w:sz w:val="24"/>
          <w:szCs w:val="24"/>
          <w:rtl/>
        </w:rPr>
        <w:t>עובדיה נ' מדינת ישראל</w:t>
      </w:r>
      <w:r w:rsidR="0009510B">
        <w:rPr>
          <w:rFonts w:ascii="David" w:hAnsi="David" w:cs="David"/>
          <w:sz w:val="24"/>
          <w:szCs w:val="24"/>
          <w:rtl/>
        </w:rPr>
        <w:t xml:space="preserve"> (24.2.13): בית משפט השלום הרשיע את הנאשם, לפי הודאתו, בעבירה של סחר בסמים, בכך שמכר סם מסוג חשיש במשקל של כ-100 גרם. בית המשפט הטיל על הנאשם מאסר לתקופה של 3 חודשים בדרך של עבודות שירות, מאסר על תנאי וקנס בסכום של 3,000 ₪. בית המשפט המחוזי דחה את ערעורו של הנאשם;</w:t>
      </w:r>
    </w:p>
    <w:p w14:paraId="584F9EC1"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3" w:history="1">
        <w:r w:rsidRPr="00A273B6">
          <w:rPr>
            <w:rFonts w:ascii="David" w:hAnsi="David" w:cs="David"/>
            <w:color w:val="0000FF"/>
            <w:sz w:val="24"/>
            <w:szCs w:val="24"/>
            <w:u w:val="single"/>
            <w:rtl/>
          </w:rPr>
          <w:t>ת"פ (רח') 43875-08-17</w:t>
        </w:r>
      </w:hyperlink>
      <w:r w:rsidR="0009510B">
        <w:rPr>
          <w:rFonts w:ascii="David" w:hAnsi="David" w:cs="David"/>
          <w:sz w:val="24"/>
          <w:szCs w:val="24"/>
          <w:rtl/>
        </w:rPr>
        <w:t xml:space="preserve"> </w:t>
      </w:r>
      <w:r w:rsidR="0009510B">
        <w:rPr>
          <w:rFonts w:ascii="David" w:hAnsi="David" w:cs="David"/>
          <w:b/>
          <w:bCs/>
          <w:sz w:val="24"/>
          <w:szCs w:val="24"/>
          <w:rtl/>
        </w:rPr>
        <w:t>מדינת ישראל נ' מוריסון</w:t>
      </w:r>
      <w:r w:rsidR="0009510B">
        <w:rPr>
          <w:rFonts w:ascii="David" w:hAnsi="David" w:cs="David"/>
          <w:sz w:val="24"/>
          <w:szCs w:val="24"/>
          <w:rtl/>
        </w:rPr>
        <w:t xml:space="preserve"> (25.2.19) – בית משפט השלום הרשיע את הנאשם, לפי הודאתו, בשלוש עבירות של סחר בסמים מסוג חשיש תמורת 300 ₪. בית משפט השלום הטיל על הנאשם מאסר לתקופה של 4 חודשים בדרך של עבודות שירות, מאסרים על תנאי, צו מבחן וקנס בסכום של 2,000 ₪;</w:t>
      </w:r>
    </w:p>
    <w:p w14:paraId="018A40DD"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4" w:history="1">
        <w:r w:rsidRPr="00A273B6">
          <w:rPr>
            <w:rFonts w:ascii="David" w:hAnsi="David" w:cs="David"/>
            <w:color w:val="0000FF"/>
            <w:sz w:val="24"/>
            <w:szCs w:val="24"/>
            <w:u w:val="single"/>
            <w:rtl/>
          </w:rPr>
          <w:t>ת"פ (ק"ש) 40639-10-17</w:t>
        </w:r>
      </w:hyperlink>
      <w:r w:rsidR="0009510B">
        <w:rPr>
          <w:rFonts w:ascii="David" w:hAnsi="David" w:cs="David"/>
          <w:sz w:val="24"/>
          <w:szCs w:val="24"/>
          <w:rtl/>
        </w:rPr>
        <w:t xml:space="preserve"> </w:t>
      </w:r>
      <w:r w:rsidR="0009510B">
        <w:rPr>
          <w:rFonts w:ascii="David" w:hAnsi="David" w:cs="David"/>
          <w:b/>
          <w:bCs/>
          <w:sz w:val="24"/>
          <w:szCs w:val="24"/>
          <w:rtl/>
        </w:rPr>
        <w:t>שלוחת תביעות מרום הגליל והגולן נ' בובו</w:t>
      </w:r>
      <w:r w:rsidR="0009510B">
        <w:rPr>
          <w:rFonts w:ascii="David" w:hAnsi="David" w:cs="David"/>
          <w:sz w:val="24"/>
          <w:szCs w:val="24"/>
          <w:rtl/>
        </w:rPr>
        <w:t xml:space="preserve"> (28.5.18) - בית משפט השלום הרשיע את הנאשם, לפי הודאתו, בארבע עבירות של סחר בסמים ובעבירה של החזקת סמים שלא לצריכה עצמית. הנאשם החזיק סם מסוג קנבוס במשקל של כ-10 גרם. בית המשפט הטיל על הנאשם מאסר לתקופה של 6 חודשים בדרך של עבודות שירות, מאסר על תנאי, קנס בסכום של 4,000 ₪, פסילת רישיון בפועל ועל תנאי;</w:t>
      </w:r>
    </w:p>
    <w:p w14:paraId="2FE70B9E" w14:textId="77777777" w:rsidR="0009510B" w:rsidRDefault="00A273B6" w:rsidP="0009510B">
      <w:pPr>
        <w:pStyle w:val="aa"/>
        <w:numPr>
          <w:ilvl w:val="0"/>
          <w:numId w:val="4"/>
        </w:numPr>
        <w:spacing w:line="360" w:lineRule="auto"/>
        <w:ind w:left="935" w:hanging="426"/>
        <w:jc w:val="both"/>
        <w:rPr>
          <w:rFonts w:ascii="David" w:hAnsi="David" w:cs="David"/>
          <w:sz w:val="24"/>
          <w:szCs w:val="24"/>
        </w:rPr>
      </w:pPr>
      <w:hyperlink r:id="rId35" w:history="1">
        <w:r w:rsidRPr="00A273B6">
          <w:rPr>
            <w:rFonts w:ascii="David" w:hAnsi="David" w:cs="David"/>
            <w:color w:val="0000FF"/>
            <w:sz w:val="24"/>
            <w:szCs w:val="24"/>
            <w:u w:val="single"/>
            <w:rtl/>
          </w:rPr>
          <w:t>ת"פ  (י-ם) 9331-09-15</w:t>
        </w:r>
      </w:hyperlink>
      <w:r w:rsidR="0009510B">
        <w:rPr>
          <w:rFonts w:ascii="David" w:hAnsi="David" w:cs="David"/>
          <w:sz w:val="24"/>
          <w:szCs w:val="24"/>
          <w:rtl/>
        </w:rPr>
        <w:t xml:space="preserve"> </w:t>
      </w:r>
      <w:r w:rsidR="0009510B">
        <w:rPr>
          <w:rFonts w:ascii="David" w:hAnsi="David" w:cs="David"/>
          <w:b/>
          <w:bCs/>
          <w:sz w:val="24"/>
          <w:szCs w:val="24"/>
          <w:rtl/>
        </w:rPr>
        <w:t xml:space="preserve">מדינת ישראל נ' משולם </w:t>
      </w:r>
      <w:r w:rsidR="0009510B">
        <w:rPr>
          <w:rFonts w:ascii="David" w:hAnsi="David" w:cs="David"/>
          <w:sz w:val="24"/>
          <w:szCs w:val="24"/>
          <w:rtl/>
        </w:rPr>
        <w:t>(3.5.18) – בית משפט השלום הרשיע את הנאשם, לפי הודאתו, בעבירה של סחר בסמים והחזקת סמים לצריכה עצמית. הנאשם מכר כ-7.5 גרם סם מסוכן מסוג קנבוס תמורת 1,200 ₪ והחזיק רבע גרם סם מסוג קנבוס לצריכה עצמית. בית המשפט הטיל על הנאשם מאסר לתקופה של 45 ימים בדרך של עבודות שירות ומאסר על תנאי.</w:t>
      </w:r>
    </w:p>
    <w:p w14:paraId="4DB5821E" w14:textId="77777777" w:rsidR="0009510B" w:rsidRP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אין מקרה אחד דומה למשנהו, ובכל אחד מהתיקים ישנו מספר שונה של עבירות ומשקל שונה של סם. יש להתאים, אפוא, את מדיניות הענישה לנסיבות ביצוע העבירה במקרה דנן, משמע שלוש עבירות של סחר בסמים במשקל של מספר גרמים בודדים בכל פעם. </w:t>
      </w:r>
    </w:p>
    <w:p w14:paraId="474D9672"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כאן המקום להעיר, כי התביעה לא הגישה פסיקה כלשהי לביסוס המתחם ומטבע הדברים, בנסיבות אלו, ישנו קושי מובנה להתייחס למתחם לו עתרה. </w:t>
      </w:r>
    </w:p>
    <w:p w14:paraId="069177F9"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בשקלול מדיניות הענישה בפסיקה ונסיבות ביצוע העבירות, הגעתי למסקנה, כי מתחם העונש ההולם את העבירות מושא כתב האישום, נע בין מאסר קצר שיכול ויבוצע בדרך של עבודות שירות ובין מאסר לתקופה של 9 חודשים, לצד ענישה נלווית.</w:t>
      </w:r>
    </w:p>
    <w:p w14:paraId="15B435CB" w14:textId="77777777" w:rsidR="0009510B" w:rsidRDefault="0009510B" w:rsidP="0009510B">
      <w:pPr>
        <w:pStyle w:val="aa"/>
        <w:spacing w:before="120" w:after="120" w:line="360" w:lineRule="auto"/>
        <w:ind w:left="509"/>
        <w:jc w:val="both"/>
        <w:rPr>
          <w:rFonts w:cs="David"/>
          <w:sz w:val="24"/>
          <w:szCs w:val="24"/>
          <w:rtl/>
        </w:rPr>
      </w:pPr>
    </w:p>
    <w:p w14:paraId="3D807846" w14:textId="77777777" w:rsidR="0009510B" w:rsidRDefault="0009510B" w:rsidP="0009510B">
      <w:pPr>
        <w:pStyle w:val="aa"/>
        <w:spacing w:before="120" w:after="120" w:line="360" w:lineRule="auto"/>
        <w:ind w:left="509"/>
        <w:jc w:val="both"/>
        <w:rPr>
          <w:rFonts w:cs="David"/>
          <w:sz w:val="24"/>
          <w:szCs w:val="24"/>
          <w:rtl/>
        </w:rPr>
      </w:pPr>
    </w:p>
    <w:p w14:paraId="0492F2DF" w14:textId="77777777" w:rsidR="0009510B" w:rsidRDefault="0009510B" w:rsidP="0009510B">
      <w:pPr>
        <w:pStyle w:val="aa"/>
        <w:spacing w:before="120" w:after="120" w:line="360" w:lineRule="auto"/>
        <w:ind w:left="509"/>
        <w:jc w:val="both"/>
        <w:rPr>
          <w:rFonts w:cs="David"/>
          <w:sz w:val="24"/>
          <w:szCs w:val="24"/>
        </w:rPr>
      </w:pPr>
    </w:p>
    <w:p w14:paraId="147BF589" w14:textId="77777777" w:rsidR="0009510B" w:rsidRPr="00ED2EAA" w:rsidRDefault="0009510B" w:rsidP="0009510B">
      <w:pPr>
        <w:spacing w:before="120" w:after="120"/>
        <w:jc w:val="both"/>
        <w:rPr>
          <w:b/>
          <w:bCs/>
        </w:rPr>
      </w:pPr>
      <w:r w:rsidRPr="00ED2EAA">
        <w:rPr>
          <w:b/>
          <w:bCs/>
          <w:u w:val="single"/>
          <w:rtl/>
        </w:rPr>
        <w:t>העונש ההולם בתוך המתחם</w:t>
      </w:r>
      <w:r w:rsidRPr="00ED2EAA">
        <w:rPr>
          <w:b/>
          <w:bCs/>
          <w:rtl/>
        </w:rPr>
        <w:t xml:space="preserve"> </w:t>
      </w:r>
    </w:p>
    <w:p w14:paraId="728735CC" w14:textId="77777777" w:rsidR="0009510B" w:rsidRDefault="00A273B6" w:rsidP="0009510B">
      <w:pPr>
        <w:pStyle w:val="aa"/>
        <w:numPr>
          <w:ilvl w:val="0"/>
          <w:numId w:val="1"/>
        </w:numPr>
        <w:spacing w:before="120" w:after="120" w:line="360" w:lineRule="auto"/>
        <w:ind w:left="509" w:hanging="567"/>
        <w:jc w:val="both"/>
        <w:rPr>
          <w:rFonts w:cs="David"/>
          <w:sz w:val="24"/>
          <w:szCs w:val="24"/>
        </w:rPr>
      </w:pPr>
      <w:r w:rsidRPr="005F6CF7">
        <w:rPr>
          <w:rFonts w:cs="David" w:hint="cs"/>
          <w:color w:val="000000"/>
          <w:sz w:val="24"/>
          <w:szCs w:val="24"/>
          <w:rtl/>
        </w:rPr>
        <w:t>בקביעת</w:t>
      </w:r>
      <w:r w:rsidR="0009510B">
        <w:rPr>
          <w:rFonts w:cs="David"/>
          <w:sz w:val="24"/>
          <w:szCs w:val="24"/>
          <w:rtl/>
        </w:rPr>
        <w:t xml:space="preserve"> העונש ההולם בתוך המתחם לקחתי בחשבון את הנסיבות הבאות אשר אינן קשורות בביצוע העבירות: </w:t>
      </w:r>
    </w:p>
    <w:p w14:paraId="4827D9AE" w14:textId="77777777" w:rsidR="0009510B" w:rsidRDefault="0009510B" w:rsidP="0009510B">
      <w:pPr>
        <w:pStyle w:val="aa"/>
        <w:spacing w:before="120" w:after="120" w:line="360" w:lineRule="auto"/>
        <w:ind w:left="509"/>
        <w:jc w:val="both"/>
        <w:rPr>
          <w:rFonts w:cs="David"/>
          <w:sz w:val="24"/>
          <w:szCs w:val="24"/>
        </w:rPr>
      </w:pPr>
      <w:r>
        <w:rPr>
          <w:rFonts w:cs="David"/>
          <w:sz w:val="24"/>
          <w:szCs w:val="24"/>
          <w:rtl/>
        </w:rPr>
        <w:t>לזכותו של הנאשם עומדת הודאתו במיוחס לו, נטילת אחריות על מעשיו וחסכון בשמיעת עדויות; הנאשם נעדר עבר פלילי וזו הסתבכותו הראשונה עם רשויות אכיפת החוק; טרם מעצרו עבד הנאשם בעבודה מסודרת כמתקין מזגנים; הנאשם גדל במשפחה נורמטיבית התומכת בו והתרשמתי מדברי אביו כי הנאשם חזר למוטב;</w:t>
      </w:r>
    </w:p>
    <w:p w14:paraId="3BD6CABE" w14:textId="77777777" w:rsidR="0009510B" w:rsidRDefault="0009510B" w:rsidP="0009510B">
      <w:pPr>
        <w:pStyle w:val="aa"/>
        <w:spacing w:before="120" w:after="120" w:line="360" w:lineRule="auto"/>
        <w:ind w:left="509"/>
        <w:jc w:val="both"/>
        <w:rPr>
          <w:rFonts w:cs="David"/>
          <w:sz w:val="24"/>
          <w:szCs w:val="24"/>
          <w:rtl/>
        </w:rPr>
      </w:pPr>
      <w:r>
        <w:rPr>
          <w:rFonts w:cs="David"/>
          <w:sz w:val="24"/>
          <w:szCs w:val="24"/>
          <w:rtl/>
        </w:rPr>
        <w:t>מהתסקירים עולה, כי הנאשם נעדר דפוסים עבריינים מושרשים והוא בעל שאיפות אישיות ומקצועיות ורצון לנהל אורח חיים נורמטיבי. לצד זאת, עלתה בעייתיות בעמדות שמחזיק ביחס לשימוש בסמים ו</w:t>
      </w:r>
      <w:r w:rsidR="00A273B6" w:rsidRPr="005F6CF7">
        <w:rPr>
          <w:rFonts w:cs="David" w:hint="cs"/>
          <w:color w:val="000000"/>
          <w:sz w:val="24"/>
          <w:szCs w:val="24"/>
          <w:rtl/>
        </w:rPr>
        <w:t>בקשרים</w:t>
      </w:r>
      <w:r>
        <w:rPr>
          <w:rFonts w:cs="David"/>
          <w:sz w:val="24"/>
          <w:szCs w:val="24"/>
          <w:rtl/>
        </w:rPr>
        <w:t xml:space="preserve"> השוליים שניהל. הנאשם מסר בדיקות שתן שנמצאו ללא שרידי סמים. כן הביע הנאשם נכונות לקחת חלק בהליך טיפולי, אולם ההליך טרם החל; הנאשם היה עצור במשך מספר ימים ומאז נמצא בתנאים מגבילים ואינו עובד. </w:t>
      </w:r>
    </w:p>
    <w:p w14:paraId="3A2CAF65"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עיקר הנסיבות עומדות, אפוא, לזכותו של הנאשם, לרבות הודאתו, היעדר עבר פלילי והירתמות להליך השיקומי ובדיקות שתן ללא שרידי סם. </w:t>
      </w:r>
    </w:p>
    <w:p w14:paraId="5F517D65"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עם זאת, אינני מוצאת מקום לאמץ את המלצת שירות המבחן לסיים ההליך באפיק שיקומי הכולל אך צו מבחן, צו שירות לתועלת הציבור ופיצויים. המלצת שירות המבחן חורגת ממתחם העונש ההולם ובהיעדר הליך שיקומי ממשי, לא נמצאה לכך הצדקה. מכאן, שיש להטיל על הנאשם עונש הכולל מאסר קצר בדרך של עבודות שירות, מאסרים על תנאי, צו מבחן, קנס ושלילת רישיון על תנאי.</w:t>
      </w:r>
      <w:r>
        <w:rPr>
          <w:rFonts w:ascii="David" w:hAnsi="David" w:cs="David"/>
          <w:sz w:val="24"/>
          <w:szCs w:val="24"/>
          <w:rtl/>
        </w:rPr>
        <w:t xml:space="preserve"> נוכח בדיקות שתן ללא שרידי סם, לא מצאתי מקום לפסילת הרישיון בפועל, כעתירת התביעה.</w:t>
      </w:r>
    </w:p>
    <w:p w14:paraId="54448560" w14:textId="77777777" w:rsidR="0009510B" w:rsidRDefault="0009510B" w:rsidP="0009510B">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5.4.21 נמצא הנאשם מתאים לביצוע עבודות שירות.</w:t>
      </w:r>
    </w:p>
    <w:p w14:paraId="63BD8D1D" w14:textId="77777777" w:rsidR="0009510B" w:rsidRDefault="0009510B" w:rsidP="0009510B">
      <w:pPr>
        <w:spacing w:before="120" w:after="120"/>
        <w:ind w:left="-58"/>
        <w:jc w:val="both"/>
        <w:rPr>
          <w:b/>
          <w:bCs/>
          <w:u w:val="single"/>
          <w:rtl/>
        </w:rPr>
      </w:pPr>
    </w:p>
    <w:p w14:paraId="79DB782F" w14:textId="77777777" w:rsidR="0009510B" w:rsidRPr="0009510B" w:rsidRDefault="0009510B" w:rsidP="0009510B">
      <w:pPr>
        <w:spacing w:before="120" w:after="120"/>
        <w:ind w:left="-58"/>
        <w:jc w:val="both"/>
        <w:rPr>
          <w:rFonts w:ascii="Calibri" w:hAnsi="Calibri"/>
        </w:rPr>
      </w:pPr>
      <w:r>
        <w:rPr>
          <w:b/>
          <w:bCs/>
          <w:u w:val="single"/>
          <w:rtl/>
        </w:rPr>
        <w:t>סוף דבר</w:t>
      </w:r>
      <w:r>
        <w:rPr>
          <w:rtl/>
        </w:rPr>
        <w:t xml:space="preserve"> </w:t>
      </w:r>
    </w:p>
    <w:p w14:paraId="739E9D6E" w14:textId="77777777" w:rsidR="0009510B" w:rsidRDefault="0009510B" w:rsidP="0009510B">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אני גוזרת על הנאשם את העונשים הבאים:</w:t>
      </w:r>
    </w:p>
    <w:p w14:paraId="270A76A1" w14:textId="77777777" w:rsidR="0009510B" w:rsidRDefault="0009510B" w:rsidP="0009510B">
      <w:pPr>
        <w:pStyle w:val="aa"/>
        <w:numPr>
          <w:ilvl w:val="0"/>
          <w:numId w:val="2"/>
        </w:numPr>
        <w:spacing w:before="120" w:after="120" w:line="360" w:lineRule="auto"/>
        <w:jc w:val="both"/>
        <w:rPr>
          <w:rFonts w:cs="David"/>
          <w:sz w:val="24"/>
          <w:szCs w:val="24"/>
        </w:rPr>
      </w:pPr>
      <w:r>
        <w:rPr>
          <w:rFonts w:cs="David"/>
          <w:sz w:val="24"/>
          <w:szCs w:val="24"/>
          <w:rtl/>
        </w:rPr>
        <w:t>מאסר לתקופה של חודשיים שיבוצע בדרך של עבודות שירות. הנאשם יחל את עבודות השירות ביום 20.6.21.</w:t>
      </w:r>
      <w:r>
        <w:rPr>
          <w:rFonts w:cs="David" w:hint="cs"/>
          <w:sz w:val="24"/>
          <w:szCs w:val="24"/>
        </w:rPr>
        <w:t xml:space="preserve"> </w:t>
      </w:r>
      <w:r>
        <w:rPr>
          <w:rFonts w:cs="David"/>
          <w:sz w:val="24"/>
          <w:szCs w:val="24"/>
          <w:rtl/>
        </w:rPr>
        <w:t>מובהר לנאשם כי כל חריגה מהוראות הממונה עלולה להוביל לנשיאת המאסר בפועל;</w:t>
      </w:r>
    </w:p>
    <w:p w14:paraId="5775C718" w14:textId="77777777" w:rsidR="0009510B" w:rsidRDefault="0009510B" w:rsidP="0009510B">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36" w:history="1">
        <w:r w:rsidR="00A273B6" w:rsidRPr="00A273B6">
          <w:rPr>
            <w:rFonts w:cs="David" w:hint="cs"/>
            <w:color w:val="0000FF"/>
            <w:sz w:val="24"/>
            <w:szCs w:val="24"/>
            <w:u w:val="single"/>
            <w:rtl/>
          </w:rPr>
          <w:t>פקודת</w:t>
        </w:r>
        <w:r w:rsidR="00A273B6" w:rsidRPr="00A273B6">
          <w:rPr>
            <w:rFonts w:cs="David"/>
            <w:color w:val="0000FF"/>
            <w:sz w:val="24"/>
            <w:szCs w:val="24"/>
            <w:u w:val="single"/>
            <w:rtl/>
          </w:rPr>
          <w:t xml:space="preserve"> </w:t>
        </w:r>
        <w:r w:rsidR="00A273B6" w:rsidRPr="00A273B6">
          <w:rPr>
            <w:rFonts w:cs="David" w:hint="cs"/>
            <w:color w:val="0000FF"/>
            <w:sz w:val="24"/>
            <w:szCs w:val="24"/>
            <w:u w:val="single"/>
            <w:rtl/>
          </w:rPr>
          <w:t>הסמים</w:t>
        </w:r>
        <w:r w:rsidR="00A273B6" w:rsidRPr="00A273B6">
          <w:rPr>
            <w:rFonts w:cs="David"/>
            <w:color w:val="0000FF"/>
            <w:sz w:val="24"/>
            <w:szCs w:val="24"/>
            <w:u w:val="single"/>
            <w:rtl/>
          </w:rPr>
          <w:t xml:space="preserve"> </w:t>
        </w:r>
        <w:r w:rsidR="00A273B6" w:rsidRPr="00A273B6">
          <w:rPr>
            <w:rFonts w:cs="David" w:hint="cs"/>
            <w:color w:val="0000FF"/>
            <w:sz w:val="24"/>
            <w:szCs w:val="24"/>
            <w:u w:val="single"/>
            <w:rtl/>
          </w:rPr>
          <w:t>המסוכנים</w:t>
        </w:r>
      </w:hyperlink>
      <w:r>
        <w:rPr>
          <w:rFonts w:cs="David"/>
          <w:sz w:val="24"/>
          <w:szCs w:val="24"/>
          <w:rtl/>
        </w:rPr>
        <w:t>;</w:t>
      </w:r>
    </w:p>
    <w:p w14:paraId="5C63BDEE" w14:textId="77777777" w:rsidR="0009510B" w:rsidRDefault="0009510B" w:rsidP="0009510B">
      <w:pPr>
        <w:pStyle w:val="aa"/>
        <w:numPr>
          <w:ilvl w:val="0"/>
          <w:numId w:val="2"/>
        </w:numPr>
        <w:spacing w:before="120" w:after="120" w:line="360" w:lineRule="auto"/>
        <w:jc w:val="both"/>
        <w:rPr>
          <w:rFonts w:cs="David"/>
          <w:sz w:val="24"/>
          <w:szCs w:val="24"/>
        </w:rPr>
      </w:pPr>
      <w:r>
        <w:rPr>
          <w:rFonts w:cs="David"/>
          <w:sz w:val="24"/>
          <w:szCs w:val="24"/>
          <w:rtl/>
        </w:rPr>
        <w:t xml:space="preserve">מאסר על תנאי לתקופה של 2 חודשים, והתנאי הוא שבמשך שנתיים מהיום לא יעבור כל עבירה מסוג עוון לפי </w:t>
      </w:r>
      <w:hyperlink r:id="rId37" w:history="1">
        <w:r w:rsidR="00A273B6" w:rsidRPr="00A273B6">
          <w:rPr>
            <w:rFonts w:cs="David" w:hint="cs"/>
            <w:color w:val="0000FF"/>
            <w:sz w:val="24"/>
            <w:szCs w:val="24"/>
            <w:u w:val="single"/>
            <w:rtl/>
          </w:rPr>
          <w:t>פקודת</w:t>
        </w:r>
        <w:r w:rsidR="00A273B6" w:rsidRPr="00A273B6">
          <w:rPr>
            <w:rFonts w:cs="David"/>
            <w:color w:val="0000FF"/>
            <w:sz w:val="24"/>
            <w:szCs w:val="24"/>
            <w:u w:val="single"/>
            <w:rtl/>
          </w:rPr>
          <w:t xml:space="preserve"> </w:t>
        </w:r>
        <w:r w:rsidR="00A273B6" w:rsidRPr="00A273B6">
          <w:rPr>
            <w:rFonts w:cs="David" w:hint="cs"/>
            <w:color w:val="0000FF"/>
            <w:sz w:val="24"/>
            <w:szCs w:val="24"/>
            <w:u w:val="single"/>
            <w:rtl/>
          </w:rPr>
          <w:t>הסמים</w:t>
        </w:r>
        <w:r w:rsidR="00A273B6" w:rsidRPr="00A273B6">
          <w:rPr>
            <w:rFonts w:cs="David"/>
            <w:color w:val="0000FF"/>
            <w:sz w:val="24"/>
            <w:szCs w:val="24"/>
            <w:u w:val="single"/>
            <w:rtl/>
          </w:rPr>
          <w:t xml:space="preserve"> </w:t>
        </w:r>
        <w:r w:rsidR="00A273B6" w:rsidRPr="00A273B6">
          <w:rPr>
            <w:rFonts w:cs="David" w:hint="cs"/>
            <w:color w:val="0000FF"/>
            <w:sz w:val="24"/>
            <w:szCs w:val="24"/>
            <w:u w:val="single"/>
            <w:rtl/>
          </w:rPr>
          <w:t>המסוכנים</w:t>
        </w:r>
      </w:hyperlink>
      <w:r>
        <w:rPr>
          <w:rFonts w:cs="David"/>
          <w:sz w:val="24"/>
          <w:szCs w:val="24"/>
          <w:rtl/>
        </w:rPr>
        <w:t>;</w:t>
      </w:r>
    </w:p>
    <w:p w14:paraId="797A47F9" w14:textId="77777777" w:rsidR="0009510B" w:rsidRDefault="0009510B" w:rsidP="0009510B">
      <w:pPr>
        <w:pStyle w:val="aa"/>
        <w:numPr>
          <w:ilvl w:val="0"/>
          <w:numId w:val="2"/>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6328069A" w14:textId="77777777" w:rsidR="0009510B" w:rsidRPr="0009510B" w:rsidRDefault="0009510B" w:rsidP="0009510B">
      <w:pPr>
        <w:pStyle w:val="aa"/>
        <w:spacing w:before="120" w:after="120" w:line="360" w:lineRule="auto"/>
        <w:ind w:left="869"/>
        <w:jc w:val="both"/>
        <w:rPr>
          <w:rFonts w:cs="David"/>
          <w:sz w:val="24"/>
          <w:szCs w:val="24"/>
        </w:rPr>
      </w:pPr>
      <w:r>
        <w:rPr>
          <w:rFonts w:cs="David"/>
          <w:sz w:val="24"/>
          <w:szCs w:val="24"/>
          <w:rtl/>
        </w:rPr>
        <w:t>רשמתי לפניי את נכונות הנאשם לבצע את צו המבחן. מובהר בזאת, כי כל חריגה מהוראות שירות המבחן עלולה להוביל לביטול גזר דינו וגזירת דינו מחדש;</w:t>
      </w:r>
    </w:p>
    <w:p w14:paraId="1192388F" w14:textId="77777777" w:rsidR="0009510B" w:rsidRDefault="0009510B" w:rsidP="0009510B">
      <w:pPr>
        <w:pStyle w:val="aa"/>
        <w:numPr>
          <w:ilvl w:val="0"/>
          <w:numId w:val="2"/>
        </w:numPr>
        <w:spacing w:before="120" w:after="120" w:line="360" w:lineRule="auto"/>
        <w:jc w:val="both"/>
        <w:rPr>
          <w:rFonts w:cs="David"/>
          <w:sz w:val="24"/>
          <w:szCs w:val="24"/>
        </w:rPr>
      </w:pPr>
      <w:r>
        <w:rPr>
          <w:rFonts w:cs="David"/>
          <w:sz w:val="24"/>
          <w:szCs w:val="24"/>
          <w:rtl/>
        </w:rPr>
        <w:t>קנס בסכום של 1,000 ₪ או 10 ימי מאסר תמורתו. הנאשם ישלם את הקנס ב-4 תשלומים שווים ורצופים, הראשון לא יאוחר מיום 1.5.21 והיתרה לא יאוחר מ-1 לכל חודש קלנדרי</w:t>
      </w:r>
      <w:r>
        <w:rPr>
          <w:rFonts w:cs="David" w:hint="cs"/>
          <w:sz w:val="24"/>
          <w:szCs w:val="24"/>
          <w:rtl/>
        </w:rPr>
        <w:t xml:space="preserve"> שלאחר מכן</w:t>
      </w:r>
      <w:r>
        <w:rPr>
          <w:rFonts w:cs="David"/>
          <w:sz w:val="24"/>
          <w:szCs w:val="24"/>
          <w:rtl/>
        </w:rPr>
        <w:t>;</w:t>
      </w:r>
    </w:p>
    <w:p w14:paraId="31908E08" w14:textId="77777777" w:rsidR="0009510B" w:rsidRDefault="0009510B" w:rsidP="0009510B">
      <w:pPr>
        <w:pStyle w:val="aa"/>
        <w:numPr>
          <w:ilvl w:val="0"/>
          <w:numId w:val="2"/>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11A598B5" w14:textId="77777777" w:rsidR="0009510B" w:rsidRDefault="0009510B" w:rsidP="0009510B">
      <w:pPr>
        <w:spacing w:before="120" w:after="120"/>
        <w:ind w:left="509" w:hanging="567"/>
        <w:contextualSpacing/>
        <w:jc w:val="both"/>
        <w:rPr>
          <w:b/>
          <w:bCs/>
          <w:rtl/>
        </w:rPr>
      </w:pPr>
    </w:p>
    <w:p w14:paraId="18E01C64" w14:textId="77777777" w:rsidR="0009510B" w:rsidRDefault="0009510B" w:rsidP="0009510B">
      <w:pPr>
        <w:spacing w:before="120" w:after="120"/>
        <w:ind w:left="509" w:hanging="567"/>
        <w:contextualSpacing/>
        <w:jc w:val="both"/>
        <w:rPr>
          <w:b/>
          <w:bCs/>
          <w:rtl/>
        </w:rPr>
      </w:pPr>
      <w:r>
        <w:rPr>
          <w:b/>
          <w:bCs/>
          <w:rtl/>
        </w:rPr>
        <w:t>עותק גזר הדין יועבר לממונה על עבודות שירות ולשירות המבחן.</w:t>
      </w:r>
    </w:p>
    <w:p w14:paraId="68ADEA7D" w14:textId="77777777" w:rsidR="0009510B" w:rsidRDefault="0009510B" w:rsidP="0009510B">
      <w:pPr>
        <w:spacing w:before="120" w:after="120"/>
        <w:ind w:left="509" w:hanging="567"/>
        <w:contextualSpacing/>
        <w:jc w:val="both"/>
        <w:rPr>
          <w:b/>
          <w:bCs/>
          <w:rtl/>
        </w:rPr>
      </w:pPr>
    </w:p>
    <w:p w14:paraId="7309A628" w14:textId="77777777" w:rsidR="0009510B" w:rsidRDefault="0009510B" w:rsidP="0009510B">
      <w:pPr>
        <w:spacing w:before="120" w:after="120"/>
        <w:ind w:left="-58"/>
        <w:jc w:val="both"/>
        <w:rPr>
          <w:b/>
          <w:bCs/>
          <w:rtl/>
        </w:rPr>
      </w:pPr>
      <w:r>
        <w:rPr>
          <w:b/>
          <w:bCs/>
          <w:rtl/>
        </w:rPr>
        <w:t>זכות ערעור כחוק תוך 45 ימים.</w:t>
      </w:r>
    </w:p>
    <w:p w14:paraId="54384A2F" w14:textId="77777777" w:rsidR="0009510B" w:rsidRDefault="0009510B" w:rsidP="0009510B">
      <w:pPr>
        <w:spacing w:line="360" w:lineRule="auto"/>
        <w:jc w:val="both"/>
        <w:rPr>
          <w:rFonts w:ascii="Arial" w:hAnsi="Arial"/>
          <w:rtl/>
        </w:rPr>
      </w:pPr>
    </w:p>
    <w:p w14:paraId="0E82DE72" w14:textId="77777777" w:rsidR="0009510B" w:rsidRDefault="00A273B6" w:rsidP="0009510B">
      <w:pPr>
        <w:pStyle w:val="a3"/>
        <w:jc w:val="center"/>
        <w:rPr>
          <w:rtl/>
        </w:rPr>
      </w:pPr>
      <w:bookmarkStart w:id="7" w:name="Nitan"/>
      <w:r w:rsidRPr="00A273B6">
        <w:rPr>
          <w:rFonts w:ascii="Arial" w:hAnsi="Arial"/>
          <w:color w:val="FFFFFF"/>
          <w:sz w:val="2"/>
          <w:szCs w:val="2"/>
          <w:rtl/>
        </w:rPr>
        <w:t>5129371</w:t>
      </w:r>
      <w:r>
        <w:rPr>
          <w:rFonts w:ascii="Arial" w:hAnsi="Arial"/>
          <w:rtl/>
        </w:rPr>
        <w:t xml:space="preserve">ניתן היום,  כ"ט ניסן תשפ"א, 11 אפריל 2021, בהעדר הצדדים. </w:t>
      </w:r>
      <w:bookmarkEnd w:id="7"/>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9510B" w14:paraId="04515E46" w14:textId="77777777" w:rsidTr="0009510B">
        <w:trPr>
          <w:trHeight w:val="316"/>
          <w:jc w:val="right"/>
        </w:trPr>
        <w:tc>
          <w:tcPr>
            <w:tcW w:w="3936" w:type="dxa"/>
            <w:tcBorders>
              <w:top w:val="nil"/>
              <w:left w:val="nil"/>
              <w:bottom w:val="single" w:sz="4" w:space="0" w:color="auto"/>
              <w:right w:val="nil"/>
            </w:tcBorders>
            <w:shd w:val="clear" w:color="auto" w:fill="auto"/>
            <w:vAlign w:val="bottom"/>
          </w:tcPr>
          <w:p w14:paraId="4D9C6812" w14:textId="77777777" w:rsidR="0009510B" w:rsidRPr="00A273B6" w:rsidRDefault="00A273B6" w:rsidP="0009510B">
            <w:pPr>
              <w:jc w:val="center"/>
              <w:rPr>
                <w:rFonts w:cs="Times New Roman"/>
                <w:color w:val="FFFFFF"/>
                <w:sz w:val="2"/>
                <w:szCs w:val="2"/>
              </w:rPr>
            </w:pPr>
            <w:r w:rsidRPr="00A273B6">
              <w:rPr>
                <w:rFonts w:cs="Times New Roman"/>
                <w:color w:val="FFFFFF"/>
                <w:sz w:val="2"/>
                <w:szCs w:val="2"/>
                <w:rtl/>
              </w:rPr>
              <w:t>54678313</w:t>
            </w:r>
          </w:p>
        </w:tc>
      </w:tr>
      <w:tr w:rsidR="0009510B" w14:paraId="7AA90399" w14:textId="77777777" w:rsidTr="0009510B">
        <w:trPr>
          <w:trHeight w:val="361"/>
          <w:jc w:val="right"/>
        </w:trPr>
        <w:tc>
          <w:tcPr>
            <w:tcW w:w="3936" w:type="dxa"/>
            <w:tcBorders>
              <w:top w:val="single" w:sz="4" w:space="0" w:color="auto"/>
              <w:left w:val="nil"/>
              <w:bottom w:val="nil"/>
              <w:right w:val="nil"/>
            </w:tcBorders>
            <w:shd w:val="clear" w:color="auto" w:fill="auto"/>
          </w:tcPr>
          <w:p w14:paraId="409A4DD7" w14:textId="77777777" w:rsidR="0009510B" w:rsidRPr="0009510B" w:rsidRDefault="0009510B" w:rsidP="0009510B">
            <w:pPr>
              <w:jc w:val="center"/>
              <w:rPr>
                <w:b/>
                <w:bCs/>
                <w:rtl/>
              </w:rPr>
            </w:pPr>
            <w:r w:rsidRPr="0009510B">
              <w:rPr>
                <w:rFonts w:hint="cs"/>
                <w:b/>
                <w:bCs/>
                <w:rtl/>
              </w:rPr>
              <w:t>אפרת פינק, שופטת</w:t>
            </w:r>
          </w:p>
        </w:tc>
      </w:tr>
    </w:tbl>
    <w:p w14:paraId="40FC0443" w14:textId="77777777" w:rsidR="0009510B" w:rsidRPr="0006135C" w:rsidRDefault="0006135C" w:rsidP="0009510B">
      <w:pPr>
        <w:pStyle w:val="a3"/>
        <w:jc w:val="center"/>
        <w:rPr>
          <w:color w:val="FFFFFF"/>
          <w:sz w:val="2"/>
          <w:szCs w:val="2"/>
          <w:rtl/>
        </w:rPr>
      </w:pPr>
      <w:r w:rsidRPr="0006135C">
        <w:rPr>
          <w:color w:val="FFFFFF"/>
          <w:sz w:val="2"/>
          <w:szCs w:val="2"/>
          <w:rtl/>
        </w:rPr>
        <w:t>5129371</w:t>
      </w:r>
    </w:p>
    <w:p w14:paraId="1F3C4599" w14:textId="77777777" w:rsidR="00FC6A59" w:rsidRPr="0006135C" w:rsidRDefault="0006135C" w:rsidP="00A273B6">
      <w:pPr>
        <w:keepNext/>
        <w:rPr>
          <w:rFonts w:ascii="David" w:hAnsi="David"/>
          <w:color w:val="FFFFFF"/>
          <w:sz w:val="2"/>
          <w:szCs w:val="2"/>
          <w:rtl/>
        </w:rPr>
      </w:pPr>
      <w:r w:rsidRPr="0006135C">
        <w:rPr>
          <w:rFonts w:ascii="David" w:hAnsi="David"/>
          <w:color w:val="FFFFFF"/>
          <w:sz w:val="2"/>
          <w:szCs w:val="2"/>
          <w:rtl/>
        </w:rPr>
        <w:t>54678313</w:t>
      </w:r>
    </w:p>
    <w:p w14:paraId="6646CE74" w14:textId="77777777" w:rsidR="00A273B6" w:rsidRDefault="00A273B6" w:rsidP="00A273B6">
      <w:pPr>
        <w:rPr>
          <w:rtl/>
        </w:rPr>
      </w:pPr>
    </w:p>
    <w:p w14:paraId="456B2A1B" w14:textId="77777777" w:rsidR="00A273B6" w:rsidRDefault="00A273B6" w:rsidP="00A273B6">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B3B3237" w14:textId="77777777" w:rsidR="0006135C" w:rsidRPr="0006135C" w:rsidRDefault="0006135C" w:rsidP="0006135C">
      <w:pPr>
        <w:keepNext/>
        <w:rPr>
          <w:rFonts w:ascii="David" w:hAnsi="David"/>
          <w:color w:val="000000"/>
          <w:sz w:val="22"/>
          <w:szCs w:val="22"/>
          <w:rtl/>
        </w:rPr>
      </w:pPr>
    </w:p>
    <w:p w14:paraId="69022ABD" w14:textId="77777777" w:rsidR="0006135C" w:rsidRPr="0006135C" w:rsidRDefault="0006135C" w:rsidP="0006135C">
      <w:pPr>
        <w:keepNext/>
        <w:rPr>
          <w:rFonts w:ascii="David" w:hAnsi="David"/>
          <w:color w:val="000000"/>
          <w:sz w:val="22"/>
          <w:szCs w:val="22"/>
          <w:rtl/>
        </w:rPr>
      </w:pPr>
      <w:r w:rsidRPr="0006135C">
        <w:rPr>
          <w:rFonts w:ascii="David" w:hAnsi="David"/>
          <w:color w:val="000000"/>
          <w:sz w:val="22"/>
          <w:szCs w:val="22"/>
          <w:rtl/>
        </w:rPr>
        <w:t>אפרת פינק 54678313-/</w:t>
      </w:r>
    </w:p>
    <w:p w14:paraId="132E8ECC" w14:textId="77777777" w:rsidR="00A273B6" w:rsidRPr="00A273B6" w:rsidRDefault="0006135C" w:rsidP="0006135C">
      <w:pPr>
        <w:rPr>
          <w:color w:val="0000FF"/>
          <w:u w:val="single"/>
        </w:rPr>
      </w:pPr>
      <w:r w:rsidRPr="0006135C">
        <w:rPr>
          <w:color w:val="000000"/>
          <w:u w:val="single"/>
          <w:rtl/>
        </w:rPr>
        <w:t>נוסח מסמך זה כפוף לשינויי ניסוח ועריכה</w:t>
      </w:r>
    </w:p>
    <w:sectPr w:rsidR="00A273B6" w:rsidRPr="00A273B6" w:rsidSect="0006135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35551" w14:textId="77777777" w:rsidR="00791497" w:rsidRDefault="00791497" w:rsidP="00CE4725">
      <w:r>
        <w:separator/>
      </w:r>
    </w:p>
  </w:endnote>
  <w:endnote w:type="continuationSeparator" w:id="0">
    <w:p w14:paraId="1A6125CB" w14:textId="77777777" w:rsidR="00791497" w:rsidRDefault="00791497" w:rsidP="00CE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4A72F" w14:textId="77777777" w:rsidR="004624FF" w:rsidRDefault="004624FF" w:rsidP="000613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4EB4EE" w14:textId="77777777" w:rsidR="004624FF" w:rsidRPr="0006135C" w:rsidRDefault="004624FF" w:rsidP="0006135C">
    <w:pPr>
      <w:pStyle w:val="a5"/>
      <w:pBdr>
        <w:top w:val="single" w:sz="4" w:space="1" w:color="auto"/>
        <w:between w:val="single" w:sz="4" w:space="0" w:color="auto"/>
      </w:pBdr>
      <w:spacing w:after="60"/>
      <w:jc w:val="center"/>
      <w:rPr>
        <w:rFonts w:ascii="FrankRuehl" w:hAnsi="FrankRuehl" w:cs="FrankRuehl"/>
        <w:color w:val="000000"/>
      </w:rPr>
    </w:pPr>
    <w:r w:rsidRPr="000613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C8375" w14:textId="77777777" w:rsidR="004624FF" w:rsidRDefault="004624FF" w:rsidP="0006135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694F">
      <w:rPr>
        <w:rFonts w:ascii="FrankRuehl" w:hAnsi="FrankRuehl" w:cs="FrankRuehl"/>
        <w:noProof/>
        <w:rtl/>
      </w:rPr>
      <w:t>1</w:t>
    </w:r>
    <w:r>
      <w:rPr>
        <w:rFonts w:ascii="FrankRuehl" w:hAnsi="FrankRuehl" w:cs="FrankRuehl"/>
        <w:rtl/>
      </w:rPr>
      <w:fldChar w:fldCharType="end"/>
    </w:r>
  </w:p>
  <w:p w14:paraId="028C093B" w14:textId="77777777" w:rsidR="004624FF" w:rsidRPr="0006135C" w:rsidRDefault="004624FF" w:rsidP="0006135C">
    <w:pPr>
      <w:pStyle w:val="a5"/>
      <w:pBdr>
        <w:top w:val="single" w:sz="4" w:space="1" w:color="auto"/>
        <w:between w:val="single" w:sz="4" w:space="0" w:color="auto"/>
      </w:pBdr>
      <w:spacing w:after="60"/>
      <w:jc w:val="center"/>
      <w:rPr>
        <w:rFonts w:ascii="FrankRuehl" w:hAnsi="FrankRuehl" w:cs="FrankRuehl"/>
        <w:color w:val="000000"/>
      </w:rPr>
    </w:pPr>
    <w:r w:rsidRPr="0006135C">
      <w:rPr>
        <w:rFonts w:ascii="FrankRuehl" w:hAnsi="FrankRuehl" w:cs="FrankRuehl"/>
        <w:color w:val="000000"/>
      </w:rPr>
      <w:pict w14:anchorId="1C705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A1640" w14:textId="77777777" w:rsidR="00791497" w:rsidRDefault="00791497" w:rsidP="00CE4725">
      <w:r>
        <w:separator/>
      </w:r>
    </w:p>
  </w:footnote>
  <w:footnote w:type="continuationSeparator" w:id="0">
    <w:p w14:paraId="307C9D3C" w14:textId="77777777" w:rsidR="00791497" w:rsidRDefault="00791497" w:rsidP="00CE4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4F6FB" w14:textId="77777777" w:rsidR="004624FF" w:rsidRPr="0006135C" w:rsidRDefault="004624FF" w:rsidP="000613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9216-06-20</w:t>
    </w:r>
    <w:r>
      <w:rPr>
        <w:rFonts w:ascii="David" w:hAnsi="David"/>
        <w:color w:val="000000"/>
        <w:sz w:val="22"/>
        <w:szCs w:val="22"/>
        <w:rtl/>
      </w:rPr>
      <w:tab/>
      <w:t xml:space="preserve"> מדינת ישראל נ' נועם מינס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4E417" w14:textId="77777777" w:rsidR="004624FF" w:rsidRPr="0006135C" w:rsidRDefault="004624FF" w:rsidP="0006135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9216-06-20</w:t>
    </w:r>
    <w:r>
      <w:rPr>
        <w:rFonts w:ascii="David" w:hAnsi="David"/>
        <w:color w:val="000000"/>
        <w:sz w:val="22"/>
        <w:szCs w:val="22"/>
        <w:rtl/>
      </w:rPr>
      <w:tab/>
      <w:t xml:space="preserve"> מדינת ישראל נ' נועם מינס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5DFE30CF"/>
    <w:multiLevelType w:val="hybridMultilevel"/>
    <w:tmpl w:val="9006BF2A"/>
    <w:lvl w:ilvl="0" w:tplc="4F10833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abstractNum w:abstractNumId="3" w15:restartNumberingAfterBreak="0">
    <w:nsid w:val="7CAF0CA2"/>
    <w:multiLevelType w:val="hybridMultilevel"/>
    <w:tmpl w:val="05F0388C"/>
    <w:lvl w:ilvl="0" w:tplc="FA4E124A">
      <w:start w:val="18"/>
      <w:numFmt w:val="bullet"/>
      <w:lvlText w:val="-"/>
      <w:lvlJc w:val="left"/>
      <w:pPr>
        <w:ind w:left="1146" w:hanging="360"/>
      </w:pPr>
      <w:rPr>
        <w:rFonts w:ascii="David" w:eastAsia="Calibri" w:hAnsi="David" w:cs="David"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num w:numId="1" w16cid:durableId="1701516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7090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1296920">
    <w:abstractNumId w:val="1"/>
  </w:num>
  <w:num w:numId="4" w16cid:durableId="1707364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510B"/>
    <w:rsid w:val="0006135C"/>
    <w:rsid w:val="0009510B"/>
    <w:rsid w:val="000F78E0"/>
    <w:rsid w:val="00184735"/>
    <w:rsid w:val="001B5A3B"/>
    <w:rsid w:val="00341492"/>
    <w:rsid w:val="003B0877"/>
    <w:rsid w:val="0042421F"/>
    <w:rsid w:val="004624FF"/>
    <w:rsid w:val="005F6CF7"/>
    <w:rsid w:val="00720B83"/>
    <w:rsid w:val="00791497"/>
    <w:rsid w:val="0082694F"/>
    <w:rsid w:val="00A273B6"/>
    <w:rsid w:val="00A423AF"/>
    <w:rsid w:val="00AB1030"/>
    <w:rsid w:val="00B304F7"/>
    <w:rsid w:val="00B91121"/>
    <w:rsid w:val="00CE4725"/>
    <w:rsid w:val="00E53B99"/>
    <w:rsid w:val="00FC6A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FED013"/>
  <w15:chartTrackingRefBased/>
  <w15:docId w15:val="{DD56D786-10C5-42EE-9F86-97EEC7DF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51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510B"/>
    <w:pPr>
      <w:tabs>
        <w:tab w:val="center" w:pos="4153"/>
        <w:tab w:val="right" w:pos="8306"/>
      </w:tabs>
    </w:pPr>
  </w:style>
  <w:style w:type="character" w:customStyle="1" w:styleId="a4">
    <w:name w:val="כותרת עליונה תו"/>
    <w:link w:val="a3"/>
    <w:rsid w:val="0009510B"/>
    <w:rPr>
      <w:rFonts w:ascii="Times New Roman" w:eastAsia="Times New Roman" w:hAnsi="Times New Roman" w:cs="David"/>
      <w:sz w:val="24"/>
      <w:szCs w:val="24"/>
    </w:rPr>
  </w:style>
  <w:style w:type="paragraph" w:styleId="a5">
    <w:name w:val="footer"/>
    <w:basedOn w:val="a"/>
    <w:link w:val="a6"/>
    <w:rsid w:val="0009510B"/>
    <w:pPr>
      <w:tabs>
        <w:tab w:val="center" w:pos="4153"/>
        <w:tab w:val="right" w:pos="8306"/>
      </w:tabs>
    </w:pPr>
  </w:style>
  <w:style w:type="character" w:customStyle="1" w:styleId="a6">
    <w:name w:val="כותרת תחתונה תו"/>
    <w:link w:val="a5"/>
    <w:rsid w:val="0009510B"/>
    <w:rPr>
      <w:rFonts w:ascii="Times New Roman" w:eastAsia="Times New Roman" w:hAnsi="Times New Roman" w:cs="David"/>
      <w:sz w:val="24"/>
      <w:szCs w:val="24"/>
    </w:rPr>
  </w:style>
  <w:style w:type="table" w:styleId="a7">
    <w:name w:val="Table Grid"/>
    <w:basedOn w:val="a1"/>
    <w:rsid w:val="000951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510B"/>
  </w:style>
  <w:style w:type="character" w:customStyle="1" w:styleId="a9">
    <w:name w:val="פיסקת רשימה תו"/>
    <w:link w:val="aa"/>
    <w:locked/>
    <w:rsid w:val="0009510B"/>
  </w:style>
  <w:style w:type="paragraph" w:styleId="aa">
    <w:name w:val="List Paragraph"/>
    <w:basedOn w:val="a"/>
    <w:link w:val="a9"/>
    <w:qFormat/>
    <w:rsid w:val="0009510B"/>
    <w:pPr>
      <w:spacing w:after="160" w:line="256" w:lineRule="auto"/>
      <w:ind w:left="720"/>
      <w:contextualSpacing/>
    </w:pPr>
    <w:rPr>
      <w:rFonts w:ascii="Calibri" w:eastAsia="Calibri" w:hAnsi="Calibri" w:cs="Arial"/>
      <w:sz w:val="22"/>
      <w:szCs w:val="22"/>
    </w:rPr>
  </w:style>
  <w:style w:type="character" w:styleId="ab">
    <w:name w:val="line number"/>
    <w:rsid w:val="0009510B"/>
  </w:style>
  <w:style w:type="character" w:styleId="Hyperlink">
    <w:name w:val="Hyperlink"/>
    <w:rsid w:val="00A273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3746048" TargetMode="External"/><Relationship Id="rId39" Type="http://schemas.openxmlformats.org/officeDocument/2006/relationships/header" Target="header1.xml"/><Relationship Id="rId21" Type="http://schemas.openxmlformats.org/officeDocument/2006/relationships/hyperlink" Target="http://www.nevo.co.il/case/5608134" TargetMode="External"/><Relationship Id="rId34" Type="http://schemas.openxmlformats.org/officeDocument/2006/relationships/hyperlink" Target="http://www.nevo.co.il/case/23360870" TargetMode="External"/><Relationship Id="rId42" Type="http://schemas.openxmlformats.org/officeDocument/2006/relationships/footer" Target="footer2.xml"/><Relationship Id="rId7" Type="http://schemas.openxmlformats.org/officeDocument/2006/relationships/hyperlink" Target="http://www.nevo.co.il/case/26726980%09"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810781" TargetMode="External"/><Relationship Id="rId29" Type="http://schemas.openxmlformats.org/officeDocument/2006/relationships/hyperlink" Target="http://www.nevo.co.il/case/560318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6161385" TargetMode="External"/><Relationship Id="rId32" Type="http://schemas.openxmlformats.org/officeDocument/2006/relationships/hyperlink" Target="http://www.nevo.co.il/case/4097599"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993495" TargetMode="External"/><Relationship Id="rId28" Type="http://schemas.openxmlformats.org/officeDocument/2006/relationships/hyperlink" Target="http://www.nevo.co.il/case/6552365"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57655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611948" TargetMode="External"/><Relationship Id="rId27" Type="http://schemas.openxmlformats.org/officeDocument/2006/relationships/hyperlink" Target="http://www.nevo.co.il/case/16900367" TargetMode="External"/><Relationship Id="rId30" Type="http://schemas.openxmlformats.org/officeDocument/2006/relationships/hyperlink" Target="http://www.nevo.co.il/case/21477472" TargetMode="External"/><Relationship Id="rId35" Type="http://schemas.openxmlformats.org/officeDocument/2006/relationships/hyperlink" Target="http://www.nevo.co.il/case/20554181"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4345651" TargetMode="External"/><Relationship Id="rId33" Type="http://schemas.openxmlformats.org/officeDocument/2006/relationships/hyperlink" Target="http://www.nevo.co.il/case/2293169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2412</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14446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3866736</vt:i4>
      </vt:variant>
      <vt:variant>
        <vt:i4>84</vt:i4>
      </vt:variant>
      <vt:variant>
        <vt:i4>0</vt:i4>
      </vt:variant>
      <vt:variant>
        <vt:i4>5</vt:i4>
      </vt:variant>
      <vt:variant>
        <vt:lpwstr>http://www.nevo.co.il/case/20554181</vt:lpwstr>
      </vt:variant>
      <vt:variant>
        <vt:lpwstr/>
      </vt:variant>
      <vt:variant>
        <vt:i4>3539065</vt:i4>
      </vt:variant>
      <vt:variant>
        <vt:i4>81</vt:i4>
      </vt:variant>
      <vt:variant>
        <vt:i4>0</vt:i4>
      </vt:variant>
      <vt:variant>
        <vt:i4>5</vt:i4>
      </vt:variant>
      <vt:variant>
        <vt:lpwstr>http://www.nevo.co.il/case/23360870</vt:lpwstr>
      </vt:variant>
      <vt:variant>
        <vt:lpwstr/>
      </vt:variant>
      <vt:variant>
        <vt:i4>3342451</vt:i4>
      </vt:variant>
      <vt:variant>
        <vt:i4>78</vt:i4>
      </vt:variant>
      <vt:variant>
        <vt:i4>0</vt:i4>
      </vt:variant>
      <vt:variant>
        <vt:i4>5</vt:i4>
      </vt:variant>
      <vt:variant>
        <vt:lpwstr>http://www.nevo.co.il/case/22931697</vt:lpwstr>
      </vt:variant>
      <vt:variant>
        <vt:lpwstr/>
      </vt:variant>
      <vt:variant>
        <vt:i4>3211386</vt:i4>
      </vt:variant>
      <vt:variant>
        <vt:i4>75</vt:i4>
      </vt:variant>
      <vt:variant>
        <vt:i4>0</vt:i4>
      </vt:variant>
      <vt:variant>
        <vt:i4>5</vt:i4>
      </vt:variant>
      <vt:variant>
        <vt:lpwstr>http://www.nevo.co.il/case/4097599</vt:lpwstr>
      </vt:variant>
      <vt:variant>
        <vt:lpwstr/>
      </vt:variant>
      <vt:variant>
        <vt:i4>3342450</vt:i4>
      </vt:variant>
      <vt:variant>
        <vt:i4>72</vt:i4>
      </vt:variant>
      <vt:variant>
        <vt:i4>0</vt:i4>
      </vt:variant>
      <vt:variant>
        <vt:i4>5</vt:i4>
      </vt:variant>
      <vt:variant>
        <vt:lpwstr>http://www.nevo.co.il/case/5576554</vt:lpwstr>
      </vt:variant>
      <vt:variant>
        <vt:lpwstr/>
      </vt:variant>
      <vt:variant>
        <vt:i4>3539062</vt:i4>
      </vt:variant>
      <vt:variant>
        <vt:i4>69</vt:i4>
      </vt:variant>
      <vt:variant>
        <vt:i4>0</vt:i4>
      </vt:variant>
      <vt:variant>
        <vt:i4>5</vt:i4>
      </vt:variant>
      <vt:variant>
        <vt:lpwstr>http://www.nevo.co.il/case/21477472</vt:lpwstr>
      </vt:variant>
      <vt:variant>
        <vt:lpwstr/>
      </vt:variant>
      <vt:variant>
        <vt:i4>3276921</vt:i4>
      </vt:variant>
      <vt:variant>
        <vt:i4>66</vt:i4>
      </vt:variant>
      <vt:variant>
        <vt:i4>0</vt:i4>
      </vt:variant>
      <vt:variant>
        <vt:i4>5</vt:i4>
      </vt:variant>
      <vt:variant>
        <vt:lpwstr>http://www.nevo.co.il/case/5603186</vt:lpwstr>
      </vt:variant>
      <vt:variant>
        <vt:lpwstr/>
      </vt:variant>
      <vt:variant>
        <vt:i4>3473525</vt:i4>
      </vt:variant>
      <vt:variant>
        <vt:i4>63</vt:i4>
      </vt:variant>
      <vt:variant>
        <vt:i4>0</vt:i4>
      </vt:variant>
      <vt:variant>
        <vt:i4>5</vt:i4>
      </vt:variant>
      <vt:variant>
        <vt:lpwstr>http://www.nevo.co.il/case/6552365</vt:lpwstr>
      </vt:variant>
      <vt:variant>
        <vt:lpwstr/>
      </vt:variant>
      <vt:variant>
        <vt:i4>4063345</vt:i4>
      </vt:variant>
      <vt:variant>
        <vt:i4>60</vt:i4>
      </vt:variant>
      <vt:variant>
        <vt:i4>0</vt:i4>
      </vt:variant>
      <vt:variant>
        <vt:i4>5</vt:i4>
      </vt:variant>
      <vt:variant>
        <vt:lpwstr>http://www.nevo.co.il/case/16900367</vt:lpwstr>
      </vt:variant>
      <vt:variant>
        <vt:lpwstr/>
      </vt:variant>
      <vt:variant>
        <vt:i4>3604595</vt:i4>
      </vt:variant>
      <vt:variant>
        <vt:i4>57</vt:i4>
      </vt:variant>
      <vt:variant>
        <vt:i4>0</vt:i4>
      </vt:variant>
      <vt:variant>
        <vt:i4>5</vt:i4>
      </vt:variant>
      <vt:variant>
        <vt:lpwstr>http://www.nevo.co.il/case/23746048</vt:lpwstr>
      </vt:variant>
      <vt:variant>
        <vt:lpwstr/>
      </vt:variant>
      <vt:variant>
        <vt:i4>3211378</vt:i4>
      </vt:variant>
      <vt:variant>
        <vt:i4>54</vt:i4>
      </vt:variant>
      <vt:variant>
        <vt:i4>0</vt:i4>
      </vt:variant>
      <vt:variant>
        <vt:i4>5</vt:i4>
      </vt:variant>
      <vt:variant>
        <vt:lpwstr>http://www.nevo.co.il/case/24345651</vt:lpwstr>
      </vt:variant>
      <vt:variant>
        <vt:lpwstr/>
      </vt:variant>
      <vt:variant>
        <vt:i4>3539068</vt:i4>
      </vt:variant>
      <vt:variant>
        <vt:i4>51</vt:i4>
      </vt:variant>
      <vt:variant>
        <vt:i4>0</vt:i4>
      </vt:variant>
      <vt:variant>
        <vt:i4>5</vt:i4>
      </vt:variant>
      <vt:variant>
        <vt:lpwstr>http://www.nevo.co.il/case/6161385</vt:lpwstr>
      </vt:variant>
      <vt:variant>
        <vt:lpwstr/>
      </vt:variant>
      <vt:variant>
        <vt:i4>3997815</vt:i4>
      </vt:variant>
      <vt:variant>
        <vt:i4>48</vt:i4>
      </vt:variant>
      <vt:variant>
        <vt:i4>0</vt:i4>
      </vt:variant>
      <vt:variant>
        <vt:i4>5</vt:i4>
      </vt:variant>
      <vt:variant>
        <vt:lpwstr>http://www.nevo.co.il/case/5993495</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3145849</vt:i4>
      </vt:variant>
      <vt:variant>
        <vt:i4>42</vt:i4>
      </vt:variant>
      <vt:variant>
        <vt:i4>0</vt:i4>
      </vt:variant>
      <vt:variant>
        <vt:i4>5</vt:i4>
      </vt:variant>
      <vt:variant>
        <vt:lpwstr>http://www.nevo.co.il/case/5608134</vt:lpwstr>
      </vt:variant>
      <vt:variant>
        <vt:lpwstr/>
      </vt:variant>
      <vt:variant>
        <vt:i4>3276916</vt:i4>
      </vt:variant>
      <vt:variant>
        <vt:i4>39</vt:i4>
      </vt:variant>
      <vt:variant>
        <vt:i4>0</vt:i4>
      </vt:variant>
      <vt:variant>
        <vt:i4>5</vt:i4>
      </vt:variant>
      <vt:variant>
        <vt:lpwstr>http://www.nevo.co.il/case/5810781</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3866745</vt:i4>
      </vt:variant>
      <vt:variant>
        <vt:i4>0</vt:i4>
      </vt:variant>
      <vt:variant>
        <vt:i4>0</vt:i4>
      </vt:variant>
      <vt:variant>
        <vt:i4>5</vt:i4>
      </vt:variant>
      <vt:variant>
        <vt:lpwstr>http://www.nevo.co.il/case/26726980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9216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נועם מינס</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20210411</vt:lpwstr>
  </property>
  <property fmtid="{D5CDD505-2E9C-101B-9397-08002B2CF9AE}" pid="13" name="TYPE_N_DATE">
    <vt:lpwstr>38020210411</vt:lpwstr>
  </property>
  <property fmtid="{D5CDD505-2E9C-101B-9397-08002B2CF9AE}" pid="14" name="BOOKGROUPTMP1">
    <vt:lpwstr>2550:7</vt:lpwstr>
  </property>
  <property fmtid="{D5CDD505-2E9C-101B-9397-08002B2CF9AE}" pid="15" name="WORDNUMPAGES">
    <vt:lpwstr>7</vt:lpwstr>
  </property>
  <property fmtid="{D5CDD505-2E9C-101B-9397-08002B2CF9AE}" pid="16" name="TYPE_ABS_DATE">
    <vt:lpwstr>380020210411</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26726980;5810781;5608134;5611948;5993495;6161385;24345651;23746048;16900367;6552365;5603186;21477472;5576554;4097599;22931697;23360870;20554181</vt:lpwstr>
  </property>
  <property fmtid="{D5CDD505-2E9C-101B-9397-08002B2CF9AE}" pid="37" name="LAWLISTTMP1">
    <vt:lpwstr>4216/013:3;019a:3</vt:lpwstr>
  </property>
</Properties>
</file>