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564" w:type="dxa"/>
        <w:jc w:val="center"/>
        <w:tblLook w:val="0000" w:firstRow="0" w:lastRow="0" w:firstColumn="0" w:lastColumn="0" w:noHBand="0" w:noVBand="0"/>
      </w:tblPr>
      <w:tblGrid>
        <w:gridCol w:w="316"/>
        <w:gridCol w:w="5052"/>
        <w:gridCol w:w="3878"/>
        <w:gridCol w:w="318"/>
      </w:tblGrid>
      <w:tr w:rsidR="00BA6636" w:rsidRPr="007C5AA2" w14:paraId="282BD44D" w14:textId="77777777" w:rsidTr="005B198F">
        <w:trPr>
          <w:gridBefore w:val="1"/>
          <w:wBefore w:w="316" w:type="dxa"/>
          <w:trHeight w:hRule="exact" w:val="576"/>
          <w:jc w:val="center"/>
        </w:trPr>
        <w:tc>
          <w:tcPr>
            <w:tcW w:w="9248" w:type="dxa"/>
            <w:gridSpan w:val="3"/>
          </w:tcPr>
          <w:p w14:paraId="7037CFCD" w14:textId="77777777" w:rsidR="00BA6636" w:rsidRPr="007C5AA2" w:rsidRDefault="00BA6636" w:rsidP="005B198F">
            <w:pPr>
              <w:pStyle w:val="a3"/>
              <w:jc w:val="center"/>
              <w:rPr>
                <w:rFonts w:ascii="Tahoma" w:hAnsi="Tahoma" w:cs="Tahoma"/>
                <w:color w:val="000080"/>
                <w:rtl/>
              </w:rPr>
            </w:pPr>
            <w:bookmarkStart w:id="0" w:name="LastJudge"/>
            <w:r w:rsidRPr="007C5AA2">
              <w:rPr>
                <w:rFonts w:ascii="Tahoma" w:hAnsi="Tahoma" w:cs="Tahoma"/>
                <w:b/>
                <w:bCs/>
                <w:color w:val="000080"/>
                <w:rtl/>
              </w:rPr>
              <w:t>בית משפט השלום ברמלה</w:t>
            </w:r>
          </w:p>
        </w:tc>
      </w:tr>
      <w:tr w:rsidR="00BA6636" w:rsidRPr="007C5AA2" w14:paraId="0B682704" w14:textId="77777777" w:rsidTr="005B198F">
        <w:trPr>
          <w:gridAfter w:val="1"/>
          <w:wAfter w:w="318" w:type="dxa"/>
          <w:trHeight w:val="464"/>
          <w:jc w:val="center"/>
        </w:trPr>
        <w:tc>
          <w:tcPr>
            <w:tcW w:w="5368" w:type="dxa"/>
            <w:gridSpan w:val="2"/>
          </w:tcPr>
          <w:p w14:paraId="347C45F2" w14:textId="77777777" w:rsidR="00BA6636" w:rsidRPr="007C5AA2" w:rsidRDefault="00BA6636" w:rsidP="005B198F">
            <w:pPr>
              <w:rPr>
                <w:rFonts w:ascii="David" w:hAnsi="David"/>
                <w:b/>
                <w:bCs/>
                <w:sz w:val="28"/>
                <w:szCs w:val="28"/>
                <w:rtl/>
              </w:rPr>
            </w:pPr>
            <w:r w:rsidRPr="007C5AA2">
              <w:rPr>
                <w:rFonts w:ascii="David" w:hAnsi="David"/>
                <w:b/>
                <w:bCs/>
                <w:sz w:val="28"/>
                <w:szCs w:val="28"/>
                <w:rtl/>
              </w:rPr>
              <w:t>ת"פ 12748-07-20 מדינת ישראל נ' דרי</w:t>
            </w:r>
          </w:p>
          <w:p w14:paraId="1E9422B1" w14:textId="77777777" w:rsidR="00BA6636" w:rsidRPr="007C5AA2" w:rsidRDefault="00BA6636" w:rsidP="005B198F">
            <w:pPr>
              <w:pStyle w:val="a3"/>
              <w:rPr>
                <w:rFonts w:cs="FrankRuehl"/>
                <w:sz w:val="28"/>
                <w:szCs w:val="28"/>
                <w:rtl/>
              </w:rPr>
            </w:pPr>
          </w:p>
        </w:tc>
        <w:tc>
          <w:tcPr>
            <w:tcW w:w="3878" w:type="dxa"/>
          </w:tcPr>
          <w:p w14:paraId="3403A89C" w14:textId="77777777" w:rsidR="00BA6636" w:rsidRPr="007C5AA2" w:rsidRDefault="00BA6636" w:rsidP="005B198F">
            <w:pPr>
              <w:pStyle w:val="a3"/>
              <w:jc w:val="right"/>
              <w:rPr>
                <w:rFonts w:ascii="David" w:hAnsi="David"/>
                <w:b/>
                <w:bCs/>
                <w:sz w:val="28"/>
                <w:szCs w:val="28"/>
                <w:rtl/>
              </w:rPr>
            </w:pPr>
            <w:r w:rsidRPr="007C5AA2">
              <w:rPr>
                <w:rFonts w:ascii="David" w:hAnsi="David"/>
                <w:b/>
                <w:bCs/>
                <w:sz w:val="28"/>
                <w:szCs w:val="28"/>
                <w:rtl/>
              </w:rPr>
              <w:t>26 מרץ 2023</w:t>
            </w:r>
          </w:p>
        </w:tc>
      </w:tr>
    </w:tbl>
    <w:p w14:paraId="35AD7CBA" w14:textId="77777777" w:rsidR="00BA6636" w:rsidRPr="007C5AA2" w:rsidRDefault="00BA6636" w:rsidP="00627F3D">
      <w:pPr>
        <w:pStyle w:val="a3"/>
        <w:rPr>
          <w:sz w:val="26"/>
          <w:szCs w:val="26"/>
          <w:rtl/>
        </w:rPr>
      </w:pPr>
      <w:r w:rsidRPr="007C5AA2">
        <w:rPr>
          <w:rFonts w:hint="cs"/>
          <w:rtl/>
        </w:rPr>
        <w:t xml:space="preserve"> </w:t>
      </w:r>
    </w:p>
    <w:tbl>
      <w:tblPr>
        <w:bidiVisual/>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5"/>
        <w:gridCol w:w="3368"/>
        <w:gridCol w:w="4897"/>
      </w:tblGrid>
      <w:tr w:rsidR="00BA6636" w:rsidRPr="007C5AA2" w14:paraId="7E5B7E59" w14:textId="77777777" w:rsidTr="00BA6636">
        <w:trPr>
          <w:trHeight w:val="309"/>
          <w:jc w:val="center"/>
        </w:trPr>
        <w:tc>
          <w:tcPr>
            <w:tcW w:w="965" w:type="dxa"/>
            <w:tcBorders>
              <w:top w:val="nil"/>
              <w:left w:val="nil"/>
              <w:bottom w:val="nil"/>
              <w:right w:val="nil"/>
            </w:tcBorders>
            <w:shd w:val="clear" w:color="auto" w:fill="auto"/>
          </w:tcPr>
          <w:p w14:paraId="5B96AEDB" w14:textId="77777777" w:rsidR="00BA6636" w:rsidRPr="007C5AA2" w:rsidRDefault="00BA6636" w:rsidP="00BA6636">
            <w:pPr>
              <w:jc w:val="both"/>
              <w:rPr>
                <w:rFonts w:ascii="David" w:hAnsi="David"/>
                <w:b/>
                <w:bCs/>
                <w:sz w:val="26"/>
                <w:szCs w:val="26"/>
              </w:rPr>
            </w:pPr>
            <w:r w:rsidRPr="007C5AA2">
              <w:rPr>
                <w:rFonts w:ascii="David" w:hAnsi="David" w:hint="cs"/>
                <w:b/>
                <w:bCs/>
                <w:sz w:val="26"/>
                <w:szCs w:val="26"/>
                <w:rtl/>
              </w:rPr>
              <w:t xml:space="preserve">   ל</w:t>
            </w:r>
            <w:r w:rsidRPr="007C5AA2">
              <w:rPr>
                <w:rFonts w:ascii="David" w:hAnsi="David"/>
                <w:b/>
                <w:bCs/>
                <w:sz w:val="26"/>
                <w:szCs w:val="26"/>
                <w:rtl/>
              </w:rPr>
              <w:t xml:space="preserve">פני </w:t>
            </w:r>
          </w:p>
        </w:tc>
        <w:tc>
          <w:tcPr>
            <w:tcW w:w="8265" w:type="dxa"/>
            <w:gridSpan w:val="2"/>
            <w:tcBorders>
              <w:top w:val="nil"/>
              <w:left w:val="nil"/>
              <w:bottom w:val="nil"/>
              <w:right w:val="nil"/>
            </w:tcBorders>
            <w:shd w:val="clear" w:color="auto" w:fill="auto"/>
          </w:tcPr>
          <w:p w14:paraId="3EBEE5BE" w14:textId="77777777" w:rsidR="00BA6636" w:rsidRPr="007C5AA2" w:rsidRDefault="00BA6636" w:rsidP="005B198F">
            <w:pPr>
              <w:rPr>
                <w:rFonts w:ascii="David" w:hAnsi="David"/>
                <w:b/>
                <w:bCs/>
                <w:sz w:val="26"/>
                <w:szCs w:val="26"/>
                <w:rtl/>
              </w:rPr>
            </w:pPr>
            <w:r w:rsidRPr="007C5AA2">
              <w:rPr>
                <w:rFonts w:ascii="David" w:hAnsi="David"/>
                <w:b/>
                <w:bCs/>
                <w:sz w:val="26"/>
                <w:szCs w:val="26"/>
                <w:rtl/>
              </w:rPr>
              <w:t>כבוד השופטת  אילה אורן</w:t>
            </w:r>
          </w:p>
          <w:p w14:paraId="3C80903A" w14:textId="77777777" w:rsidR="00BA6636" w:rsidRPr="007C5AA2" w:rsidRDefault="00BA6636" w:rsidP="005B198F">
            <w:pPr>
              <w:rPr>
                <w:rFonts w:ascii="David" w:hAnsi="David"/>
                <w:sz w:val="26"/>
                <w:szCs w:val="26"/>
                <w:rtl/>
              </w:rPr>
            </w:pPr>
          </w:p>
          <w:p w14:paraId="2B29D19F" w14:textId="77777777" w:rsidR="00BA6636" w:rsidRPr="007C5AA2" w:rsidRDefault="00BA6636" w:rsidP="00BA6636">
            <w:pPr>
              <w:jc w:val="both"/>
              <w:rPr>
                <w:rFonts w:ascii="David" w:hAnsi="David"/>
                <w:sz w:val="26"/>
                <w:szCs w:val="26"/>
              </w:rPr>
            </w:pPr>
          </w:p>
        </w:tc>
      </w:tr>
      <w:tr w:rsidR="00BA6636" w:rsidRPr="007C5AA2" w14:paraId="3F761E6C" w14:textId="77777777" w:rsidTr="00BA6636">
        <w:trPr>
          <w:trHeight w:val="372"/>
          <w:jc w:val="center"/>
        </w:trPr>
        <w:tc>
          <w:tcPr>
            <w:tcW w:w="965" w:type="dxa"/>
            <w:tcBorders>
              <w:top w:val="nil"/>
              <w:left w:val="nil"/>
              <w:bottom w:val="nil"/>
              <w:right w:val="nil"/>
            </w:tcBorders>
            <w:shd w:val="clear" w:color="auto" w:fill="auto"/>
          </w:tcPr>
          <w:p w14:paraId="170B2860" w14:textId="77777777" w:rsidR="00BA6636" w:rsidRPr="007C5AA2" w:rsidRDefault="00BA6636" w:rsidP="00BA6636">
            <w:pPr>
              <w:jc w:val="both"/>
              <w:rPr>
                <w:rFonts w:ascii="David" w:hAnsi="David"/>
                <w:sz w:val="26"/>
                <w:szCs w:val="26"/>
              </w:rPr>
            </w:pPr>
            <w:bookmarkStart w:id="1" w:name="FirstAppellant"/>
          </w:p>
        </w:tc>
        <w:tc>
          <w:tcPr>
            <w:tcW w:w="3368" w:type="dxa"/>
            <w:tcBorders>
              <w:top w:val="nil"/>
              <w:left w:val="nil"/>
              <w:bottom w:val="nil"/>
              <w:right w:val="nil"/>
            </w:tcBorders>
            <w:shd w:val="clear" w:color="auto" w:fill="auto"/>
          </w:tcPr>
          <w:p w14:paraId="2218B116" w14:textId="77777777" w:rsidR="00BA6636" w:rsidRPr="007C5AA2" w:rsidRDefault="00BA6636" w:rsidP="00BA6636">
            <w:pPr>
              <w:suppressLineNumbers/>
            </w:pPr>
            <w:r w:rsidRPr="007C5AA2">
              <w:rPr>
                <w:rFonts w:ascii="Arial" w:hAnsi="Arial" w:hint="cs"/>
                <w:b/>
                <w:bCs/>
                <w:sz w:val="26"/>
                <w:szCs w:val="26"/>
                <w:rtl/>
              </w:rPr>
              <w:t>ה</w:t>
            </w:r>
            <w:r w:rsidRPr="007C5AA2">
              <w:rPr>
                <w:rFonts w:ascii="Arial" w:hAnsi="Arial"/>
                <w:b/>
                <w:bCs/>
                <w:sz w:val="26"/>
                <w:szCs w:val="26"/>
                <w:rtl/>
              </w:rPr>
              <w:t>מאשימה</w:t>
            </w:r>
          </w:p>
          <w:p w14:paraId="284E540A" w14:textId="77777777" w:rsidR="00BA6636" w:rsidRPr="007C5AA2" w:rsidRDefault="00BA6636" w:rsidP="005B198F">
            <w:pPr>
              <w:rPr>
                <w:rFonts w:ascii="David" w:hAnsi="David"/>
                <w:sz w:val="26"/>
                <w:szCs w:val="26"/>
              </w:rPr>
            </w:pPr>
          </w:p>
        </w:tc>
        <w:tc>
          <w:tcPr>
            <w:tcW w:w="4897" w:type="dxa"/>
            <w:tcBorders>
              <w:top w:val="nil"/>
              <w:left w:val="nil"/>
              <w:bottom w:val="nil"/>
              <w:right w:val="nil"/>
            </w:tcBorders>
            <w:shd w:val="clear" w:color="auto" w:fill="auto"/>
            <w:vAlign w:val="center"/>
          </w:tcPr>
          <w:p w14:paraId="5FFABC34" w14:textId="77777777" w:rsidR="00BA6636" w:rsidRPr="007C5AA2" w:rsidRDefault="00BA6636" w:rsidP="00BA6636">
            <w:pPr>
              <w:suppressLineNumbers/>
            </w:pPr>
            <w:r w:rsidRPr="007C5AA2">
              <w:rPr>
                <w:rFonts w:ascii="Arial" w:hAnsi="Arial"/>
                <w:b/>
                <w:bCs/>
                <w:sz w:val="26"/>
                <w:szCs w:val="26"/>
                <w:rtl/>
              </w:rPr>
              <w:t>מדינת ישראל</w:t>
            </w:r>
            <w:r w:rsidRPr="007C5AA2">
              <w:rPr>
                <w:rFonts w:ascii="Arial" w:hAnsi="Arial" w:hint="cs"/>
                <w:b/>
                <w:bCs/>
                <w:sz w:val="26"/>
                <w:szCs w:val="26"/>
                <w:rtl/>
              </w:rPr>
              <w:t xml:space="preserve"> </w:t>
            </w:r>
          </w:p>
          <w:p w14:paraId="3112F60D" w14:textId="77777777" w:rsidR="00BA6636" w:rsidRPr="007C5AA2" w:rsidRDefault="00BA6636" w:rsidP="005B198F">
            <w:pPr>
              <w:rPr>
                <w:rFonts w:ascii="David" w:hAnsi="David"/>
                <w:sz w:val="26"/>
                <w:szCs w:val="26"/>
              </w:rPr>
            </w:pPr>
          </w:p>
        </w:tc>
      </w:tr>
      <w:bookmarkEnd w:id="1"/>
      <w:tr w:rsidR="00BA6636" w:rsidRPr="007C5AA2" w14:paraId="6324B47B" w14:textId="77777777" w:rsidTr="00BA6636">
        <w:trPr>
          <w:trHeight w:val="372"/>
          <w:jc w:val="center"/>
        </w:trPr>
        <w:tc>
          <w:tcPr>
            <w:tcW w:w="965" w:type="dxa"/>
            <w:tcBorders>
              <w:top w:val="nil"/>
              <w:left w:val="nil"/>
              <w:bottom w:val="nil"/>
              <w:right w:val="nil"/>
            </w:tcBorders>
            <w:shd w:val="clear" w:color="auto" w:fill="auto"/>
          </w:tcPr>
          <w:p w14:paraId="3179FCF0" w14:textId="77777777" w:rsidR="00BA6636" w:rsidRPr="007C5AA2" w:rsidRDefault="00BA6636" w:rsidP="00BA6636">
            <w:pPr>
              <w:jc w:val="both"/>
              <w:rPr>
                <w:rFonts w:ascii="David" w:hAnsi="David"/>
                <w:sz w:val="26"/>
                <w:szCs w:val="26"/>
                <w:rtl/>
              </w:rPr>
            </w:pPr>
          </w:p>
        </w:tc>
        <w:tc>
          <w:tcPr>
            <w:tcW w:w="8265" w:type="dxa"/>
            <w:gridSpan w:val="2"/>
            <w:tcBorders>
              <w:top w:val="nil"/>
              <w:left w:val="nil"/>
              <w:bottom w:val="nil"/>
              <w:right w:val="nil"/>
            </w:tcBorders>
            <w:shd w:val="clear" w:color="auto" w:fill="auto"/>
          </w:tcPr>
          <w:p w14:paraId="2FE945A6" w14:textId="77777777" w:rsidR="00BA6636" w:rsidRPr="007C5AA2" w:rsidRDefault="00BA6636" w:rsidP="00BA6636">
            <w:pPr>
              <w:jc w:val="center"/>
              <w:rPr>
                <w:rFonts w:ascii="David" w:hAnsi="David"/>
                <w:b/>
                <w:bCs/>
                <w:sz w:val="26"/>
                <w:szCs w:val="26"/>
                <w:rtl/>
              </w:rPr>
            </w:pPr>
            <w:r w:rsidRPr="007C5AA2">
              <w:rPr>
                <w:rFonts w:ascii="David" w:hAnsi="David"/>
                <w:b/>
                <w:bCs/>
                <w:sz w:val="26"/>
                <w:szCs w:val="26"/>
                <w:rtl/>
              </w:rPr>
              <w:t>נגד</w:t>
            </w:r>
          </w:p>
          <w:p w14:paraId="2321CF91" w14:textId="77777777" w:rsidR="00BA6636" w:rsidRPr="007C5AA2" w:rsidRDefault="00BA6636" w:rsidP="00BA6636">
            <w:pPr>
              <w:jc w:val="both"/>
              <w:rPr>
                <w:rFonts w:ascii="David" w:hAnsi="David"/>
                <w:sz w:val="26"/>
                <w:szCs w:val="26"/>
              </w:rPr>
            </w:pPr>
          </w:p>
        </w:tc>
      </w:tr>
      <w:tr w:rsidR="00BA6636" w:rsidRPr="007C5AA2" w14:paraId="732F37F8" w14:textId="77777777" w:rsidTr="00BA6636">
        <w:trPr>
          <w:trHeight w:val="372"/>
          <w:jc w:val="center"/>
        </w:trPr>
        <w:tc>
          <w:tcPr>
            <w:tcW w:w="965" w:type="dxa"/>
            <w:tcBorders>
              <w:top w:val="nil"/>
              <w:left w:val="nil"/>
              <w:bottom w:val="nil"/>
              <w:right w:val="nil"/>
            </w:tcBorders>
            <w:shd w:val="clear" w:color="auto" w:fill="auto"/>
          </w:tcPr>
          <w:p w14:paraId="122CC57A" w14:textId="77777777" w:rsidR="00BA6636" w:rsidRPr="007C5AA2" w:rsidRDefault="00BA6636" w:rsidP="005B198F">
            <w:pPr>
              <w:rPr>
                <w:rFonts w:ascii="David" w:hAnsi="David"/>
                <w:sz w:val="26"/>
                <w:szCs w:val="26"/>
                <w:rtl/>
              </w:rPr>
            </w:pPr>
          </w:p>
        </w:tc>
        <w:tc>
          <w:tcPr>
            <w:tcW w:w="3368" w:type="dxa"/>
            <w:tcBorders>
              <w:top w:val="nil"/>
              <w:left w:val="nil"/>
              <w:bottom w:val="nil"/>
              <w:right w:val="nil"/>
            </w:tcBorders>
            <w:shd w:val="clear" w:color="auto" w:fill="auto"/>
          </w:tcPr>
          <w:p w14:paraId="5AA09749" w14:textId="77777777" w:rsidR="00BA6636" w:rsidRPr="007C5AA2" w:rsidRDefault="00BA6636" w:rsidP="005B198F">
            <w:pPr>
              <w:rPr>
                <w:rFonts w:ascii="Arial" w:hAnsi="Arial"/>
                <w:b/>
                <w:bCs/>
                <w:sz w:val="26"/>
                <w:szCs w:val="26"/>
                <w:rtl/>
              </w:rPr>
            </w:pPr>
            <w:r w:rsidRPr="007C5AA2">
              <w:rPr>
                <w:rFonts w:ascii="Arial" w:hAnsi="Arial"/>
                <w:b/>
                <w:bCs/>
                <w:sz w:val="26"/>
                <w:szCs w:val="26"/>
                <w:rtl/>
              </w:rPr>
              <w:t>הנאשם</w:t>
            </w:r>
          </w:p>
        </w:tc>
        <w:tc>
          <w:tcPr>
            <w:tcW w:w="4897" w:type="dxa"/>
            <w:tcBorders>
              <w:top w:val="nil"/>
              <w:left w:val="nil"/>
              <w:bottom w:val="nil"/>
              <w:right w:val="nil"/>
            </w:tcBorders>
            <w:shd w:val="clear" w:color="auto" w:fill="auto"/>
            <w:vAlign w:val="center"/>
          </w:tcPr>
          <w:p w14:paraId="5DD8ADAD" w14:textId="77777777" w:rsidR="00BA6636" w:rsidRPr="007C5AA2" w:rsidRDefault="00BA6636" w:rsidP="00BA6636">
            <w:pPr>
              <w:suppressLineNumbers/>
            </w:pPr>
            <w:r w:rsidRPr="007C5AA2">
              <w:rPr>
                <w:rFonts w:ascii="Arial" w:hAnsi="Arial"/>
                <w:b/>
                <w:bCs/>
                <w:sz w:val="26"/>
                <w:szCs w:val="26"/>
                <w:rtl/>
              </w:rPr>
              <w:t>נועם אלימלך דרי</w:t>
            </w:r>
            <w:r w:rsidRPr="007C5AA2">
              <w:rPr>
                <w:rFonts w:ascii="Arial" w:hAnsi="Arial" w:hint="cs"/>
                <w:b/>
                <w:bCs/>
                <w:sz w:val="26"/>
                <w:szCs w:val="26"/>
                <w:rtl/>
              </w:rPr>
              <w:t xml:space="preserve"> </w:t>
            </w:r>
          </w:p>
          <w:p w14:paraId="5C8B9DBD" w14:textId="77777777" w:rsidR="00BA6636" w:rsidRPr="007C5AA2" w:rsidRDefault="00BA6636" w:rsidP="005B198F">
            <w:pPr>
              <w:rPr>
                <w:rFonts w:ascii="David" w:hAnsi="David"/>
                <w:sz w:val="26"/>
                <w:szCs w:val="26"/>
              </w:rPr>
            </w:pPr>
          </w:p>
        </w:tc>
      </w:tr>
    </w:tbl>
    <w:p w14:paraId="75831CE7" w14:textId="77777777" w:rsidR="00627F3D" w:rsidRDefault="00627F3D" w:rsidP="007C5AA2">
      <w:pPr>
        <w:jc w:val="center"/>
        <w:rPr>
          <w:rFonts w:ascii="David" w:hAnsi="David"/>
          <w:rtl/>
        </w:rPr>
      </w:pPr>
    </w:p>
    <w:p w14:paraId="41F8B4D7" w14:textId="77777777" w:rsidR="00627F3D" w:rsidRPr="00627F3D" w:rsidRDefault="00627F3D" w:rsidP="00627F3D">
      <w:pPr>
        <w:spacing w:after="120" w:line="240" w:lineRule="exact"/>
        <w:ind w:left="283" w:hanging="283"/>
        <w:jc w:val="both"/>
        <w:rPr>
          <w:rFonts w:ascii="FrankRuehl" w:hAnsi="FrankRuehl" w:cs="FrankRuehl"/>
          <w:rtl/>
        </w:rPr>
      </w:pPr>
    </w:p>
    <w:p w14:paraId="7D3E7DBC" w14:textId="77777777" w:rsidR="00132FAE" w:rsidRPr="00132FAE" w:rsidRDefault="00132FAE" w:rsidP="00132FAE">
      <w:pPr>
        <w:spacing w:before="120" w:after="120" w:line="240" w:lineRule="exact"/>
        <w:ind w:left="283" w:hanging="283"/>
        <w:jc w:val="both"/>
        <w:rPr>
          <w:rFonts w:ascii="FrankRuehl" w:hAnsi="FrankRuehl" w:cs="FrankRuehl"/>
          <w:rtl/>
        </w:rPr>
      </w:pPr>
    </w:p>
    <w:p w14:paraId="616A8922" w14:textId="77777777" w:rsidR="00F07665" w:rsidRDefault="00F07665" w:rsidP="00F07665">
      <w:pPr>
        <w:jc w:val="center"/>
        <w:rPr>
          <w:rFonts w:ascii="David" w:hAnsi="David"/>
          <w:rtl/>
        </w:rPr>
      </w:pPr>
      <w:bookmarkStart w:id="2" w:name="LawTable"/>
      <w:bookmarkEnd w:id="2"/>
    </w:p>
    <w:p w14:paraId="4F1BD6A9" w14:textId="77777777" w:rsidR="00F07665" w:rsidRPr="00F07665" w:rsidRDefault="00F07665" w:rsidP="00F07665">
      <w:pPr>
        <w:spacing w:before="120" w:after="120" w:line="240" w:lineRule="exact"/>
        <w:ind w:left="283" w:hanging="283"/>
        <w:jc w:val="both"/>
        <w:rPr>
          <w:rFonts w:ascii="FrankRuehl" w:hAnsi="FrankRuehl" w:cs="FrankRuehl"/>
          <w:rtl/>
        </w:rPr>
      </w:pPr>
    </w:p>
    <w:p w14:paraId="7A06EE27" w14:textId="77777777" w:rsidR="00F07665" w:rsidRPr="00F07665" w:rsidRDefault="00F07665" w:rsidP="00F07665">
      <w:pPr>
        <w:spacing w:before="120" w:after="120" w:line="240" w:lineRule="exact"/>
        <w:ind w:left="283" w:hanging="283"/>
        <w:jc w:val="both"/>
        <w:rPr>
          <w:rFonts w:ascii="FrankRuehl" w:hAnsi="FrankRuehl" w:cs="FrankRuehl"/>
          <w:rtl/>
        </w:rPr>
      </w:pPr>
    </w:p>
    <w:p w14:paraId="76EB496C" w14:textId="77777777" w:rsidR="00F07665" w:rsidRPr="00F07665" w:rsidRDefault="00F07665" w:rsidP="00F07665">
      <w:pPr>
        <w:spacing w:before="120" w:after="120" w:line="240" w:lineRule="exact"/>
        <w:ind w:left="283" w:hanging="283"/>
        <w:jc w:val="both"/>
        <w:rPr>
          <w:rFonts w:ascii="FrankRuehl" w:hAnsi="FrankRuehl" w:cs="FrankRuehl"/>
          <w:rtl/>
        </w:rPr>
      </w:pPr>
      <w:r w:rsidRPr="00F07665">
        <w:rPr>
          <w:rFonts w:ascii="FrankRuehl" w:hAnsi="FrankRuehl" w:cs="FrankRuehl"/>
          <w:rtl/>
        </w:rPr>
        <w:t xml:space="preserve">חקיקה שאוזכרה: </w:t>
      </w:r>
    </w:p>
    <w:p w14:paraId="3B6CACCB" w14:textId="77777777" w:rsidR="00F07665" w:rsidRPr="00F07665" w:rsidRDefault="00F07665" w:rsidP="00F07665">
      <w:pPr>
        <w:spacing w:before="120" w:after="120" w:line="240" w:lineRule="exact"/>
        <w:ind w:left="283" w:hanging="283"/>
        <w:jc w:val="both"/>
        <w:rPr>
          <w:rFonts w:ascii="FrankRuehl" w:hAnsi="FrankRuehl" w:cs="FrankRuehl"/>
          <w:rtl/>
        </w:rPr>
      </w:pPr>
      <w:hyperlink r:id="rId7" w:history="1">
        <w:r w:rsidRPr="00F07665">
          <w:rPr>
            <w:rFonts w:ascii="FrankRuehl" w:hAnsi="FrankRuehl" w:cs="FrankRuehl"/>
            <w:color w:val="0000FF"/>
            <w:rtl/>
          </w:rPr>
          <w:t>פקודת הסמים המסוכנים [נוסח חדש], תשל"ג-1973</w:t>
        </w:r>
      </w:hyperlink>
      <w:r w:rsidRPr="00F07665">
        <w:rPr>
          <w:rFonts w:ascii="FrankRuehl" w:hAnsi="FrankRuehl" w:cs="FrankRuehl"/>
          <w:rtl/>
        </w:rPr>
        <w:t xml:space="preserve">: סע'  </w:t>
      </w:r>
      <w:hyperlink r:id="rId8" w:history="1">
        <w:r w:rsidRPr="00F07665">
          <w:rPr>
            <w:rFonts w:ascii="FrankRuehl" w:hAnsi="FrankRuehl" w:cs="FrankRuehl"/>
            <w:color w:val="0000FF"/>
            <w:rtl/>
          </w:rPr>
          <w:t>13</w:t>
        </w:r>
      </w:hyperlink>
      <w:r w:rsidRPr="00F07665">
        <w:rPr>
          <w:rFonts w:ascii="FrankRuehl" w:hAnsi="FrankRuehl" w:cs="FrankRuehl"/>
          <w:rtl/>
        </w:rPr>
        <w:t xml:space="preserve">, </w:t>
      </w:r>
      <w:hyperlink r:id="rId9" w:history="1">
        <w:r w:rsidRPr="00F07665">
          <w:rPr>
            <w:rFonts w:ascii="FrankRuehl" w:hAnsi="FrankRuehl" w:cs="FrankRuehl"/>
            <w:color w:val="0000FF"/>
            <w:rtl/>
          </w:rPr>
          <w:t>19א</w:t>
        </w:r>
      </w:hyperlink>
    </w:p>
    <w:p w14:paraId="532DCBA0" w14:textId="77777777" w:rsidR="00F07665" w:rsidRPr="00F07665" w:rsidRDefault="00F07665" w:rsidP="00F07665">
      <w:pPr>
        <w:jc w:val="center"/>
        <w:rPr>
          <w:rFonts w:ascii="David" w:hAnsi="David"/>
          <w:rtl/>
        </w:rPr>
      </w:pPr>
      <w:bookmarkStart w:id="3" w:name="LawTable_End"/>
      <w:bookmarkEnd w:id="3"/>
    </w:p>
    <w:p w14:paraId="1EE997D6" w14:textId="77777777" w:rsidR="00BA6636" w:rsidRPr="00132FAE" w:rsidRDefault="00BA6636" w:rsidP="00132FAE">
      <w:pPr>
        <w:jc w:val="cente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6636" w14:paraId="77836F9A" w14:textId="77777777" w:rsidTr="00BA6636">
        <w:trPr>
          <w:trHeight w:val="355"/>
          <w:jc w:val="center"/>
        </w:trPr>
        <w:tc>
          <w:tcPr>
            <w:tcW w:w="8820" w:type="dxa"/>
            <w:tcBorders>
              <w:top w:val="nil"/>
              <w:left w:val="nil"/>
              <w:bottom w:val="nil"/>
              <w:right w:val="nil"/>
            </w:tcBorders>
            <w:shd w:val="clear" w:color="auto" w:fill="auto"/>
          </w:tcPr>
          <w:p w14:paraId="0272B700" w14:textId="77777777" w:rsidR="007C5AA2" w:rsidRPr="007C5AA2" w:rsidRDefault="007C5AA2" w:rsidP="007C5AA2">
            <w:pPr>
              <w:jc w:val="center"/>
              <w:rPr>
                <w:rFonts w:ascii="David" w:hAnsi="David"/>
                <w:b/>
                <w:bCs/>
                <w:sz w:val="32"/>
                <w:szCs w:val="32"/>
                <w:u w:val="single"/>
                <w:rtl/>
              </w:rPr>
            </w:pPr>
            <w:bookmarkStart w:id="4" w:name="PsakDin" w:colFirst="0" w:colLast="0"/>
            <w:bookmarkEnd w:id="0"/>
            <w:r w:rsidRPr="007C5AA2">
              <w:rPr>
                <w:rFonts w:ascii="David" w:hAnsi="David"/>
                <w:b/>
                <w:bCs/>
                <w:sz w:val="32"/>
                <w:szCs w:val="32"/>
                <w:u w:val="single"/>
                <w:rtl/>
              </w:rPr>
              <w:t>גזר דין</w:t>
            </w:r>
          </w:p>
          <w:p w14:paraId="05E32EB4" w14:textId="77777777" w:rsidR="00BA6636" w:rsidRPr="007C5AA2" w:rsidRDefault="00BA6636" w:rsidP="007C5AA2">
            <w:pPr>
              <w:jc w:val="center"/>
              <w:rPr>
                <w:rFonts w:ascii="David" w:hAnsi="David"/>
                <w:bCs/>
                <w:sz w:val="32"/>
                <w:szCs w:val="32"/>
                <w:u w:val="single"/>
                <w:rtl/>
              </w:rPr>
            </w:pPr>
          </w:p>
        </w:tc>
      </w:tr>
      <w:bookmarkEnd w:id="4"/>
    </w:tbl>
    <w:p w14:paraId="085D7155" w14:textId="77777777" w:rsidR="00BA6636" w:rsidRDefault="00BA6636" w:rsidP="00BA6636">
      <w:pPr>
        <w:jc w:val="center"/>
        <w:rPr>
          <w:rFonts w:ascii="David" w:hAnsi="David"/>
          <w:b/>
          <w:bCs/>
          <w:u w:val="single"/>
          <w:rtl/>
        </w:rPr>
      </w:pPr>
    </w:p>
    <w:p w14:paraId="03D180F5" w14:textId="77777777" w:rsidR="00BA6636" w:rsidRDefault="00BA6636" w:rsidP="00BA6636">
      <w:pPr>
        <w:pStyle w:val="aa"/>
        <w:numPr>
          <w:ilvl w:val="0"/>
          <w:numId w:val="1"/>
        </w:numPr>
        <w:spacing w:after="0" w:line="360" w:lineRule="auto"/>
        <w:ind w:left="360"/>
        <w:jc w:val="both"/>
        <w:rPr>
          <w:rFonts w:ascii="David" w:hAnsi="David" w:cs="David"/>
          <w:sz w:val="24"/>
          <w:szCs w:val="24"/>
          <w:rtl/>
        </w:rPr>
      </w:pPr>
      <w:bookmarkStart w:id="5" w:name="ABSTRACT_START"/>
      <w:bookmarkEnd w:id="5"/>
      <w:r>
        <w:rPr>
          <w:rFonts w:ascii="David" w:hAnsi="David" w:cs="David"/>
          <w:sz w:val="24"/>
          <w:szCs w:val="24"/>
          <w:rtl/>
        </w:rPr>
        <w:t xml:space="preserve">הנאשם הודה בעובדות כתב אישום מתוקן שהוגש במסגרת הסדר דיוני שלא כלל הסכמה לעונש, והורשע בעבירה של </w:t>
      </w:r>
      <w:r>
        <w:rPr>
          <w:rFonts w:ascii="David" w:hAnsi="David" w:cs="David"/>
          <w:b/>
          <w:bCs/>
          <w:sz w:val="24"/>
          <w:szCs w:val="24"/>
          <w:rtl/>
        </w:rPr>
        <w:t>סחר בסמים</w:t>
      </w:r>
      <w:r>
        <w:rPr>
          <w:rFonts w:ascii="David" w:hAnsi="David" w:cs="David"/>
          <w:sz w:val="24"/>
          <w:szCs w:val="24"/>
          <w:rtl/>
        </w:rPr>
        <w:t xml:space="preserve">, לפי </w:t>
      </w:r>
      <w:hyperlink r:id="rId10" w:history="1">
        <w:r w:rsidR="00627F3D" w:rsidRPr="00627F3D">
          <w:rPr>
            <w:rStyle w:val="Hyperlink"/>
            <w:rFonts w:ascii="David" w:hAnsi="David" w:cs="David"/>
            <w:sz w:val="24"/>
            <w:szCs w:val="24"/>
            <w:rtl/>
          </w:rPr>
          <w:t>סעיפים 13</w:t>
        </w:r>
      </w:hyperlink>
      <w:r>
        <w:rPr>
          <w:rFonts w:ascii="David" w:hAnsi="David" w:cs="David"/>
          <w:sz w:val="24"/>
          <w:szCs w:val="24"/>
          <w:rtl/>
        </w:rPr>
        <w:t xml:space="preserve"> ו- </w:t>
      </w:r>
      <w:hyperlink r:id="rId11" w:history="1">
        <w:r w:rsidR="00627F3D" w:rsidRPr="00627F3D">
          <w:rPr>
            <w:rStyle w:val="Hyperlink"/>
            <w:rFonts w:ascii="David" w:hAnsi="David" w:cs="David"/>
            <w:sz w:val="24"/>
            <w:szCs w:val="24"/>
            <w:rtl/>
          </w:rPr>
          <w:t>19א</w:t>
        </w:r>
      </w:hyperlink>
      <w:r>
        <w:rPr>
          <w:rFonts w:ascii="David" w:hAnsi="David" w:cs="David"/>
          <w:sz w:val="24"/>
          <w:szCs w:val="24"/>
          <w:rtl/>
        </w:rPr>
        <w:t xml:space="preserve"> ל</w:t>
      </w:r>
      <w:hyperlink r:id="rId12" w:history="1">
        <w:r w:rsidR="007C5AA2" w:rsidRPr="007C5AA2">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(להלן: "פקודת הסמים"), בכך שמכר לסוכנת משטרתית ביום 25.12.2018, באמצעות יישומון "טלגרם", סם מסוכן מסוג קוקאין במשקל 0.8898 גרם נטו, בתמורה לתשלום בסך 800 ₪.</w:t>
      </w:r>
    </w:p>
    <w:p w14:paraId="174CD787" w14:textId="77777777" w:rsidR="00BA6636" w:rsidRDefault="00BA6636" w:rsidP="00BA6636">
      <w:pPr>
        <w:pStyle w:val="aa"/>
        <w:spacing w:after="0" w:line="360" w:lineRule="auto"/>
        <w:ind w:left="360"/>
        <w:jc w:val="both"/>
        <w:rPr>
          <w:rFonts w:ascii="David" w:hAnsi="David" w:cs="David"/>
          <w:sz w:val="24"/>
          <w:szCs w:val="24"/>
        </w:rPr>
      </w:pPr>
    </w:p>
    <w:p w14:paraId="79F50312" w14:textId="77777777" w:rsidR="00BA6636" w:rsidRDefault="00BA6636" w:rsidP="00BA6636">
      <w:pPr>
        <w:pStyle w:val="aa"/>
        <w:numPr>
          <w:ilvl w:val="0"/>
          <w:numId w:val="1"/>
        </w:numPr>
        <w:spacing w:after="0" w:line="360" w:lineRule="auto"/>
        <w:ind w:left="360"/>
        <w:jc w:val="both"/>
        <w:rPr>
          <w:rFonts w:ascii="David" w:hAnsi="David" w:cs="David"/>
          <w:sz w:val="24"/>
          <w:szCs w:val="24"/>
        </w:rPr>
      </w:pPr>
      <w:bookmarkStart w:id="6" w:name="ABSTRACT_END"/>
      <w:bookmarkEnd w:id="6"/>
      <w:r>
        <w:rPr>
          <w:rFonts w:ascii="David" w:hAnsi="David" w:cs="David"/>
          <w:sz w:val="24"/>
          <w:szCs w:val="24"/>
          <w:rtl/>
        </w:rPr>
        <w:t>לבקשת הנאשם דיון הטיעונים לעונש נדחה מפעם לפעם לשם שילובו בהליך טיפולי</w:t>
      </w:r>
      <w:r>
        <w:rPr>
          <w:rFonts w:ascii="David" w:hAnsi="David" w:cs="David" w:hint="cs"/>
          <w:sz w:val="24"/>
          <w:szCs w:val="24"/>
          <w:rtl/>
        </w:rPr>
        <w:t>,</w:t>
      </w:r>
      <w:r>
        <w:rPr>
          <w:rFonts w:ascii="David" w:hAnsi="David" w:cs="David"/>
          <w:sz w:val="24"/>
          <w:szCs w:val="24"/>
          <w:rtl/>
        </w:rPr>
        <w:t xml:space="preserve"> קבלת תסקירים מאת שירות המבחן וקבלת חוות דעת מאת הממונה על עבודות השירות. לאחר טיפול ארוך המליץ השירות על ענישה שיקומית בדמות של"צ וצו מבחן, ולכך עתרה ההגנה. המאשימה מנגד, עתרה להשית על הנאשם מאסר בעבודות שירות לצד ענישה נלוות. </w:t>
      </w:r>
    </w:p>
    <w:p w14:paraId="4783D01C" w14:textId="77777777" w:rsidR="00BA6636" w:rsidRDefault="00BA6636" w:rsidP="00BA6636">
      <w:pPr>
        <w:spacing w:line="480" w:lineRule="auto"/>
        <w:jc w:val="both"/>
        <w:rPr>
          <w:rFonts w:ascii="David" w:hAnsi="David"/>
          <w:b/>
          <w:bCs/>
          <w:u w:val="single"/>
        </w:rPr>
      </w:pPr>
    </w:p>
    <w:p w14:paraId="26D3A4B4" w14:textId="77777777" w:rsidR="00BA6636" w:rsidRDefault="00BA6636" w:rsidP="00BA6636">
      <w:pPr>
        <w:spacing w:line="480" w:lineRule="auto"/>
        <w:jc w:val="both"/>
        <w:rPr>
          <w:rFonts w:ascii="David" w:hAnsi="David"/>
          <w:b/>
          <w:bCs/>
          <w:u w:val="single"/>
          <w:rtl/>
        </w:rPr>
      </w:pPr>
      <w:r>
        <w:rPr>
          <w:rFonts w:ascii="David" w:hAnsi="David"/>
          <w:b/>
          <w:bCs/>
          <w:u w:val="single"/>
          <w:rtl/>
        </w:rPr>
        <w:t>תסקירי שירות המבחן</w:t>
      </w:r>
    </w:p>
    <w:p w14:paraId="206261C3" w14:textId="77777777" w:rsidR="00BA6636" w:rsidRDefault="00BA6636" w:rsidP="00BA6636">
      <w:pPr>
        <w:pStyle w:val="aa"/>
        <w:numPr>
          <w:ilvl w:val="0"/>
          <w:numId w:val="1"/>
        </w:numPr>
        <w:spacing w:after="0" w:line="360" w:lineRule="auto"/>
        <w:ind w:left="360"/>
        <w:jc w:val="both"/>
        <w:rPr>
          <w:rFonts w:ascii="David" w:hAnsi="David" w:cs="David"/>
          <w:b/>
          <w:bCs/>
          <w:sz w:val="24"/>
          <w:szCs w:val="24"/>
          <w:u w:val="single"/>
          <w:rtl/>
        </w:rPr>
      </w:pPr>
      <w:r>
        <w:rPr>
          <w:rFonts w:ascii="David" w:hAnsi="David" w:cs="David"/>
          <w:sz w:val="24"/>
          <w:szCs w:val="24"/>
          <w:rtl/>
        </w:rPr>
        <w:lastRenderedPageBreak/>
        <w:t xml:space="preserve">שירות המבחן הגיש שישה תסקירים בעניינו של הנאשם, החל מחודש אוקטובר 2021 ועד לחודש פברואר 2023. מתסקירי שירות המבחן נלמדו נסיבותיו האישיות של הנאשם בהיותו צעיר יליד 1999, שהיה </w:t>
      </w:r>
      <w:r>
        <w:rPr>
          <w:rFonts w:ascii="David" w:hAnsi="David" w:cs="David" w:hint="cs"/>
          <w:sz w:val="24"/>
          <w:szCs w:val="24"/>
          <w:rtl/>
        </w:rPr>
        <w:t>כ</w:t>
      </w:r>
      <w:r>
        <w:rPr>
          <w:rFonts w:ascii="David" w:hAnsi="David" w:cs="David"/>
          <w:sz w:val="24"/>
          <w:szCs w:val="24"/>
          <w:rtl/>
        </w:rPr>
        <w:t>בן 19 בעת ביצוע העביר</w:t>
      </w:r>
      <w:r>
        <w:rPr>
          <w:rFonts w:ascii="David" w:hAnsi="David" w:cs="David" w:hint="cs"/>
          <w:sz w:val="24"/>
          <w:szCs w:val="24"/>
          <w:rtl/>
        </w:rPr>
        <w:t>ה</w:t>
      </w:r>
      <w:r>
        <w:rPr>
          <w:rFonts w:ascii="David" w:hAnsi="David" w:cs="David"/>
          <w:sz w:val="24"/>
          <w:szCs w:val="24"/>
          <w:rtl/>
        </w:rPr>
        <w:t>, וכיום הוא נשוי ואב לתינוק כבן שנה, ואשתו בהיריון נוסף, עובד כטכנאי משאבות מים, והמשפחה מתגוררת בישוב בית אריה. בילדותו למד הנאשם בפנימייה כבר בגיל 6 ועד גיל 17, סיים 11 שנות לימוד, אובחן עם בעיות קשב וריכוז, ולכן למד בבית ספר לחינוך מיוחד. בגיל 18 החל לצרוך ולמכור סמים, כשאחת הסיבות לכך הייתה רצונו לסייע כלכלית למשפחתו דלת האמצעים. הנאשם התגייס לצה"ל ושירת שירות חלקי בחיל ההנדסה הקרבית במהלכו ריצה שלושה מאסרים בכלא צבאי מחמת נפקדות. הנאשם התחתן בשנת 2021 והזוגיות מהווה עבורו גורם תמיכה חיובי ביותר.</w:t>
      </w:r>
    </w:p>
    <w:p w14:paraId="794D3D8B" w14:textId="77777777" w:rsidR="00BA6636" w:rsidRDefault="00BA6636" w:rsidP="00BA6636">
      <w:pPr>
        <w:pStyle w:val="aa"/>
        <w:spacing w:after="0" w:line="360" w:lineRule="auto"/>
        <w:ind w:left="360"/>
        <w:jc w:val="both"/>
        <w:rPr>
          <w:rFonts w:ascii="David" w:hAnsi="David" w:cs="David"/>
          <w:b/>
          <w:bCs/>
          <w:sz w:val="24"/>
          <w:szCs w:val="24"/>
          <w:u w:val="single"/>
        </w:rPr>
      </w:pPr>
    </w:p>
    <w:p w14:paraId="233EF72F" w14:textId="77777777" w:rsidR="00BA6636" w:rsidRDefault="00BA6636" w:rsidP="00BA6636">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באשר להליכי הטיפול, מהתסקירים הראשונים הצטיירה תמונה לפיה הנאשם לא התמיד בהגעה לבדיקות שתן אליהן הופנה, ובחלק מהבדיקות נמצאו שרידי סם מסוג קנבוס. בתחילה הנאשם לא שיתף פעולה עם גורמי הטיפול, ולא יצר קשר, לכן שירות המבחן לא בא בהמלצה טיפולית בעניינו. אולם, לאחר לידת בנו הבכור, ובהמשך למספר הזדמנויות שקיבל מבית המשפט, השתלב הנאשם בטיפול בקבוצה ייעודית לצעירים עוברי חוק, ומסר בדיקות שתן נקייה משרידי סם. בתסקיר מסוף שנת 2022, נראה שחל שינוי משמעותי בהתנהלות הנאשם, הוא שולב בקבוצה הטיפולית לעיל, הגיע למפגשים בקביעות וגילה מחויבות ואחריות לתהליך. שירות המבחן התרשם שהנאשם משקיע מאמצים רבים בטיפול ונרתם ממנו. הנאשם שמר לאורך הדרך על תעסוקה, לא נפתחו לו תיקים חדשים, ומסר בדיקות שתן נקיות משרידי סם. </w:t>
      </w:r>
    </w:p>
    <w:p w14:paraId="419D78F3" w14:textId="77777777" w:rsidR="00BA6636" w:rsidRDefault="00BA6636" w:rsidP="00BA6636">
      <w:pPr>
        <w:pStyle w:val="aa"/>
        <w:spacing w:after="0" w:line="240" w:lineRule="auto"/>
        <w:ind w:left="360"/>
        <w:jc w:val="both"/>
        <w:rPr>
          <w:rFonts w:ascii="David" w:hAnsi="David" w:cs="David"/>
          <w:b/>
          <w:bCs/>
          <w:sz w:val="24"/>
          <w:szCs w:val="24"/>
          <w:u w:val="single"/>
        </w:rPr>
      </w:pPr>
    </w:p>
    <w:p w14:paraId="5135E8EE" w14:textId="77777777" w:rsidR="00BA6636" w:rsidRDefault="00BA6636" w:rsidP="00BA6636">
      <w:pPr>
        <w:pStyle w:val="aa"/>
        <w:numPr>
          <w:ilvl w:val="0"/>
          <w:numId w:val="1"/>
        </w:numPr>
        <w:spacing w:after="0" w:line="360" w:lineRule="auto"/>
        <w:ind w:left="360"/>
        <w:jc w:val="both"/>
        <w:rPr>
          <w:rFonts w:ascii="David" w:hAnsi="David" w:cs="David"/>
          <w:b/>
          <w:bCs/>
          <w:sz w:val="24"/>
          <w:szCs w:val="24"/>
          <w:u w:val="single"/>
        </w:rPr>
      </w:pPr>
      <w:r>
        <w:rPr>
          <w:rFonts w:ascii="David" w:hAnsi="David" w:cs="David"/>
          <w:sz w:val="24"/>
          <w:szCs w:val="24"/>
          <w:rtl/>
        </w:rPr>
        <w:t xml:space="preserve">בתסקיר האחרון מאת שירות המבחן הושלמה התמונה החיובית משנודע כי הנאשם המשיך להשתתף בקבוצה הטיפולית, אף אם צוין כי הוא ממעט בשיתוף בתכנים אישיים בשל אופיו המופנם. שירות המבחן התרשם כי הנאשם השקיע מאמצים רבים בטיפול, גילה אחריות ומחויבות והביע רצונו לניהול חייו ללא מעורבות בפלילים. </w:t>
      </w:r>
    </w:p>
    <w:p w14:paraId="1C35C675" w14:textId="77777777" w:rsidR="00BA6636" w:rsidRDefault="00BA6636" w:rsidP="00BA6636">
      <w:pPr>
        <w:pStyle w:val="aa"/>
        <w:spacing w:after="0" w:line="240" w:lineRule="auto"/>
        <w:ind w:left="360"/>
        <w:jc w:val="both"/>
        <w:rPr>
          <w:rFonts w:ascii="David" w:hAnsi="David" w:cs="David"/>
          <w:b/>
          <w:bCs/>
          <w:sz w:val="24"/>
          <w:szCs w:val="24"/>
          <w:u w:val="single"/>
        </w:rPr>
      </w:pPr>
    </w:p>
    <w:p w14:paraId="560B41BB" w14:textId="77777777" w:rsidR="00BA6636" w:rsidRDefault="00BA6636" w:rsidP="00BA6636">
      <w:pPr>
        <w:pStyle w:val="aa"/>
        <w:numPr>
          <w:ilvl w:val="0"/>
          <w:numId w:val="1"/>
        </w:numPr>
        <w:spacing w:after="0" w:line="360" w:lineRule="auto"/>
        <w:ind w:left="360"/>
        <w:jc w:val="both"/>
        <w:rPr>
          <w:rFonts w:ascii="David" w:hAnsi="David" w:cs="David"/>
          <w:b/>
          <w:bCs/>
          <w:sz w:val="24"/>
          <w:szCs w:val="24"/>
        </w:rPr>
      </w:pPr>
      <w:r>
        <w:rPr>
          <w:rFonts w:ascii="David" w:hAnsi="David" w:cs="David"/>
          <w:sz w:val="24"/>
          <w:szCs w:val="24"/>
          <w:rtl/>
        </w:rPr>
        <w:t xml:space="preserve">כנגד הנאשם לא נפתחו תיקים חדשים, הוא לא התייצב לבדיקות שתן (אחת בשל מחויבות לעבודתו והשנייה בשל מחלת קורונה). שירות המבחן המשיך בהתרשמותו כי מחד הנאשם אחראי ומגלה מחויבות </w:t>
      </w:r>
      <w:r>
        <w:rPr>
          <w:rFonts w:ascii="David" w:hAnsi="David" w:cs="David" w:hint="cs"/>
          <w:sz w:val="24"/>
          <w:szCs w:val="24"/>
          <w:rtl/>
        </w:rPr>
        <w:t xml:space="preserve">לטיפול, </w:t>
      </w:r>
      <w:r>
        <w:rPr>
          <w:rFonts w:ascii="David" w:hAnsi="David" w:cs="David"/>
          <w:sz w:val="24"/>
          <w:szCs w:val="24"/>
          <w:rtl/>
        </w:rPr>
        <w:t xml:space="preserve">ומאידך הרושם הממושך </w:t>
      </w:r>
      <w:r>
        <w:rPr>
          <w:rFonts w:ascii="David" w:hAnsi="David" w:cs="David" w:hint="cs"/>
          <w:sz w:val="24"/>
          <w:szCs w:val="24"/>
          <w:rtl/>
        </w:rPr>
        <w:t xml:space="preserve">של </w:t>
      </w:r>
      <w:r>
        <w:rPr>
          <w:rFonts w:ascii="David" w:hAnsi="David" w:cs="David"/>
          <w:sz w:val="24"/>
          <w:szCs w:val="24"/>
          <w:rtl/>
        </w:rPr>
        <w:t xml:space="preserve">גורמי הטיפול כי יכולתו להיתרם מההליך הטיפולי מוגבלת. בסופו של דבר העריך שירות המבחן כי הסיכון מהנאשם פחת, והמליץ כאמור על לצו מבחן למשך חצי שנה ושל"צ. </w:t>
      </w:r>
    </w:p>
    <w:p w14:paraId="08E58ADD" w14:textId="77777777" w:rsidR="00BA6636" w:rsidRDefault="00BA6636" w:rsidP="00BA6636">
      <w:pPr>
        <w:spacing w:line="360" w:lineRule="auto"/>
        <w:jc w:val="both"/>
        <w:rPr>
          <w:rFonts w:ascii="David" w:hAnsi="David"/>
          <w:b/>
          <w:bCs/>
          <w:u w:val="single"/>
        </w:rPr>
      </w:pPr>
    </w:p>
    <w:p w14:paraId="690CF149" w14:textId="77777777" w:rsidR="00BA6636" w:rsidRDefault="00BA6636" w:rsidP="00BA6636">
      <w:pPr>
        <w:spacing w:line="480" w:lineRule="auto"/>
        <w:jc w:val="both"/>
        <w:rPr>
          <w:rFonts w:ascii="David" w:hAnsi="David"/>
          <w:rtl/>
        </w:rPr>
      </w:pPr>
      <w:r>
        <w:rPr>
          <w:rFonts w:ascii="David" w:hAnsi="David"/>
          <w:b/>
          <w:bCs/>
          <w:u w:val="single"/>
          <w:rtl/>
        </w:rPr>
        <w:t>טיעוני הצדדים לעונש</w:t>
      </w:r>
    </w:p>
    <w:p w14:paraId="309175C8" w14:textId="77777777" w:rsidR="00BA6636" w:rsidRDefault="00BA6636" w:rsidP="00BA6636">
      <w:pPr>
        <w:pStyle w:val="aa"/>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ב"כ המאשימה עוה"ד עדי סעדיה הפנתה לערכים המוגנים בעבירות הסמים ועל הצורך בענישה מרתיעה, ועתרה למתחם ענישה הנע בין 8 חודשי מאסר ועד ל-18 חודשים. נטען כי לאור השתלשלות התסקירים, המאשימה לא רואה את הנאשם כמי שיש לחרוג בעניינו מהמתחם בשל שיקולי שיקום, מאחר שהוא נרתם מההליך הטיפולי רק כעבור שנה וחצי מתחילתו. עם זאת </w:t>
      </w:r>
      <w:r>
        <w:rPr>
          <w:rFonts w:ascii="David" w:hAnsi="David" w:cs="David"/>
          <w:sz w:val="24"/>
          <w:szCs w:val="24"/>
          <w:rtl/>
        </w:rPr>
        <w:lastRenderedPageBreak/>
        <w:t>המאשימה לקחה בחשבון את גילו הצעיר של הנאשם, עבר פלילי קל שאיננו רלוונטי, הודאתו וחיסכון בזמן השיפוט, ועתרה להשית עליו 9 חודשי מאסר שיכול וירוצו בעבודות שירות, מאסר מותנה וקנס.</w:t>
      </w:r>
    </w:p>
    <w:p w14:paraId="57604196" w14:textId="77777777" w:rsidR="00BA6636" w:rsidRDefault="00BA6636" w:rsidP="00BA6636">
      <w:pPr>
        <w:pStyle w:val="aa"/>
        <w:spacing w:after="0" w:line="240" w:lineRule="auto"/>
        <w:ind w:left="360"/>
        <w:jc w:val="both"/>
        <w:rPr>
          <w:rFonts w:ascii="David" w:hAnsi="David" w:cs="David"/>
          <w:sz w:val="24"/>
          <w:szCs w:val="24"/>
        </w:rPr>
      </w:pPr>
    </w:p>
    <w:p w14:paraId="22C0FFB8"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ב"כ הנאשם עוה"ד בנימין בן נתן</w:t>
      </w:r>
      <w:r>
        <w:rPr>
          <w:rFonts w:ascii="David" w:hAnsi="David" w:cs="David" w:hint="cs"/>
          <w:sz w:val="24"/>
          <w:szCs w:val="24"/>
          <w:rtl/>
        </w:rPr>
        <w:t>,</w:t>
      </w:r>
      <w:r>
        <w:rPr>
          <w:rFonts w:ascii="David" w:hAnsi="David" w:cs="David"/>
          <w:sz w:val="24"/>
          <w:szCs w:val="24"/>
          <w:rtl/>
        </w:rPr>
        <w:t xml:space="preserve"> טען כי תסקירי שירות המבחן מצביעים על דרך שיקומית שעבר הנאשם, המבססים הצדקה לחריגה ממתחם הענישה ההולם מטעמי שיקום. הסניגור הפנה למאמץ הרב שהשקיע הנאשם בשינוי אורחות חייו, ולכך שהוא נרתם לטיפול בהתאם ליכולותיו, ושומר על יציבות תעסוקתית ומחויבות למשפחתו. </w:t>
      </w:r>
    </w:p>
    <w:p w14:paraId="611F02B8" w14:textId="77777777" w:rsidR="00BA6636" w:rsidRDefault="00BA6636" w:rsidP="00BA6636">
      <w:pPr>
        <w:pStyle w:val="aa"/>
        <w:spacing w:after="0" w:line="360" w:lineRule="auto"/>
        <w:ind w:left="360"/>
        <w:jc w:val="both"/>
        <w:rPr>
          <w:rFonts w:ascii="David" w:hAnsi="David" w:cs="David"/>
          <w:sz w:val="24"/>
          <w:szCs w:val="24"/>
        </w:rPr>
      </w:pPr>
    </w:p>
    <w:p w14:paraId="7DB8349E"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הוסיף הסניגור וטען כי הנאשם לקח אחריות והביע חרטה על מעשיו, חסך בזמן השיפוטי, העבירה בוצעה בחודש דצמבר 2018 וכתב האישום הוגש רק בחודש יולי 2020. לפיכך נטען שהנאשם שעומד בפני בית המשפט הוא איננו אותו אדם שעמד בתחילת ההליך. הנאשם התחתן, נולד לו ילד, שומר על עבודה מסודרת וחשוב שהוא ימשיך לבסס את חייו ואת משפחתו, שכן לדידו השתת עונש של עבודות שירות "יחזיר אותו אחורה"</w:t>
      </w:r>
      <w:r>
        <w:rPr>
          <w:rFonts w:ascii="David" w:hAnsi="David" w:cs="David" w:hint="cs"/>
          <w:sz w:val="24"/>
          <w:szCs w:val="24"/>
          <w:rtl/>
        </w:rPr>
        <w:t>,</w:t>
      </w:r>
      <w:r>
        <w:rPr>
          <w:rFonts w:ascii="David" w:hAnsi="David" w:cs="David"/>
          <w:sz w:val="24"/>
          <w:szCs w:val="24"/>
          <w:rtl/>
        </w:rPr>
        <w:t xml:space="preserve"> והמשפחה עלולה לשלם מחיר כלכלי כבד ביותר. לפיכך ביקש ב"כ הנאשם לאמץ את המלצת שירות המבחן.</w:t>
      </w:r>
    </w:p>
    <w:p w14:paraId="1EC78132" w14:textId="77777777" w:rsidR="00BA6636" w:rsidRDefault="00BA6636" w:rsidP="00BA6636">
      <w:pPr>
        <w:pStyle w:val="aa"/>
        <w:spacing w:after="0" w:line="240" w:lineRule="auto"/>
        <w:ind w:left="360"/>
        <w:jc w:val="both"/>
        <w:rPr>
          <w:rFonts w:ascii="David" w:hAnsi="David" w:cs="David"/>
          <w:sz w:val="24"/>
          <w:szCs w:val="24"/>
        </w:rPr>
      </w:pPr>
    </w:p>
    <w:p w14:paraId="66B40EF0"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אשת הנאשם העידה לעונש</w:t>
      </w:r>
      <w:r>
        <w:rPr>
          <w:rFonts w:ascii="David" w:hAnsi="David" w:cs="David" w:hint="cs"/>
          <w:sz w:val="24"/>
          <w:szCs w:val="24"/>
          <w:rtl/>
        </w:rPr>
        <w:t>,</w:t>
      </w:r>
      <w:r>
        <w:rPr>
          <w:rFonts w:ascii="David" w:hAnsi="David" w:cs="David"/>
          <w:sz w:val="24"/>
          <w:szCs w:val="24"/>
          <w:rtl/>
        </w:rPr>
        <w:t xml:space="preserve"> וסיפרה על התנהלותו החיובית של הנאשם בבית כאב לילדם. הוסיפה אשת הנאשם ופירטה את ההוצאות הכלכליות להם נדרשת המשפחה בכל חודש, והדגישה שוב ושוב את המשמעות של שליחת הנאשם לעבודות שירות בהקשר הקריסה הכלכלית וכן בשל הפן הנפשי, שיקשה ביותר, במיוחד משום שבנם הבכור עדיין פעוט, והיא בהיריון נוסף.</w:t>
      </w:r>
    </w:p>
    <w:p w14:paraId="24ADFABC" w14:textId="77777777" w:rsidR="00BA6636" w:rsidRDefault="00BA6636" w:rsidP="00BA6636">
      <w:pPr>
        <w:pStyle w:val="aa"/>
        <w:spacing w:after="0" w:line="240" w:lineRule="auto"/>
        <w:ind w:left="360"/>
        <w:jc w:val="both"/>
        <w:rPr>
          <w:rFonts w:ascii="David" w:hAnsi="David" w:cs="David"/>
          <w:sz w:val="24"/>
          <w:szCs w:val="24"/>
        </w:rPr>
      </w:pPr>
    </w:p>
    <w:p w14:paraId="4178C734"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הנאשם בדברו האחרון אמר כי הוא מצטרף לדברי אשתו ובא כוחו, התנצל שוב על מעשיו ואמר שלא מתכוון לחזור על טעות כזו שוב. </w:t>
      </w:r>
    </w:p>
    <w:p w14:paraId="517EE59D" w14:textId="77777777" w:rsidR="00BA6636" w:rsidRDefault="00BA6636" w:rsidP="00BA6636">
      <w:pPr>
        <w:spacing w:line="480" w:lineRule="auto"/>
        <w:contextualSpacing/>
        <w:jc w:val="both"/>
        <w:rPr>
          <w:rFonts w:ascii="David" w:hAnsi="David"/>
          <w:b/>
          <w:bCs/>
          <w:u w:val="single"/>
        </w:rPr>
      </w:pPr>
    </w:p>
    <w:p w14:paraId="0C3B9C11" w14:textId="77777777" w:rsidR="00BA6636" w:rsidRDefault="00BA6636" w:rsidP="00BA6636">
      <w:pPr>
        <w:spacing w:line="360" w:lineRule="auto"/>
        <w:contextualSpacing/>
        <w:jc w:val="both"/>
        <w:rPr>
          <w:rFonts w:ascii="David" w:hAnsi="David"/>
          <w:u w:val="single"/>
          <w:rtl/>
        </w:rPr>
      </w:pPr>
      <w:r>
        <w:rPr>
          <w:rFonts w:ascii="David" w:hAnsi="David"/>
          <w:b/>
          <w:bCs/>
          <w:u w:val="single"/>
          <w:rtl/>
        </w:rPr>
        <w:t xml:space="preserve">דיון והכרעה </w:t>
      </w:r>
    </w:p>
    <w:p w14:paraId="65DEFE75" w14:textId="77777777" w:rsidR="00BA6636" w:rsidRDefault="00BA6636" w:rsidP="00BA6636">
      <w:pPr>
        <w:spacing w:line="480" w:lineRule="auto"/>
        <w:contextualSpacing/>
        <w:jc w:val="both"/>
        <w:rPr>
          <w:rFonts w:ascii="David" w:hAnsi="David"/>
          <w:u w:val="single"/>
        </w:rPr>
      </w:pPr>
      <w:r>
        <w:rPr>
          <w:rFonts w:ascii="David" w:hAnsi="David"/>
          <w:u w:val="single"/>
          <w:rtl/>
        </w:rPr>
        <w:t xml:space="preserve">מתחם העונש ההולם </w:t>
      </w:r>
    </w:p>
    <w:p w14:paraId="36D4B6E1" w14:textId="77777777" w:rsidR="00BA6636" w:rsidRDefault="00BA6636" w:rsidP="00BA6636">
      <w:pPr>
        <w:pStyle w:val="aa"/>
        <w:numPr>
          <w:ilvl w:val="0"/>
          <w:numId w:val="1"/>
        </w:numPr>
        <w:spacing w:after="0" w:line="360" w:lineRule="auto"/>
        <w:ind w:left="360"/>
        <w:jc w:val="both"/>
        <w:rPr>
          <w:rFonts w:ascii="David" w:hAnsi="David" w:cs="David"/>
          <w:sz w:val="24"/>
          <w:szCs w:val="24"/>
          <w:rtl/>
        </w:rPr>
      </w:pPr>
      <w:r>
        <w:rPr>
          <w:rFonts w:ascii="David" w:hAnsi="David" w:cs="David"/>
          <w:sz w:val="24"/>
          <w:szCs w:val="24"/>
          <w:rtl/>
        </w:rPr>
        <w:t>הערכים המוגנים בעבירות סמים רחבים והם נוגעים לבריאות הציבור, ביטחונו ורכושו. בפסיקה רבה עמד בית המשפט העליון על פגיעתם הקשה של עבירות הסמים בבריאות הציבור בשל השפעתם ההרסנית על הגוף והנפש, לצד הסיכון הנובע מצריכת הסמים לביצוע עבירות נלוות כדוגמת רכוש ואלימות (</w:t>
      </w:r>
      <w:hyperlink r:id="rId13" w:history="1">
        <w:r w:rsidR="007C5AA2" w:rsidRPr="007C5AA2">
          <w:rPr>
            <w:rFonts w:ascii="David" w:hAnsi="David" w:cs="David"/>
            <w:color w:val="0000FF"/>
            <w:sz w:val="24"/>
            <w:szCs w:val="24"/>
            <w:u w:val="single"/>
            <w:rtl/>
          </w:rPr>
          <w:t>ע"פ 7952/15</w:t>
        </w:r>
      </w:hyperlink>
      <w:r>
        <w:rPr>
          <w:rFonts w:ascii="David" w:hAnsi="David" w:cs="David"/>
          <w:sz w:val="24"/>
          <w:szCs w:val="24"/>
          <w:rtl/>
        </w:rPr>
        <w:t xml:space="preserve"> </w:t>
      </w:r>
      <w:r>
        <w:rPr>
          <w:rFonts w:ascii="David" w:hAnsi="David" w:cs="David"/>
          <w:b/>
          <w:bCs/>
          <w:sz w:val="24"/>
          <w:szCs w:val="24"/>
          <w:rtl/>
        </w:rPr>
        <w:t>מדינת ישראל נ' שץ</w:t>
      </w:r>
      <w:r>
        <w:rPr>
          <w:rFonts w:ascii="David" w:hAnsi="David" w:cs="David"/>
          <w:sz w:val="24"/>
          <w:szCs w:val="24"/>
          <w:rtl/>
        </w:rPr>
        <w:t xml:space="preserve"> (15.2.2016); </w:t>
      </w:r>
      <w:hyperlink r:id="rId14" w:history="1">
        <w:r w:rsidR="007C5AA2" w:rsidRPr="007C5AA2">
          <w:rPr>
            <w:rFonts w:ascii="David" w:hAnsi="David" w:cs="David"/>
            <w:color w:val="0000FF"/>
            <w:sz w:val="24"/>
            <w:szCs w:val="24"/>
            <w:u w:val="single"/>
            <w:rtl/>
          </w:rPr>
          <w:t>ע"פ 1274/16</w:t>
        </w:r>
      </w:hyperlink>
      <w:r>
        <w:rPr>
          <w:rFonts w:ascii="David" w:hAnsi="David" w:cs="David"/>
          <w:sz w:val="24"/>
          <w:szCs w:val="24"/>
          <w:rtl/>
        </w:rPr>
        <w:t xml:space="preserve"> </w:t>
      </w:r>
      <w:r>
        <w:rPr>
          <w:rFonts w:ascii="David" w:hAnsi="David" w:cs="David"/>
          <w:b/>
          <w:bCs/>
          <w:sz w:val="24"/>
          <w:szCs w:val="24"/>
          <w:rtl/>
        </w:rPr>
        <w:t>עווד נ' מדינת ישראל</w:t>
      </w:r>
      <w:r>
        <w:rPr>
          <w:rFonts w:ascii="David" w:hAnsi="David" w:cs="David"/>
          <w:sz w:val="24"/>
          <w:szCs w:val="24"/>
          <w:rtl/>
        </w:rPr>
        <w:t xml:space="preserve"> (6.10.2016); </w:t>
      </w:r>
      <w:hyperlink r:id="rId15" w:history="1">
        <w:r w:rsidR="007C5AA2" w:rsidRPr="007C5AA2">
          <w:rPr>
            <w:rFonts w:ascii="David" w:hAnsi="David" w:cs="David"/>
            <w:color w:val="0000FF"/>
            <w:sz w:val="24"/>
            <w:szCs w:val="24"/>
            <w:u w:val="single"/>
            <w:rtl/>
          </w:rPr>
          <w:t>ע"פ 4522/18</w:t>
        </w:r>
      </w:hyperlink>
      <w:r>
        <w:rPr>
          <w:rFonts w:ascii="David" w:hAnsi="David" w:cs="David"/>
          <w:sz w:val="24"/>
          <w:szCs w:val="24"/>
          <w:rtl/>
        </w:rPr>
        <w:t xml:space="preserve"> </w:t>
      </w:r>
      <w:r>
        <w:rPr>
          <w:rFonts w:ascii="David" w:hAnsi="David" w:cs="David"/>
          <w:b/>
          <w:bCs/>
          <w:sz w:val="24"/>
          <w:szCs w:val="24"/>
          <w:rtl/>
        </w:rPr>
        <w:t>אסאבן נ' מדינת ישראל</w:t>
      </w:r>
      <w:r>
        <w:rPr>
          <w:rFonts w:ascii="David" w:hAnsi="David" w:cs="David"/>
          <w:sz w:val="24"/>
          <w:szCs w:val="24"/>
          <w:rtl/>
        </w:rPr>
        <w:t xml:space="preserve"> (11.11.2018)).</w:t>
      </w:r>
      <w:r>
        <w:rPr>
          <w:rFonts w:ascii="David" w:hAnsi="David" w:cs="David"/>
          <w:sz w:val="24"/>
          <w:szCs w:val="24"/>
        </w:rPr>
        <w:t xml:space="preserve"> </w:t>
      </w:r>
      <w:r>
        <w:rPr>
          <w:rFonts w:ascii="David" w:hAnsi="David" w:cs="David"/>
          <w:sz w:val="24"/>
          <w:szCs w:val="24"/>
          <w:rtl/>
        </w:rPr>
        <w:t xml:space="preserve">ובנוגע לתפקידו של בית המשפט במאבק בעבירות סחר בסמים, כך נאמר מפי כב' השופטת ע' ארבל (כתוארה אז) ברע"פ </w:t>
      </w:r>
      <w:hyperlink r:id="rId16" w:history="1">
        <w:r w:rsidR="00132FAE" w:rsidRPr="00132FAE">
          <w:rPr>
            <w:rFonts w:ascii="David" w:hAnsi="David" w:cs="David"/>
            <w:b/>
            <w:bCs/>
            <w:color w:val="0000FF"/>
            <w:sz w:val="24"/>
            <w:szCs w:val="24"/>
            <w:u w:val="single"/>
            <w:rtl/>
          </w:rPr>
          <w:t xml:space="preserve">6373/06 </w:t>
        </w:r>
      </w:hyperlink>
      <w:r>
        <w:rPr>
          <w:rFonts w:ascii="David" w:hAnsi="David" w:cs="David"/>
          <w:b/>
          <w:bCs/>
          <w:sz w:val="24"/>
          <w:szCs w:val="24"/>
          <w:rtl/>
        </w:rPr>
        <w:t xml:space="preserve"> מדינת ישראל נ' אלנשמי </w:t>
      </w:r>
      <w:r>
        <w:rPr>
          <w:rFonts w:ascii="David" w:hAnsi="David" w:cs="David"/>
          <w:sz w:val="24"/>
          <w:szCs w:val="24"/>
          <w:rtl/>
        </w:rPr>
        <w:t>(6.9.2006):</w:t>
      </w:r>
    </w:p>
    <w:p w14:paraId="1978B08E" w14:textId="77777777" w:rsidR="00BA6636" w:rsidRPr="00BA6636" w:rsidRDefault="00BA6636" w:rsidP="00BA6636">
      <w:pPr>
        <w:pStyle w:val="aa"/>
        <w:spacing w:after="0" w:line="240" w:lineRule="auto"/>
        <w:ind w:left="0"/>
        <w:rPr>
          <w:rFonts w:ascii="David" w:hAnsi="David" w:cs="David"/>
          <w:b/>
          <w:bCs/>
          <w:sz w:val="24"/>
          <w:szCs w:val="24"/>
        </w:rPr>
      </w:pPr>
    </w:p>
    <w:p w14:paraId="4619F0C2" w14:textId="77777777" w:rsidR="00BA6636" w:rsidRDefault="00BA6636" w:rsidP="00BA6636">
      <w:pPr>
        <w:spacing w:line="360" w:lineRule="auto"/>
        <w:ind w:left="1077" w:right="794"/>
        <w:contextualSpacing/>
        <w:jc w:val="both"/>
        <w:rPr>
          <w:rFonts w:ascii="David" w:hAnsi="David"/>
          <w:b/>
          <w:bCs/>
        </w:rPr>
      </w:pPr>
      <w:r>
        <w:rPr>
          <w:rFonts w:ascii="David" w:hAnsi="David"/>
          <w:b/>
          <w:bCs/>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r>
        <w:rPr>
          <w:rFonts w:ascii="David" w:hAnsi="David"/>
          <w:rtl/>
        </w:rPr>
        <w:t>.</w:t>
      </w:r>
      <w:r>
        <w:rPr>
          <w:rFonts w:ascii="David" w:hAnsi="David"/>
          <w:b/>
          <w:bCs/>
          <w:rtl/>
        </w:rPr>
        <w:t xml:space="preserve"> </w:t>
      </w:r>
    </w:p>
    <w:p w14:paraId="6C360CA7" w14:textId="77777777" w:rsidR="00BA6636" w:rsidRDefault="00BA6636" w:rsidP="00BA6636">
      <w:pPr>
        <w:contextualSpacing/>
        <w:jc w:val="both"/>
        <w:rPr>
          <w:rFonts w:ascii="David" w:hAnsi="David"/>
          <w:u w:val="single"/>
          <w:rtl/>
        </w:rPr>
      </w:pPr>
    </w:p>
    <w:p w14:paraId="70905C20" w14:textId="77777777" w:rsidR="00BA6636" w:rsidRDefault="00BA6636" w:rsidP="00BA6636">
      <w:pPr>
        <w:numPr>
          <w:ilvl w:val="0"/>
          <w:numId w:val="1"/>
        </w:numPr>
        <w:spacing w:line="360" w:lineRule="auto"/>
        <w:ind w:left="360"/>
        <w:contextualSpacing/>
        <w:jc w:val="both"/>
        <w:rPr>
          <w:rFonts w:ascii="David" w:hAnsi="David"/>
          <w:rtl/>
        </w:rPr>
      </w:pPr>
      <w:r>
        <w:rPr>
          <w:rFonts w:ascii="David" w:hAnsi="David"/>
          <w:rtl/>
        </w:rPr>
        <w:t>בענייננו, מכר הנאשם לסוכנת משטרתית, סם קשה מסוג קוקאין במשקל של כ 0.8898 גרם, בתמורה ל- 800 ₪, באמצעות הטלגרם. מכירת הסם הקשה, והשימוש בטלגרם לביצוע עסקה עבור לקוחה מזדמנת – הסוכנת, מצביעים על החומרה בעביר</w:t>
      </w:r>
      <w:r>
        <w:rPr>
          <w:rFonts w:ascii="David" w:hAnsi="David" w:hint="cs"/>
          <w:rtl/>
        </w:rPr>
        <w:t>ה זו</w:t>
      </w:r>
      <w:r>
        <w:rPr>
          <w:rFonts w:ascii="David" w:hAnsi="David"/>
          <w:rtl/>
        </w:rPr>
        <w:t>. מנגד מדובר במכירה בהזדמנות יחידה, ובכמות קטנה באופן יחסי.</w:t>
      </w:r>
    </w:p>
    <w:p w14:paraId="6D2B2265" w14:textId="77777777" w:rsidR="00BA6636" w:rsidRDefault="00BA6636" w:rsidP="00BA6636">
      <w:pPr>
        <w:ind w:left="360"/>
        <w:contextualSpacing/>
        <w:jc w:val="both"/>
        <w:rPr>
          <w:rFonts w:ascii="David" w:hAnsi="David"/>
        </w:rPr>
      </w:pPr>
    </w:p>
    <w:p w14:paraId="2AD376C0" w14:textId="77777777" w:rsidR="00BA6636" w:rsidRDefault="00BA6636" w:rsidP="00BA6636">
      <w:pPr>
        <w:numPr>
          <w:ilvl w:val="0"/>
          <w:numId w:val="1"/>
        </w:numPr>
        <w:spacing w:line="360" w:lineRule="auto"/>
        <w:ind w:left="360"/>
        <w:contextualSpacing/>
        <w:jc w:val="both"/>
        <w:rPr>
          <w:rFonts w:ascii="David" w:hAnsi="David"/>
        </w:rPr>
      </w:pPr>
      <w:r>
        <w:rPr>
          <w:rFonts w:ascii="David" w:hAnsi="David"/>
          <w:rtl/>
        </w:rPr>
        <w:t xml:space="preserve">הענישה בתחום סחר בסמים קשים, אף בכמויות קטנות היא דרך כלל לעונשי מאסר בפועל. </w:t>
      </w:r>
      <w:r>
        <w:rPr>
          <w:rFonts w:ascii="David" w:hAnsi="David"/>
          <w:u w:val="single"/>
          <w:rtl/>
        </w:rPr>
        <w:t>לשם קביעת מתחם הענישה ההולם אבחן ענישה נוהגת רלוונטית בשינויים המחויבים לקולה וחומרה, כדלקמן:</w:t>
      </w:r>
    </w:p>
    <w:p w14:paraId="0D7F798C" w14:textId="77777777" w:rsidR="00BA6636" w:rsidRDefault="00BA6636" w:rsidP="00BA6636">
      <w:pPr>
        <w:pStyle w:val="aa"/>
        <w:spacing w:after="0" w:line="240" w:lineRule="auto"/>
        <w:ind w:left="0"/>
        <w:rPr>
          <w:rFonts w:ascii="David" w:hAnsi="David" w:cs="David"/>
          <w:sz w:val="24"/>
          <w:szCs w:val="24"/>
        </w:rPr>
      </w:pPr>
    </w:p>
    <w:p w14:paraId="6E66A282" w14:textId="77777777" w:rsidR="00BA6636" w:rsidRDefault="00BA6636" w:rsidP="00BA6636">
      <w:pPr>
        <w:pStyle w:val="aa"/>
        <w:numPr>
          <w:ilvl w:val="0"/>
          <w:numId w:val="2"/>
        </w:numPr>
        <w:spacing w:after="0" w:line="360" w:lineRule="auto"/>
        <w:ind w:left="737"/>
        <w:jc w:val="both"/>
        <w:rPr>
          <w:rFonts w:ascii="David" w:hAnsi="David" w:cs="David"/>
          <w:b/>
          <w:bCs/>
          <w:sz w:val="24"/>
          <w:szCs w:val="24"/>
          <w:rtl/>
        </w:rPr>
      </w:pPr>
      <w:r>
        <w:rPr>
          <w:rFonts w:ascii="David" w:hAnsi="David" w:cs="David"/>
          <w:sz w:val="24"/>
          <w:szCs w:val="24"/>
          <w:rtl/>
        </w:rPr>
        <w:t>ב</w:t>
      </w:r>
      <w:hyperlink r:id="rId17" w:history="1">
        <w:r w:rsidR="007C5AA2" w:rsidRPr="007C5AA2">
          <w:rPr>
            <w:rFonts w:ascii="David" w:hAnsi="David" w:cs="David"/>
            <w:color w:val="0000FF"/>
            <w:sz w:val="24"/>
            <w:szCs w:val="24"/>
            <w:u w:val="single"/>
            <w:rtl/>
          </w:rPr>
          <w:t>רע"פ 1955/19</w:t>
        </w:r>
      </w:hyperlink>
      <w:r>
        <w:rPr>
          <w:rFonts w:ascii="David" w:hAnsi="David" w:cs="David"/>
          <w:sz w:val="24"/>
          <w:szCs w:val="24"/>
          <w:rtl/>
        </w:rPr>
        <w:t xml:space="preserve"> </w:t>
      </w:r>
      <w:r>
        <w:rPr>
          <w:rFonts w:ascii="David" w:hAnsi="David" w:cs="David"/>
          <w:b/>
          <w:bCs/>
          <w:sz w:val="24"/>
          <w:szCs w:val="24"/>
          <w:rtl/>
        </w:rPr>
        <w:t xml:space="preserve">אבו רקייק נ' מדינת ישראל </w:t>
      </w:r>
      <w:r>
        <w:rPr>
          <w:rFonts w:ascii="David" w:hAnsi="David" w:cs="David"/>
          <w:sz w:val="24"/>
          <w:szCs w:val="24"/>
          <w:rtl/>
        </w:rPr>
        <w:t xml:space="preserve">(1.4.2019), הורשע נאשם על פי הודאתו בסחר בסם מסוכן, ומעשה פזיזות ורשלנות ברכב, בכך שמכר לסוכן משטרתי 2 מנות סם מסוכן מסוג </w:t>
      </w:r>
      <w:r>
        <w:rPr>
          <w:rFonts w:ascii="David" w:hAnsi="David" w:cs="David"/>
          <w:sz w:val="24"/>
          <w:szCs w:val="24"/>
          <w:u w:val="single"/>
          <w:rtl/>
        </w:rPr>
        <w:t>קוקאין במשקל כולל של 1.049 גרם</w:t>
      </w:r>
      <w:r>
        <w:rPr>
          <w:rFonts w:ascii="David" w:hAnsi="David" w:cs="David"/>
          <w:sz w:val="24"/>
          <w:szCs w:val="24"/>
          <w:rtl/>
        </w:rPr>
        <w:t xml:space="preserve">, בתמורה ל-800 ₪, ולאחר מכן נמלט עם רכבו מהמשטרה, נסע לאחור, התנגש ברכב אחר וכמעט פגע בהולכת רגל. בית המשפט השלום בבאר-שבע קבע מתחם </w:t>
      </w:r>
      <w:r>
        <w:rPr>
          <w:rFonts w:ascii="David" w:hAnsi="David" w:cs="David"/>
          <w:sz w:val="24"/>
          <w:szCs w:val="24"/>
          <w:u w:val="single"/>
          <w:rtl/>
        </w:rPr>
        <w:t>עונש כולל שנע בין 14 חודשי מאסר ל-30 חודשי</w:t>
      </w:r>
      <w:r>
        <w:rPr>
          <w:rFonts w:ascii="David" w:hAnsi="David" w:cs="David"/>
          <w:sz w:val="24"/>
          <w:szCs w:val="24"/>
          <w:rtl/>
        </w:rPr>
        <w:t xml:space="preserve"> מאסר בפועל, וגזר על הנאשם 14 חודשי מאסר לצד ענישה נלוות לאור תסקיר חיובי, גילו הצעיר, נטילת האחריות והיעדר עבר פלילי. ערעור ובקשה לרשות ערעור שהגיש הנאשם נדחו.</w:t>
      </w:r>
    </w:p>
    <w:p w14:paraId="72754D55" w14:textId="77777777" w:rsidR="00BA6636" w:rsidRDefault="00BA6636" w:rsidP="00BA6636">
      <w:pPr>
        <w:ind w:left="737"/>
        <w:contextualSpacing/>
        <w:jc w:val="both"/>
        <w:rPr>
          <w:rFonts w:ascii="David" w:hAnsi="David"/>
        </w:rPr>
      </w:pPr>
    </w:p>
    <w:p w14:paraId="1924BCAD" w14:textId="77777777" w:rsidR="00BA6636" w:rsidRDefault="00BA6636" w:rsidP="00BA6636">
      <w:pPr>
        <w:numPr>
          <w:ilvl w:val="0"/>
          <w:numId w:val="2"/>
        </w:numPr>
        <w:spacing w:line="360" w:lineRule="auto"/>
        <w:ind w:left="737"/>
        <w:contextualSpacing/>
        <w:jc w:val="both"/>
        <w:rPr>
          <w:rFonts w:ascii="David" w:hAnsi="David"/>
        </w:rPr>
      </w:pPr>
      <w:r>
        <w:rPr>
          <w:rFonts w:ascii="David" w:hAnsi="David"/>
          <w:rtl/>
        </w:rPr>
        <w:t>ב</w:t>
      </w:r>
      <w:hyperlink r:id="rId18" w:history="1">
        <w:r w:rsidR="007C5AA2" w:rsidRPr="007C5AA2">
          <w:rPr>
            <w:rFonts w:ascii="David" w:hAnsi="David"/>
            <w:color w:val="0000FF"/>
            <w:u w:val="single"/>
            <w:rtl/>
          </w:rPr>
          <w:t>רע"פ 126/15</w:t>
        </w:r>
      </w:hyperlink>
      <w:r>
        <w:rPr>
          <w:rFonts w:ascii="David" w:hAnsi="David"/>
          <w:rtl/>
        </w:rPr>
        <w:t xml:space="preserve"> </w:t>
      </w:r>
      <w:r>
        <w:rPr>
          <w:rFonts w:ascii="David" w:hAnsi="David"/>
          <w:b/>
          <w:bCs/>
          <w:rtl/>
        </w:rPr>
        <w:t xml:space="preserve">חביף נ' מדינת ישראל </w:t>
      </w:r>
      <w:r>
        <w:rPr>
          <w:rFonts w:ascii="David" w:hAnsi="David"/>
          <w:rtl/>
        </w:rPr>
        <w:t xml:space="preserve">(13.1.2015), הורשע נאשם על פי הודאתו בסחר בסם מסוכן, בכך שמכר לסוכן משטרתי סם מסוכן מסוג </w:t>
      </w:r>
      <w:r>
        <w:rPr>
          <w:rFonts w:ascii="David" w:hAnsi="David"/>
          <w:u w:val="single"/>
          <w:rtl/>
        </w:rPr>
        <w:t>קוקאין במשקל 0.3901 גרם</w:t>
      </w:r>
      <w:r>
        <w:rPr>
          <w:rFonts w:ascii="David" w:hAnsi="David"/>
          <w:rtl/>
        </w:rPr>
        <w:t xml:space="preserve">, ובהזדמנות נוספת מכר לו </w:t>
      </w:r>
      <w:r>
        <w:rPr>
          <w:rFonts w:ascii="David" w:hAnsi="David"/>
          <w:u w:val="single"/>
          <w:rtl/>
        </w:rPr>
        <w:t>0.8179 גרם</w:t>
      </w:r>
      <w:r>
        <w:rPr>
          <w:rFonts w:ascii="David" w:hAnsi="David"/>
          <w:rtl/>
        </w:rPr>
        <w:t xml:space="preserve"> נטו, כשבהזדמנות אחרת, תיווך לאחר סחר בסם במשקל 2.5056 גרם. בית המשפט השלום בתל-אביב קבע כי מתחם העונש ההולם בגין כל אחד מהמעשים נע בין </w:t>
      </w:r>
      <w:r>
        <w:rPr>
          <w:rFonts w:ascii="David" w:hAnsi="David"/>
          <w:u w:val="single"/>
          <w:rtl/>
        </w:rPr>
        <w:t>8 חודשי מאסר ועד 18 חודשים</w:t>
      </w:r>
      <w:r>
        <w:rPr>
          <w:rFonts w:ascii="David" w:hAnsi="David"/>
          <w:rtl/>
        </w:rPr>
        <w:t>, וגזר על הנאשם שלחובתו עבר פלילי מכביד, 16 חודשי מאסר בפועל, הפעיל במצטבר מאסר על תנאי שהיה תלוי ועומד נגדו, כשסה"כ נגזרו על הנאשם 20 חודשי מאסר וענישה נלוות. ערעור ובקשת רשות ערעור שהגיש הנאשם נדחו, תוך שצוין שהמתחמים שנקבעו מתונים ואף מקלים.</w:t>
      </w:r>
    </w:p>
    <w:p w14:paraId="316709FF" w14:textId="77777777" w:rsidR="00BA6636" w:rsidRDefault="00BA6636" w:rsidP="00BA6636">
      <w:pPr>
        <w:ind w:left="737"/>
        <w:contextualSpacing/>
        <w:jc w:val="both"/>
        <w:rPr>
          <w:rFonts w:ascii="David" w:hAnsi="David"/>
        </w:rPr>
      </w:pPr>
    </w:p>
    <w:p w14:paraId="58F74A9C" w14:textId="77777777" w:rsidR="00BA6636" w:rsidRPr="00BD4D6B" w:rsidRDefault="00BA6636" w:rsidP="00BA6636">
      <w:pPr>
        <w:numPr>
          <w:ilvl w:val="0"/>
          <w:numId w:val="2"/>
        </w:numPr>
        <w:spacing w:line="360" w:lineRule="auto"/>
        <w:ind w:left="737"/>
        <w:contextualSpacing/>
        <w:jc w:val="both"/>
        <w:rPr>
          <w:rFonts w:ascii="David" w:hAnsi="David"/>
        </w:rPr>
      </w:pPr>
      <w:r w:rsidRPr="00BD4D6B">
        <w:rPr>
          <w:rFonts w:ascii="David" w:hAnsi="David"/>
          <w:color w:val="000000"/>
          <w:rtl/>
        </w:rPr>
        <w:t>ב</w:t>
      </w:r>
      <w:hyperlink r:id="rId19" w:history="1">
        <w:r w:rsidR="007C5AA2" w:rsidRPr="007C5AA2">
          <w:rPr>
            <w:rFonts w:ascii="David" w:hAnsi="David"/>
            <w:color w:val="0000FF"/>
            <w:u w:val="single"/>
            <w:rtl/>
          </w:rPr>
          <w:t>רע"פ 65/15</w:t>
        </w:r>
      </w:hyperlink>
      <w:r w:rsidRPr="00BD4D6B">
        <w:rPr>
          <w:rFonts w:ascii="David" w:hAnsi="David"/>
          <w:color w:val="000000"/>
          <w:rtl/>
        </w:rPr>
        <w:t xml:space="preserve"> </w:t>
      </w:r>
      <w:r w:rsidRPr="00BD4D6B">
        <w:rPr>
          <w:rFonts w:ascii="David" w:hAnsi="David"/>
          <w:b/>
          <w:bCs/>
          <w:color w:val="000000"/>
          <w:rtl/>
        </w:rPr>
        <w:t>מסראווה נ' מדינת ישראל</w:t>
      </w:r>
      <w:r w:rsidRPr="00BD4D6B">
        <w:rPr>
          <w:rFonts w:ascii="David" w:hAnsi="David"/>
          <w:color w:val="000000"/>
          <w:rtl/>
        </w:rPr>
        <w:t xml:space="preserve"> (13.1.2015), הורשע נאשם על פי הודאתו בשתי עבירות סחר בקוקאין בתמורה ל- 200 ₪ בכל הזדמנות. בית משפט השלום בתל-אביב קבע מתחם עונש הולם שנע בין</w:t>
      </w:r>
      <w:r w:rsidRPr="00BD4D6B">
        <w:rPr>
          <w:rFonts w:ascii="David" w:hAnsi="David"/>
          <w:color w:val="000000"/>
          <w:u w:val="single"/>
          <w:rtl/>
        </w:rPr>
        <w:t xml:space="preserve"> 6 חודשי מאסר ועד 18 חודשים</w:t>
      </w:r>
      <w:r w:rsidRPr="00BD4D6B">
        <w:rPr>
          <w:rFonts w:ascii="David" w:hAnsi="David"/>
          <w:color w:val="000000"/>
          <w:rtl/>
        </w:rPr>
        <w:t xml:space="preserve">, ונגזרו עליו 6 חודשי מאסר בעבודות שירות, לאחר שנלקחו בחשבון 3 חודשי מעצר; הליך טיפולי של גמילה מסמים שעבר; השתלבותו בעבודה קבועה, והיותו נשוי ואב ל- 6 ילדים, שאחד מהם עבר תאונת דרכים. ערעור ובקשת רשות ערעור שהגיש הנאשם נדחו. </w:t>
      </w:r>
    </w:p>
    <w:p w14:paraId="21F62DBF" w14:textId="77777777" w:rsidR="00BA6636" w:rsidRDefault="00BA6636" w:rsidP="00BA6636">
      <w:pPr>
        <w:pStyle w:val="ab"/>
        <w:bidi/>
        <w:spacing w:before="0" w:beforeAutospacing="0" w:after="0" w:afterAutospacing="0"/>
        <w:ind w:left="737"/>
        <w:jc w:val="both"/>
        <w:rPr>
          <w:rFonts w:ascii="David" w:hAnsi="David" w:cs="David"/>
          <w:color w:val="000000"/>
        </w:rPr>
      </w:pPr>
    </w:p>
    <w:p w14:paraId="7C45C183" w14:textId="77777777" w:rsidR="00BA6636" w:rsidRDefault="00BA6636" w:rsidP="00BA6636">
      <w:pPr>
        <w:pStyle w:val="ab"/>
        <w:numPr>
          <w:ilvl w:val="0"/>
          <w:numId w:val="2"/>
        </w:numPr>
        <w:bidi/>
        <w:spacing w:before="0" w:beforeAutospacing="0" w:after="0" w:afterAutospacing="0" w:line="360" w:lineRule="atLeast"/>
        <w:ind w:left="737" w:hanging="357"/>
        <w:jc w:val="both"/>
        <w:rPr>
          <w:rFonts w:ascii="David" w:hAnsi="David" w:cs="David"/>
          <w:rtl/>
        </w:rPr>
      </w:pPr>
      <w:r>
        <w:rPr>
          <w:rFonts w:ascii="David" w:hAnsi="David" w:cs="David"/>
          <w:color w:val="000000"/>
          <w:rtl/>
        </w:rPr>
        <w:t>ב</w:t>
      </w:r>
      <w:hyperlink r:id="rId20" w:history="1">
        <w:r w:rsidR="007C5AA2" w:rsidRPr="007C5AA2">
          <w:rPr>
            <w:rFonts w:ascii="David" w:hAnsi="David" w:cs="David"/>
            <w:color w:val="0000FF"/>
            <w:u w:val="single"/>
            <w:rtl/>
          </w:rPr>
          <w:t>רע"פ 7681/13</w:t>
        </w:r>
      </w:hyperlink>
      <w:r>
        <w:rPr>
          <w:rFonts w:ascii="David" w:hAnsi="David" w:cs="David"/>
          <w:color w:val="000000"/>
          <w:rtl/>
        </w:rPr>
        <w:t xml:space="preserve"> </w:t>
      </w:r>
      <w:r>
        <w:rPr>
          <w:rFonts w:ascii="David" w:hAnsi="David" w:cs="David"/>
          <w:b/>
          <w:bCs/>
          <w:color w:val="000000"/>
          <w:rtl/>
        </w:rPr>
        <w:t>דקה נ' מדינת ישראל</w:t>
      </w:r>
      <w:r>
        <w:rPr>
          <w:rFonts w:ascii="David" w:hAnsi="David" w:cs="David"/>
          <w:color w:val="000000"/>
          <w:rtl/>
        </w:rPr>
        <w:t xml:space="preserve"> (21.1.2014), נדון נאשם על פי הודאתו בסחר בסם מסוג הרואין בשתי הזדמנויות, במשקל כולל של כ- 3 גרם, בתמורה ל- 200 ₪ בכל מכירה. בית משפט השלום בתל-אביב קבע מתחם לכל אישום שנע בין </w:t>
      </w:r>
      <w:r>
        <w:rPr>
          <w:rFonts w:ascii="David" w:hAnsi="David" w:cs="David"/>
          <w:color w:val="000000"/>
          <w:u w:val="single"/>
          <w:rtl/>
        </w:rPr>
        <w:t>6 חודשי מאסר ועד 12 חודשים</w:t>
      </w:r>
      <w:r>
        <w:rPr>
          <w:rFonts w:ascii="David" w:hAnsi="David" w:cs="David"/>
          <w:color w:val="000000"/>
          <w:rtl/>
        </w:rPr>
        <w:t xml:space="preserve">, וגזר על הנאשם 10 חודשי מאסר בפועל, בהתחשב בעבר פלילי רלוונטי אך ישן מאוד, והליך גמילה פרטי שעבר בהצלחה. ערעור ובקשת רשות ערעור שהגיש הנאשם נדחו. </w:t>
      </w:r>
    </w:p>
    <w:p w14:paraId="1B1DC996" w14:textId="77777777" w:rsidR="00BA6636" w:rsidRDefault="00BA6636" w:rsidP="00BA6636">
      <w:pPr>
        <w:pStyle w:val="ab"/>
        <w:bidi/>
        <w:spacing w:before="0" w:beforeAutospacing="0" w:after="0" w:afterAutospacing="0"/>
        <w:ind w:left="737"/>
        <w:jc w:val="both"/>
        <w:rPr>
          <w:rFonts w:ascii="David" w:hAnsi="David" w:cs="David"/>
        </w:rPr>
      </w:pPr>
    </w:p>
    <w:p w14:paraId="60CB30DE" w14:textId="77777777" w:rsidR="00BA6636" w:rsidRDefault="007C5AA2" w:rsidP="00BA6636">
      <w:pPr>
        <w:pStyle w:val="ab"/>
        <w:numPr>
          <w:ilvl w:val="0"/>
          <w:numId w:val="2"/>
        </w:numPr>
        <w:bidi/>
        <w:spacing w:before="0" w:beforeAutospacing="0" w:after="0" w:afterAutospacing="0" w:line="360" w:lineRule="atLeast"/>
        <w:ind w:left="737" w:hanging="357"/>
        <w:jc w:val="both"/>
        <w:rPr>
          <w:rFonts w:ascii="David" w:hAnsi="David" w:cs="David"/>
          <w:rtl/>
        </w:rPr>
      </w:pPr>
      <w:hyperlink r:id="rId21" w:history="1">
        <w:r w:rsidRPr="007C5AA2">
          <w:rPr>
            <w:rFonts w:ascii="David" w:hAnsi="David" w:cs="David"/>
            <w:color w:val="0000FF"/>
            <w:u w:val="single"/>
            <w:rtl/>
          </w:rPr>
          <w:t>רע"פ 5494/19</w:t>
        </w:r>
      </w:hyperlink>
      <w:r w:rsidR="00BA6636">
        <w:rPr>
          <w:rFonts w:ascii="David" w:hAnsi="David" w:cs="David"/>
          <w:rtl/>
        </w:rPr>
        <w:t xml:space="preserve"> </w:t>
      </w:r>
      <w:r w:rsidR="00BA6636">
        <w:rPr>
          <w:rFonts w:ascii="David" w:hAnsi="David" w:cs="David"/>
          <w:b/>
          <w:bCs/>
          <w:rtl/>
        </w:rPr>
        <w:t xml:space="preserve">רנד נגד מדינת ישראל </w:t>
      </w:r>
      <w:r w:rsidR="00BA6636">
        <w:rPr>
          <w:rFonts w:ascii="David" w:hAnsi="David" w:cs="David"/>
          <w:rtl/>
        </w:rPr>
        <w:t xml:space="preserve">(22.8.2019): הנאשם הורשע בסחר של שלוש יחידות של סם מסוכן מסוג "קריסטל" בשווי של 750 ₪, ובהחזקת סם מסוג הרואין וקוקאין. בית המשפט השלום קבע מתחם ענישה הנע בין 6 חודשי מאסר ל-18 חודשי מאסר בפועל. הנאשם נעדר עבר פלילי ובעניינו התקבל תסקיר חיובי, ועל כן גזר עליו בית המשפט 6 חודשי מאסר בדרך של עבודות שירות לצד ענישה נלווית. ערעור הנאשם לבית המשפט המחוזי ובקשת רשות ערעור שהגיש נדחו. </w:t>
      </w:r>
    </w:p>
    <w:p w14:paraId="6E1EA962" w14:textId="77777777" w:rsidR="00BA6636" w:rsidRDefault="00BA6636" w:rsidP="00BA6636">
      <w:pPr>
        <w:pStyle w:val="aa"/>
        <w:spacing w:after="0" w:line="240" w:lineRule="auto"/>
        <w:ind w:left="737"/>
        <w:rPr>
          <w:rFonts w:ascii="David" w:hAnsi="David" w:cs="David"/>
        </w:rPr>
      </w:pPr>
    </w:p>
    <w:p w14:paraId="295514A8" w14:textId="77777777" w:rsidR="00BA6636" w:rsidRDefault="00BA6636" w:rsidP="00BA6636">
      <w:pPr>
        <w:numPr>
          <w:ilvl w:val="0"/>
          <w:numId w:val="1"/>
        </w:numPr>
        <w:spacing w:line="360" w:lineRule="auto"/>
        <w:ind w:left="360"/>
        <w:jc w:val="both"/>
        <w:rPr>
          <w:rFonts w:ascii="David" w:hAnsi="David"/>
          <w:b/>
          <w:bCs/>
          <w:rtl/>
        </w:rPr>
      </w:pPr>
      <w:r>
        <w:rPr>
          <w:rFonts w:ascii="David" w:hAnsi="David"/>
          <w:rtl/>
        </w:rPr>
        <w:t xml:space="preserve">בשקלול חומרת העבירה בה הורשע הנאשם בנסיבותיה, ובהתחשב בענישה הנוהגת, מצאתי לאמץ את מתחם העונש לו עתרה המאשימה, ולקבוע כי הוא </w:t>
      </w:r>
      <w:r>
        <w:rPr>
          <w:rFonts w:ascii="David" w:hAnsi="David"/>
          <w:b/>
          <w:bCs/>
          <w:rtl/>
        </w:rPr>
        <w:t>נע בין 8 חודשי מאסר ועד 18 חודשים</w:t>
      </w:r>
      <w:r>
        <w:rPr>
          <w:rFonts w:ascii="David" w:hAnsi="David"/>
          <w:rtl/>
        </w:rPr>
        <w:t>.</w:t>
      </w:r>
    </w:p>
    <w:p w14:paraId="400634D7" w14:textId="77777777" w:rsidR="00BA6636" w:rsidRDefault="00BA6636" w:rsidP="00BA6636">
      <w:pPr>
        <w:spacing w:line="360" w:lineRule="auto"/>
        <w:jc w:val="both"/>
        <w:rPr>
          <w:rFonts w:ascii="David" w:hAnsi="David"/>
          <w:b/>
          <w:bCs/>
        </w:rPr>
      </w:pPr>
    </w:p>
    <w:p w14:paraId="492604B5" w14:textId="77777777" w:rsidR="00BA6636" w:rsidRDefault="00BA6636" w:rsidP="00BA6636">
      <w:pPr>
        <w:spacing w:line="480" w:lineRule="auto"/>
        <w:jc w:val="both"/>
        <w:rPr>
          <w:rFonts w:ascii="David" w:hAnsi="David"/>
          <w:u w:val="single"/>
          <w:rtl/>
        </w:rPr>
      </w:pPr>
      <w:r>
        <w:rPr>
          <w:rFonts w:ascii="David" w:hAnsi="David"/>
          <w:u w:val="single"/>
          <w:rtl/>
        </w:rPr>
        <w:t xml:space="preserve">נסיבות שאינן קשורות בביצוע העבירה </w:t>
      </w:r>
    </w:p>
    <w:p w14:paraId="528F5D1C"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הנאשם בן 24, הודה בכתב אישום מתוקן והורשע במיוחס לו כבר ביום 9.3.2021. לחובתו עבר פלילי מועט ולא רלוונטי (בשנת 2018 בגין היעדרות מהשירות, ובשנת 2021 בגין הפרעה לשוטר ואיומים).</w:t>
      </w:r>
    </w:p>
    <w:p w14:paraId="60F3CE57" w14:textId="77777777" w:rsidR="00BA6636" w:rsidRDefault="00BA6636" w:rsidP="00BA6636">
      <w:pPr>
        <w:pStyle w:val="aa"/>
        <w:spacing w:after="0" w:line="240" w:lineRule="auto"/>
        <w:ind w:left="360"/>
        <w:jc w:val="both"/>
        <w:rPr>
          <w:rFonts w:ascii="David" w:hAnsi="David" w:cs="David"/>
          <w:sz w:val="24"/>
          <w:szCs w:val="24"/>
        </w:rPr>
      </w:pPr>
    </w:p>
    <w:p w14:paraId="043FD147"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כאמור, מתסקירי שירות המבחן עולה תמונה מורכב</w:t>
      </w:r>
      <w:r>
        <w:rPr>
          <w:rFonts w:ascii="David" w:hAnsi="David" w:cs="David" w:hint="cs"/>
          <w:sz w:val="24"/>
          <w:szCs w:val="24"/>
          <w:rtl/>
        </w:rPr>
        <w:t>ת</w:t>
      </w:r>
      <w:r>
        <w:rPr>
          <w:rFonts w:ascii="David" w:hAnsi="David" w:cs="David"/>
          <w:sz w:val="24"/>
          <w:szCs w:val="24"/>
          <w:rtl/>
        </w:rPr>
        <w:t xml:space="preserve"> ביחס לנסיבות חייו של הנאשם אשר גדל במשפחה דלת אמצעים, ומגיל ילדות צעיר עזב את הבית וגדל בפנימייה. הנאשם חבר לחברה שולית בגיל 18, אז החל לצרוך ולמכור סמים. בשנת 2021 התחתן, ומערכת היחסים הזוגית עם אשתו מהווה גורם חיובי תומך ומחזק עבור הנאשם. מאז נולד בנו הבכור של הנאשם ואשתו הרה. הנאשם שומר על יציבות תעסוקתית והוא מגלה מחויבות רבה למשפחתו, לצד זאת נטל אחריות מלאה על מעשיו, והוא מבין את חומרתם והשלכותיהם, ורצונו להמשיך לנהל את חייו ללא מעורבות נוספת בפלילים. </w:t>
      </w:r>
    </w:p>
    <w:p w14:paraId="1F4C32F6" w14:textId="77777777" w:rsidR="00BA6636" w:rsidRDefault="00BA6636" w:rsidP="00BA6636">
      <w:pPr>
        <w:pStyle w:val="aa"/>
        <w:spacing w:after="0" w:line="240" w:lineRule="auto"/>
        <w:ind w:left="360"/>
        <w:jc w:val="both"/>
        <w:rPr>
          <w:rFonts w:ascii="David" w:hAnsi="David" w:cs="David"/>
          <w:sz w:val="24"/>
          <w:szCs w:val="24"/>
        </w:rPr>
      </w:pPr>
    </w:p>
    <w:p w14:paraId="494BDA9D"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מתסקירי שירות המבחן עולה כי על אף שבתחילת הדרך שיתוף הפעולה של הנאשם היה חלקי, ניכרת לאחרונה מגמה חיובית של השתתפות הנאשם בהליכי השיקום והטיפול, מהם הוא נתרם. הנאשם השתלב בקבוצה טיפולית ייעודית לצעירים עוברי חוק באוגוסט 2022, ומאז הוא מגיע בקביעות למפגשים טיפוליים</w:t>
      </w:r>
      <w:r>
        <w:rPr>
          <w:rFonts w:ascii="David" w:hAnsi="David" w:cs="David" w:hint="cs"/>
          <w:sz w:val="24"/>
          <w:szCs w:val="24"/>
          <w:rtl/>
        </w:rPr>
        <w:t>,</w:t>
      </w:r>
      <w:r>
        <w:rPr>
          <w:rFonts w:ascii="David" w:hAnsi="David" w:cs="David"/>
          <w:sz w:val="24"/>
          <w:szCs w:val="24"/>
          <w:rtl/>
        </w:rPr>
        <w:t xml:space="preserve"> ומגלה מחויבות ואחריות לתהליך הטיפולי, בהתאם ליכולותיו – בהיותו </w:t>
      </w:r>
      <w:r>
        <w:rPr>
          <w:rFonts w:ascii="David" w:hAnsi="David" w:cs="David" w:hint="cs"/>
          <w:sz w:val="24"/>
          <w:szCs w:val="24"/>
          <w:rtl/>
        </w:rPr>
        <w:t xml:space="preserve">אדם </w:t>
      </w:r>
      <w:r>
        <w:rPr>
          <w:rFonts w:ascii="David" w:hAnsi="David" w:cs="David"/>
          <w:sz w:val="24"/>
          <w:szCs w:val="24"/>
          <w:rtl/>
        </w:rPr>
        <w:t>מופנם. בחודשים הקרובים צפוי הנאשם לסיים את הטיפול בקבוצה, ושירות המבחן לא מצא טעם להמליץ על קבוצה טיפולית נוספת</w:t>
      </w:r>
      <w:r>
        <w:rPr>
          <w:rFonts w:ascii="David" w:hAnsi="David" w:cs="David" w:hint="cs"/>
          <w:sz w:val="24"/>
          <w:szCs w:val="24"/>
          <w:rtl/>
        </w:rPr>
        <w:t>,</w:t>
      </w:r>
      <w:r>
        <w:rPr>
          <w:rFonts w:ascii="David" w:hAnsi="David" w:cs="David"/>
          <w:sz w:val="24"/>
          <w:szCs w:val="24"/>
          <w:rtl/>
        </w:rPr>
        <w:t xml:space="preserve"> שכן ההליך הטיפולי מוצה. שירות המבחן העריך כי הסיכון במצבו</w:t>
      </w:r>
      <w:r>
        <w:rPr>
          <w:rFonts w:ascii="David" w:hAnsi="David" w:cs="David" w:hint="cs"/>
          <w:sz w:val="24"/>
          <w:szCs w:val="24"/>
          <w:rtl/>
        </w:rPr>
        <w:t xml:space="preserve"> של הנאשם</w:t>
      </w:r>
      <w:r>
        <w:rPr>
          <w:rFonts w:ascii="David" w:hAnsi="David" w:cs="David"/>
          <w:sz w:val="24"/>
          <w:szCs w:val="24"/>
          <w:rtl/>
        </w:rPr>
        <w:t xml:space="preserve"> פחת. מנגד, הנאשם לא מסר באופן רצוף בדיקות שתן, מטעמים שונים, אך הבדיקות שמסר נמצאו נקיות משרידי סם כבר מתחילת שנת 2022.</w:t>
      </w:r>
    </w:p>
    <w:p w14:paraId="7E0E8B4E" w14:textId="77777777" w:rsidR="00BA6636" w:rsidRDefault="00BA6636" w:rsidP="00BA6636">
      <w:pPr>
        <w:pStyle w:val="aa"/>
        <w:spacing w:after="0" w:line="240" w:lineRule="auto"/>
        <w:ind w:left="360"/>
        <w:jc w:val="both"/>
        <w:rPr>
          <w:rFonts w:ascii="David" w:hAnsi="David" w:cs="David"/>
          <w:sz w:val="24"/>
          <w:szCs w:val="24"/>
        </w:rPr>
      </w:pPr>
    </w:p>
    <w:p w14:paraId="0F031A1D"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כאמור, המאשימה עתרה לגזירת עונש של 9 חודשי מאסר בעבודות שירות, בעוד שההגנה עתר לאמץ את המלצת שירות המבחן. השאלה המרכזית הצריכה היא אפוא, האם נכון לחרוג מהעונש הראוי לנאשם מטעמי שיקום. הכלל הוא שחריגה ממתחם ענישה הולם מטעמי שיקום תעשה רק מקום שסיכויי השיקום מובהקים (</w:t>
      </w:r>
      <w:hyperlink r:id="rId22" w:history="1">
        <w:r w:rsidR="007C5AA2" w:rsidRPr="007C5AA2">
          <w:rPr>
            <w:rFonts w:ascii="David" w:hAnsi="David" w:cs="David"/>
            <w:color w:val="0000FF"/>
            <w:sz w:val="24"/>
            <w:szCs w:val="24"/>
            <w:u w:val="single"/>
            <w:rtl/>
          </w:rPr>
          <w:t>ע"פ 126/22</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פסקה 16 (27.4.2022); </w:t>
      </w:r>
      <w:hyperlink r:id="rId23" w:history="1">
        <w:r w:rsidR="007C5AA2" w:rsidRPr="007C5AA2">
          <w:rPr>
            <w:rFonts w:ascii="David" w:hAnsi="David" w:cs="David"/>
            <w:color w:val="0000FF"/>
            <w:sz w:val="24"/>
            <w:szCs w:val="24"/>
            <w:u w:val="single"/>
            <w:rtl/>
          </w:rPr>
          <w:t>ע"פ 1229/19</w:t>
        </w:r>
      </w:hyperlink>
      <w:r w:rsidR="007C5AA2">
        <w:rPr>
          <w:rFonts w:ascii="David" w:hAnsi="David" w:cs="David"/>
          <w:b/>
          <w:bCs/>
          <w:sz w:val="24"/>
          <w:szCs w:val="24"/>
          <w:rtl/>
        </w:rPr>
        <w:t xml:space="preserve"> </w:t>
      </w:r>
      <w:r>
        <w:rPr>
          <w:rFonts w:ascii="David" w:hAnsi="David" w:cs="David"/>
          <w:b/>
          <w:bCs/>
          <w:sz w:val="24"/>
          <w:szCs w:val="24"/>
          <w:rtl/>
        </w:rPr>
        <w:t xml:space="preserve">סלומינסקי נ' מדינת ישראל, </w:t>
      </w:r>
      <w:r>
        <w:rPr>
          <w:rFonts w:ascii="David" w:hAnsi="David" w:cs="David"/>
          <w:sz w:val="24"/>
          <w:szCs w:val="24"/>
          <w:rtl/>
        </w:rPr>
        <w:t>פסקה 13</w:t>
      </w:r>
      <w:r w:rsidR="007C5AA2">
        <w:rPr>
          <w:rFonts w:ascii="David" w:hAnsi="David" w:cs="David"/>
          <w:sz w:val="24"/>
          <w:szCs w:val="24"/>
          <w:rtl/>
        </w:rPr>
        <w:t xml:space="preserve"> </w:t>
      </w:r>
      <w:r>
        <w:rPr>
          <w:rFonts w:ascii="David" w:hAnsi="David" w:cs="David"/>
          <w:sz w:val="24"/>
          <w:szCs w:val="24"/>
          <w:rtl/>
        </w:rPr>
        <w:t>(1.7.2019)).</w:t>
      </w:r>
    </w:p>
    <w:p w14:paraId="050D77DF" w14:textId="77777777" w:rsidR="00BA6636" w:rsidRDefault="00BA6636" w:rsidP="00BA6636">
      <w:pPr>
        <w:pStyle w:val="aa"/>
        <w:spacing w:after="0" w:line="240" w:lineRule="auto"/>
        <w:ind w:left="360"/>
        <w:jc w:val="both"/>
        <w:rPr>
          <w:rFonts w:ascii="David" w:hAnsi="David" w:cs="David"/>
          <w:sz w:val="24"/>
          <w:szCs w:val="24"/>
        </w:rPr>
      </w:pPr>
    </w:p>
    <w:p w14:paraId="70BC555D"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בהקשר זה נקבעו אמות מידה בהן ניתן להתחשב לצורך הערכת סיכויי השיקום, ובהם המוטיבציה שהביע נאשם בשיקומו; הצלחת הליכי הטיפול בהם השתלב; הליכי גמילה מהתמכרויות; שינוי בדפוסי התנהגות וחשיבה; הבעת חרטה כנה והפגנת אמפתיה כלפי נפגע עבירה. ודוק, סיכויי השיקום נקבעים על סמך תשתית ראייתית – אובייקטיבית, ובראשם תסקיר שירות המבחן (</w:t>
      </w:r>
      <w:hyperlink r:id="rId24" w:history="1">
        <w:r w:rsidR="007C5AA2" w:rsidRPr="007C5AA2">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
          <w:bCs/>
          <w:sz w:val="24"/>
          <w:szCs w:val="24"/>
          <w:rtl/>
        </w:rPr>
        <w:t>קרנדל נ' מדינת ישראל</w:t>
      </w:r>
      <w:r>
        <w:rPr>
          <w:rFonts w:ascii="David" w:hAnsi="David" w:cs="David"/>
          <w:sz w:val="24"/>
          <w:szCs w:val="24"/>
          <w:rtl/>
        </w:rPr>
        <w:t xml:space="preserve"> (18.4.2018)). שיקול הדעת בסוגיית חריגה ממתחם משיקולי רחב, ומטבע הדברים מצריך בחינה אינדיבידואלית של המקרה הנדון. בה בעת נקבע בפסיקה שחריגה משיקולי שיקום תעשה בזהירות ובמשורה, וכחריג לכלל שיש לגזור על הנאשם עונש בהתאם לעקרון ההלימה. </w:t>
      </w:r>
    </w:p>
    <w:p w14:paraId="0423C933" w14:textId="77777777" w:rsidR="00BA6636" w:rsidRDefault="00BA6636" w:rsidP="00BA6636">
      <w:pPr>
        <w:pStyle w:val="aa"/>
        <w:spacing w:after="0" w:line="240" w:lineRule="auto"/>
        <w:ind w:left="360"/>
        <w:jc w:val="both"/>
        <w:rPr>
          <w:rFonts w:ascii="David" w:hAnsi="David" w:cs="David"/>
          <w:sz w:val="24"/>
          <w:szCs w:val="24"/>
        </w:rPr>
      </w:pPr>
    </w:p>
    <w:p w14:paraId="6BEA591B"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בענייננו אני סבורה כי הנאשם הוכיח במעשיו לאורך השנים כי הוא ערך שינוי משמעותי בחייו ומצוי בדרך שיקומית, הלכה למעשה. אומנם תסקירי שירות המבחן, כפי שתיארתי לעיל, אינם נקיים מספקות לגביו, אולם הנאשם מצוי בקשר </w:t>
      </w:r>
      <w:r>
        <w:rPr>
          <w:rFonts w:ascii="David" w:hAnsi="David" w:cs="David" w:hint="cs"/>
          <w:sz w:val="24"/>
          <w:szCs w:val="24"/>
          <w:rtl/>
        </w:rPr>
        <w:t>א</w:t>
      </w:r>
      <w:r>
        <w:rPr>
          <w:rFonts w:ascii="David" w:hAnsi="David" w:cs="David"/>
          <w:sz w:val="24"/>
          <w:szCs w:val="24"/>
          <w:rtl/>
        </w:rPr>
        <w:t xml:space="preserve">רוך עם שירות המבחן – מזה כשנתיים, ומשולב בהליך טיפולי מאז אוגוסט 2022 והוא נתרם ממנה בהתאם ליכולותיו. </w:t>
      </w:r>
    </w:p>
    <w:p w14:paraId="186947C3" w14:textId="77777777" w:rsidR="00BA6636" w:rsidRDefault="00BA6636" w:rsidP="00BA6636">
      <w:pPr>
        <w:pStyle w:val="aa"/>
        <w:spacing w:after="0" w:line="240" w:lineRule="auto"/>
        <w:ind w:left="360"/>
        <w:jc w:val="both"/>
        <w:rPr>
          <w:rFonts w:ascii="David" w:hAnsi="David" w:cs="David"/>
          <w:sz w:val="24"/>
          <w:szCs w:val="24"/>
        </w:rPr>
      </w:pPr>
    </w:p>
    <w:p w14:paraId="19F2CD7F"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נוסף על כך – מאז ביצוע העבירה חלפה תקופה ארוכה של ארבע שנים וחצי! בעת ביצוע העבירה טרם מלאו ל</w:t>
      </w:r>
      <w:r>
        <w:rPr>
          <w:rFonts w:ascii="David" w:hAnsi="David" w:cs="David" w:hint="cs"/>
          <w:sz w:val="24"/>
          <w:szCs w:val="24"/>
          <w:rtl/>
        </w:rPr>
        <w:t>נאשם</w:t>
      </w:r>
      <w:r>
        <w:rPr>
          <w:rFonts w:ascii="David" w:hAnsi="David" w:cs="David"/>
          <w:sz w:val="24"/>
          <w:szCs w:val="24"/>
          <w:rtl/>
        </w:rPr>
        <w:t xml:space="preserve"> 20 שנים, וכיום הוא כבן 24. בכל אותה תקופה מאז</w:t>
      </w:r>
      <w:r>
        <w:rPr>
          <w:rFonts w:ascii="David" w:hAnsi="David" w:cs="David" w:hint="cs"/>
          <w:sz w:val="24"/>
          <w:szCs w:val="24"/>
          <w:rtl/>
        </w:rPr>
        <w:t>,</w:t>
      </w:r>
      <w:r>
        <w:rPr>
          <w:rFonts w:ascii="David" w:hAnsi="David" w:cs="David"/>
          <w:sz w:val="24"/>
          <w:szCs w:val="24"/>
          <w:rtl/>
        </w:rPr>
        <w:t xml:space="preserve"> לא נפתחו נגד הנאשם תיקים חדשים. מדובר בתקופה ממשוכת, ודאי עבור מי שהיה בחור צעיר מאוד. במהלך תקופה זו הנאשם התבגר, התחתן, נולד לו בן, אשתו עתה בהריון והוא שומר על יציבות תעסוקתית ומפרנס את משפחתו בדוחק. כלומר, לצד הפיקוח של שירות המבחן וההליך הטיפולי שהנאשם עובר מזה תקופה, הוא בונה את חייו יחד עם אשתו, ומלמד על עצמו כי פנה לדרך חדש</w:t>
      </w:r>
      <w:r>
        <w:rPr>
          <w:rFonts w:ascii="David" w:hAnsi="David" w:cs="David" w:hint="cs"/>
          <w:sz w:val="24"/>
          <w:szCs w:val="24"/>
          <w:rtl/>
        </w:rPr>
        <w:t>ה</w:t>
      </w:r>
      <w:r>
        <w:rPr>
          <w:rFonts w:ascii="David" w:hAnsi="David" w:cs="David"/>
          <w:sz w:val="24"/>
          <w:szCs w:val="24"/>
          <w:rtl/>
        </w:rPr>
        <w:t xml:space="preserve">. לפיכך התרשמתי שהנאשם הוכיח עצמו כמי שיש לו מוטיבציה גבוהה לשיקום, חל שינוי ממשי בדפוסי התנהגותו וחייו, והוא אכן אדם שונה לחלוטין – כפי שטען בא כוחו. משכך, השתכנעתי שחלים שיקולי שיקום בענייננו של הנאשם, המצדיקים את גזירת עונשו תוך חריגה ממתחם הענישה לקולה. </w:t>
      </w:r>
    </w:p>
    <w:p w14:paraId="12C249D2" w14:textId="77777777" w:rsidR="00BA6636" w:rsidRDefault="00BA6636" w:rsidP="00BA6636">
      <w:pPr>
        <w:pStyle w:val="aa"/>
        <w:spacing w:after="0" w:line="240" w:lineRule="auto"/>
        <w:ind w:left="360"/>
        <w:jc w:val="both"/>
        <w:rPr>
          <w:rFonts w:ascii="David" w:hAnsi="David" w:cs="David"/>
          <w:sz w:val="24"/>
          <w:szCs w:val="24"/>
        </w:rPr>
      </w:pPr>
    </w:p>
    <w:p w14:paraId="4296B81C"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אשר לעונש הראוי לנאשם, שמעתי בקשב רב את דברי אשת הנאשם, שעובדת כסייעת לגננת בגן עירוני, והתרשמתי כי עול פרנסת המשפחה כבד עבור השניים, אשר מחשבים שקל לשקל מדי חודש בחודשו כדי לעמוד בנטל הכלכלי-הישרדותי של החיים. כן נתתי דעתי למכתב מיום 19.10.2022 מאת מעסיקו של הנאשם (טל/2), אשר הביע הערכה רבה לנאשם ולעבודתו. לכן, השתכנעתי מטיעוני</w:t>
      </w:r>
      <w:r>
        <w:rPr>
          <w:rFonts w:ascii="David" w:hAnsi="David" w:cs="David" w:hint="cs"/>
          <w:sz w:val="24"/>
          <w:szCs w:val="24"/>
          <w:rtl/>
        </w:rPr>
        <w:t xml:space="preserve"> הסניגור</w:t>
      </w:r>
      <w:r>
        <w:rPr>
          <w:rFonts w:ascii="David" w:hAnsi="David" w:cs="David"/>
          <w:sz w:val="24"/>
          <w:szCs w:val="24"/>
          <w:rtl/>
        </w:rPr>
        <w:t xml:space="preserve">, כי גזירת עונש של מאסר בעבודות שירות עלולה להביא להידרדרות במצבו של הנאשם ואשתו, עד כדי קריסה כלכלית – כפי שאמרה האחרונה, וביקשה בתחינה ממש שלא להטיל עליו עונש זה. </w:t>
      </w:r>
    </w:p>
    <w:p w14:paraId="2B21D434" w14:textId="77777777" w:rsidR="00BA6636" w:rsidRDefault="00BA6636" w:rsidP="00BA6636">
      <w:pPr>
        <w:pStyle w:val="aa"/>
        <w:spacing w:after="0" w:line="240" w:lineRule="auto"/>
        <w:ind w:left="360"/>
        <w:jc w:val="both"/>
        <w:rPr>
          <w:rFonts w:ascii="David" w:hAnsi="David" w:cs="David"/>
          <w:sz w:val="24"/>
          <w:szCs w:val="24"/>
        </w:rPr>
      </w:pPr>
    </w:p>
    <w:p w14:paraId="4BD6940D" w14:textId="77777777" w:rsidR="00BA6636" w:rsidRDefault="00BA6636" w:rsidP="00BA6636">
      <w:pPr>
        <w:pStyle w:val="aa"/>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במכלול השיקולים הללו מצאתי לאמץ את המלצת שירות המבחן ולהסתפק בענישה חינוכית שיקומית, אם כי בהיקף שעות של"צ גבוה מהמומלץ. </w:t>
      </w:r>
    </w:p>
    <w:p w14:paraId="01FA834E" w14:textId="77777777" w:rsidR="00BA6636" w:rsidRDefault="00BA6636" w:rsidP="00BA6636">
      <w:pPr>
        <w:jc w:val="both"/>
        <w:rPr>
          <w:rFonts w:ascii="David" w:hAnsi="David"/>
        </w:rPr>
      </w:pPr>
    </w:p>
    <w:p w14:paraId="028BECE1" w14:textId="77777777" w:rsidR="00BA6636" w:rsidRDefault="00BA6636" w:rsidP="00BA6636">
      <w:pPr>
        <w:spacing w:line="480" w:lineRule="auto"/>
        <w:jc w:val="both"/>
        <w:rPr>
          <w:rFonts w:ascii="David" w:hAnsi="David"/>
          <w:rtl/>
        </w:rPr>
      </w:pPr>
      <w:r>
        <w:rPr>
          <w:rFonts w:ascii="David" w:hAnsi="David"/>
          <w:b/>
          <w:bCs/>
          <w:u w:val="single"/>
          <w:rtl/>
        </w:rPr>
        <w:t>אשר על כן אני גוזרת על הנאשם את העונשים הבאים</w:t>
      </w:r>
      <w:r>
        <w:rPr>
          <w:rFonts w:ascii="David" w:hAnsi="David"/>
          <w:rtl/>
        </w:rPr>
        <w:t xml:space="preserve">: </w:t>
      </w:r>
    </w:p>
    <w:p w14:paraId="4D0B274A" w14:textId="77777777" w:rsidR="00BA6636" w:rsidRDefault="00BA6636" w:rsidP="00BA6636">
      <w:pPr>
        <w:spacing w:after="120" w:line="360" w:lineRule="auto"/>
        <w:ind w:left="720" w:hanging="360"/>
        <w:jc w:val="both"/>
        <w:rPr>
          <w:rFonts w:ascii="David" w:hAnsi="David"/>
        </w:rPr>
      </w:pPr>
      <w:r>
        <w:rPr>
          <w:rFonts w:ascii="David" w:hAnsi="David"/>
          <w:rtl/>
        </w:rPr>
        <w:t xml:space="preserve">א. </w:t>
      </w:r>
      <w:r>
        <w:rPr>
          <w:rFonts w:ascii="David" w:hAnsi="David"/>
          <w:rtl/>
        </w:rPr>
        <w:tab/>
        <w:t>מאסר מותנה למשך 6 חודשים, והתנאי הוא כי הנאשם לא יעבור עבירת סמים מסוג פשע, למשך 3 שנים מהיום.</w:t>
      </w:r>
    </w:p>
    <w:p w14:paraId="3FEF3186" w14:textId="77777777" w:rsidR="00BA6636" w:rsidRDefault="00BA6636" w:rsidP="00BA6636">
      <w:pPr>
        <w:spacing w:after="120" w:line="360" w:lineRule="auto"/>
        <w:ind w:left="720" w:hanging="360"/>
        <w:jc w:val="both"/>
        <w:rPr>
          <w:rFonts w:ascii="David" w:hAnsi="David"/>
          <w:rtl/>
        </w:rPr>
      </w:pPr>
      <w:r>
        <w:rPr>
          <w:rFonts w:ascii="David" w:hAnsi="David"/>
          <w:rtl/>
        </w:rPr>
        <w:t>ב.</w:t>
      </w:r>
      <w:r>
        <w:rPr>
          <w:rFonts w:ascii="David" w:hAnsi="David"/>
          <w:rtl/>
        </w:rPr>
        <w:tab/>
        <w:t>מאסר מותנה למשך 3 חודשים, והתנאי הוא כי הנאשם לא יעבור עבירת סמים מסוג עוון, למשך 3 שנים מהיום.</w:t>
      </w:r>
    </w:p>
    <w:p w14:paraId="564BA63D" w14:textId="77777777" w:rsidR="00BA6636" w:rsidRDefault="00BA6636" w:rsidP="00BA6636">
      <w:pPr>
        <w:spacing w:after="120" w:line="360" w:lineRule="auto"/>
        <w:ind w:left="360"/>
        <w:jc w:val="both"/>
        <w:rPr>
          <w:rFonts w:ascii="David" w:hAnsi="David"/>
          <w:rtl/>
        </w:rPr>
      </w:pPr>
      <w:r>
        <w:rPr>
          <w:rFonts w:ascii="David" w:hAnsi="David"/>
          <w:rtl/>
        </w:rPr>
        <w:t xml:space="preserve">ג. </w:t>
      </w:r>
      <w:r>
        <w:rPr>
          <w:rFonts w:ascii="David" w:hAnsi="David"/>
          <w:rtl/>
        </w:rPr>
        <w:tab/>
        <w:t>הנאשם יבצע של"צ בהיקף 300 שעות לפי התוכנית שגיבש שירות המבחן.</w:t>
      </w:r>
    </w:p>
    <w:p w14:paraId="2F3553B8" w14:textId="77777777" w:rsidR="00BA6636" w:rsidRDefault="00BA6636" w:rsidP="00BA6636">
      <w:pPr>
        <w:spacing w:after="120" w:line="360" w:lineRule="auto"/>
        <w:ind w:left="360"/>
        <w:jc w:val="both"/>
        <w:rPr>
          <w:rFonts w:ascii="David" w:hAnsi="David"/>
          <w:rtl/>
        </w:rPr>
      </w:pPr>
      <w:r>
        <w:rPr>
          <w:rFonts w:ascii="David" w:hAnsi="David"/>
          <w:rtl/>
        </w:rPr>
        <w:t>ד.</w:t>
      </w:r>
      <w:r>
        <w:rPr>
          <w:rFonts w:ascii="David" w:hAnsi="David"/>
          <w:rtl/>
        </w:rPr>
        <w:tab/>
        <w:t>הנאשם יעמוד תחת צו מבחן למשך חצי שנה.</w:t>
      </w:r>
    </w:p>
    <w:p w14:paraId="2BD9805A" w14:textId="77777777" w:rsidR="00BA6636" w:rsidRDefault="00BA6636" w:rsidP="00BA6636">
      <w:pPr>
        <w:spacing w:after="120" w:line="360" w:lineRule="auto"/>
        <w:ind w:left="720" w:hanging="360"/>
        <w:jc w:val="both"/>
        <w:rPr>
          <w:rFonts w:ascii="David" w:hAnsi="David"/>
          <w:rtl/>
        </w:rPr>
      </w:pPr>
      <w:r>
        <w:rPr>
          <w:rFonts w:ascii="David" w:hAnsi="David"/>
          <w:rtl/>
        </w:rPr>
        <w:t>ה.</w:t>
      </w:r>
      <w:r>
        <w:rPr>
          <w:rFonts w:ascii="David" w:hAnsi="David"/>
          <w:rtl/>
        </w:rPr>
        <w:tab/>
        <w:t>הנאשם יתחייב להימנע מביצוע העבירות סמים מסוג פשע במשך שלוש שנים מהיום, וככל שיפר התחייבותו ישלם סך של 2,000 ₪. לא יתחייב הנאשם, ייאסר למשך 3 ימים.</w:t>
      </w:r>
    </w:p>
    <w:p w14:paraId="521DD39D" w14:textId="77777777" w:rsidR="00BA6636" w:rsidRDefault="00BA6636" w:rsidP="00BA6636">
      <w:pPr>
        <w:ind w:left="360"/>
        <w:jc w:val="both"/>
        <w:rPr>
          <w:rFonts w:ascii="David" w:hAnsi="David"/>
          <w:u w:val="single"/>
          <w:rtl/>
        </w:rPr>
      </w:pPr>
    </w:p>
    <w:p w14:paraId="5D4BFC7C" w14:textId="77777777" w:rsidR="00BA6636" w:rsidRDefault="00BA6636" w:rsidP="00BA6636">
      <w:pPr>
        <w:spacing w:line="360" w:lineRule="auto"/>
        <w:ind w:left="360"/>
        <w:jc w:val="both"/>
        <w:rPr>
          <w:rFonts w:ascii="David" w:hAnsi="David"/>
        </w:rPr>
      </w:pPr>
      <w:r>
        <w:rPr>
          <w:rFonts w:ascii="David" w:hAnsi="David"/>
          <w:u w:val="single"/>
          <w:rtl/>
        </w:rPr>
        <w:t>הזהרתי את הנאשם כי אם הוא לא ימלא אחר הוראות שירות המבחן ולא יבצע את השל"צ כנדרש, ניתן יהיה לגזור את עונשו מחדש</w:t>
      </w:r>
      <w:r>
        <w:rPr>
          <w:rFonts w:ascii="David" w:hAnsi="David"/>
          <w:rtl/>
        </w:rPr>
        <w:t>.</w:t>
      </w:r>
    </w:p>
    <w:p w14:paraId="472201B4" w14:textId="77777777" w:rsidR="00BA6636" w:rsidRDefault="007C5AA2" w:rsidP="00BA6636">
      <w:pPr>
        <w:spacing w:line="360" w:lineRule="auto"/>
        <w:ind w:left="360"/>
        <w:jc w:val="both"/>
        <w:rPr>
          <w:rFonts w:ascii="David" w:hAnsi="David"/>
          <w:u w:val="single"/>
          <w:rtl/>
        </w:rPr>
      </w:pPr>
      <w:r w:rsidRPr="007C5AA2">
        <w:rPr>
          <w:rFonts w:ascii="David" w:hAnsi="David"/>
          <w:color w:val="FFFFFF"/>
          <w:sz w:val="2"/>
          <w:szCs w:val="2"/>
          <w:u w:val="single"/>
          <w:rtl/>
        </w:rPr>
        <w:t>5129371</w:t>
      </w:r>
      <w:r w:rsidR="00BA6636">
        <w:rPr>
          <w:rFonts w:ascii="David" w:hAnsi="David"/>
          <w:u w:val="single"/>
          <w:rtl/>
        </w:rPr>
        <w:t xml:space="preserve">הסמים יושמדו, ניתן צו כללי למוצגים. </w:t>
      </w:r>
    </w:p>
    <w:p w14:paraId="7EA83C5D" w14:textId="77777777" w:rsidR="00BA6636" w:rsidRDefault="007C5AA2" w:rsidP="00BA6636">
      <w:pPr>
        <w:spacing w:line="360" w:lineRule="auto"/>
        <w:ind w:left="360"/>
        <w:jc w:val="both"/>
        <w:rPr>
          <w:rFonts w:ascii="David" w:hAnsi="David"/>
          <w:b/>
          <w:bCs/>
          <w:u w:val="single"/>
          <w:rtl/>
        </w:rPr>
      </w:pPr>
      <w:r w:rsidRPr="007C5AA2">
        <w:rPr>
          <w:rFonts w:ascii="David" w:hAnsi="David"/>
          <w:b/>
          <w:bCs/>
          <w:color w:val="FFFFFF"/>
          <w:sz w:val="2"/>
          <w:szCs w:val="2"/>
          <w:u w:val="single"/>
          <w:rtl/>
        </w:rPr>
        <w:t>54678313</w:t>
      </w:r>
      <w:r w:rsidR="00BA6636">
        <w:rPr>
          <w:rFonts w:ascii="David" w:hAnsi="David"/>
          <w:b/>
          <w:bCs/>
          <w:u w:val="single"/>
          <w:rtl/>
        </w:rPr>
        <w:t xml:space="preserve">זכות ערעור לבית המשפט מחוזי מרכז-לוד בתוך 45 ימים. </w:t>
      </w:r>
    </w:p>
    <w:p w14:paraId="1720C428" w14:textId="77777777" w:rsidR="00BA6636" w:rsidRDefault="00BA6636" w:rsidP="00BA6636">
      <w:pPr>
        <w:ind w:left="360"/>
        <w:jc w:val="both"/>
        <w:rPr>
          <w:rFonts w:ascii="David" w:hAnsi="David"/>
          <w:rtl/>
        </w:rPr>
      </w:pPr>
    </w:p>
    <w:p w14:paraId="5F11FC7C" w14:textId="77777777" w:rsidR="00BA6636" w:rsidRPr="000F2247" w:rsidRDefault="007C5AA2" w:rsidP="00BA6636">
      <w:pPr>
        <w:jc w:val="both"/>
        <w:rPr>
          <w:rFonts w:ascii="Arial" w:hAnsi="Arial"/>
          <w:b/>
          <w:bCs/>
          <w:sz w:val="26"/>
          <w:szCs w:val="26"/>
          <w:rtl/>
        </w:rPr>
      </w:pPr>
      <w:bookmarkStart w:id="7" w:name="Nitan"/>
      <w:r>
        <w:rPr>
          <w:rFonts w:ascii="Arial" w:hAnsi="Arial"/>
          <w:b/>
          <w:bCs/>
          <w:rtl/>
        </w:rPr>
        <w:t xml:space="preserve">ניתן היום,  ד' ניסן תשפ"ג, 26 מרץ 2023, בנוכחות ב"כ המאשימה עוה"ד בן לולו, הנאשם ובא </w:t>
      </w:r>
      <w:bookmarkEnd w:id="7"/>
      <w:r w:rsidR="00BA6636" w:rsidRPr="007B5A14">
        <w:rPr>
          <w:rFonts w:ascii="Arial" w:hAnsi="Arial" w:hint="cs"/>
          <w:b/>
          <w:bCs/>
          <w:rtl/>
        </w:rPr>
        <w:t>כוחו עוה"ד בינימין בן נתן.</w:t>
      </w:r>
      <w:r w:rsidR="00BA6636">
        <w:rPr>
          <w:rFonts w:ascii="Arial" w:hAnsi="Arial"/>
          <w:b/>
          <w:bCs/>
          <w:sz w:val="26"/>
          <w:szCs w:val="26"/>
          <w:rtl/>
        </w:rPr>
        <w:tab/>
      </w:r>
      <w:r w:rsidR="00BA6636">
        <w:rPr>
          <w:rFonts w:ascii="Arial" w:hAnsi="Arial"/>
          <w:b/>
          <w:bCs/>
          <w:sz w:val="26"/>
          <w:szCs w:val="26"/>
          <w:rtl/>
        </w:rPr>
        <w:tab/>
      </w:r>
      <w:r w:rsidR="00BA6636">
        <w:rPr>
          <w:rFonts w:ascii="Arial" w:hAnsi="Arial"/>
          <w:b/>
          <w:bCs/>
          <w:sz w:val="26"/>
          <w:szCs w:val="26"/>
          <w:rtl/>
        </w:rPr>
        <w:tab/>
      </w:r>
      <w:r w:rsidR="00BA6636">
        <w:rPr>
          <w:rFonts w:ascii="Arial" w:hAnsi="Arial"/>
          <w:b/>
          <w:bCs/>
          <w:sz w:val="26"/>
          <w:szCs w:val="26"/>
          <w:rtl/>
        </w:rPr>
        <w:tab/>
      </w:r>
      <w:r w:rsidR="00BA6636">
        <w:rPr>
          <w:rFonts w:ascii="Arial" w:hAnsi="Arial" w:hint="cs"/>
          <w:b/>
          <w:bCs/>
          <w:sz w:val="26"/>
          <w:szCs w:val="26"/>
          <w:rtl/>
        </w:rPr>
        <w:t xml:space="preserve">         </w:t>
      </w:r>
    </w:p>
    <w:p w14:paraId="5010059A" w14:textId="77777777" w:rsidR="00BA6636" w:rsidRPr="000F2247" w:rsidRDefault="00BA6636" w:rsidP="007C5AA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1B3B5A5" w14:textId="77777777" w:rsidR="00BA6636" w:rsidRPr="000F2247" w:rsidRDefault="00BA6636" w:rsidP="00BA6636">
      <w:pPr>
        <w:jc w:val="center"/>
        <w:rPr>
          <w:rFonts w:ascii="Arial" w:hAnsi="Arial"/>
          <w:b/>
          <w:bCs/>
          <w:sz w:val="26"/>
          <w:szCs w:val="26"/>
          <w:rtl/>
        </w:rPr>
      </w:pPr>
    </w:p>
    <w:p w14:paraId="364C4678" w14:textId="77777777" w:rsidR="00A077C7" w:rsidRPr="007C5AA2" w:rsidRDefault="00A077C7" w:rsidP="007C5AA2">
      <w:pPr>
        <w:keepNext/>
        <w:rPr>
          <w:rFonts w:ascii="David" w:hAnsi="David"/>
          <w:color w:val="000000"/>
          <w:sz w:val="22"/>
          <w:szCs w:val="22"/>
          <w:rtl/>
        </w:rPr>
      </w:pPr>
    </w:p>
    <w:p w14:paraId="27384708" w14:textId="77777777" w:rsidR="007C5AA2" w:rsidRPr="007C5AA2" w:rsidRDefault="007C5AA2" w:rsidP="007C5AA2">
      <w:pPr>
        <w:keepNext/>
        <w:rPr>
          <w:rFonts w:ascii="David" w:hAnsi="David"/>
          <w:color w:val="000000"/>
          <w:sz w:val="22"/>
          <w:szCs w:val="22"/>
          <w:rtl/>
        </w:rPr>
      </w:pPr>
      <w:r w:rsidRPr="007C5AA2">
        <w:rPr>
          <w:rFonts w:ascii="David" w:hAnsi="David"/>
          <w:color w:val="000000"/>
          <w:sz w:val="22"/>
          <w:szCs w:val="22"/>
          <w:rtl/>
        </w:rPr>
        <w:t>אילה אורן 54678313</w:t>
      </w:r>
    </w:p>
    <w:p w14:paraId="3509C4CA" w14:textId="77777777" w:rsidR="007C5AA2" w:rsidRDefault="007C5AA2" w:rsidP="007C5AA2">
      <w:r w:rsidRPr="007C5AA2">
        <w:rPr>
          <w:color w:val="000000"/>
          <w:rtl/>
        </w:rPr>
        <w:t>נוסח מסמך זה כפוף לשינויי ניסוח ועריכה</w:t>
      </w:r>
    </w:p>
    <w:p w14:paraId="52CF4CC7" w14:textId="77777777" w:rsidR="007C5AA2" w:rsidRDefault="007C5AA2" w:rsidP="007C5AA2">
      <w:pPr>
        <w:rPr>
          <w:rtl/>
        </w:rPr>
      </w:pPr>
    </w:p>
    <w:p w14:paraId="75C14E7F" w14:textId="77777777" w:rsidR="007C5AA2" w:rsidRDefault="007C5AA2" w:rsidP="007C5AA2">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3ED6709" w14:textId="77777777" w:rsidR="007C5AA2" w:rsidRPr="007C5AA2" w:rsidRDefault="007C5AA2" w:rsidP="007C5AA2">
      <w:pPr>
        <w:jc w:val="center"/>
        <w:rPr>
          <w:color w:val="0000FF"/>
          <w:u w:val="single"/>
        </w:rPr>
      </w:pPr>
    </w:p>
    <w:sectPr w:rsidR="007C5AA2" w:rsidRPr="007C5AA2" w:rsidSect="007C5AA2">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84390" w14:textId="77777777" w:rsidR="00A56F02" w:rsidRDefault="00A56F02" w:rsidP="009D170E">
      <w:r>
        <w:separator/>
      </w:r>
    </w:p>
  </w:endnote>
  <w:endnote w:type="continuationSeparator" w:id="0">
    <w:p w14:paraId="68534E9C" w14:textId="77777777" w:rsidR="00A56F02" w:rsidRDefault="00A56F02" w:rsidP="009D1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2D033" w14:textId="77777777" w:rsidR="007C5AA2" w:rsidRDefault="007C5AA2" w:rsidP="007C5A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89F903" w14:textId="77777777" w:rsidR="005B198F" w:rsidRPr="007C5AA2" w:rsidRDefault="007C5AA2" w:rsidP="007C5AA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357D6" w14:textId="77777777" w:rsidR="007C5AA2" w:rsidRDefault="007C5AA2" w:rsidP="007C5AA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5820">
      <w:rPr>
        <w:rFonts w:ascii="FrankRuehl" w:hAnsi="FrankRuehl" w:cs="FrankRuehl"/>
        <w:noProof/>
        <w:rtl/>
      </w:rPr>
      <w:t>1</w:t>
    </w:r>
    <w:r>
      <w:rPr>
        <w:rFonts w:ascii="FrankRuehl" w:hAnsi="FrankRuehl" w:cs="FrankRuehl"/>
        <w:rtl/>
      </w:rPr>
      <w:fldChar w:fldCharType="end"/>
    </w:r>
  </w:p>
  <w:p w14:paraId="189DA9A6" w14:textId="77777777" w:rsidR="005B198F" w:rsidRPr="007C5AA2" w:rsidRDefault="007C5AA2" w:rsidP="007C5AA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0FD4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DB55F" w14:textId="77777777" w:rsidR="00A56F02" w:rsidRDefault="00A56F02" w:rsidP="009D170E">
      <w:r>
        <w:separator/>
      </w:r>
    </w:p>
  </w:footnote>
  <w:footnote w:type="continuationSeparator" w:id="0">
    <w:p w14:paraId="08A13BBC" w14:textId="77777777" w:rsidR="00A56F02" w:rsidRDefault="00A56F02" w:rsidP="009D1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3B2B4" w14:textId="77777777" w:rsidR="007C5AA2" w:rsidRPr="007C5AA2" w:rsidRDefault="007C5AA2" w:rsidP="007C5AA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12748-07-20</w:t>
    </w:r>
    <w:r>
      <w:rPr>
        <w:rFonts w:ascii="David" w:hAnsi="David"/>
        <w:color w:val="000000"/>
        <w:sz w:val="22"/>
        <w:szCs w:val="22"/>
        <w:rtl/>
      </w:rPr>
      <w:tab/>
      <w:t xml:space="preserve"> מדינת ישראל נ' נועם אלימלך 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E8031" w14:textId="77777777" w:rsidR="007C5AA2" w:rsidRPr="007C5AA2" w:rsidRDefault="007C5AA2" w:rsidP="007C5AA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12748-07-20</w:t>
    </w:r>
    <w:r>
      <w:rPr>
        <w:rFonts w:ascii="David" w:hAnsi="David"/>
        <w:color w:val="000000"/>
        <w:sz w:val="22"/>
        <w:szCs w:val="22"/>
        <w:rtl/>
      </w:rPr>
      <w:tab/>
      <w:t xml:space="preserve"> מדינת ישראל נ' נועם אלימלך 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281400"/>
    <w:multiLevelType w:val="hybridMultilevel"/>
    <w:tmpl w:val="25FE0CC2"/>
    <w:lvl w:ilvl="0" w:tplc="55F62FFA">
      <w:start w:val="1"/>
      <w:numFmt w:val="decimal"/>
      <w:lvlText w:val="%1."/>
      <w:lvlJc w:val="left"/>
      <w:pPr>
        <w:ind w:left="643"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21D0708"/>
    <w:multiLevelType w:val="hybridMultilevel"/>
    <w:tmpl w:val="F530E26C"/>
    <w:lvl w:ilvl="0" w:tplc="E9FC2B7A">
      <w:start w:val="1"/>
      <w:numFmt w:val="hebrew1"/>
      <w:lvlText w:val="%1."/>
      <w:lvlJc w:val="left"/>
      <w:pPr>
        <w:ind w:left="1440" w:hanging="360"/>
      </w:pPr>
      <w:rPr>
        <w:rFonts w:ascii="David" w:hAnsi="David" w:cs="David" w:hint="default"/>
        <w:b/>
        <w:bCs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11409949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67672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6636"/>
    <w:rsid w:val="00132FAE"/>
    <w:rsid w:val="002B3117"/>
    <w:rsid w:val="003013AE"/>
    <w:rsid w:val="00415820"/>
    <w:rsid w:val="0053643B"/>
    <w:rsid w:val="005B198F"/>
    <w:rsid w:val="00627F3D"/>
    <w:rsid w:val="007C5AA2"/>
    <w:rsid w:val="009A4E4C"/>
    <w:rsid w:val="009D170E"/>
    <w:rsid w:val="00A077C7"/>
    <w:rsid w:val="00A56F02"/>
    <w:rsid w:val="00BA6636"/>
    <w:rsid w:val="00C66B51"/>
    <w:rsid w:val="00CC53BB"/>
    <w:rsid w:val="00F076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6CF44F"/>
  <w15:chartTrackingRefBased/>
  <w15:docId w15:val="{A83C7FF6-183E-42ED-B310-FAF83D63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663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6636"/>
    <w:pPr>
      <w:tabs>
        <w:tab w:val="center" w:pos="4153"/>
        <w:tab w:val="right" w:pos="8306"/>
      </w:tabs>
    </w:pPr>
  </w:style>
  <w:style w:type="character" w:customStyle="1" w:styleId="a4">
    <w:name w:val="כותרת עליונה תו"/>
    <w:link w:val="a3"/>
    <w:rsid w:val="00BA6636"/>
    <w:rPr>
      <w:rFonts w:ascii="Times New Roman" w:eastAsia="Times New Roman" w:hAnsi="Times New Roman" w:cs="David"/>
      <w:sz w:val="24"/>
      <w:szCs w:val="24"/>
    </w:rPr>
  </w:style>
  <w:style w:type="paragraph" w:styleId="a5">
    <w:name w:val="footer"/>
    <w:basedOn w:val="a"/>
    <w:link w:val="a6"/>
    <w:rsid w:val="00BA6636"/>
    <w:pPr>
      <w:tabs>
        <w:tab w:val="center" w:pos="4153"/>
        <w:tab w:val="right" w:pos="8306"/>
      </w:tabs>
    </w:pPr>
  </w:style>
  <w:style w:type="character" w:customStyle="1" w:styleId="a6">
    <w:name w:val="כותרת תחתונה תו"/>
    <w:link w:val="a5"/>
    <w:rsid w:val="00BA6636"/>
    <w:rPr>
      <w:rFonts w:ascii="Times New Roman" w:eastAsia="Times New Roman" w:hAnsi="Times New Roman" w:cs="David"/>
      <w:sz w:val="24"/>
      <w:szCs w:val="24"/>
    </w:rPr>
  </w:style>
  <w:style w:type="table" w:styleId="a7">
    <w:name w:val="Table Grid"/>
    <w:basedOn w:val="a1"/>
    <w:rsid w:val="00BA663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6636"/>
  </w:style>
  <w:style w:type="character" w:customStyle="1" w:styleId="a9">
    <w:name w:val="פיסקת רשימה תו"/>
    <w:link w:val="aa"/>
    <w:locked/>
    <w:rsid w:val="00BA6636"/>
  </w:style>
  <w:style w:type="paragraph" w:styleId="aa">
    <w:name w:val="List Paragraph"/>
    <w:basedOn w:val="a"/>
    <w:link w:val="a9"/>
    <w:qFormat/>
    <w:rsid w:val="00BA6636"/>
    <w:pPr>
      <w:spacing w:after="160" w:line="256" w:lineRule="auto"/>
      <w:ind w:left="720"/>
      <w:contextualSpacing/>
    </w:pPr>
    <w:rPr>
      <w:rFonts w:ascii="Calibri" w:eastAsia="Calibri" w:hAnsi="Calibri" w:cs="Arial"/>
      <w:sz w:val="22"/>
      <w:szCs w:val="22"/>
    </w:rPr>
  </w:style>
  <w:style w:type="paragraph" w:customStyle="1" w:styleId="ab">
    <w:name w:val="a"/>
    <w:basedOn w:val="a"/>
    <w:rsid w:val="00BA6636"/>
    <w:pPr>
      <w:bidi w:val="0"/>
      <w:spacing w:before="100" w:beforeAutospacing="1" w:after="100" w:afterAutospacing="1"/>
    </w:pPr>
    <w:rPr>
      <w:rFonts w:cs="Times New Roman"/>
    </w:rPr>
  </w:style>
  <w:style w:type="character" w:styleId="Hyperlink">
    <w:name w:val="Hyperlink"/>
    <w:rsid w:val="007C5A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0683594" TargetMode="External"/><Relationship Id="rId18" Type="http://schemas.openxmlformats.org/officeDocument/2006/relationships/hyperlink" Target="http://www.nevo.co.il/case/1879336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5977712"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5538826"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6062217" TargetMode="External"/><Relationship Id="rId20" Type="http://schemas.openxmlformats.org/officeDocument/2006/relationships/hyperlink" Target="http://www.nevo.co.il/case/10459115"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2938500" TargetMode="External"/><Relationship Id="rId5" Type="http://schemas.openxmlformats.org/officeDocument/2006/relationships/footnotes" Target="footnotes.xml"/><Relationship Id="rId15" Type="http://schemas.openxmlformats.org/officeDocument/2006/relationships/hyperlink" Target="http://www.nevo.co.il/case/24287803" TargetMode="External"/><Relationship Id="rId23" Type="http://schemas.openxmlformats.org/officeDocument/2006/relationships/hyperlink" Target="http://www.nevo.co.il/case/25459244" TargetMode="External"/><Relationship Id="rId28"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case/1878469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1472796" TargetMode="External"/><Relationship Id="rId22" Type="http://schemas.openxmlformats.org/officeDocument/2006/relationships/hyperlink" Target="http://www.nevo.co.il/case/25383158"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2433</Words>
  <Characters>12168</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14572</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3342448</vt:i4>
      </vt:variant>
      <vt:variant>
        <vt:i4>51</vt:i4>
      </vt:variant>
      <vt:variant>
        <vt:i4>0</vt:i4>
      </vt:variant>
      <vt:variant>
        <vt:i4>5</vt:i4>
      </vt:variant>
      <vt:variant>
        <vt:lpwstr>http://www.nevo.co.il/case/22938500</vt:lpwstr>
      </vt:variant>
      <vt:variant>
        <vt:lpwstr/>
      </vt:variant>
      <vt:variant>
        <vt:i4>3866742</vt:i4>
      </vt:variant>
      <vt:variant>
        <vt:i4>48</vt:i4>
      </vt:variant>
      <vt:variant>
        <vt:i4>0</vt:i4>
      </vt:variant>
      <vt:variant>
        <vt:i4>5</vt:i4>
      </vt:variant>
      <vt:variant>
        <vt:lpwstr>http://www.nevo.co.il/case/25459244</vt:lpwstr>
      </vt:variant>
      <vt:variant>
        <vt:lpwstr/>
      </vt:variant>
      <vt:variant>
        <vt:i4>3604600</vt:i4>
      </vt:variant>
      <vt:variant>
        <vt:i4>45</vt:i4>
      </vt:variant>
      <vt:variant>
        <vt:i4>0</vt:i4>
      </vt:variant>
      <vt:variant>
        <vt:i4>5</vt:i4>
      </vt:variant>
      <vt:variant>
        <vt:lpwstr>http://www.nevo.co.il/case/25383158</vt:lpwstr>
      </vt:variant>
      <vt:variant>
        <vt:lpwstr/>
      </vt:variant>
      <vt:variant>
        <vt:i4>3997809</vt:i4>
      </vt:variant>
      <vt:variant>
        <vt:i4>42</vt:i4>
      </vt:variant>
      <vt:variant>
        <vt:i4>0</vt:i4>
      </vt:variant>
      <vt:variant>
        <vt:i4>5</vt:i4>
      </vt:variant>
      <vt:variant>
        <vt:lpwstr>http://www.nevo.co.il/case/25977712</vt:lpwstr>
      </vt:variant>
      <vt:variant>
        <vt:lpwstr/>
      </vt:variant>
      <vt:variant>
        <vt:i4>3997808</vt:i4>
      </vt:variant>
      <vt:variant>
        <vt:i4>39</vt:i4>
      </vt:variant>
      <vt:variant>
        <vt:i4>0</vt:i4>
      </vt:variant>
      <vt:variant>
        <vt:i4>5</vt:i4>
      </vt:variant>
      <vt:variant>
        <vt:lpwstr>http://www.nevo.co.il/case/10459115</vt:lpwstr>
      </vt:variant>
      <vt:variant>
        <vt:lpwstr/>
      </vt:variant>
      <vt:variant>
        <vt:i4>3866738</vt:i4>
      </vt:variant>
      <vt:variant>
        <vt:i4>36</vt:i4>
      </vt:variant>
      <vt:variant>
        <vt:i4>0</vt:i4>
      </vt:variant>
      <vt:variant>
        <vt:i4>5</vt:i4>
      </vt:variant>
      <vt:variant>
        <vt:lpwstr>http://www.nevo.co.il/case/18784698</vt:lpwstr>
      </vt:variant>
      <vt:variant>
        <vt:lpwstr/>
      </vt:variant>
      <vt:variant>
        <vt:i4>3342454</vt:i4>
      </vt:variant>
      <vt:variant>
        <vt:i4>33</vt:i4>
      </vt:variant>
      <vt:variant>
        <vt:i4>0</vt:i4>
      </vt:variant>
      <vt:variant>
        <vt:i4>5</vt:i4>
      </vt:variant>
      <vt:variant>
        <vt:lpwstr>http://www.nevo.co.il/case/18793360</vt:lpwstr>
      </vt:variant>
      <vt:variant>
        <vt:lpwstr/>
      </vt:variant>
      <vt:variant>
        <vt:i4>3997818</vt:i4>
      </vt:variant>
      <vt:variant>
        <vt:i4>30</vt:i4>
      </vt:variant>
      <vt:variant>
        <vt:i4>0</vt:i4>
      </vt:variant>
      <vt:variant>
        <vt:i4>5</vt:i4>
      </vt:variant>
      <vt:variant>
        <vt:lpwstr>http://www.nevo.co.il/case/25538826</vt:lpwstr>
      </vt:variant>
      <vt:variant>
        <vt:lpwstr/>
      </vt:variant>
      <vt:variant>
        <vt:i4>3473527</vt:i4>
      </vt:variant>
      <vt:variant>
        <vt:i4>27</vt:i4>
      </vt:variant>
      <vt:variant>
        <vt:i4>0</vt:i4>
      </vt:variant>
      <vt:variant>
        <vt:i4>5</vt:i4>
      </vt:variant>
      <vt:variant>
        <vt:lpwstr>http://www.nevo.co.il/case/6062217</vt:lpwstr>
      </vt:variant>
      <vt:variant>
        <vt:lpwstr/>
      </vt:variant>
      <vt:variant>
        <vt:i4>3604592</vt:i4>
      </vt:variant>
      <vt:variant>
        <vt:i4>24</vt:i4>
      </vt:variant>
      <vt:variant>
        <vt:i4>0</vt:i4>
      </vt:variant>
      <vt:variant>
        <vt:i4>5</vt:i4>
      </vt:variant>
      <vt:variant>
        <vt:lpwstr>http://www.nevo.co.il/case/24287803</vt:lpwstr>
      </vt:variant>
      <vt:variant>
        <vt:lpwstr/>
      </vt:variant>
      <vt:variant>
        <vt:i4>3997813</vt:i4>
      </vt:variant>
      <vt:variant>
        <vt:i4>21</vt:i4>
      </vt:variant>
      <vt:variant>
        <vt:i4>0</vt:i4>
      </vt:variant>
      <vt:variant>
        <vt:i4>5</vt:i4>
      </vt:variant>
      <vt:variant>
        <vt:lpwstr>http://www.nevo.co.il/case/21472796</vt:lpwstr>
      </vt:variant>
      <vt:variant>
        <vt:lpwstr/>
      </vt:variant>
      <vt:variant>
        <vt:i4>4063353</vt:i4>
      </vt:variant>
      <vt:variant>
        <vt:i4>18</vt:i4>
      </vt:variant>
      <vt:variant>
        <vt:i4>0</vt:i4>
      </vt:variant>
      <vt:variant>
        <vt:i4>5</vt:i4>
      </vt:variant>
      <vt:variant>
        <vt:lpwstr>http://www.nevo.co.il/case/20683594</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2025-04-23T00:39:00Z</dcterms:created>
  <dcterms:modified xsi:type="dcterms:W3CDTF">2025-04-23T00:39:00Z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12748</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נועם אלימלך דרי</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20230326</vt:lpwstr>
  </property>
  <property fmtid="{D5CDD505-2E9C-101B-9397-08002B2CF9AE}" pid="13" name="TYPE_N_DATE">
    <vt:lpwstr>38020230326</vt:lpwstr>
  </property>
  <property fmtid="{D5CDD505-2E9C-101B-9397-08002B2CF9AE}" pid="14" name="WORDNUMPAGES">
    <vt:lpwstr>7</vt:lpwstr>
  </property>
  <property fmtid="{D5CDD505-2E9C-101B-9397-08002B2CF9AE}" pid="15" name="TYPE_ABS_DATE">
    <vt:lpwstr>380020230326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20683594;21472796;24287803;6062217;25538826;18793360;18784698;10459115;25977712;25383158;25459244;22938500</vt:lpwstr>
  </property>
  <property fmtid="{D5CDD505-2E9C-101B-9397-08002B2CF9AE}" pid="36" name="LAWLISTTMP1">
    <vt:lpwstr>4216/013;019a</vt:lpwstr>
  </property>
</Properties>
</file>