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105" w:type="dxa"/>
        <w:jc w:val="center"/>
        <w:tblLook w:val="0000" w:firstRow="0" w:lastRow="0" w:firstColumn="0" w:lastColumn="0" w:noHBand="0" w:noVBand="0"/>
      </w:tblPr>
      <w:tblGrid>
        <w:gridCol w:w="50"/>
        <w:gridCol w:w="873"/>
        <w:gridCol w:w="3502"/>
        <w:gridCol w:w="580"/>
        <w:gridCol w:w="3619"/>
        <w:gridCol w:w="51"/>
        <w:gridCol w:w="430"/>
      </w:tblGrid>
      <w:tr w:rsidR="00714FCA" w:rsidRPr="005A4DD0" w14:paraId="28EB1C2D" w14:textId="77777777" w:rsidTr="00495B4F">
        <w:trPr>
          <w:gridBefore w:val="1"/>
          <w:gridAfter w:val="1"/>
          <w:wBefore w:w="50" w:type="dxa"/>
          <w:wAfter w:w="430" w:type="dxa"/>
          <w:trHeight w:hRule="exact" w:val="555"/>
          <w:jc w:val="center"/>
        </w:trPr>
        <w:tc>
          <w:tcPr>
            <w:tcW w:w="8625" w:type="dxa"/>
            <w:gridSpan w:val="5"/>
          </w:tcPr>
          <w:p w14:paraId="66E98DA0" w14:textId="77777777" w:rsidR="00714FCA" w:rsidRPr="005A4DD0" w:rsidRDefault="00714FCA" w:rsidP="00374301">
            <w:pPr>
              <w:pStyle w:val="a3"/>
              <w:jc w:val="center"/>
              <w:rPr>
                <w:rFonts w:ascii="Tahoma" w:hAnsi="Tahoma" w:cs="Tahoma"/>
                <w:color w:val="000080"/>
                <w:rtl/>
              </w:rPr>
            </w:pPr>
            <w:bookmarkStart w:id="0" w:name="LastJudge"/>
            <w:r w:rsidRPr="005A4DD0">
              <w:rPr>
                <w:rFonts w:ascii="Tahoma" w:hAnsi="Tahoma" w:cs="Tahoma"/>
                <w:b/>
                <w:bCs/>
                <w:color w:val="000080"/>
                <w:rtl/>
              </w:rPr>
              <w:t>בית משפט השלום בראשון לציון</w:t>
            </w:r>
          </w:p>
        </w:tc>
      </w:tr>
      <w:tr w:rsidR="00714FCA" w:rsidRPr="005A4DD0" w14:paraId="1E5C0D55" w14:textId="77777777" w:rsidTr="00495B4F">
        <w:trPr>
          <w:gridAfter w:val="2"/>
          <w:wAfter w:w="481" w:type="dxa"/>
          <w:trHeight w:val="448"/>
          <w:jc w:val="center"/>
        </w:trPr>
        <w:tc>
          <w:tcPr>
            <w:tcW w:w="5005" w:type="dxa"/>
            <w:gridSpan w:val="4"/>
          </w:tcPr>
          <w:p w14:paraId="5EA4B726" w14:textId="77777777" w:rsidR="00714FCA" w:rsidRPr="005A4DD0" w:rsidRDefault="00714FCA" w:rsidP="00374301">
            <w:pPr>
              <w:rPr>
                <w:rFonts w:cs="FrankRuehl"/>
                <w:sz w:val="28"/>
                <w:szCs w:val="28"/>
                <w:rtl/>
              </w:rPr>
            </w:pPr>
            <w:r w:rsidRPr="005A4DD0">
              <w:rPr>
                <w:rFonts w:cs="FrankRuehl"/>
                <w:sz w:val="28"/>
                <w:szCs w:val="28"/>
                <w:rtl/>
              </w:rPr>
              <w:t>ת"פ</w:t>
            </w:r>
            <w:r w:rsidRPr="005A4DD0">
              <w:rPr>
                <w:rFonts w:cs="FrankRuehl" w:hint="cs"/>
                <w:sz w:val="28"/>
                <w:szCs w:val="28"/>
                <w:rtl/>
              </w:rPr>
              <w:t xml:space="preserve"> </w:t>
            </w:r>
            <w:r w:rsidRPr="005A4DD0">
              <w:rPr>
                <w:rFonts w:cs="FrankRuehl"/>
                <w:sz w:val="28"/>
                <w:szCs w:val="28"/>
                <w:rtl/>
              </w:rPr>
              <w:t>24243-07-20</w:t>
            </w:r>
            <w:r w:rsidRPr="005A4DD0">
              <w:rPr>
                <w:rFonts w:cs="FrankRuehl" w:hint="cs"/>
                <w:sz w:val="28"/>
                <w:szCs w:val="28"/>
                <w:rtl/>
              </w:rPr>
              <w:t xml:space="preserve"> </w:t>
            </w:r>
            <w:r w:rsidRPr="005A4DD0">
              <w:rPr>
                <w:rFonts w:cs="FrankRuehl"/>
                <w:sz w:val="28"/>
                <w:szCs w:val="28"/>
                <w:rtl/>
              </w:rPr>
              <w:t>מדינת ישראל נ' אנניה</w:t>
            </w:r>
          </w:p>
          <w:p w14:paraId="70130D9C" w14:textId="77777777" w:rsidR="00714FCA" w:rsidRPr="005A4DD0" w:rsidRDefault="00714FCA" w:rsidP="00374301">
            <w:pPr>
              <w:pStyle w:val="a3"/>
              <w:rPr>
                <w:rFonts w:cs="FrankRuehl"/>
                <w:sz w:val="28"/>
                <w:szCs w:val="28"/>
                <w:rtl/>
              </w:rPr>
            </w:pPr>
          </w:p>
        </w:tc>
        <w:tc>
          <w:tcPr>
            <w:tcW w:w="3619" w:type="dxa"/>
          </w:tcPr>
          <w:p w14:paraId="25FE0D96" w14:textId="77777777" w:rsidR="00714FCA" w:rsidRPr="005A4DD0" w:rsidRDefault="00714FCA" w:rsidP="00374301">
            <w:pPr>
              <w:pStyle w:val="a3"/>
              <w:jc w:val="right"/>
              <w:rPr>
                <w:rFonts w:cs="FrankRuehl"/>
                <w:sz w:val="28"/>
                <w:szCs w:val="28"/>
                <w:rtl/>
              </w:rPr>
            </w:pPr>
          </w:p>
        </w:tc>
      </w:tr>
      <w:tr w:rsidR="00714FCA" w:rsidRPr="005A4DD0" w14:paraId="3724B8B2" w14:textId="77777777" w:rsidTr="00495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gridSpan w:val="2"/>
            <w:tcBorders>
              <w:top w:val="nil"/>
              <w:left w:val="nil"/>
              <w:bottom w:val="nil"/>
              <w:right w:val="nil"/>
            </w:tcBorders>
            <w:shd w:val="clear" w:color="auto" w:fill="auto"/>
          </w:tcPr>
          <w:p w14:paraId="4C78478D" w14:textId="77777777" w:rsidR="00714FCA" w:rsidRPr="005A4DD0" w:rsidRDefault="00714FCA" w:rsidP="00714FCA">
            <w:pPr>
              <w:jc w:val="both"/>
              <w:rPr>
                <w:rFonts w:ascii="David" w:hAnsi="David"/>
                <w:sz w:val="26"/>
                <w:szCs w:val="26"/>
              </w:rPr>
            </w:pPr>
            <w:r w:rsidRPr="005A4DD0">
              <w:rPr>
                <w:rFonts w:hint="cs"/>
                <w:rtl/>
              </w:rPr>
              <w:t xml:space="preserve"> </w:t>
            </w:r>
            <w:r w:rsidRPr="005A4DD0">
              <w:rPr>
                <w:rFonts w:ascii="David" w:hAnsi="David"/>
                <w:sz w:val="26"/>
                <w:szCs w:val="26"/>
                <w:rtl/>
              </w:rPr>
              <w:t xml:space="preserve">בפני </w:t>
            </w:r>
          </w:p>
        </w:tc>
        <w:tc>
          <w:tcPr>
            <w:tcW w:w="8182" w:type="dxa"/>
            <w:gridSpan w:val="5"/>
            <w:tcBorders>
              <w:top w:val="nil"/>
              <w:left w:val="nil"/>
              <w:bottom w:val="nil"/>
              <w:right w:val="nil"/>
            </w:tcBorders>
            <w:shd w:val="clear" w:color="auto" w:fill="auto"/>
          </w:tcPr>
          <w:p w14:paraId="3D5DC59D" w14:textId="77777777" w:rsidR="00714FCA" w:rsidRPr="005A4DD0" w:rsidRDefault="00714FCA" w:rsidP="00374301">
            <w:pPr>
              <w:rPr>
                <w:rFonts w:ascii="David" w:hAnsi="David"/>
                <w:b/>
                <w:bCs/>
                <w:sz w:val="26"/>
                <w:szCs w:val="26"/>
                <w:rtl/>
              </w:rPr>
            </w:pPr>
            <w:r w:rsidRPr="005A4DD0">
              <w:rPr>
                <w:rFonts w:ascii="David" w:hAnsi="David"/>
                <w:b/>
                <w:bCs/>
                <w:sz w:val="26"/>
                <w:szCs w:val="26"/>
                <w:rtl/>
              </w:rPr>
              <w:t>כבוד השופט  עמית מיכלס</w:t>
            </w:r>
          </w:p>
          <w:p w14:paraId="5172E642" w14:textId="77777777" w:rsidR="00714FCA" w:rsidRPr="005A4DD0" w:rsidRDefault="00714FCA" w:rsidP="00374301">
            <w:pPr>
              <w:rPr>
                <w:rFonts w:ascii="David" w:hAnsi="David"/>
                <w:sz w:val="26"/>
                <w:szCs w:val="26"/>
                <w:rtl/>
              </w:rPr>
            </w:pPr>
          </w:p>
          <w:p w14:paraId="3FF86418" w14:textId="77777777" w:rsidR="00714FCA" w:rsidRPr="005A4DD0" w:rsidRDefault="00714FCA" w:rsidP="00714FCA">
            <w:pPr>
              <w:jc w:val="both"/>
              <w:rPr>
                <w:rFonts w:ascii="David" w:hAnsi="David"/>
                <w:sz w:val="26"/>
                <w:szCs w:val="26"/>
              </w:rPr>
            </w:pPr>
          </w:p>
        </w:tc>
      </w:tr>
      <w:tr w:rsidR="00714FCA" w:rsidRPr="005A4DD0" w14:paraId="1A0ABFA3" w14:textId="77777777" w:rsidTr="00495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gridSpan w:val="2"/>
            <w:tcBorders>
              <w:top w:val="nil"/>
              <w:left w:val="nil"/>
              <w:bottom w:val="nil"/>
              <w:right w:val="nil"/>
            </w:tcBorders>
            <w:shd w:val="clear" w:color="auto" w:fill="auto"/>
          </w:tcPr>
          <w:p w14:paraId="16CE658D" w14:textId="77777777" w:rsidR="00714FCA" w:rsidRPr="005A4DD0" w:rsidRDefault="00714FCA" w:rsidP="00714FCA">
            <w:pPr>
              <w:jc w:val="both"/>
              <w:rPr>
                <w:rFonts w:ascii="David" w:hAnsi="David"/>
                <w:sz w:val="26"/>
                <w:szCs w:val="26"/>
              </w:rPr>
            </w:pPr>
            <w:bookmarkStart w:id="1" w:name="FirstAppellant"/>
            <w:r w:rsidRPr="005A4DD0">
              <w:rPr>
                <w:rFonts w:ascii="David" w:hAnsi="David"/>
                <w:sz w:val="26"/>
                <w:szCs w:val="26"/>
                <w:rtl/>
              </w:rPr>
              <w:t>בעניין:</w:t>
            </w:r>
          </w:p>
        </w:tc>
        <w:tc>
          <w:tcPr>
            <w:tcW w:w="3502" w:type="dxa"/>
            <w:tcBorders>
              <w:top w:val="nil"/>
              <w:left w:val="nil"/>
              <w:bottom w:val="nil"/>
              <w:right w:val="nil"/>
            </w:tcBorders>
            <w:shd w:val="clear" w:color="auto" w:fill="auto"/>
          </w:tcPr>
          <w:p w14:paraId="071A8062" w14:textId="77777777" w:rsidR="00714FCA" w:rsidRPr="005A4DD0" w:rsidRDefault="00714FCA" w:rsidP="00714FCA">
            <w:pPr>
              <w:suppressLineNumbers/>
            </w:pPr>
            <w:r w:rsidRPr="005A4DD0">
              <w:rPr>
                <w:rFonts w:ascii="Arial" w:hAnsi="Arial" w:hint="cs"/>
                <w:b/>
                <w:bCs/>
                <w:sz w:val="26"/>
                <w:szCs w:val="26"/>
                <w:rtl/>
              </w:rPr>
              <w:t>ה</w:t>
            </w:r>
            <w:r w:rsidRPr="005A4DD0">
              <w:rPr>
                <w:rFonts w:ascii="Arial" w:hAnsi="Arial"/>
                <w:b/>
                <w:bCs/>
                <w:sz w:val="26"/>
                <w:szCs w:val="26"/>
                <w:rtl/>
              </w:rPr>
              <w:t>מאשימה</w:t>
            </w:r>
          </w:p>
          <w:p w14:paraId="1EBBDEE2" w14:textId="77777777" w:rsidR="00714FCA" w:rsidRPr="005A4DD0" w:rsidRDefault="00714FCA" w:rsidP="00374301">
            <w:pPr>
              <w:rPr>
                <w:rFonts w:ascii="David" w:hAnsi="David"/>
                <w:sz w:val="26"/>
                <w:szCs w:val="26"/>
              </w:rPr>
            </w:pPr>
          </w:p>
        </w:tc>
        <w:tc>
          <w:tcPr>
            <w:tcW w:w="4680" w:type="dxa"/>
            <w:gridSpan w:val="4"/>
            <w:tcBorders>
              <w:top w:val="nil"/>
              <w:left w:val="nil"/>
              <w:bottom w:val="nil"/>
              <w:right w:val="nil"/>
            </w:tcBorders>
            <w:shd w:val="clear" w:color="auto" w:fill="auto"/>
            <w:vAlign w:val="center"/>
          </w:tcPr>
          <w:p w14:paraId="28624F2E" w14:textId="77777777" w:rsidR="00714FCA" w:rsidRPr="005A4DD0" w:rsidRDefault="00714FCA" w:rsidP="00714FCA">
            <w:pPr>
              <w:suppressLineNumbers/>
            </w:pPr>
            <w:r w:rsidRPr="005A4DD0">
              <w:rPr>
                <w:rFonts w:ascii="Arial" w:hAnsi="Arial"/>
                <w:b/>
                <w:bCs/>
                <w:sz w:val="26"/>
                <w:szCs w:val="26"/>
                <w:rtl/>
              </w:rPr>
              <w:t>מדינת ישראל</w:t>
            </w:r>
          </w:p>
          <w:p w14:paraId="5E8471B3" w14:textId="77777777" w:rsidR="00714FCA" w:rsidRPr="005A4DD0" w:rsidRDefault="00714FCA" w:rsidP="00374301">
            <w:pPr>
              <w:rPr>
                <w:rFonts w:ascii="David" w:hAnsi="David"/>
                <w:sz w:val="26"/>
                <w:szCs w:val="26"/>
              </w:rPr>
            </w:pPr>
          </w:p>
        </w:tc>
      </w:tr>
      <w:bookmarkEnd w:id="1"/>
      <w:tr w:rsidR="00714FCA" w:rsidRPr="005A4DD0" w14:paraId="536F2F53" w14:textId="77777777" w:rsidTr="00495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gridSpan w:val="2"/>
            <w:tcBorders>
              <w:top w:val="nil"/>
              <w:left w:val="nil"/>
              <w:bottom w:val="nil"/>
              <w:right w:val="nil"/>
            </w:tcBorders>
            <w:shd w:val="clear" w:color="auto" w:fill="auto"/>
          </w:tcPr>
          <w:p w14:paraId="2966A15D" w14:textId="77777777" w:rsidR="00714FCA" w:rsidRPr="005A4DD0" w:rsidRDefault="00714FCA" w:rsidP="00714FCA">
            <w:pPr>
              <w:jc w:val="both"/>
              <w:rPr>
                <w:rFonts w:ascii="David" w:hAnsi="David"/>
                <w:sz w:val="26"/>
                <w:szCs w:val="26"/>
                <w:rtl/>
              </w:rPr>
            </w:pPr>
          </w:p>
        </w:tc>
        <w:tc>
          <w:tcPr>
            <w:tcW w:w="8182" w:type="dxa"/>
            <w:gridSpan w:val="5"/>
            <w:tcBorders>
              <w:top w:val="nil"/>
              <w:left w:val="nil"/>
              <w:bottom w:val="nil"/>
              <w:right w:val="nil"/>
            </w:tcBorders>
            <w:shd w:val="clear" w:color="auto" w:fill="auto"/>
          </w:tcPr>
          <w:p w14:paraId="61493BC2" w14:textId="77777777" w:rsidR="00714FCA" w:rsidRPr="005A4DD0" w:rsidRDefault="00714FCA" w:rsidP="00714FCA">
            <w:pPr>
              <w:jc w:val="center"/>
              <w:rPr>
                <w:rFonts w:ascii="David" w:hAnsi="David"/>
                <w:b/>
                <w:bCs/>
                <w:sz w:val="26"/>
                <w:szCs w:val="26"/>
                <w:rtl/>
              </w:rPr>
            </w:pPr>
          </w:p>
          <w:p w14:paraId="51866C8C" w14:textId="77777777" w:rsidR="00714FCA" w:rsidRPr="005A4DD0" w:rsidRDefault="00714FCA" w:rsidP="00714FCA">
            <w:pPr>
              <w:jc w:val="center"/>
              <w:rPr>
                <w:rFonts w:ascii="David" w:hAnsi="David"/>
                <w:b/>
                <w:bCs/>
                <w:sz w:val="26"/>
                <w:szCs w:val="26"/>
                <w:rtl/>
              </w:rPr>
            </w:pPr>
            <w:r w:rsidRPr="005A4DD0">
              <w:rPr>
                <w:rFonts w:ascii="David" w:hAnsi="David"/>
                <w:b/>
                <w:bCs/>
                <w:sz w:val="26"/>
                <w:szCs w:val="26"/>
                <w:rtl/>
              </w:rPr>
              <w:t>נגד</w:t>
            </w:r>
          </w:p>
          <w:p w14:paraId="2CFF265B" w14:textId="77777777" w:rsidR="00714FCA" w:rsidRPr="005A4DD0" w:rsidRDefault="00714FCA" w:rsidP="00714FCA">
            <w:pPr>
              <w:jc w:val="both"/>
              <w:rPr>
                <w:rFonts w:ascii="David" w:hAnsi="David"/>
                <w:sz w:val="26"/>
                <w:szCs w:val="26"/>
              </w:rPr>
            </w:pPr>
          </w:p>
        </w:tc>
      </w:tr>
      <w:tr w:rsidR="00714FCA" w:rsidRPr="005A4DD0" w14:paraId="7FFF7040" w14:textId="77777777" w:rsidTr="00495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gridSpan w:val="2"/>
            <w:tcBorders>
              <w:top w:val="nil"/>
              <w:left w:val="nil"/>
              <w:bottom w:val="nil"/>
              <w:right w:val="nil"/>
            </w:tcBorders>
            <w:shd w:val="clear" w:color="auto" w:fill="auto"/>
          </w:tcPr>
          <w:p w14:paraId="6B775AD1" w14:textId="77777777" w:rsidR="00714FCA" w:rsidRPr="005A4DD0" w:rsidRDefault="00714FCA" w:rsidP="00374301">
            <w:pPr>
              <w:rPr>
                <w:rFonts w:ascii="David" w:hAnsi="David"/>
                <w:sz w:val="26"/>
                <w:szCs w:val="26"/>
                <w:rtl/>
              </w:rPr>
            </w:pPr>
          </w:p>
        </w:tc>
        <w:tc>
          <w:tcPr>
            <w:tcW w:w="3502" w:type="dxa"/>
            <w:tcBorders>
              <w:top w:val="nil"/>
              <w:left w:val="nil"/>
              <w:bottom w:val="nil"/>
              <w:right w:val="nil"/>
            </w:tcBorders>
            <w:shd w:val="clear" w:color="auto" w:fill="auto"/>
          </w:tcPr>
          <w:p w14:paraId="5CE3F1B2" w14:textId="77777777" w:rsidR="00714FCA" w:rsidRPr="005A4DD0" w:rsidRDefault="00714FCA" w:rsidP="00374301">
            <w:pPr>
              <w:rPr>
                <w:rFonts w:ascii="Arial" w:hAnsi="Arial"/>
                <w:b/>
                <w:bCs/>
                <w:sz w:val="26"/>
                <w:szCs w:val="26"/>
                <w:rtl/>
              </w:rPr>
            </w:pPr>
            <w:r w:rsidRPr="005A4DD0">
              <w:rPr>
                <w:rFonts w:ascii="Arial" w:hAnsi="Arial"/>
                <w:b/>
                <w:bCs/>
                <w:sz w:val="26"/>
                <w:szCs w:val="26"/>
                <w:rtl/>
              </w:rPr>
              <w:t>הנאשם</w:t>
            </w:r>
          </w:p>
        </w:tc>
        <w:tc>
          <w:tcPr>
            <w:tcW w:w="4680" w:type="dxa"/>
            <w:gridSpan w:val="4"/>
            <w:tcBorders>
              <w:top w:val="nil"/>
              <w:left w:val="nil"/>
              <w:bottom w:val="nil"/>
              <w:right w:val="nil"/>
            </w:tcBorders>
            <w:shd w:val="clear" w:color="auto" w:fill="auto"/>
            <w:vAlign w:val="center"/>
          </w:tcPr>
          <w:p w14:paraId="2FBC178D" w14:textId="77777777" w:rsidR="00714FCA" w:rsidRPr="005A4DD0" w:rsidRDefault="00714FCA" w:rsidP="00714FCA">
            <w:pPr>
              <w:suppressLineNumbers/>
            </w:pPr>
            <w:r w:rsidRPr="005A4DD0">
              <w:rPr>
                <w:rFonts w:ascii="Arial" w:hAnsi="Arial"/>
                <w:b/>
                <w:bCs/>
                <w:sz w:val="26"/>
                <w:szCs w:val="26"/>
                <w:rtl/>
              </w:rPr>
              <w:t>אביהו אנניה</w:t>
            </w:r>
          </w:p>
          <w:p w14:paraId="5DE0468D" w14:textId="77777777" w:rsidR="00714FCA" w:rsidRPr="005A4DD0" w:rsidRDefault="00714FCA" w:rsidP="00374301">
            <w:pPr>
              <w:rPr>
                <w:rFonts w:ascii="David" w:hAnsi="David"/>
                <w:sz w:val="26"/>
                <w:szCs w:val="26"/>
              </w:rPr>
            </w:pPr>
          </w:p>
        </w:tc>
      </w:tr>
      <w:tr w:rsidR="00714FCA" w:rsidRPr="005A4DD0" w14:paraId="412A81CD" w14:textId="77777777" w:rsidTr="00495B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gridSpan w:val="2"/>
            <w:tcBorders>
              <w:top w:val="nil"/>
              <w:left w:val="nil"/>
              <w:bottom w:val="nil"/>
              <w:right w:val="nil"/>
            </w:tcBorders>
            <w:shd w:val="clear" w:color="auto" w:fill="auto"/>
          </w:tcPr>
          <w:p w14:paraId="05825013" w14:textId="77777777" w:rsidR="00714FCA" w:rsidRPr="005A4DD0" w:rsidRDefault="00714FCA" w:rsidP="00714FCA">
            <w:pPr>
              <w:jc w:val="both"/>
              <w:rPr>
                <w:rFonts w:ascii="David" w:hAnsi="David"/>
                <w:sz w:val="26"/>
                <w:szCs w:val="26"/>
                <w:rtl/>
              </w:rPr>
            </w:pPr>
            <w:bookmarkStart w:id="2" w:name="FirstLawyer"/>
          </w:p>
        </w:tc>
        <w:tc>
          <w:tcPr>
            <w:tcW w:w="3502" w:type="dxa"/>
            <w:tcBorders>
              <w:top w:val="nil"/>
              <w:left w:val="nil"/>
              <w:bottom w:val="nil"/>
              <w:right w:val="nil"/>
            </w:tcBorders>
            <w:shd w:val="clear" w:color="auto" w:fill="auto"/>
          </w:tcPr>
          <w:p w14:paraId="73469016" w14:textId="77777777" w:rsidR="00714FCA" w:rsidRPr="005A4DD0" w:rsidRDefault="00714FCA" w:rsidP="00714FCA">
            <w:pPr>
              <w:jc w:val="both"/>
              <w:rPr>
                <w:rFonts w:ascii="David" w:hAnsi="David"/>
                <w:sz w:val="26"/>
                <w:szCs w:val="26"/>
                <w:rtl/>
              </w:rPr>
            </w:pPr>
          </w:p>
          <w:p w14:paraId="75129C1E" w14:textId="77777777" w:rsidR="00714FCA" w:rsidRPr="005A4DD0" w:rsidRDefault="00714FCA" w:rsidP="00714FCA">
            <w:pPr>
              <w:jc w:val="both"/>
              <w:rPr>
                <w:rFonts w:ascii="David" w:hAnsi="David"/>
                <w:sz w:val="26"/>
                <w:szCs w:val="26"/>
                <w:rtl/>
              </w:rPr>
            </w:pPr>
          </w:p>
          <w:p w14:paraId="65FC1C1D" w14:textId="77777777" w:rsidR="00714FCA" w:rsidRPr="005A4DD0" w:rsidRDefault="00714FCA" w:rsidP="00714FCA">
            <w:pPr>
              <w:spacing w:line="276" w:lineRule="auto"/>
              <w:jc w:val="both"/>
              <w:rPr>
                <w:rFonts w:ascii="David" w:hAnsi="David"/>
                <w:sz w:val="26"/>
                <w:szCs w:val="26"/>
                <w:rtl/>
              </w:rPr>
            </w:pPr>
            <w:r w:rsidRPr="005A4DD0">
              <w:rPr>
                <w:rFonts w:ascii="David" w:hAnsi="David" w:hint="cs"/>
                <w:sz w:val="26"/>
                <w:szCs w:val="26"/>
                <w:rtl/>
              </w:rPr>
              <w:t>בשם המאשימה: עו"ד נעמה לסרי</w:t>
            </w:r>
          </w:p>
          <w:p w14:paraId="13CF700F" w14:textId="77777777" w:rsidR="00714FCA" w:rsidRPr="005A4DD0" w:rsidRDefault="00714FCA" w:rsidP="00714FCA">
            <w:pPr>
              <w:spacing w:line="276" w:lineRule="auto"/>
              <w:jc w:val="both"/>
              <w:rPr>
                <w:rFonts w:ascii="David" w:hAnsi="David"/>
                <w:sz w:val="26"/>
                <w:szCs w:val="26"/>
                <w:rtl/>
              </w:rPr>
            </w:pPr>
            <w:r w:rsidRPr="005A4DD0">
              <w:rPr>
                <w:rFonts w:ascii="David" w:hAnsi="David" w:hint="cs"/>
                <w:sz w:val="26"/>
                <w:szCs w:val="26"/>
                <w:rtl/>
              </w:rPr>
              <w:t xml:space="preserve">בשם הנאשם: עו"ד ירון פורר </w:t>
            </w:r>
          </w:p>
        </w:tc>
        <w:tc>
          <w:tcPr>
            <w:tcW w:w="4680" w:type="dxa"/>
            <w:gridSpan w:val="4"/>
            <w:tcBorders>
              <w:top w:val="nil"/>
              <w:left w:val="nil"/>
              <w:bottom w:val="nil"/>
              <w:right w:val="nil"/>
            </w:tcBorders>
            <w:shd w:val="clear" w:color="auto" w:fill="auto"/>
          </w:tcPr>
          <w:p w14:paraId="180ABC07" w14:textId="77777777" w:rsidR="00714FCA" w:rsidRPr="005A4DD0" w:rsidRDefault="00714FCA" w:rsidP="00714FCA">
            <w:pPr>
              <w:jc w:val="right"/>
              <w:rPr>
                <w:rFonts w:ascii="David" w:hAnsi="David"/>
                <w:sz w:val="26"/>
                <w:szCs w:val="26"/>
                <w:rtl/>
              </w:rPr>
            </w:pPr>
          </w:p>
          <w:p w14:paraId="6EDC2471" w14:textId="77777777" w:rsidR="00714FCA" w:rsidRPr="005A4DD0" w:rsidRDefault="00714FCA" w:rsidP="00714FCA">
            <w:pPr>
              <w:jc w:val="right"/>
              <w:rPr>
                <w:rFonts w:ascii="David" w:hAnsi="David"/>
                <w:sz w:val="26"/>
                <w:szCs w:val="26"/>
                <w:rtl/>
              </w:rPr>
            </w:pPr>
          </w:p>
          <w:p w14:paraId="0E6F0355" w14:textId="77777777" w:rsidR="00714FCA" w:rsidRPr="005A4DD0" w:rsidRDefault="00714FCA" w:rsidP="00714FCA">
            <w:pPr>
              <w:jc w:val="right"/>
              <w:rPr>
                <w:rFonts w:ascii="David" w:hAnsi="David"/>
                <w:sz w:val="26"/>
                <w:szCs w:val="26"/>
                <w:rtl/>
              </w:rPr>
            </w:pPr>
          </w:p>
          <w:p w14:paraId="53DF8628" w14:textId="77777777" w:rsidR="00714FCA" w:rsidRPr="005A4DD0" w:rsidRDefault="00714FCA" w:rsidP="00714FCA">
            <w:pPr>
              <w:jc w:val="right"/>
              <w:rPr>
                <w:rFonts w:ascii="David" w:hAnsi="David"/>
                <w:sz w:val="26"/>
                <w:szCs w:val="26"/>
              </w:rPr>
            </w:pPr>
          </w:p>
        </w:tc>
      </w:tr>
      <w:bookmarkEnd w:id="2"/>
    </w:tbl>
    <w:p w14:paraId="16C26413" w14:textId="77777777" w:rsidR="00495B4F" w:rsidRDefault="00495B4F" w:rsidP="005A4DD0">
      <w:pPr>
        <w:rPr>
          <w:sz w:val="26"/>
          <w:szCs w:val="26"/>
          <w:rtl/>
        </w:rPr>
      </w:pPr>
    </w:p>
    <w:p w14:paraId="3A85F522" w14:textId="77777777" w:rsidR="00495B4F" w:rsidRPr="00495B4F" w:rsidRDefault="00495B4F" w:rsidP="00495B4F">
      <w:pPr>
        <w:spacing w:after="120" w:line="240" w:lineRule="exact"/>
        <w:ind w:left="283" w:hanging="283"/>
        <w:jc w:val="both"/>
        <w:rPr>
          <w:rFonts w:ascii="FrankRuehl" w:hAnsi="FrankRuehl" w:cs="FrankRuehl"/>
          <w:rtl/>
        </w:rPr>
      </w:pPr>
    </w:p>
    <w:p w14:paraId="4019F716" w14:textId="77777777" w:rsidR="0085459D" w:rsidRPr="0085459D" w:rsidRDefault="0085459D" w:rsidP="0085459D">
      <w:pPr>
        <w:spacing w:before="120" w:after="120" w:line="240" w:lineRule="exact"/>
        <w:ind w:left="283" w:hanging="283"/>
        <w:jc w:val="both"/>
        <w:rPr>
          <w:rFonts w:ascii="FrankRuehl" w:hAnsi="FrankRuehl" w:cs="FrankRuehl"/>
          <w:rtl/>
        </w:rPr>
      </w:pPr>
    </w:p>
    <w:p w14:paraId="3F28E9C0" w14:textId="77777777" w:rsidR="00E7581D" w:rsidRDefault="00E7581D" w:rsidP="00E7581D">
      <w:pPr>
        <w:rPr>
          <w:sz w:val="26"/>
          <w:szCs w:val="26"/>
          <w:rtl/>
        </w:rPr>
      </w:pPr>
      <w:bookmarkStart w:id="3" w:name="LawTable"/>
      <w:bookmarkEnd w:id="3"/>
    </w:p>
    <w:p w14:paraId="1F9C2DAA" w14:textId="77777777" w:rsidR="00E7581D" w:rsidRPr="00E7581D" w:rsidRDefault="00E7581D" w:rsidP="00E7581D">
      <w:pPr>
        <w:spacing w:before="120" w:after="120" w:line="240" w:lineRule="exact"/>
        <w:ind w:left="283" w:hanging="283"/>
        <w:jc w:val="both"/>
        <w:rPr>
          <w:rFonts w:ascii="FrankRuehl" w:hAnsi="FrankRuehl" w:cs="FrankRuehl"/>
          <w:rtl/>
        </w:rPr>
      </w:pPr>
    </w:p>
    <w:p w14:paraId="45908E1A" w14:textId="77777777" w:rsidR="00E7581D" w:rsidRPr="00E7581D" w:rsidRDefault="00E7581D" w:rsidP="00E7581D">
      <w:pPr>
        <w:spacing w:before="120" w:after="120" w:line="240" w:lineRule="exact"/>
        <w:ind w:left="283" w:hanging="283"/>
        <w:jc w:val="both"/>
        <w:rPr>
          <w:rFonts w:ascii="FrankRuehl" w:hAnsi="FrankRuehl" w:cs="FrankRuehl"/>
          <w:rtl/>
        </w:rPr>
      </w:pPr>
    </w:p>
    <w:p w14:paraId="55A84FE3" w14:textId="77777777" w:rsidR="00E7581D" w:rsidRPr="00E7581D" w:rsidRDefault="00E7581D" w:rsidP="00E7581D">
      <w:pPr>
        <w:spacing w:before="120" w:after="120" w:line="240" w:lineRule="exact"/>
        <w:ind w:left="283" w:hanging="283"/>
        <w:jc w:val="both"/>
        <w:rPr>
          <w:rFonts w:ascii="FrankRuehl" w:hAnsi="FrankRuehl" w:cs="FrankRuehl"/>
          <w:rtl/>
        </w:rPr>
      </w:pPr>
      <w:r w:rsidRPr="00E7581D">
        <w:rPr>
          <w:rFonts w:ascii="FrankRuehl" w:hAnsi="FrankRuehl" w:cs="FrankRuehl"/>
          <w:rtl/>
        </w:rPr>
        <w:t xml:space="preserve">חקיקה שאוזכרה: </w:t>
      </w:r>
    </w:p>
    <w:p w14:paraId="350DAC81" w14:textId="77777777" w:rsidR="00E7581D" w:rsidRPr="00E7581D" w:rsidRDefault="00E7581D" w:rsidP="00E7581D">
      <w:pPr>
        <w:spacing w:before="120" w:after="120" w:line="240" w:lineRule="exact"/>
        <w:ind w:left="283" w:hanging="283"/>
        <w:jc w:val="both"/>
        <w:rPr>
          <w:rFonts w:ascii="FrankRuehl" w:hAnsi="FrankRuehl" w:cs="FrankRuehl"/>
          <w:rtl/>
        </w:rPr>
      </w:pPr>
      <w:hyperlink r:id="rId7" w:history="1">
        <w:r w:rsidRPr="00E7581D">
          <w:rPr>
            <w:rFonts w:ascii="FrankRuehl" w:hAnsi="FrankRuehl" w:cs="FrankRuehl"/>
            <w:color w:val="0000FF"/>
            <w:rtl/>
          </w:rPr>
          <w:t>פקודת הסמים המסוכנים [נוסח חדש], תשל"ג-1973</w:t>
        </w:r>
      </w:hyperlink>
      <w:r w:rsidRPr="00E7581D">
        <w:rPr>
          <w:rFonts w:ascii="FrankRuehl" w:hAnsi="FrankRuehl" w:cs="FrankRuehl"/>
          <w:rtl/>
        </w:rPr>
        <w:t xml:space="preserve">: סע'  </w:t>
      </w:r>
      <w:hyperlink r:id="rId8" w:history="1">
        <w:r w:rsidRPr="00E7581D">
          <w:rPr>
            <w:rFonts w:ascii="FrankRuehl" w:hAnsi="FrankRuehl" w:cs="FrankRuehl"/>
            <w:color w:val="0000FF"/>
            <w:rtl/>
          </w:rPr>
          <w:t>7.א.</w:t>
        </w:r>
      </w:hyperlink>
      <w:r w:rsidRPr="00E7581D">
        <w:rPr>
          <w:rFonts w:ascii="FrankRuehl" w:hAnsi="FrankRuehl" w:cs="FrankRuehl"/>
          <w:rtl/>
        </w:rPr>
        <w:t xml:space="preserve">, </w:t>
      </w:r>
      <w:hyperlink r:id="rId9" w:history="1">
        <w:r w:rsidRPr="00E7581D">
          <w:rPr>
            <w:rFonts w:ascii="FrankRuehl" w:hAnsi="FrankRuehl" w:cs="FrankRuehl"/>
            <w:color w:val="0000FF"/>
            <w:rtl/>
          </w:rPr>
          <w:t>7.ג</w:t>
        </w:r>
      </w:hyperlink>
    </w:p>
    <w:p w14:paraId="689FA00F" w14:textId="77777777" w:rsidR="00E7581D" w:rsidRPr="00E7581D" w:rsidRDefault="00E7581D" w:rsidP="00E7581D">
      <w:pPr>
        <w:rPr>
          <w:sz w:val="26"/>
          <w:szCs w:val="26"/>
          <w:rtl/>
        </w:rPr>
      </w:pPr>
      <w:bookmarkStart w:id="4" w:name="LawTable_End"/>
      <w:bookmarkEnd w:id="4"/>
    </w:p>
    <w:p w14:paraId="4ECC5F6D" w14:textId="77777777" w:rsidR="00714FCA" w:rsidRPr="0085459D" w:rsidRDefault="00714FCA" w:rsidP="0085459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14FCA" w14:paraId="2BA5A141" w14:textId="77777777" w:rsidTr="00714FCA">
        <w:trPr>
          <w:trHeight w:val="355"/>
          <w:jc w:val="center"/>
        </w:trPr>
        <w:tc>
          <w:tcPr>
            <w:tcW w:w="8820" w:type="dxa"/>
            <w:tcBorders>
              <w:top w:val="nil"/>
              <w:left w:val="nil"/>
              <w:bottom w:val="nil"/>
              <w:right w:val="nil"/>
            </w:tcBorders>
            <w:shd w:val="clear" w:color="auto" w:fill="auto"/>
          </w:tcPr>
          <w:p w14:paraId="1175BBBB" w14:textId="77777777" w:rsidR="005A4DD0" w:rsidRPr="005A4DD0" w:rsidRDefault="005A4DD0" w:rsidP="005A4DD0">
            <w:pPr>
              <w:jc w:val="center"/>
              <w:rPr>
                <w:rFonts w:ascii="David" w:hAnsi="David"/>
                <w:b/>
                <w:bCs/>
                <w:sz w:val="32"/>
                <w:szCs w:val="32"/>
                <w:u w:val="single"/>
                <w:rtl/>
              </w:rPr>
            </w:pPr>
            <w:bookmarkStart w:id="5" w:name="PsakDin" w:colFirst="0" w:colLast="0"/>
            <w:bookmarkEnd w:id="0"/>
            <w:r w:rsidRPr="005A4DD0">
              <w:rPr>
                <w:rFonts w:ascii="David" w:hAnsi="David"/>
                <w:b/>
                <w:bCs/>
                <w:sz w:val="32"/>
                <w:szCs w:val="32"/>
                <w:u w:val="single"/>
                <w:rtl/>
              </w:rPr>
              <w:t>גזר דין</w:t>
            </w:r>
          </w:p>
          <w:p w14:paraId="6CAFB452" w14:textId="77777777" w:rsidR="00714FCA" w:rsidRPr="005A4DD0" w:rsidRDefault="00714FCA" w:rsidP="005A4DD0">
            <w:pPr>
              <w:jc w:val="center"/>
              <w:rPr>
                <w:rFonts w:ascii="David" w:hAnsi="David"/>
                <w:bCs/>
                <w:sz w:val="32"/>
                <w:szCs w:val="32"/>
                <w:u w:val="single"/>
                <w:rtl/>
              </w:rPr>
            </w:pPr>
          </w:p>
        </w:tc>
      </w:tr>
      <w:bookmarkEnd w:id="5"/>
    </w:tbl>
    <w:p w14:paraId="0C281102" w14:textId="77777777" w:rsidR="00714FCA" w:rsidRPr="000F2247" w:rsidRDefault="00714FCA" w:rsidP="00714FCA">
      <w:pPr>
        <w:rPr>
          <w:rFonts w:ascii="Arial" w:hAnsi="Arial"/>
          <w:b/>
          <w:bCs/>
          <w:sz w:val="26"/>
          <w:szCs w:val="26"/>
          <w:rtl/>
        </w:rPr>
      </w:pPr>
    </w:p>
    <w:p w14:paraId="78213DC2" w14:textId="77777777" w:rsidR="00714FCA" w:rsidRPr="000F2247" w:rsidRDefault="00714FCA" w:rsidP="00714FCA">
      <w:pPr>
        <w:rPr>
          <w:rFonts w:ascii="Arial" w:hAnsi="Arial"/>
          <w:b/>
          <w:bCs/>
          <w:sz w:val="26"/>
          <w:szCs w:val="26"/>
          <w:rtl/>
        </w:rPr>
      </w:pPr>
      <w:bookmarkStart w:id="6" w:name="ABSTRACT_START"/>
      <w:bookmarkEnd w:id="6"/>
    </w:p>
    <w:p w14:paraId="2E4B38FC" w14:textId="77777777" w:rsidR="00714FCA" w:rsidRDefault="00714FCA" w:rsidP="00714FCA">
      <w:pPr>
        <w:spacing w:after="480" w:line="360" w:lineRule="auto"/>
        <w:jc w:val="both"/>
        <w:rPr>
          <w:rFonts w:ascii="FrankRuehl" w:eastAsia="Calibri" w:hAnsi="FrankRuehl" w:cs="FrankRuehl"/>
          <w:sz w:val="28"/>
          <w:szCs w:val="28"/>
        </w:rPr>
      </w:pPr>
      <w:r>
        <w:rPr>
          <w:rFonts w:ascii="FrankRuehl" w:eastAsia="Calibri" w:hAnsi="FrankRuehl" w:cs="FrankRuehl" w:hint="cs"/>
          <w:sz w:val="28"/>
          <w:szCs w:val="28"/>
          <w:rtl/>
        </w:rPr>
        <w:t>1.</w:t>
      </w:r>
      <w:r>
        <w:rPr>
          <w:rFonts w:ascii="FrankRuehl" w:eastAsia="Calibri" w:hAnsi="FrankRuehl" w:cs="FrankRuehl" w:hint="cs"/>
          <w:sz w:val="28"/>
          <w:szCs w:val="28"/>
          <w:rtl/>
        </w:rPr>
        <w:tab/>
      </w:r>
      <w:r>
        <w:rPr>
          <w:rFonts w:ascii="FrankRuehl" w:eastAsia="Calibri" w:hAnsi="FrankRuehl" w:cs="FrankRuehl"/>
          <w:sz w:val="28"/>
          <w:szCs w:val="28"/>
          <w:rtl/>
        </w:rPr>
        <w:t xml:space="preserve">הנאשם הורשע על פי הודאתו, במסגרת הסדר דיוני בעבירה של </w:t>
      </w:r>
      <w:r>
        <w:rPr>
          <w:rFonts w:ascii="FrankRuehl" w:eastAsia="Calibri" w:hAnsi="FrankRuehl" w:cs="FrankRuehl"/>
          <w:b/>
          <w:bCs/>
          <w:sz w:val="28"/>
          <w:szCs w:val="28"/>
          <w:rtl/>
        </w:rPr>
        <w:t>החזקת סם מסוכן שלא לצריכה עצמית</w:t>
      </w:r>
      <w:r>
        <w:rPr>
          <w:rFonts w:ascii="FrankRuehl" w:eastAsia="Calibri" w:hAnsi="FrankRuehl" w:cs="FrankRuehl"/>
          <w:sz w:val="28"/>
          <w:szCs w:val="28"/>
          <w:rtl/>
        </w:rPr>
        <w:t xml:space="preserve">, לפי סעיף </w:t>
      </w:r>
      <w:hyperlink r:id="rId10" w:history="1">
        <w:r w:rsidR="00495B4F" w:rsidRPr="00495B4F">
          <w:rPr>
            <w:rStyle w:val="Hyperlink"/>
            <w:rFonts w:ascii="FrankRuehl" w:eastAsia="Calibri" w:hAnsi="FrankRuehl" w:cs="FrankRuehl"/>
            <w:sz w:val="28"/>
            <w:szCs w:val="28"/>
            <w:rtl/>
          </w:rPr>
          <w:t>7(א) ו-(ג)</w:t>
        </w:r>
      </w:hyperlink>
      <w:r>
        <w:rPr>
          <w:rFonts w:ascii="FrankRuehl" w:eastAsia="Calibri" w:hAnsi="FrankRuehl" w:cs="FrankRuehl"/>
          <w:sz w:val="28"/>
          <w:szCs w:val="28"/>
          <w:rtl/>
        </w:rPr>
        <w:t xml:space="preserve"> רישא ל</w:t>
      </w:r>
      <w:hyperlink r:id="rId11" w:history="1">
        <w:r w:rsidR="005A4DD0" w:rsidRPr="005A4DD0">
          <w:rPr>
            <w:rFonts w:ascii="FrankRuehl" w:eastAsia="Calibri" w:hAnsi="FrankRuehl" w:cs="FrankRuehl"/>
            <w:color w:val="0000FF"/>
            <w:sz w:val="28"/>
            <w:szCs w:val="28"/>
            <w:u w:val="single"/>
            <w:rtl/>
          </w:rPr>
          <w:t>פקודת הסמים המסוכנים</w:t>
        </w:r>
      </w:hyperlink>
      <w:r>
        <w:rPr>
          <w:rFonts w:ascii="FrankRuehl" w:eastAsia="Calibri" w:hAnsi="FrankRuehl" w:cs="FrankRuehl"/>
          <w:sz w:val="28"/>
          <w:szCs w:val="28"/>
          <w:rtl/>
        </w:rPr>
        <w:t xml:space="preserve"> [נוסח חדש], תשל"ג-1973 (להלן: </w:t>
      </w:r>
      <w:r>
        <w:rPr>
          <w:rFonts w:ascii="Miriam" w:eastAsia="Calibri" w:hAnsi="Miriam" w:cs="Miriam"/>
          <w:rtl/>
        </w:rPr>
        <w:t>פקודת הסמים</w:t>
      </w:r>
      <w:r>
        <w:rPr>
          <w:rFonts w:ascii="FrankRuehl" w:eastAsia="Calibri" w:hAnsi="FrankRuehl" w:cs="FrankRuehl"/>
          <w:sz w:val="28"/>
          <w:szCs w:val="28"/>
          <w:rtl/>
        </w:rPr>
        <w:t xml:space="preserve">). </w:t>
      </w:r>
    </w:p>
    <w:p w14:paraId="16D5D89E" w14:textId="77777777" w:rsidR="00714FCA" w:rsidRDefault="00714FCA" w:rsidP="00714FCA">
      <w:pPr>
        <w:spacing w:after="480" w:line="360" w:lineRule="auto"/>
        <w:jc w:val="both"/>
        <w:rPr>
          <w:rFonts w:ascii="FrankRuehl" w:eastAsia="Calibri" w:hAnsi="FrankRuehl" w:cs="FrankRuehl"/>
          <w:sz w:val="28"/>
          <w:szCs w:val="28"/>
          <w:rtl/>
        </w:rPr>
      </w:pPr>
      <w:bookmarkStart w:id="7" w:name="ABSTRACT_END"/>
      <w:bookmarkEnd w:id="7"/>
      <w:r>
        <w:rPr>
          <w:rFonts w:ascii="FrankRuehl" w:eastAsia="Calibri" w:hAnsi="FrankRuehl" w:cs="FrankRuehl" w:hint="cs"/>
          <w:sz w:val="28"/>
          <w:szCs w:val="28"/>
          <w:rtl/>
        </w:rPr>
        <w:t>2.</w:t>
      </w:r>
      <w:r>
        <w:rPr>
          <w:rFonts w:ascii="FrankRuehl" w:eastAsia="Calibri" w:hAnsi="FrankRuehl" w:cs="FrankRuehl" w:hint="cs"/>
          <w:sz w:val="28"/>
          <w:szCs w:val="28"/>
          <w:rtl/>
        </w:rPr>
        <w:tab/>
      </w:r>
      <w:r>
        <w:rPr>
          <w:rFonts w:ascii="FrankRuehl" w:eastAsia="Calibri" w:hAnsi="FrankRuehl" w:cs="FrankRuehl"/>
          <w:sz w:val="28"/>
          <w:szCs w:val="28"/>
          <w:rtl/>
        </w:rPr>
        <w:t>מכתב האישום עולה כי ביום 8.10.</w:t>
      </w:r>
      <w:r>
        <w:rPr>
          <w:rFonts w:ascii="FrankRuehl" w:eastAsia="Calibri" w:hAnsi="FrankRuehl" w:cs="FrankRuehl" w:hint="cs"/>
          <w:sz w:val="28"/>
          <w:szCs w:val="28"/>
          <w:rtl/>
        </w:rPr>
        <w:t>2019</w:t>
      </w:r>
      <w:r>
        <w:rPr>
          <w:rFonts w:ascii="FrankRuehl" w:eastAsia="Calibri" w:hAnsi="FrankRuehl" w:cs="FrankRuehl"/>
          <w:sz w:val="28"/>
          <w:szCs w:val="28"/>
          <w:rtl/>
        </w:rPr>
        <w:t xml:space="preserve"> החזיק הנאשם במייבש הכביסה, בביתו בראשון לציון סם מסוכן מסוג קנאביס במשקל של 260.09 גרם.</w:t>
      </w:r>
    </w:p>
    <w:p w14:paraId="24E3DA4D" w14:textId="77777777" w:rsidR="00714FCA" w:rsidRDefault="00714FCA" w:rsidP="00714FCA">
      <w:pPr>
        <w:spacing w:after="480" w:line="360" w:lineRule="auto"/>
        <w:jc w:val="both"/>
        <w:rPr>
          <w:rFonts w:ascii="FrankRuehl" w:hAnsi="FrankRuehl" w:cs="FrankRuehl"/>
          <w:sz w:val="28"/>
          <w:szCs w:val="28"/>
        </w:rPr>
      </w:pPr>
      <w:r>
        <w:rPr>
          <w:rFonts w:ascii="FrankRuehl" w:eastAsia="Calibri" w:hAnsi="FrankRuehl" w:cs="FrankRuehl" w:hint="cs"/>
          <w:sz w:val="28"/>
          <w:szCs w:val="28"/>
          <w:rtl/>
        </w:rPr>
        <w:t>3.</w:t>
      </w:r>
      <w:r>
        <w:rPr>
          <w:rFonts w:ascii="FrankRuehl" w:eastAsia="Calibri" w:hAnsi="FrankRuehl" w:cs="FrankRuehl" w:hint="cs"/>
          <w:sz w:val="28"/>
          <w:szCs w:val="28"/>
          <w:rtl/>
        </w:rPr>
        <w:tab/>
      </w:r>
      <w:r>
        <w:rPr>
          <w:rFonts w:ascii="FrankRuehl" w:eastAsia="Calibri" w:hAnsi="FrankRuehl" w:cs="FrankRuehl"/>
          <w:sz w:val="28"/>
          <w:szCs w:val="28"/>
          <w:rtl/>
        </w:rPr>
        <w:t xml:space="preserve">במסגרת ההסדר הדיוני הוסכם </w:t>
      </w:r>
      <w:r>
        <w:rPr>
          <w:rFonts w:ascii="FrankRuehl" w:eastAsia="Calibri" w:hAnsi="FrankRuehl" w:cs="FrankRuehl" w:hint="cs"/>
          <w:sz w:val="28"/>
          <w:szCs w:val="28"/>
          <w:rtl/>
        </w:rPr>
        <w:t>ש</w:t>
      </w:r>
      <w:r>
        <w:rPr>
          <w:rFonts w:ascii="FrankRuehl" w:eastAsia="Calibri" w:hAnsi="FrankRuehl" w:cs="FrankRuehl"/>
          <w:sz w:val="28"/>
          <w:szCs w:val="28"/>
          <w:rtl/>
        </w:rPr>
        <w:t>הנאשם יופנה לשירות המבחן</w:t>
      </w:r>
      <w:r>
        <w:rPr>
          <w:rFonts w:ascii="FrankRuehl" w:eastAsia="Calibri" w:hAnsi="FrankRuehl" w:cs="FrankRuehl" w:hint="cs"/>
          <w:sz w:val="28"/>
          <w:szCs w:val="28"/>
          <w:rtl/>
        </w:rPr>
        <w:t>. עוד הוסכם</w:t>
      </w:r>
      <w:r>
        <w:rPr>
          <w:rFonts w:ascii="FrankRuehl" w:eastAsia="Calibri" w:hAnsi="FrankRuehl" w:cs="FrankRuehl"/>
          <w:sz w:val="28"/>
          <w:szCs w:val="28"/>
          <w:rtl/>
        </w:rPr>
        <w:t xml:space="preserve"> </w:t>
      </w:r>
      <w:r>
        <w:rPr>
          <w:rFonts w:ascii="FrankRuehl" w:eastAsia="Calibri" w:hAnsi="FrankRuehl" w:cs="FrankRuehl" w:hint="cs"/>
          <w:sz w:val="28"/>
          <w:szCs w:val="28"/>
          <w:rtl/>
        </w:rPr>
        <w:t>ש</w:t>
      </w:r>
      <w:r>
        <w:rPr>
          <w:rFonts w:ascii="FrankRuehl" w:eastAsia="Calibri" w:hAnsi="FrankRuehl" w:cs="FrankRuehl"/>
          <w:sz w:val="28"/>
          <w:szCs w:val="28"/>
          <w:rtl/>
        </w:rPr>
        <w:t xml:space="preserve">כפוף לתסקיר אשר יצביע על ניקיון מסמים, שיתוף פעולה עם שירות המבחן והיעדר </w:t>
      </w:r>
      <w:r>
        <w:rPr>
          <w:rFonts w:ascii="FrankRuehl" w:eastAsia="Calibri" w:hAnsi="FrankRuehl" w:cs="FrankRuehl" w:hint="cs"/>
          <w:sz w:val="28"/>
          <w:szCs w:val="28"/>
          <w:rtl/>
        </w:rPr>
        <w:t>פתיח</w:t>
      </w:r>
      <w:r>
        <w:rPr>
          <w:rFonts w:ascii="FrankRuehl" w:eastAsia="Calibri" w:hAnsi="FrankRuehl" w:cs="FrankRuehl"/>
          <w:sz w:val="28"/>
          <w:szCs w:val="28"/>
          <w:rtl/>
        </w:rPr>
        <w:t>ת</w:t>
      </w:r>
      <w:r>
        <w:rPr>
          <w:rFonts w:ascii="FrankRuehl" w:eastAsia="Calibri" w:hAnsi="FrankRuehl" w:cs="FrankRuehl" w:hint="cs"/>
          <w:sz w:val="28"/>
          <w:szCs w:val="28"/>
          <w:rtl/>
        </w:rPr>
        <w:t xml:space="preserve"> ת</w:t>
      </w:r>
      <w:r>
        <w:rPr>
          <w:rFonts w:ascii="FrankRuehl" w:eastAsia="Calibri" w:hAnsi="FrankRuehl" w:cs="FrankRuehl"/>
          <w:sz w:val="28"/>
          <w:szCs w:val="28"/>
          <w:rtl/>
        </w:rPr>
        <w:t xml:space="preserve">יקים </w:t>
      </w:r>
      <w:r>
        <w:rPr>
          <w:rFonts w:ascii="FrankRuehl" w:eastAsia="Calibri" w:hAnsi="FrankRuehl" w:cs="FrankRuehl"/>
          <w:sz w:val="28"/>
          <w:szCs w:val="28"/>
          <w:rtl/>
        </w:rPr>
        <w:lastRenderedPageBreak/>
        <w:t>חדשים, תעתור המאשימה להטיל על</w:t>
      </w:r>
      <w:r>
        <w:rPr>
          <w:rFonts w:ascii="FrankRuehl" w:eastAsia="Calibri" w:hAnsi="FrankRuehl" w:cs="FrankRuehl" w:hint="cs"/>
          <w:sz w:val="28"/>
          <w:szCs w:val="28"/>
          <w:rtl/>
        </w:rPr>
        <w:t>יו</w:t>
      </w:r>
      <w:r>
        <w:rPr>
          <w:rFonts w:ascii="FrankRuehl" w:eastAsia="Calibri" w:hAnsi="FrankRuehl" w:cs="FrankRuehl"/>
          <w:sz w:val="28"/>
          <w:szCs w:val="28"/>
          <w:rtl/>
        </w:rPr>
        <w:t xml:space="preserve"> צו של"צ לצד מאסר על תנאי וקנס משמעותי</w:t>
      </w:r>
      <w:r>
        <w:rPr>
          <w:rFonts w:ascii="FrankRuehl" w:eastAsia="Calibri" w:hAnsi="FrankRuehl" w:cs="FrankRuehl" w:hint="cs"/>
          <w:sz w:val="28"/>
          <w:szCs w:val="28"/>
          <w:rtl/>
        </w:rPr>
        <w:t>, בעוד</w:t>
      </w:r>
      <w:r>
        <w:rPr>
          <w:rFonts w:ascii="FrankRuehl" w:eastAsia="Calibri" w:hAnsi="FrankRuehl" w:cs="FrankRuehl"/>
          <w:sz w:val="28"/>
          <w:szCs w:val="28"/>
          <w:rtl/>
        </w:rPr>
        <w:t xml:space="preserve"> </w:t>
      </w:r>
      <w:r>
        <w:rPr>
          <w:rFonts w:ascii="FrankRuehl" w:eastAsia="Calibri" w:hAnsi="FrankRuehl" w:cs="FrankRuehl" w:hint="cs"/>
          <w:sz w:val="28"/>
          <w:szCs w:val="28"/>
          <w:rtl/>
        </w:rPr>
        <w:t>ש</w:t>
      </w:r>
      <w:r>
        <w:rPr>
          <w:rFonts w:ascii="FrankRuehl" w:eastAsia="Calibri" w:hAnsi="FrankRuehl" w:cs="FrankRuehl"/>
          <w:sz w:val="28"/>
          <w:szCs w:val="28"/>
          <w:rtl/>
        </w:rPr>
        <w:t>הנאשם י</w:t>
      </w:r>
      <w:r>
        <w:rPr>
          <w:rFonts w:ascii="FrankRuehl" w:eastAsia="Calibri" w:hAnsi="FrankRuehl" w:cs="FrankRuehl" w:hint="cs"/>
          <w:sz w:val="28"/>
          <w:szCs w:val="28"/>
          <w:rtl/>
        </w:rPr>
        <w:t>וכל ל</w:t>
      </w:r>
      <w:r>
        <w:rPr>
          <w:rFonts w:ascii="FrankRuehl" w:eastAsia="Calibri" w:hAnsi="FrankRuehl" w:cs="FrankRuehl"/>
          <w:sz w:val="28"/>
          <w:szCs w:val="28"/>
          <w:rtl/>
        </w:rPr>
        <w:t xml:space="preserve">בקש להימנע מהטלת קנס ולהסתפק בהתחייבות. </w:t>
      </w:r>
      <w:r>
        <w:rPr>
          <w:rFonts w:ascii="FrankRuehl" w:hAnsi="FrankRuehl" w:cs="FrankRuehl"/>
          <w:sz w:val="28"/>
          <w:szCs w:val="28"/>
          <w:rtl/>
        </w:rPr>
        <w:t xml:space="preserve">ניתן לומר כבר עתה </w:t>
      </w:r>
      <w:r>
        <w:rPr>
          <w:rFonts w:ascii="FrankRuehl" w:hAnsi="FrankRuehl" w:cs="FrankRuehl" w:hint="cs"/>
          <w:sz w:val="28"/>
          <w:szCs w:val="28"/>
          <w:rtl/>
        </w:rPr>
        <w:t xml:space="preserve">שעל אף שלנאשם </w:t>
      </w:r>
      <w:r>
        <w:rPr>
          <w:rFonts w:ascii="FrankRuehl" w:hAnsi="FrankRuehl" w:cs="FrankRuehl"/>
          <w:sz w:val="28"/>
          <w:szCs w:val="28"/>
          <w:rtl/>
        </w:rPr>
        <w:t>ניתנו שתי הזדמנויות</w:t>
      </w:r>
      <w:r>
        <w:rPr>
          <w:rFonts w:ascii="FrankRuehl" w:hAnsi="FrankRuehl" w:cs="FrankRuehl" w:hint="cs"/>
          <w:sz w:val="28"/>
          <w:szCs w:val="28"/>
          <w:rtl/>
        </w:rPr>
        <w:t>, נמנע שירות המבחן מלהמליץ על עונש שיקומי.</w:t>
      </w:r>
    </w:p>
    <w:p w14:paraId="543A7897" w14:textId="77777777" w:rsidR="00714FCA" w:rsidRDefault="00714FCA" w:rsidP="00714FCA">
      <w:pPr>
        <w:spacing w:after="480" w:line="360" w:lineRule="auto"/>
        <w:jc w:val="both"/>
        <w:rPr>
          <w:rFonts w:ascii="Miriam" w:hAnsi="Miriam" w:cs="Miriam"/>
          <w:sz w:val="28"/>
          <w:szCs w:val="28"/>
          <w:rtl/>
        </w:rPr>
      </w:pPr>
      <w:r>
        <w:rPr>
          <w:rFonts w:ascii="Miriam" w:hAnsi="Miriam" w:cs="Miriam"/>
          <w:sz w:val="28"/>
          <w:szCs w:val="28"/>
          <w:rtl/>
        </w:rPr>
        <w:t xml:space="preserve">ראיות </w:t>
      </w:r>
      <w:r>
        <w:rPr>
          <w:rFonts w:ascii="Miriam" w:hAnsi="Miriam" w:cs="Miriam" w:hint="cs"/>
          <w:sz w:val="28"/>
          <w:szCs w:val="28"/>
          <w:rtl/>
        </w:rPr>
        <w:t xml:space="preserve">ותמצית </w:t>
      </w:r>
      <w:r>
        <w:rPr>
          <w:rFonts w:ascii="Miriam" w:hAnsi="Miriam" w:cs="Miriam"/>
          <w:sz w:val="28"/>
          <w:szCs w:val="28"/>
          <w:rtl/>
        </w:rPr>
        <w:t>טיעוני הצדדים לעונש</w:t>
      </w:r>
    </w:p>
    <w:p w14:paraId="623110AB" w14:textId="77777777" w:rsidR="00714FCA" w:rsidRDefault="00714FCA" w:rsidP="00714FCA">
      <w:pPr>
        <w:spacing w:after="480" w:line="360" w:lineRule="auto"/>
        <w:jc w:val="both"/>
        <w:rPr>
          <w:rFonts w:ascii="FrankRuehl" w:hAnsi="FrankRuehl" w:cs="FrankRuehl"/>
          <w:sz w:val="28"/>
          <w:szCs w:val="28"/>
          <w:rtl/>
        </w:rPr>
      </w:pPr>
      <w:r>
        <w:rPr>
          <w:rFonts w:ascii="FrankRuehl" w:eastAsia="Calibri" w:hAnsi="FrankRuehl" w:cs="FrankRuehl" w:hint="cs"/>
          <w:sz w:val="28"/>
          <w:szCs w:val="28"/>
          <w:rtl/>
        </w:rPr>
        <w:t>4.</w:t>
      </w:r>
      <w:r>
        <w:rPr>
          <w:rFonts w:ascii="FrankRuehl" w:eastAsia="Calibri" w:hAnsi="FrankRuehl" w:cs="FrankRuehl" w:hint="cs"/>
          <w:sz w:val="28"/>
          <w:szCs w:val="28"/>
          <w:rtl/>
        </w:rPr>
        <w:tab/>
      </w:r>
      <w:r>
        <w:rPr>
          <w:rFonts w:ascii="FrankRuehl" w:eastAsia="Calibri" w:hAnsi="FrankRuehl" w:cs="FrankRuehl"/>
          <w:sz w:val="28"/>
          <w:szCs w:val="28"/>
          <w:rtl/>
        </w:rPr>
        <w:t>ב"כ המאשימה עמדה על הערכים המוגנים בהם פגע הנאשם ו</w:t>
      </w:r>
      <w:r>
        <w:rPr>
          <w:rFonts w:ascii="FrankRuehl" w:eastAsia="Calibri" w:hAnsi="FrankRuehl" w:cs="FrankRuehl" w:hint="cs"/>
          <w:sz w:val="28"/>
          <w:szCs w:val="28"/>
          <w:rtl/>
        </w:rPr>
        <w:t xml:space="preserve">על </w:t>
      </w:r>
      <w:r>
        <w:rPr>
          <w:rFonts w:ascii="FrankRuehl" w:eastAsia="Calibri" w:hAnsi="FrankRuehl" w:cs="FrankRuehl"/>
          <w:sz w:val="28"/>
          <w:szCs w:val="28"/>
          <w:rtl/>
        </w:rPr>
        <w:t>נסיבות ביצוע העבירות</w:t>
      </w:r>
      <w:r>
        <w:rPr>
          <w:rFonts w:ascii="FrankRuehl" w:eastAsia="Calibri" w:hAnsi="FrankRuehl" w:cs="FrankRuehl" w:hint="cs"/>
          <w:sz w:val="28"/>
          <w:szCs w:val="28"/>
          <w:rtl/>
        </w:rPr>
        <w:t>,</w:t>
      </w:r>
      <w:r>
        <w:rPr>
          <w:rFonts w:ascii="FrankRuehl" w:eastAsia="Calibri" w:hAnsi="FrankRuehl" w:cs="FrankRuehl"/>
          <w:sz w:val="28"/>
          <w:szCs w:val="28"/>
          <w:rtl/>
        </w:rPr>
        <w:t xml:space="preserve"> ועתרה לקבוע מתחם ענישה הנע בין 3 חודשי מאסר שיכול וירוצו בעבודות שירות ועד</w:t>
      </w:r>
      <w:r>
        <w:rPr>
          <w:rFonts w:ascii="FrankRuehl" w:eastAsia="Calibri" w:hAnsi="FrankRuehl" w:cs="FrankRuehl" w:hint="cs"/>
          <w:sz w:val="28"/>
          <w:szCs w:val="28"/>
          <w:rtl/>
        </w:rPr>
        <w:t xml:space="preserve"> ל-</w:t>
      </w:r>
      <w:r>
        <w:rPr>
          <w:rFonts w:ascii="FrankRuehl" w:eastAsia="Calibri" w:hAnsi="FrankRuehl" w:cs="FrankRuehl"/>
          <w:sz w:val="28"/>
          <w:szCs w:val="28"/>
          <w:rtl/>
        </w:rPr>
        <w:t>12 חודשי מאסר בפועל</w:t>
      </w:r>
      <w:r>
        <w:rPr>
          <w:rFonts w:ascii="FrankRuehl" w:eastAsia="Calibri" w:hAnsi="FrankRuehl" w:cs="FrankRuehl" w:hint="cs"/>
          <w:sz w:val="28"/>
          <w:szCs w:val="28"/>
          <w:rtl/>
        </w:rPr>
        <w:t xml:space="preserve">, בהסתמך על </w:t>
      </w:r>
      <w:r>
        <w:rPr>
          <w:rFonts w:ascii="FrankRuehl" w:eastAsia="Calibri" w:hAnsi="FrankRuehl" w:cs="FrankRuehl"/>
          <w:sz w:val="28"/>
          <w:szCs w:val="28"/>
          <w:rtl/>
        </w:rPr>
        <w:t>פסיקה</w:t>
      </w:r>
      <w:r>
        <w:rPr>
          <w:rFonts w:ascii="FrankRuehl" w:eastAsia="Calibri" w:hAnsi="FrankRuehl" w:cs="FrankRuehl" w:hint="cs"/>
          <w:sz w:val="28"/>
          <w:szCs w:val="28"/>
          <w:rtl/>
        </w:rPr>
        <w:t xml:space="preserve"> שהגישה</w:t>
      </w:r>
      <w:r>
        <w:rPr>
          <w:rFonts w:ascii="FrankRuehl" w:eastAsia="Calibri" w:hAnsi="FrankRuehl" w:cs="FrankRuehl"/>
          <w:sz w:val="28"/>
          <w:szCs w:val="28"/>
          <w:rtl/>
        </w:rPr>
        <w:t xml:space="preserve">. </w:t>
      </w:r>
      <w:r>
        <w:rPr>
          <w:rFonts w:ascii="FrankRuehl" w:eastAsia="Calibri" w:hAnsi="FrankRuehl" w:cs="FrankRuehl" w:hint="cs"/>
          <w:sz w:val="28"/>
          <w:szCs w:val="28"/>
          <w:rtl/>
        </w:rPr>
        <w:t>בשים לב להרשעותיו הקודמות של הנאשם, המפורטות</w:t>
      </w:r>
      <w:r>
        <w:rPr>
          <w:rFonts w:ascii="FrankRuehl" w:eastAsia="Calibri" w:hAnsi="FrankRuehl" w:cs="FrankRuehl"/>
          <w:sz w:val="28"/>
          <w:szCs w:val="28"/>
          <w:rtl/>
        </w:rPr>
        <w:t xml:space="preserve"> </w:t>
      </w:r>
      <w:r>
        <w:rPr>
          <w:rFonts w:ascii="FrankRuehl" w:eastAsia="Calibri" w:hAnsi="FrankRuehl" w:cs="FrankRuehl" w:hint="cs"/>
          <w:sz w:val="28"/>
          <w:szCs w:val="28"/>
          <w:rtl/>
        </w:rPr>
        <w:t>ב</w:t>
      </w:r>
      <w:r>
        <w:rPr>
          <w:rFonts w:ascii="FrankRuehl" w:eastAsia="Calibri" w:hAnsi="FrankRuehl" w:cs="FrankRuehl"/>
          <w:sz w:val="28"/>
          <w:szCs w:val="28"/>
          <w:rtl/>
        </w:rPr>
        <w:t>גיליון הרישום הפלילי (</w:t>
      </w:r>
      <w:r w:rsidRPr="006D0E74">
        <w:rPr>
          <w:rFonts w:ascii="Miriam" w:eastAsia="Calibri" w:hAnsi="Miriam" w:cs="Miriam"/>
          <w:rtl/>
        </w:rPr>
        <w:t>ת/1</w:t>
      </w:r>
      <w:r>
        <w:rPr>
          <w:rFonts w:ascii="FrankRuehl" w:eastAsia="Calibri" w:hAnsi="FrankRuehl" w:cs="FrankRuehl"/>
          <w:sz w:val="28"/>
          <w:szCs w:val="28"/>
          <w:rtl/>
        </w:rPr>
        <w:t>)</w:t>
      </w:r>
      <w:r>
        <w:rPr>
          <w:rFonts w:ascii="FrankRuehl" w:eastAsia="Calibri" w:hAnsi="FrankRuehl" w:cs="FrankRuehl" w:hint="cs"/>
          <w:sz w:val="28"/>
          <w:szCs w:val="28"/>
          <w:rtl/>
        </w:rPr>
        <w:t>,</w:t>
      </w:r>
      <w:r>
        <w:rPr>
          <w:rFonts w:ascii="FrankRuehl" w:eastAsia="Calibri" w:hAnsi="FrankRuehl" w:cs="FrankRuehl"/>
          <w:sz w:val="28"/>
          <w:szCs w:val="28"/>
          <w:rtl/>
        </w:rPr>
        <w:t xml:space="preserve"> לעברו הפלילי ולתסקירים השליליים, עתרה </w:t>
      </w:r>
      <w:r>
        <w:rPr>
          <w:rFonts w:ascii="FrankRuehl" w:eastAsia="Calibri" w:hAnsi="FrankRuehl" w:cs="FrankRuehl" w:hint="cs"/>
          <w:sz w:val="28"/>
          <w:szCs w:val="28"/>
          <w:rtl/>
        </w:rPr>
        <w:t xml:space="preserve">המאשימה </w:t>
      </w:r>
      <w:r>
        <w:rPr>
          <w:rFonts w:ascii="FrankRuehl" w:eastAsia="Calibri" w:hAnsi="FrankRuehl" w:cs="FrankRuehl"/>
          <w:sz w:val="28"/>
          <w:szCs w:val="28"/>
          <w:rtl/>
        </w:rPr>
        <w:t>בתחילה להטיל על הנאשם עונש שלא יפחת מ-7 חודשי מאסר לריצוי ב</w:t>
      </w:r>
      <w:r>
        <w:rPr>
          <w:rFonts w:ascii="FrankRuehl" w:eastAsia="Calibri" w:hAnsi="FrankRuehl" w:cs="FrankRuehl" w:hint="cs"/>
          <w:sz w:val="28"/>
          <w:szCs w:val="28"/>
          <w:rtl/>
        </w:rPr>
        <w:t xml:space="preserve">דרך של </w:t>
      </w:r>
      <w:r>
        <w:rPr>
          <w:rFonts w:ascii="FrankRuehl" w:eastAsia="Calibri" w:hAnsi="FrankRuehl" w:cs="FrankRuehl"/>
          <w:sz w:val="28"/>
          <w:szCs w:val="28"/>
          <w:rtl/>
        </w:rPr>
        <w:t>עבודות שירות, ככל שיימצא כשיר, מאסר מותנה, פסילה בפועל, פסילה על תנאי וקנס משמעותי.</w:t>
      </w:r>
      <w:r>
        <w:rPr>
          <w:rFonts w:ascii="FrankRuehl" w:hAnsi="FrankRuehl" w:cs="FrankRuehl"/>
          <w:sz w:val="28"/>
          <w:szCs w:val="28"/>
          <w:rtl/>
        </w:rPr>
        <w:t xml:space="preserve"> </w:t>
      </w:r>
    </w:p>
    <w:p w14:paraId="0F596BD5" w14:textId="77777777" w:rsidR="00714FCA" w:rsidRDefault="00714FCA" w:rsidP="00714FCA">
      <w:pPr>
        <w:spacing w:after="480" w:line="360" w:lineRule="auto"/>
        <w:jc w:val="both"/>
        <w:rPr>
          <w:rFonts w:ascii="FrankRuehl" w:hAnsi="FrankRuehl" w:cs="FrankRuehl"/>
          <w:sz w:val="28"/>
          <w:szCs w:val="28"/>
          <w:rtl/>
        </w:rPr>
      </w:pPr>
      <w:r>
        <w:rPr>
          <w:rFonts w:ascii="FrankRuehl" w:hAnsi="FrankRuehl" w:cs="FrankRuehl" w:hint="cs"/>
          <w:sz w:val="28"/>
          <w:szCs w:val="28"/>
          <w:rtl/>
        </w:rPr>
        <w:t>5.</w:t>
      </w:r>
      <w:r>
        <w:rPr>
          <w:rFonts w:ascii="FrankRuehl" w:hAnsi="FrankRuehl" w:cs="FrankRuehl" w:hint="cs"/>
          <w:sz w:val="28"/>
          <w:szCs w:val="28"/>
          <w:rtl/>
        </w:rPr>
        <w:tab/>
      </w:r>
      <w:r>
        <w:rPr>
          <w:rFonts w:ascii="FrankRuehl" w:hAnsi="FrankRuehl" w:cs="FrankRuehl"/>
          <w:sz w:val="28"/>
          <w:szCs w:val="28"/>
          <w:rtl/>
        </w:rPr>
        <w:t>מנגד</w:t>
      </w:r>
      <w:r>
        <w:rPr>
          <w:rFonts w:ascii="FrankRuehl" w:hAnsi="FrankRuehl" w:cs="FrankRuehl" w:hint="cs"/>
          <w:sz w:val="28"/>
          <w:szCs w:val="28"/>
          <w:rtl/>
        </w:rPr>
        <w:t>,</w:t>
      </w:r>
      <w:r>
        <w:rPr>
          <w:rFonts w:ascii="FrankRuehl" w:hAnsi="FrankRuehl" w:cs="FrankRuehl"/>
          <w:sz w:val="28"/>
          <w:szCs w:val="28"/>
          <w:rtl/>
        </w:rPr>
        <w:t xml:space="preserve"> טען ב"כ הנאשם שעמדתה העונשית של המאשימה קיצונית בשים לב לעמדתה המקורית לפיה כפוף לתסקיר חיובי תסכים לע</w:t>
      </w:r>
      <w:r>
        <w:rPr>
          <w:rFonts w:ascii="FrankRuehl" w:hAnsi="FrankRuehl" w:cs="FrankRuehl" w:hint="cs"/>
          <w:sz w:val="28"/>
          <w:szCs w:val="28"/>
          <w:rtl/>
        </w:rPr>
        <w:t>ונש עיקרי</w:t>
      </w:r>
      <w:r>
        <w:rPr>
          <w:rFonts w:ascii="FrankRuehl" w:hAnsi="FrankRuehl" w:cs="FrankRuehl"/>
          <w:sz w:val="28"/>
          <w:szCs w:val="28"/>
          <w:rtl/>
        </w:rPr>
        <w:t xml:space="preserve"> של </w:t>
      </w:r>
      <w:r>
        <w:rPr>
          <w:rFonts w:ascii="FrankRuehl" w:hAnsi="FrankRuehl" w:cs="FrankRuehl" w:hint="cs"/>
          <w:sz w:val="28"/>
          <w:szCs w:val="28"/>
          <w:rtl/>
        </w:rPr>
        <w:t xml:space="preserve">צו </w:t>
      </w:r>
      <w:r>
        <w:rPr>
          <w:rFonts w:ascii="FrankRuehl" w:hAnsi="FrankRuehl" w:cs="FrankRuehl"/>
          <w:sz w:val="28"/>
          <w:szCs w:val="28"/>
          <w:rtl/>
        </w:rPr>
        <w:t xml:space="preserve">של"צ. הוטעם כי מדובר בסם מסוג קנאביס בכמות שאינה גדולה יחסית, כשאין אינדיקציה כי הנאשם התכוון להפיצו מלבד "חזקת הכמות", לפיה מדובר בכמות שאינה לצריכה עצמית. בהקשר זה צוין </w:t>
      </w:r>
      <w:r>
        <w:rPr>
          <w:rFonts w:ascii="FrankRuehl" w:hAnsi="FrankRuehl" w:cs="FrankRuehl" w:hint="cs"/>
          <w:sz w:val="28"/>
          <w:szCs w:val="28"/>
          <w:rtl/>
        </w:rPr>
        <w:t>ש</w:t>
      </w:r>
      <w:r>
        <w:rPr>
          <w:rFonts w:ascii="FrankRuehl" w:hAnsi="FrankRuehl" w:cs="FrankRuehl"/>
          <w:sz w:val="28"/>
          <w:szCs w:val="28"/>
          <w:rtl/>
        </w:rPr>
        <w:t xml:space="preserve">נעשה חיפוש במכשיר הטלפון הנייד של הנאשם ולא נמצא כל ממצא המעיד על כוונה לסחור בסם. חרף האמור, הודה הנאשם במסגרת הליך הגישור בעבירה של החזקת סם שלא לצריכה עצמית, ויתר על טענותיו בהקשר זה וחסך זמן שיפוטי. עוד נטען </w:t>
      </w:r>
      <w:r>
        <w:rPr>
          <w:rFonts w:ascii="FrankRuehl" w:hAnsi="FrankRuehl" w:cs="FrankRuehl" w:hint="cs"/>
          <w:sz w:val="28"/>
          <w:szCs w:val="28"/>
          <w:rtl/>
        </w:rPr>
        <w:t>ש</w:t>
      </w:r>
      <w:r>
        <w:rPr>
          <w:rFonts w:ascii="FrankRuehl" w:hAnsi="FrankRuehl" w:cs="FrankRuehl"/>
          <w:sz w:val="28"/>
          <w:szCs w:val="28"/>
          <w:rtl/>
        </w:rPr>
        <w:t xml:space="preserve">הגם שלנאשם עבר פלילי הרי שאינו "עבריין סמים", בהינתן שבאמתחתו הרשעה </w:t>
      </w:r>
      <w:r>
        <w:rPr>
          <w:rFonts w:ascii="FrankRuehl" w:hAnsi="FrankRuehl" w:cs="FrankRuehl" w:hint="cs"/>
          <w:sz w:val="28"/>
          <w:szCs w:val="28"/>
          <w:rtl/>
        </w:rPr>
        <w:t>אחת</w:t>
      </w:r>
      <w:r>
        <w:rPr>
          <w:rFonts w:ascii="FrankRuehl" w:hAnsi="FrankRuehl" w:cs="FrankRuehl"/>
          <w:sz w:val="28"/>
          <w:szCs w:val="28"/>
          <w:rtl/>
        </w:rPr>
        <w:t xml:space="preserve"> בעבירה של החזקת סם לצריכה עצמית ויתר העבירות מתחומים אחרים. </w:t>
      </w:r>
    </w:p>
    <w:p w14:paraId="748A7995" w14:textId="77777777" w:rsidR="00714FCA" w:rsidRDefault="00714FCA" w:rsidP="00714FCA">
      <w:pPr>
        <w:spacing w:after="480" w:line="360" w:lineRule="auto"/>
        <w:ind w:firstLine="720"/>
        <w:jc w:val="both"/>
        <w:rPr>
          <w:rFonts w:ascii="FrankRuehl" w:hAnsi="FrankRuehl" w:cs="FrankRuehl"/>
          <w:sz w:val="28"/>
          <w:szCs w:val="28"/>
          <w:rtl/>
        </w:rPr>
      </w:pPr>
      <w:r>
        <w:rPr>
          <w:rFonts w:ascii="FrankRuehl" w:hAnsi="FrankRuehl" w:cs="FrankRuehl"/>
          <w:sz w:val="28"/>
          <w:szCs w:val="28"/>
          <w:rtl/>
        </w:rPr>
        <w:t xml:space="preserve">לנוכח סוג הסם, כמותו ובהתחשב ביתר הנסיבות שפורטו וחרף האמור בתסקירי המבחן, טען הסנגור שבאיזון הכולל, אין להטיל על הנאשם מאסר לריצוי בעבודות שירות, אלא להסתפק בקנס על מנת "לאזן את הנושא של העדר של"צ עליו סיכמו הצדדים". </w:t>
      </w:r>
      <w:r>
        <w:rPr>
          <w:rFonts w:ascii="FrankRuehl" w:hAnsi="FrankRuehl" w:cs="FrankRuehl" w:hint="cs"/>
          <w:sz w:val="28"/>
          <w:szCs w:val="28"/>
          <w:rtl/>
        </w:rPr>
        <w:t>עוד</w:t>
      </w:r>
      <w:r>
        <w:rPr>
          <w:rFonts w:ascii="FrankRuehl" w:hAnsi="FrankRuehl" w:cs="FrankRuehl"/>
          <w:sz w:val="28"/>
          <w:szCs w:val="28"/>
          <w:rtl/>
        </w:rPr>
        <w:t xml:space="preserve"> הוסיף שהואיל והנאשם לא הורשע בעבירה של החזקת סם לצריכה עצמית, הרי שאין הצדקה לפסול את רישיונו. </w:t>
      </w:r>
    </w:p>
    <w:p w14:paraId="7F673399" w14:textId="77777777" w:rsidR="00714FCA" w:rsidRDefault="00714FCA" w:rsidP="00714FCA">
      <w:pPr>
        <w:spacing w:after="480" w:line="360" w:lineRule="auto"/>
        <w:jc w:val="both"/>
        <w:rPr>
          <w:rFonts w:ascii="FrankRuehl" w:hAnsi="FrankRuehl" w:cs="FrankRuehl"/>
          <w:sz w:val="28"/>
          <w:szCs w:val="28"/>
          <w:rtl/>
        </w:rPr>
      </w:pPr>
      <w:r>
        <w:rPr>
          <w:rFonts w:ascii="FrankRuehl" w:hAnsi="FrankRuehl" w:cs="FrankRuehl" w:hint="cs"/>
          <w:sz w:val="28"/>
          <w:szCs w:val="28"/>
          <w:rtl/>
        </w:rPr>
        <w:t>6.</w:t>
      </w:r>
      <w:r>
        <w:rPr>
          <w:rFonts w:ascii="FrankRuehl" w:hAnsi="FrankRuehl" w:cs="FrankRuehl" w:hint="cs"/>
          <w:sz w:val="28"/>
          <w:szCs w:val="28"/>
          <w:rtl/>
        </w:rPr>
        <w:tab/>
        <w:t xml:space="preserve">בעקבות עתירה המאשימה להטלת עונש מאסר בעבודות שירות, הופנה הנאשם לממונה על עבודות השירות. </w:t>
      </w:r>
      <w:r>
        <w:rPr>
          <w:rFonts w:ascii="FrankRuehl" w:hAnsi="FrankRuehl" w:cs="FrankRuehl"/>
          <w:sz w:val="28"/>
          <w:szCs w:val="28"/>
          <w:rtl/>
        </w:rPr>
        <w:t>ביום 11.1.2022, התקבלה חוות דעת הממונה על עבודות השירות</w:t>
      </w:r>
      <w:r>
        <w:rPr>
          <w:rFonts w:ascii="FrankRuehl" w:hAnsi="FrankRuehl" w:cs="FrankRuehl" w:hint="cs"/>
          <w:sz w:val="28"/>
          <w:szCs w:val="28"/>
          <w:rtl/>
        </w:rPr>
        <w:t xml:space="preserve"> לפיה </w:t>
      </w:r>
      <w:r>
        <w:rPr>
          <w:rFonts w:ascii="FrankRuehl" w:hAnsi="FrankRuehl" w:cs="FrankRuehl" w:hint="cs"/>
          <w:sz w:val="28"/>
          <w:szCs w:val="28"/>
          <w:rtl/>
        </w:rPr>
        <w:lastRenderedPageBreak/>
        <w:t>הנאשם אינו כשיר לרצות עונש זה נוכח התנגדות משטרת ישראל, אולם בחוות דעת מאוחרת יותר מיום 6.2.2022, נמצא הנאשם כשיר לריצוי עונש מאסר בדרך של עבודות שירות.</w:t>
      </w:r>
    </w:p>
    <w:p w14:paraId="35337922" w14:textId="77777777" w:rsidR="00714FCA" w:rsidRDefault="00714FCA" w:rsidP="00714FCA">
      <w:pPr>
        <w:spacing w:after="480" w:line="360" w:lineRule="auto"/>
        <w:jc w:val="both"/>
        <w:rPr>
          <w:rFonts w:ascii="Miriam" w:hAnsi="Miriam" w:cs="Miriam"/>
          <w:sz w:val="28"/>
          <w:szCs w:val="28"/>
          <w:rtl/>
        </w:rPr>
      </w:pPr>
      <w:r>
        <w:rPr>
          <w:rFonts w:ascii="Miriam" w:hAnsi="Miriam" w:cs="Miriam"/>
          <w:sz w:val="28"/>
          <w:szCs w:val="28"/>
          <w:rtl/>
        </w:rPr>
        <w:t>קביעת מתחם העונש ההולם</w:t>
      </w:r>
    </w:p>
    <w:p w14:paraId="12BACD45" w14:textId="77777777" w:rsidR="00714FCA" w:rsidRDefault="00714FCA" w:rsidP="00714FCA">
      <w:pPr>
        <w:spacing w:after="480" w:line="360" w:lineRule="auto"/>
        <w:jc w:val="both"/>
        <w:rPr>
          <w:rFonts w:ascii="Arial" w:hAnsi="Aria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r>
      <w:r>
        <w:rPr>
          <w:rFonts w:ascii="FrankRuehl" w:hAnsi="FrankRuehl" w:cs="FrankRuehl"/>
          <w:sz w:val="28"/>
          <w:szCs w:val="28"/>
          <w:rtl/>
        </w:rPr>
        <w:t>קביעת</w:t>
      </w:r>
      <w:r>
        <w:rPr>
          <w:rFonts w:ascii="Arial" w:hAnsi="Arial" w:cs="FrankRuehl"/>
          <w:sz w:val="28"/>
          <w:szCs w:val="28"/>
          <w:rtl/>
        </w:rPr>
        <w:t xml:space="preserve"> מתחם העונש ההולם לאירוע הפלילי נעשית בהתאם לעיקרון ה</w:t>
      </w:r>
      <w:r>
        <w:rPr>
          <w:rFonts w:ascii="Arial" w:hAnsi="Arial" w:cs="FrankRuehl" w:hint="cs"/>
          <w:sz w:val="28"/>
          <w:szCs w:val="28"/>
          <w:rtl/>
        </w:rPr>
        <w:t>הלימה</w:t>
      </w:r>
      <w:r>
        <w:rPr>
          <w:rFonts w:ascii="Arial" w:hAnsi="Arial" w:cs="FrankRuehl"/>
          <w:sz w:val="28"/>
          <w:szCs w:val="28"/>
          <w:rtl/>
        </w:rPr>
        <w:t>, היינו, קיומו של יחס הולם בין חומרת מעשה העבירה בנסיבותיו ומידת אשמתו של הנאשם, לבין סוג ומידת העונש המוטל עליו. לשם קביעת מתחם הענישה ההולם, בהתאם לעקרון ההלימה, יש להתחשב בערך החברתי שנפגע, במידת הפגיעה בו, במדיניות הענישה הנוהגת ובנסיבות הקשורות בביצוע העבירה.</w:t>
      </w:r>
    </w:p>
    <w:p w14:paraId="23618139" w14:textId="77777777" w:rsidR="00714FCA" w:rsidRDefault="00714FCA" w:rsidP="00714FCA">
      <w:pPr>
        <w:spacing w:after="480" w:line="360" w:lineRule="auto"/>
        <w:jc w:val="both"/>
        <w:rPr>
          <w:rFonts w:ascii="FrankRuehl" w:hAnsi="FrankRuehl" w:cs="FrankRuehl"/>
          <w:b/>
          <w:bCs/>
          <w:sz w:val="28"/>
          <w:szCs w:val="28"/>
          <w:rtl/>
        </w:rPr>
      </w:pPr>
      <w:r>
        <w:rPr>
          <w:rFonts w:ascii="FrankRuehl" w:hAnsi="FrankRuehl" w:cs="FrankRuehl"/>
          <w:b/>
          <w:bCs/>
          <w:sz w:val="28"/>
          <w:szCs w:val="28"/>
          <w:rtl/>
        </w:rPr>
        <w:t>הערכים המוגנים שנפגעו ונסיבות ביצוע העבירה</w:t>
      </w:r>
    </w:p>
    <w:p w14:paraId="6EA7212D" w14:textId="77777777" w:rsidR="00714FCA" w:rsidRDefault="00714FCA" w:rsidP="00714FCA">
      <w:pPr>
        <w:spacing w:after="480" w:line="360" w:lineRule="auto"/>
        <w:jc w:val="both"/>
        <w:rPr>
          <w:rFonts w:ascii="Arial" w:hAnsi="Arial" w:cs="FrankRuehl"/>
          <w:sz w:val="28"/>
          <w:szCs w:val="28"/>
          <w:rtl/>
        </w:rPr>
      </w:pPr>
      <w:r>
        <w:rPr>
          <w:rFonts w:ascii="FrankRuehl" w:eastAsia="Calibri" w:hAnsi="FrankRuehl" w:cs="FrankRuehl" w:hint="cs"/>
          <w:sz w:val="28"/>
          <w:szCs w:val="28"/>
          <w:rtl/>
        </w:rPr>
        <w:t>8.</w:t>
      </w:r>
      <w:r>
        <w:rPr>
          <w:rFonts w:ascii="FrankRuehl" w:eastAsia="Calibri" w:hAnsi="FrankRuehl" w:cs="FrankRuehl" w:hint="cs"/>
          <w:sz w:val="28"/>
          <w:szCs w:val="28"/>
          <w:rtl/>
        </w:rPr>
        <w:tab/>
      </w:r>
      <w:r>
        <w:rPr>
          <w:rFonts w:ascii="FrankRuehl" w:eastAsia="Calibri" w:hAnsi="FrankRuehl" w:cs="FrankRuehl"/>
          <w:sz w:val="28"/>
          <w:szCs w:val="28"/>
          <w:rtl/>
        </w:rPr>
        <w:t>הערכים המוגנים העומדים ביסודן של עבירות הסמים הם שמירה על שלומו של הציבור ובריאותו, והגנה מפני הנזקים הישירים והעקיפים הנגרמים עקב השימוש בסמים והפצתם</w:t>
      </w:r>
      <w:r>
        <w:rPr>
          <w:rFonts w:ascii="FrankRuehl" w:eastAsia="Calibri" w:hAnsi="FrankRuehl" w:cs="FrankRuehl" w:hint="cs"/>
          <w:sz w:val="28"/>
          <w:szCs w:val="28"/>
          <w:rtl/>
        </w:rPr>
        <w:t>,</w:t>
      </w:r>
      <w:r>
        <w:rPr>
          <w:rFonts w:ascii="FrankRuehl" w:eastAsia="Calibri" w:hAnsi="FrankRuehl" w:cs="FrankRuehl"/>
          <w:sz w:val="28"/>
          <w:szCs w:val="28"/>
          <w:rtl/>
        </w:rPr>
        <w:t xml:space="preserve"> </w:t>
      </w:r>
      <w:r>
        <w:rPr>
          <w:rFonts w:ascii="FrankRuehl" w:eastAsia="Calibri" w:hAnsi="FrankRuehl" w:cs="FrankRuehl" w:hint="cs"/>
          <w:sz w:val="28"/>
          <w:szCs w:val="28"/>
          <w:rtl/>
        </w:rPr>
        <w:t xml:space="preserve">ובהם נזקים </w:t>
      </w:r>
      <w:r>
        <w:rPr>
          <w:rFonts w:ascii="FrankRuehl" w:eastAsia="Calibri" w:hAnsi="FrankRuehl" w:cs="FrankRuehl"/>
          <w:sz w:val="28"/>
          <w:szCs w:val="28"/>
          <w:rtl/>
        </w:rPr>
        <w:t xml:space="preserve">בריאותיים, כלכליים </w:t>
      </w:r>
      <w:r>
        <w:rPr>
          <w:rFonts w:ascii="FrankRuehl" w:eastAsia="Calibri" w:hAnsi="FrankRuehl" w:cs="FrankRuehl" w:hint="cs"/>
          <w:sz w:val="28"/>
          <w:szCs w:val="28"/>
          <w:rtl/>
        </w:rPr>
        <w:t>ו</w:t>
      </w:r>
      <w:r>
        <w:rPr>
          <w:rFonts w:ascii="FrankRuehl" w:eastAsia="Calibri" w:hAnsi="FrankRuehl" w:cs="FrankRuehl"/>
          <w:sz w:val="28"/>
          <w:szCs w:val="28"/>
          <w:rtl/>
        </w:rPr>
        <w:t>חברתיים</w:t>
      </w:r>
      <w:r>
        <w:rPr>
          <w:rFonts w:ascii="FrankRuehl" w:eastAsia="Calibri" w:hAnsi="FrankRuehl" w:cs="FrankRuehl" w:hint="cs"/>
          <w:sz w:val="28"/>
          <w:szCs w:val="28"/>
          <w:rtl/>
        </w:rPr>
        <w:t>.</w:t>
      </w:r>
    </w:p>
    <w:p w14:paraId="1CB0A167" w14:textId="77777777" w:rsidR="00714FCA" w:rsidRDefault="00714FCA" w:rsidP="00714FCA">
      <w:pPr>
        <w:spacing w:after="240" w:line="360" w:lineRule="auto"/>
        <w:ind w:firstLine="720"/>
        <w:jc w:val="both"/>
        <w:rPr>
          <w:rFonts w:ascii="FrankRuehl" w:hAnsi="FrankRuehl" w:cs="FrankRuehl"/>
          <w:sz w:val="28"/>
          <w:szCs w:val="28"/>
          <w:rtl/>
        </w:rPr>
      </w:pPr>
      <w:r>
        <w:rPr>
          <w:rFonts w:ascii="FrankRuehl" w:hAnsi="FrankRuehl" w:cs="FrankRuehl"/>
          <w:sz w:val="28"/>
          <w:szCs w:val="28"/>
          <w:rtl/>
        </w:rPr>
        <w:t xml:space="preserve">בתי המשפט עמדו לא פעם על חומרתה של עבירת החזקת סמים שלא לצריכה עצמית, </w:t>
      </w:r>
      <w:r>
        <w:rPr>
          <w:rFonts w:ascii="FrankRuehl" w:hAnsi="FrankRuehl" w:cs="FrankRuehl" w:hint="cs"/>
          <w:sz w:val="28"/>
          <w:szCs w:val="28"/>
          <w:rtl/>
        </w:rPr>
        <w:t>שהוגדרה כ"</w:t>
      </w:r>
      <w:r>
        <w:rPr>
          <w:rFonts w:ascii="FrankRuehl" w:hAnsi="FrankRuehl" w:cs="FrankRuehl"/>
          <w:sz w:val="28"/>
          <w:szCs w:val="28"/>
          <w:rtl/>
        </w:rPr>
        <w:t>אחותה</w:t>
      </w:r>
      <w:r>
        <w:rPr>
          <w:rFonts w:ascii="FrankRuehl" w:hAnsi="FrankRuehl" w:cs="FrankRuehl" w:hint="cs"/>
          <w:sz w:val="28"/>
          <w:szCs w:val="28"/>
          <w:rtl/>
        </w:rPr>
        <w:t>"</w:t>
      </w:r>
      <w:r>
        <w:rPr>
          <w:rFonts w:ascii="FrankRuehl" w:hAnsi="FrankRuehl" w:cs="FrankRuehl"/>
          <w:sz w:val="28"/>
          <w:szCs w:val="28"/>
          <w:rtl/>
        </w:rPr>
        <w:t xml:space="preserve"> של עבירת הסחר</w:t>
      </w:r>
      <w:r>
        <w:rPr>
          <w:rFonts w:ascii="FrankRuehl" w:hAnsi="FrankRuehl" w:cs="FrankRuehl" w:hint="cs"/>
          <w:sz w:val="28"/>
          <w:szCs w:val="28"/>
          <w:rtl/>
        </w:rPr>
        <w:t xml:space="preserve"> בסמים</w:t>
      </w:r>
      <w:r>
        <w:rPr>
          <w:rFonts w:ascii="FrankRuehl" w:hAnsi="FrankRuehl" w:cs="FrankRuehl"/>
          <w:sz w:val="28"/>
          <w:szCs w:val="28"/>
          <w:rtl/>
        </w:rPr>
        <w:t xml:space="preserve">, המצדיקה אף היא נקיטה ביד קשה: </w:t>
      </w:r>
    </w:p>
    <w:p w14:paraId="3F2CAF2E" w14:textId="77777777" w:rsidR="00714FCA" w:rsidRDefault="00714FCA" w:rsidP="00714FCA">
      <w:pPr>
        <w:spacing w:after="480" w:line="360" w:lineRule="auto"/>
        <w:ind w:left="850" w:right="851"/>
        <w:jc w:val="both"/>
        <w:rPr>
          <w:rFonts w:ascii="FrankRuehl" w:hAnsi="FrankRuehl" w:cs="FrankRuehl"/>
          <w:sz w:val="28"/>
          <w:szCs w:val="28"/>
          <w:rtl/>
        </w:rPr>
      </w:pPr>
      <w:r>
        <w:rPr>
          <w:rFonts w:ascii="FrankRuehl" w:hAnsi="FrankRuehl" w:cs="FrankRuehl"/>
          <w:sz w:val="28"/>
          <w:szCs w:val="28"/>
          <w:rtl/>
        </w:rPr>
        <w:t>"</w:t>
      </w:r>
      <w:r w:rsidRPr="005B2950">
        <w:rPr>
          <w:rFonts w:ascii="FrankRuehl" w:hAnsi="FrankRuehl" w:cs="FrankRuehl"/>
          <w:sz w:val="28"/>
          <w:szCs w:val="28"/>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 זהה</w:t>
      </w:r>
      <w:r>
        <w:rPr>
          <w:rFonts w:ascii="FrankRuehl" w:hAnsi="FrankRuehl" w:cs="FrankRuehl"/>
          <w:sz w:val="28"/>
          <w:szCs w:val="28"/>
          <w:rtl/>
        </w:rPr>
        <w:t>" [</w:t>
      </w:r>
      <w:hyperlink r:id="rId12" w:history="1">
        <w:r w:rsidR="005A4DD0" w:rsidRPr="005A4DD0">
          <w:rPr>
            <w:rFonts w:ascii="FrankRuehl" w:hAnsi="FrankRuehl" w:cs="FrankRuehl"/>
            <w:color w:val="0000FF"/>
            <w:sz w:val="28"/>
            <w:szCs w:val="28"/>
            <w:u w:val="single"/>
            <w:rtl/>
          </w:rPr>
          <w:t>ע"פ 1345/08</w:t>
        </w:r>
      </w:hyperlink>
      <w:r>
        <w:rPr>
          <w:rFonts w:ascii="FrankRuehl" w:hAnsi="FrankRuehl" w:cs="FrankRuehl"/>
          <w:sz w:val="28"/>
          <w:szCs w:val="28"/>
          <w:rtl/>
        </w:rPr>
        <w:t xml:space="preserve"> </w:t>
      </w:r>
      <w:r w:rsidRPr="006A4A02">
        <w:rPr>
          <w:rFonts w:ascii="Miriam" w:hAnsi="Miriam" w:cs="Miriam"/>
          <w:rtl/>
        </w:rPr>
        <w:t>איסטחרוב נ' מדינת ישראל</w:t>
      </w:r>
      <w:r>
        <w:rPr>
          <w:rFonts w:ascii="FrankRuehl" w:hAnsi="FrankRuehl" w:cs="FrankRuehl"/>
          <w:sz w:val="28"/>
          <w:szCs w:val="28"/>
          <w:rtl/>
        </w:rPr>
        <w:t xml:space="preserve"> (18.05.2009)].</w:t>
      </w:r>
    </w:p>
    <w:p w14:paraId="30494B7B" w14:textId="77777777" w:rsidR="00714FCA" w:rsidRDefault="00714FCA" w:rsidP="00714FCA">
      <w:pPr>
        <w:spacing w:after="480"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r>
      <w:r>
        <w:rPr>
          <w:rFonts w:ascii="FrankRuehl" w:hAnsi="FrankRuehl" w:cs="FrankRuehl"/>
          <w:sz w:val="28"/>
          <w:szCs w:val="28"/>
          <w:rtl/>
        </w:rPr>
        <w:t xml:space="preserve">בקביעת מתחם הענישה התחשבתי בסוג הסם שהחזיק הנאשם – קנאביס, שאינו </w:t>
      </w:r>
      <w:r>
        <w:rPr>
          <w:rFonts w:ascii="FrankRuehl" w:hAnsi="FrankRuehl" w:cs="FrankRuehl" w:hint="cs"/>
          <w:sz w:val="28"/>
          <w:szCs w:val="28"/>
          <w:rtl/>
        </w:rPr>
        <w:t xml:space="preserve">נמנה על הסמים המוגדרים </w:t>
      </w:r>
      <w:r>
        <w:rPr>
          <w:rFonts w:ascii="FrankRuehl" w:hAnsi="FrankRuehl" w:cs="FrankRuehl"/>
          <w:sz w:val="28"/>
          <w:szCs w:val="28"/>
          <w:rtl/>
        </w:rPr>
        <w:t>"</w:t>
      </w:r>
      <w:r>
        <w:rPr>
          <w:rFonts w:ascii="FrankRuehl" w:hAnsi="FrankRuehl" w:cs="FrankRuehl" w:hint="cs"/>
          <w:sz w:val="28"/>
          <w:szCs w:val="28"/>
          <w:rtl/>
        </w:rPr>
        <w:t xml:space="preserve">סמים </w:t>
      </w:r>
      <w:r>
        <w:rPr>
          <w:rFonts w:ascii="FrankRuehl" w:hAnsi="FrankRuehl" w:cs="FrankRuehl"/>
          <w:sz w:val="28"/>
          <w:szCs w:val="28"/>
          <w:rtl/>
        </w:rPr>
        <w:t>קשים"</w:t>
      </w:r>
      <w:r>
        <w:rPr>
          <w:rFonts w:ascii="FrankRuehl" w:hAnsi="FrankRuehl" w:cs="FrankRuehl" w:hint="cs"/>
          <w:sz w:val="28"/>
          <w:szCs w:val="28"/>
          <w:rtl/>
        </w:rPr>
        <w:t>,</w:t>
      </w:r>
      <w:r>
        <w:rPr>
          <w:rFonts w:ascii="FrankRuehl" w:hAnsi="FrankRuehl" w:cs="FrankRuehl"/>
          <w:sz w:val="28"/>
          <w:szCs w:val="28"/>
          <w:rtl/>
        </w:rPr>
        <w:t xml:space="preserve"> ומנגד בכמות הבלתי מבוטלת שנתפסה בחזקתו, העולה </w:t>
      </w:r>
      <w:r>
        <w:rPr>
          <w:rFonts w:ascii="FrankRuehl" w:hAnsi="FrankRuehl" w:cs="FrankRuehl" w:hint="cs"/>
          <w:sz w:val="28"/>
          <w:szCs w:val="28"/>
          <w:rtl/>
        </w:rPr>
        <w:t xml:space="preserve">על </w:t>
      </w:r>
      <w:r>
        <w:rPr>
          <w:rFonts w:ascii="FrankRuehl" w:hAnsi="FrankRuehl" w:cs="FrankRuehl"/>
          <w:sz w:val="28"/>
          <w:szCs w:val="28"/>
          <w:rtl/>
        </w:rPr>
        <w:t xml:space="preserve">פי </w:t>
      </w:r>
      <w:r>
        <w:rPr>
          <w:rFonts w:ascii="FrankRuehl" w:hAnsi="FrankRuehl" w:cs="FrankRuehl" w:hint="cs"/>
          <w:sz w:val="28"/>
          <w:szCs w:val="28"/>
          <w:rtl/>
        </w:rPr>
        <w:t>17</w:t>
      </w:r>
      <w:r>
        <w:rPr>
          <w:rFonts w:ascii="FrankRuehl" w:hAnsi="FrankRuehl" w:cs="FrankRuehl"/>
          <w:sz w:val="28"/>
          <w:szCs w:val="28"/>
          <w:rtl/>
        </w:rPr>
        <w:t xml:space="preserve"> </w:t>
      </w:r>
      <w:r>
        <w:rPr>
          <w:rFonts w:ascii="FrankRuehl" w:hAnsi="FrankRuehl" w:cs="FrankRuehl" w:hint="cs"/>
          <w:sz w:val="28"/>
          <w:szCs w:val="28"/>
          <w:rtl/>
        </w:rPr>
        <w:t>מ</w:t>
      </w:r>
      <w:r>
        <w:rPr>
          <w:rFonts w:ascii="FrankRuehl" w:hAnsi="FrankRuehl" w:cs="FrankRuehl"/>
          <w:sz w:val="28"/>
          <w:szCs w:val="28"/>
          <w:rtl/>
        </w:rPr>
        <w:t xml:space="preserve">הכמות </w:t>
      </w:r>
      <w:r>
        <w:rPr>
          <w:rFonts w:ascii="FrankRuehl" w:hAnsi="FrankRuehl" w:cs="FrankRuehl" w:hint="cs"/>
          <w:sz w:val="28"/>
          <w:szCs w:val="28"/>
          <w:rtl/>
        </w:rPr>
        <w:t xml:space="preserve">שהוגדרה בחוק כמיועדת </w:t>
      </w:r>
      <w:r>
        <w:rPr>
          <w:rFonts w:ascii="FrankRuehl" w:hAnsi="FrankRuehl" w:cs="FrankRuehl"/>
          <w:sz w:val="28"/>
          <w:szCs w:val="28"/>
          <w:rtl/>
        </w:rPr>
        <w:t xml:space="preserve">לצריכה עצמית, זאת הגם שאין אינדיקציה לכך שהנאשם התכוון לסחור בסם. </w:t>
      </w:r>
    </w:p>
    <w:p w14:paraId="06E18A60" w14:textId="77777777" w:rsidR="00714FCA" w:rsidRDefault="00714FCA" w:rsidP="00714FCA">
      <w:pPr>
        <w:spacing w:after="480" w:line="360" w:lineRule="auto"/>
        <w:jc w:val="both"/>
        <w:rPr>
          <w:rFonts w:ascii="FrankRuehl" w:hAnsi="FrankRuehl" w:cs="FrankRuehl"/>
          <w:b/>
          <w:bCs/>
          <w:sz w:val="28"/>
          <w:szCs w:val="28"/>
          <w:rtl/>
        </w:rPr>
      </w:pPr>
      <w:r>
        <w:rPr>
          <w:rFonts w:ascii="FrankRuehl" w:hAnsi="FrankRuehl" w:cs="FrankRuehl"/>
          <w:b/>
          <w:bCs/>
          <w:sz w:val="28"/>
          <w:szCs w:val="28"/>
          <w:rtl/>
        </w:rPr>
        <w:t>מדיניות הענישה</w:t>
      </w:r>
    </w:p>
    <w:p w14:paraId="15862C71" w14:textId="77777777" w:rsidR="00714FCA" w:rsidRDefault="00714FCA" w:rsidP="00714FCA">
      <w:pPr>
        <w:spacing w:after="480" w:line="360" w:lineRule="auto"/>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r>
      <w:r>
        <w:rPr>
          <w:rFonts w:ascii="FrankRuehl" w:hAnsi="FrankRuehl" w:cs="FrankRuehl"/>
          <w:sz w:val="28"/>
          <w:szCs w:val="28"/>
          <w:rtl/>
        </w:rPr>
        <w:t>ב"כ המאשימה הגישה מספר פסקי דין לביסוס עתירתה העונשית</w:t>
      </w:r>
      <w:r>
        <w:rPr>
          <w:rFonts w:ascii="FrankRuehl" w:hAnsi="FrankRuehl" w:cs="FrankRuehl" w:hint="cs"/>
          <w:sz w:val="28"/>
          <w:szCs w:val="28"/>
          <w:rtl/>
        </w:rPr>
        <w:t>,</w:t>
      </w:r>
      <w:r>
        <w:rPr>
          <w:rFonts w:ascii="FrankRuehl" w:hAnsi="FrankRuehl" w:cs="FrankRuehl"/>
          <w:sz w:val="28"/>
          <w:szCs w:val="28"/>
          <w:rtl/>
        </w:rPr>
        <w:t xml:space="preserve"> ואילו</w:t>
      </w:r>
      <w:r>
        <w:rPr>
          <w:rFonts w:ascii="FrankRuehl" w:hAnsi="FrankRuehl" w:cs="FrankRuehl" w:hint="cs"/>
          <w:sz w:val="28"/>
          <w:szCs w:val="28"/>
          <w:rtl/>
        </w:rPr>
        <w:t xml:space="preserve"> מטעם</w:t>
      </w:r>
      <w:r>
        <w:rPr>
          <w:rFonts w:ascii="FrankRuehl" w:hAnsi="FrankRuehl" w:cs="FrankRuehl"/>
          <w:sz w:val="28"/>
          <w:szCs w:val="28"/>
          <w:rtl/>
        </w:rPr>
        <w:t xml:space="preserve"> הנאשם לא ה</w:t>
      </w:r>
      <w:r>
        <w:rPr>
          <w:rFonts w:ascii="FrankRuehl" w:hAnsi="FrankRuehl" w:cs="FrankRuehl" w:hint="cs"/>
          <w:sz w:val="28"/>
          <w:szCs w:val="28"/>
          <w:rtl/>
        </w:rPr>
        <w:t>ו</w:t>
      </w:r>
      <w:r>
        <w:rPr>
          <w:rFonts w:ascii="FrankRuehl" w:hAnsi="FrankRuehl" w:cs="FrankRuehl"/>
          <w:sz w:val="28"/>
          <w:szCs w:val="28"/>
          <w:rtl/>
        </w:rPr>
        <w:t>גש</w:t>
      </w:r>
      <w:r>
        <w:rPr>
          <w:rFonts w:ascii="FrankRuehl" w:hAnsi="FrankRuehl" w:cs="FrankRuehl" w:hint="cs"/>
          <w:sz w:val="28"/>
          <w:szCs w:val="28"/>
          <w:rtl/>
        </w:rPr>
        <w:t>ה</w:t>
      </w:r>
      <w:r>
        <w:rPr>
          <w:rFonts w:ascii="FrankRuehl" w:hAnsi="FrankRuehl" w:cs="FrankRuehl"/>
          <w:sz w:val="28"/>
          <w:szCs w:val="28"/>
          <w:rtl/>
        </w:rPr>
        <w:t xml:space="preserve"> פסיקה. בחינת מדיניות הענישה, לרבות פסקי הדין מטעם המאשימה, מעלה כי בנסיבות דומות, ואף חמורות מענייננו, הוטלו על נאשמים עונשי מאסר לריצוי בעבודות שירות ועד עונשי מאסר קצרים בפועל. להלן מספר דוגמאות:</w:t>
      </w:r>
    </w:p>
    <w:p w14:paraId="57639AEE" w14:textId="77777777" w:rsidR="00714FCA" w:rsidRDefault="00714FCA" w:rsidP="00714FCA">
      <w:pPr>
        <w:spacing w:after="480" w:line="360" w:lineRule="auto"/>
        <w:ind w:left="720"/>
        <w:jc w:val="both"/>
        <w:rPr>
          <w:rFonts w:ascii="FrankRuehl" w:hAnsi="FrankRuehl" w:cs="FrankRuehl"/>
          <w:sz w:val="28"/>
          <w:szCs w:val="28"/>
          <w:rtl/>
        </w:rPr>
      </w:pPr>
      <w:r>
        <w:rPr>
          <w:rFonts w:ascii="FrankRuehl" w:hAnsi="FrankRuehl" w:cs="FrankRuehl" w:hint="cs"/>
          <w:sz w:val="28"/>
          <w:szCs w:val="28"/>
          <w:rtl/>
        </w:rPr>
        <w:t>א.</w:t>
      </w:r>
      <w:r>
        <w:rPr>
          <w:rFonts w:ascii="FrankRuehl" w:hAnsi="FrankRuehl" w:cs="FrankRuehl" w:hint="cs"/>
          <w:sz w:val="28"/>
          <w:szCs w:val="28"/>
          <w:rtl/>
        </w:rPr>
        <w:tab/>
        <w:t>ב</w:t>
      </w:r>
      <w:hyperlink r:id="rId13" w:history="1">
        <w:r w:rsidR="005A4DD0" w:rsidRPr="005A4DD0">
          <w:rPr>
            <w:rFonts w:ascii="FrankRuehl" w:hAnsi="FrankRuehl" w:cs="FrankRuehl"/>
            <w:color w:val="0000FF"/>
            <w:sz w:val="28"/>
            <w:szCs w:val="28"/>
            <w:u w:val="single"/>
            <w:rtl/>
          </w:rPr>
          <w:t>רע"פ 10423/09</w:t>
        </w:r>
      </w:hyperlink>
      <w:r>
        <w:rPr>
          <w:rFonts w:ascii="FrankRuehl" w:hAnsi="FrankRuehl" w:cs="FrankRuehl"/>
          <w:sz w:val="28"/>
          <w:szCs w:val="28"/>
          <w:rtl/>
        </w:rPr>
        <w:t xml:space="preserve"> </w:t>
      </w:r>
      <w:r>
        <w:rPr>
          <w:rFonts w:ascii="Miriam" w:eastAsia="Calibri" w:hAnsi="Miriam" w:cs="Miriam"/>
          <w:rtl/>
        </w:rPr>
        <w:t>שורר נ' מדינת ישראל</w:t>
      </w:r>
      <w:r>
        <w:rPr>
          <w:rFonts w:ascii="FrankRuehl" w:hAnsi="FrankRuehl" w:cs="FrankRuehl"/>
          <w:sz w:val="28"/>
          <w:szCs w:val="28"/>
          <w:rtl/>
        </w:rPr>
        <w:t xml:space="preserve"> (26.4.2010)</w:t>
      </w:r>
      <w:r>
        <w:rPr>
          <w:rFonts w:ascii="FrankRuehl" w:hAnsi="FrankRuehl" w:cs="FrankRuehl" w:hint="cs"/>
          <w:sz w:val="28"/>
          <w:szCs w:val="28"/>
          <w:rtl/>
        </w:rPr>
        <w:t xml:space="preserve"> </w:t>
      </w:r>
      <w:r>
        <w:rPr>
          <w:rFonts w:ascii="FrankRuehl" w:hAnsi="FrankRuehl" w:cs="FrankRuehl"/>
          <w:sz w:val="28"/>
          <w:szCs w:val="28"/>
          <w:rtl/>
        </w:rPr>
        <w:t>נדחתה בקשת רשות ערעור של נאשם שהורשע בעבירה של החזקת 574 גרם קנאביס והוטלו עליו 6 חודשי מאסר לריצוי בעבודות שירות, זאת על אף המלצת שירות המבחן להטיל על</w:t>
      </w:r>
      <w:r>
        <w:rPr>
          <w:rFonts w:ascii="FrankRuehl" w:hAnsi="FrankRuehl" w:cs="FrankRuehl" w:hint="cs"/>
          <w:sz w:val="28"/>
          <w:szCs w:val="28"/>
          <w:rtl/>
        </w:rPr>
        <w:t>יו</w:t>
      </w:r>
      <w:r>
        <w:rPr>
          <w:rFonts w:ascii="FrankRuehl" w:hAnsi="FrankRuehl" w:cs="FrankRuehl"/>
          <w:sz w:val="28"/>
          <w:szCs w:val="28"/>
          <w:rtl/>
        </w:rPr>
        <w:t xml:space="preserve"> צו של"צ וחרף עברו הנקי.</w:t>
      </w:r>
    </w:p>
    <w:p w14:paraId="233B78ED" w14:textId="77777777" w:rsidR="00714FCA" w:rsidRDefault="00714FCA" w:rsidP="00714FCA">
      <w:pPr>
        <w:spacing w:after="480" w:line="360" w:lineRule="auto"/>
        <w:ind w:left="720"/>
        <w:jc w:val="both"/>
        <w:rPr>
          <w:rFonts w:ascii="FrankRuehl" w:eastAsia="Calibri" w:hAnsi="FrankRuehl" w:cs="FrankRuehl"/>
          <w:sz w:val="28"/>
          <w:szCs w:val="28"/>
          <w:rtl/>
        </w:rPr>
      </w:pPr>
      <w:r>
        <w:rPr>
          <w:rFonts w:ascii="FrankRuehl" w:eastAsia="Calibri" w:hAnsi="FrankRuehl" w:cs="FrankRuehl" w:hint="cs"/>
          <w:sz w:val="28"/>
          <w:szCs w:val="28"/>
          <w:rtl/>
        </w:rPr>
        <w:t>ב.</w:t>
      </w:r>
      <w:r>
        <w:rPr>
          <w:rFonts w:ascii="FrankRuehl" w:eastAsia="Calibri" w:hAnsi="FrankRuehl" w:cs="FrankRuehl" w:hint="cs"/>
          <w:sz w:val="28"/>
          <w:szCs w:val="28"/>
          <w:rtl/>
        </w:rPr>
        <w:tab/>
        <w:t>ב</w:t>
      </w:r>
      <w:hyperlink r:id="rId14" w:history="1">
        <w:r w:rsidR="005A4DD0" w:rsidRPr="005A4DD0">
          <w:rPr>
            <w:rFonts w:ascii="FrankRuehl" w:eastAsia="Calibri" w:hAnsi="FrankRuehl" w:cs="FrankRuehl"/>
            <w:color w:val="0000FF"/>
            <w:sz w:val="28"/>
            <w:szCs w:val="28"/>
            <w:u w:val="single"/>
            <w:rtl/>
          </w:rPr>
          <w:t>עפ"ג (מחוזי חיפה) 63945-07-18</w:t>
        </w:r>
      </w:hyperlink>
      <w:r>
        <w:rPr>
          <w:rFonts w:ascii="FrankRuehl" w:eastAsia="Calibri" w:hAnsi="FrankRuehl" w:cs="FrankRuehl"/>
          <w:sz w:val="28"/>
          <w:szCs w:val="28"/>
          <w:rtl/>
        </w:rPr>
        <w:t xml:space="preserve"> </w:t>
      </w:r>
      <w:r>
        <w:rPr>
          <w:rFonts w:ascii="Miriam" w:eastAsia="Calibri" w:hAnsi="Miriam" w:cs="Miriam"/>
          <w:rtl/>
        </w:rPr>
        <w:t xml:space="preserve">מדינת ישראל נ' אזריאל </w:t>
      </w:r>
      <w:r>
        <w:rPr>
          <w:rFonts w:ascii="FrankRuehl" w:eastAsia="Calibri" w:hAnsi="FrankRuehl" w:cs="FrankRuehl"/>
          <w:sz w:val="28"/>
          <w:szCs w:val="28"/>
          <w:rtl/>
        </w:rPr>
        <w:t xml:space="preserve">(08.11.2018), נדון עניינו של נאשם שהורשע בכך שבצוותא עם אחר החזיק סם מסוכן מסוג קנאביס במשקל 758 גרם. בית משפט השלום קבע מתחם ענישה </w:t>
      </w:r>
      <w:r>
        <w:rPr>
          <w:rFonts w:ascii="FrankRuehl" w:eastAsia="Calibri" w:hAnsi="FrankRuehl" w:cs="FrankRuehl" w:hint="cs"/>
          <w:sz w:val="28"/>
          <w:szCs w:val="28"/>
          <w:rtl/>
        </w:rPr>
        <w:t>ה</w:t>
      </w:r>
      <w:r>
        <w:rPr>
          <w:rFonts w:ascii="FrankRuehl" w:eastAsia="Calibri" w:hAnsi="FrankRuehl" w:cs="FrankRuehl"/>
          <w:sz w:val="28"/>
          <w:szCs w:val="28"/>
          <w:rtl/>
        </w:rPr>
        <w:t xml:space="preserve">נע בין מאסר מותנה לבין 6 חודשי מאסר </w:t>
      </w:r>
      <w:r>
        <w:rPr>
          <w:rFonts w:ascii="FrankRuehl" w:eastAsia="Calibri" w:hAnsi="FrankRuehl" w:cs="FrankRuehl" w:hint="cs"/>
          <w:sz w:val="28"/>
          <w:szCs w:val="28"/>
          <w:rtl/>
        </w:rPr>
        <w:t xml:space="preserve">אותם </w:t>
      </w:r>
      <w:r>
        <w:rPr>
          <w:rFonts w:ascii="FrankRuehl" w:eastAsia="Calibri" w:hAnsi="FrankRuehl" w:cs="FrankRuehl"/>
          <w:sz w:val="28"/>
          <w:szCs w:val="28"/>
          <w:rtl/>
        </w:rPr>
        <w:t>ניתן לרצות בעבודות שירות, והסתפק במאסר כתקופת מעצרו של המשיב - 9 ימים. בית המשפט המחוזי קיבל את ערעור המדינה על קולת העונש, קבע מתחם ענישה בין מספר חודשי מאסר שניתן לרצותם בעבודות שירות לבין שנת מאסר, ומבלי למצות את הדין עם הנאשם העמיד את עונשו על 5 חודשי מאסר בפועל, לצד ענישה נלווית.</w:t>
      </w:r>
    </w:p>
    <w:p w14:paraId="3B9AD51E" w14:textId="77777777" w:rsidR="00714FCA" w:rsidRDefault="00714FCA" w:rsidP="00714FCA">
      <w:pPr>
        <w:spacing w:after="480" w:line="360" w:lineRule="auto"/>
        <w:ind w:left="720"/>
        <w:jc w:val="both"/>
        <w:rPr>
          <w:rFonts w:ascii="FrankRuehl" w:eastAsia="Calibri" w:hAnsi="FrankRuehl" w:cs="FrankRuehl"/>
          <w:sz w:val="28"/>
          <w:szCs w:val="28"/>
          <w:rtl/>
        </w:rPr>
      </w:pPr>
      <w:r>
        <w:rPr>
          <w:rFonts w:ascii="FrankRuehl" w:eastAsia="Calibri" w:hAnsi="FrankRuehl" w:cs="FrankRuehl" w:hint="cs"/>
          <w:sz w:val="28"/>
          <w:szCs w:val="28"/>
          <w:rtl/>
        </w:rPr>
        <w:t>ג.</w:t>
      </w:r>
      <w:r>
        <w:rPr>
          <w:rFonts w:ascii="FrankRuehl" w:eastAsia="Calibri" w:hAnsi="FrankRuehl" w:cs="FrankRuehl" w:hint="cs"/>
          <w:sz w:val="28"/>
          <w:szCs w:val="28"/>
          <w:rtl/>
        </w:rPr>
        <w:tab/>
        <w:t>ב</w:t>
      </w:r>
      <w:hyperlink r:id="rId15" w:history="1">
        <w:r w:rsidR="005A4DD0" w:rsidRPr="005A4DD0">
          <w:rPr>
            <w:rFonts w:ascii="FrankRuehl" w:eastAsia="Calibri" w:hAnsi="FrankRuehl" w:cs="FrankRuehl"/>
            <w:color w:val="0000FF"/>
            <w:sz w:val="28"/>
            <w:szCs w:val="28"/>
            <w:u w:val="single"/>
            <w:rtl/>
          </w:rPr>
          <w:t>עפ"ג (מחוזי ב"ש) 24043-04-17</w:t>
        </w:r>
      </w:hyperlink>
      <w:r>
        <w:rPr>
          <w:rFonts w:ascii="FrankRuehl" w:eastAsia="Calibri" w:hAnsi="FrankRuehl" w:cs="FrankRuehl"/>
          <w:sz w:val="28"/>
          <w:szCs w:val="28"/>
          <w:rtl/>
        </w:rPr>
        <w:t xml:space="preserve"> </w:t>
      </w:r>
      <w:r>
        <w:rPr>
          <w:rFonts w:ascii="Miriam" w:eastAsia="Calibri" w:hAnsi="Miriam" w:cs="Miriam"/>
          <w:rtl/>
        </w:rPr>
        <w:t>אל קשכר נ' מדינת ישראל</w:t>
      </w:r>
      <w:r>
        <w:rPr>
          <w:rFonts w:ascii="FrankRuehl" w:eastAsia="Calibri" w:hAnsi="FrankRuehl" w:cs="FrankRuehl"/>
          <w:rtl/>
        </w:rPr>
        <w:t xml:space="preserve"> </w:t>
      </w:r>
      <w:r>
        <w:rPr>
          <w:rFonts w:ascii="FrankRuehl" w:eastAsia="Calibri" w:hAnsi="FrankRuehl" w:cs="FrankRuehl"/>
          <w:sz w:val="28"/>
          <w:szCs w:val="28"/>
          <w:rtl/>
        </w:rPr>
        <w:t>(14.6.2017</w:t>
      </w:r>
      <w:r>
        <w:rPr>
          <w:rFonts w:ascii="FrankRuehl" w:eastAsia="Calibri" w:hAnsi="FrankRuehl" w:cs="FrankRuehl" w:hint="cs"/>
          <w:sz w:val="28"/>
          <w:szCs w:val="28"/>
          <w:rtl/>
        </w:rPr>
        <w:t>)</w:t>
      </w:r>
      <w:r>
        <w:rPr>
          <w:rFonts w:ascii="FrankRuehl" w:eastAsia="Calibri" w:hAnsi="FrankRuehl" w:cs="FrankRuehl"/>
          <w:sz w:val="28"/>
          <w:szCs w:val="28"/>
          <w:rtl/>
        </w:rPr>
        <w:t>, לא פורסם), אושר עונש מאסר בפועל בן 7 חודשים שהוטל על נאשם שהורשע בעבירה של החזקת סם מסוג קנאביס במשקל של 922 גרם, מחולק לשתי אריזות. בתוך כך אושר מתחם ענישה שבין 6 חודשי מאסר שיכול וירוצו בעבודות שירות לבין שנת מאסר.</w:t>
      </w:r>
    </w:p>
    <w:p w14:paraId="3DEEC281" w14:textId="77777777" w:rsidR="00714FCA" w:rsidRDefault="00714FCA" w:rsidP="00714FCA">
      <w:pPr>
        <w:spacing w:after="480" w:line="360" w:lineRule="auto"/>
        <w:ind w:left="720"/>
        <w:jc w:val="both"/>
        <w:rPr>
          <w:rFonts w:ascii="FrankRuehl" w:hAnsi="FrankRuehl" w:cs="FrankRuehl"/>
          <w:sz w:val="28"/>
          <w:szCs w:val="28"/>
          <w:rtl/>
        </w:rPr>
      </w:pPr>
      <w:r>
        <w:rPr>
          <w:rFonts w:ascii="FrankRuehl" w:hAnsi="FrankRuehl" w:cs="FrankRuehl" w:hint="cs"/>
          <w:sz w:val="28"/>
          <w:szCs w:val="28"/>
          <w:rtl/>
        </w:rPr>
        <w:t>ד.</w:t>
      </w:r>
      <w:r>
        <w:rPr>
          <w:rFonts w:ascii="FrankRuehl" w:hAnsi="FrankRuehl" w:cs="FrankRuehl" w:hint="cs"/>
          <w:sz w:val="28"/>
          <w:szCs w:val="28"/>
          <w:rtl/>
        </w:rPr>
        <w:tab/>
        <w:t>ב</w:t>
      </w:r>
      <w:hyperlink r:id="rId16" w:history="1">
        <w:r w:rsidR="005A4DD0" w:rsidRPr="005A4DD0">
          <w:rPr>
            <w:rFonts w:ascii="FrankRuehl" w:hAnsi="FrankRuehl" w:cs="FrankRuehl"/>
            <w:color w:val="0000FF"/>
            <w:sz w:val="28"/>
            <w:szCs w:val="28"/>
            <w:u w:val="single"/>
            <w:rtl/>
          </w:rPr>
          <w:t>ת"פ (שלום ב"ש) 14656-12-20</w:t>
        </w:r>
      </w:hyperlink>
      <w:r>
        <w:rPr>
          <w:rFonts w:ascii="FrankRuehl" w:hAnsi="FrankRuehl" w:cs="FrankRuehl"/>
          <w:sz w:val="28"/>
          <w:szCs w:val="28"/>
          <w:rtl/>
        </w:rPr>
        <w:t xml:space="preserve"> </w:t>
      </w:r>
      <w:r>
        <w:rPr>
          <w:rFonts w:ascii="Miriam" w:hAnsi="Miriam" w:cs="Miriam"/>
          <w:rtl/>
        </w:rPr>
        <w:t>מדינת ישראל נ' אלעלאוין</w:t>
      </w:r>
      <w:r>
        <w:rPr>
          <w:rFonts w:ascii="FrankRuehl" w:hAnsi="FrankRuehl" w:cs="FrankRuehl"/>
          <w:sz w:val="28"/>
          <w:szCs w:val="28"/>
          <w:rtl/>
        </w:rPr>
        <w:t xml:space="preserve"> (10.3.2021) הורשע נאשם בעבירה של החזקת סם מסוג קנאביס במשקל 457 גרם.</w:t>
      </w:r>
      <w:r>
        <w:rPr>
          <w:rFonts w:ascii="FrankRuehl" w:hAnsi="FrankRuehl" w:cs="FrankRuehl" w:hint="cs"/>
          <w:sz w:val="28"/>
          <w:szCs w:val="28"/>
          <w:rtl/>
        </w:rPr>
        <w:t xml:space="preserve"> לאחר</w:t>
      </w:r>
      <w:r>
        <w:rPr>
          <w:rFonts w:ascii="FrankRuehl" w:hAnsi="FrankRuehl" w:cs="FrankRuehl"/>
          <w:sz w:val="28"/>
          <w:szCs w:val="28"/>
          <w:rtl/>
        </w:rPr>
        <w:t xml:space="preserve"> </w:t>
      </w:r>
      <w:r>
        <w:rPr>
          <w:rFonts w:ascii="FrankRuehl" w:hAnsi="FrankRuehl" w:cs="FrankRuehl" w:hint="cs"/>
          <w:sz w:val="28"/>
          <w:szCs w:val="28"/>
          <w:rtl/>
        </w:rPr>
        <w:t>ש</w:t>
      </w:r>
      <w:r>
        <w:rPr>
          <w:rFonts w:ascii="FrankRuehl" w:hAnsi="FrankRuehl" w:cs="FrankRuehl"/>
          <w:sz w:val="28"/>
          <w:szCs w:val="28"/>
          <w:rtl/>
        </w:rPr>
        <w:t xml:space="preserve">נקבע מתחם </w:t>
      </w:r>
      <w:r>
        <w:rPr>
          <w:rFonts w:ascii="FrankRuehl" w:hAnsi="FrankRuehl" w:cs="FrankRuehl" w:hint="cs"/>
          <w:sz w:val="28"/>
          <w:szCs w:val="28"/>
          <w:rtl/>
        </w:rPr>
        <w:t xml:space="preserve">ענישה </w:t>
      </w:r>
      <w:r>
        <w:rPr>
          <w:rFonts w:ascii="FrankRuehl" w:hAnsi="FrankRuehl" w:cs="FrankRuehl"/>
          <w:sz w:val="28"/>
          <w:szCs w:val="28"/>
          <w:rtl/>
        </w:rPr>
        <w:t>הנע בין מספר חודשי מאסר ועד 18 חודשי מאסר</w:t>
      </w:r>
      <w:r>
        <w:rPr>
          <w:rFonts w:ascii="FrankRuehl" w:hAnsi="FrankRuehl" w:cs="FrankRuehl" w:hint="cs"/>
          <w:sz w:val="28"/>
          <w:szCs w:val="28"/>
          <w:rtl/>
        </w:rPr>
        <w:t xml:space="preserve">, </w:t>
      </w:r>
      <w:r>
        <w:rPr>
          <w:rFonts w:ascii="FrankRuehl" w:hAnsi="FrankRuehl" w:cs="FrankRuehl"/>
          <w:sz w:val="28"/>
          <w:szCs w:val="28"/>
          <w:rtl/>
        </w:rPr>
        <w:t xml:space="preserve">הושת </w:t>
      </w:r>
      <w:r>
        <w:rPr>
          <w:rFonts w:ascii="FrankRuehl" w:hAnsi="FrankRuehl" w:cs="FrankRuehl" w:hint="cs"/>
          <w:sz w:val="28"/>
          <w:szCs w:val="28"/>
          <w:rtl/>
        </w:rPr>
        <w:t>על הנאשם</w:t>
      </w:r>
      <w:r>
        <w:rPr>
          <w:rFonts w:ascii="FrankRuehl" w:hAnsi="FrankRuehl" w:cs="FrankRuehl"/>
          <w:sz w:val="28"/>
          <w:szCs w:val="28"/>
          <w:rtl/>
        </w:rPr>
        <w:t xml:space="preserve"> עונש עיקרי של 8 חודשי מאסר בפועל</w:t>
      </w:r>
      <w:r>
        <w:rPr>
          <w:rFonts w:ascii="FrankRuehl" w:hAnsi="FrankRuehl" w:cs="FrankRuehl" w:hint="cs"/>
          <w:sz w:val="28"/>
          <w:szCs w:val="28"/>
          <w:rtl/>
        </w:rPr>
        <w:t xml:space="preserve">, שלאחר הפעלת מאסר מונתה הצטברו לכדי </w:t>
      </w:r>
      <w:r>
        <w:rPr>
          <w:rFonts w:ascii="FrankRuehl" w:hAnsi="FrankRuehl" w:cs="FrankRuehl"/>
          <w:sz w:val="28"/>
          <w:szCs w:val="28"/>
          <w:rtl/>
        </w:rPr>
        <w:t xml:space="preserve">10 חודשי מאסר בפועל. </w:t>
      </w:r>
    </w:p>
    <w:p w14:paraId="0BA8AA34" w14:textId="77777777" w:rsidR="00714FCA" w:rsidRDefault="00714FCA" w:rsidP="00714FCA">
      <w:pPr>
        <w:spacing w:after="480" w:line="360" w:lineRule="auto"/>
        <w:jc w:val="both"/>
        <w:rPr>
          <w:rFonts w:ascii="Arial" w:hAnsi="Arial" w:cs="FrankRuehl"/>
          <w:sz w:val="28"/>
          <w:szCs w:val="28"/>
          <w:rtl/>
        </w:rPr>
      </w:pPr>
      <w:r>
        <w:rPr>
          <w:rFonts w:ascii="FrankRuehl" w:hAnsi="FrankRuehl" w:cs="FrankRuehl" w:hint="cs"/>
          <w:sz w:val="28"/>
          <w:szCs w:val="28"/>
          <w:rtl/>
        </w:rPr>
        <w:t>11.</w:t>
      </w:r>
      <w:r>
        <w:rPr>
          <w:rFonts w:ascii="FrankRuehl" w:hAnsi="FrankRuehl" w:cs="FrankRuehl" w:hint="cs"/>
          <w:sz w:val="28"/>
          <w:szCs w:val="28"/>
          <w:rtl/>
        </w:rPr>
        <w:tab/>
        <w:t>נוכח כל ה</w:t>
      </w:r>
      <w:r>
        <w:rPr>
          <w:rFonts w:ascii="FrankRuehl" w:hAnsi="FrankRuehl" w:cs="FrankRuehl"/>
          <w:sz w:val="28"/>
          <w:szCs w:val="28"/>
          <w:rtl/>
        </w:rPr>
        <w:t>א</w:t>
      </w:r>
      <w:r>
        <w:rPr>
          <w:rFonts w:ascii="FrankRuehl" w:hAnsi="FrankRuehl" w:cs="FrankRuehl" w:hint="cs"/>
          <w:sz w:val="28"/>
          <w:szCs w:val="28"/>
          <w:rtl/>
        </w:rPr>
        <w:t>מ</w:t>
      </w:r>
      <w:r>
        <w:rPr>
          <w:rFonts w:ascii="FrankRuehl" w:hAnsi="FrankRuehl" w:cs="FrankRuehl"/>
          <w:sz w:val="28"/>
          <w:szCs w:val="28"/>
          <w:rtl/>
        </w:rPr>
        <w:t xml:space="preserve">ור, בהתחשב בערכים המוגנים בהם פגע הנאשם ובנסיבות ביצוע העבירה כמו גם במדיניות הענישה הנוהגת, הגעתי למסקנה כי מתחם הענישה ההולם בענייננו נע בין </w:t>
      </w:r>
      <w:r>
        <w:rPr>
          <w:rFonts w:ascii="FrankRuehl" w:hAnsi="FrankRuehl" w:cs="FrankRuehl" w:hint="cs"/>
          <w:sz w:val="28"/>
          <w:szCs w:val="28"/>
          <w:rtl/>
        </w:rPr>
        <w:t>3</w:t>
      </w:r>
      <w:r>
        <w:rPr>
          <w:rFonts w:ascii="FrankRuehl" w:hAnsi="FrankRuehl" w:cs="FrankRuehl"/>
          <w:sz w:val="28"/>
          <w:szCs w:val="28"/>
          <w:rtl/>
        </w:rPr>
        <w:t xml:space="preserve"> חודשי מאסר לריצוי ב</w:t>
      </w:r>
      <w:r>
        <w:rPr>
          <w:rFonts w:ascii="FrankRuehl" w:hAnsi="FrankRuehl" w:cs="FrankRuehl" w:hint="cs"/>
          <w:sz w:val="28"/>
          <w:szCs w:val="28"/>
          <w:rtl/>
        </w:rPr>
        <w:t xml:space="preserve">דרך של </w:t>
      </w:r>
      <w:r>
        <w:rPr>
          <w:rFonts w:ascii="FrankRuehl" w:hAnsi="FrankRuehl" w:cs="FrankRuehl"/>
          <w:sz w:val="28"/>
          <w:szCs w:val="28"/>
          <w:rtl/>
        </w:rPr>
        <w:t>עבודות שירות לבין 8 חודשי מאסר בפועל.</w:t>
      </w:r>
    </w:p>
    <w:p w14:paraId="60965079" w14:textId="77777777" w:rsidR="00714FCA" w:rsidRDefault="00714FCA" w:rsidP="00714FCA">
      <w:pPr>
        <w:spacing w:after="480" w:line="360" w:lineRule="auto"/>
        <w:jc w:val="both"/>
        <w:rPr>
          <w:rFonts w:ascii="Miriam" w:hAnsi="Miriam" w:cs="Miriam"/>
          <w:sz w:val="28"/>
          <w:szCs w:val="28"/>
          <w:rtl/>
        </w:rPr>
      </w:pPr>
      <w:r>
        <w:rPr>
          <w:rFonts w:ascii="Miriam" w:hAnsi="Miriam" w:cs="Miriam"/>
          <w:sz w:val="28"/>
          <w:szCs w:val="28"/>
          <w:rtl/>
        </w:rPr>
        <w:t>קביעת עונשו של הנאשם בתוך המתחם – נסיבות שאינן קשורות בביצוע העבירה</w:t>
      </w:r>
    </w:p>
    <w:p w14:paraId="019A2C05" w14:textId="77777777" w:rsidR="00714FCA" w:rsidRDefault="00714FCA" w:rsidP="00714FCA">
      <w:pPr>
        <w:spacing w:after="480" w:line="360" w:lineRule="auto"/>
        <w:jc w:val="both"/>
        <w:rPr>
          <w:rFonts w:ascii="FrankRuehl" w:hAnsi="FrankRuehl" w:cs="FrankRuehl"/>
          <w:sz w:val="28"/>
          <w:szCs w:val="28"/>
          <w:rtl/>
        </w:rPr>
      </w:pPr>
      <w:r>
        <w:rPr>
          <w:rFonts w:ascii="FrankRuehl" w:hAnsi="FrankRuehl" w:cs="FrankRuehl" w:hint="cs"/>
          <w:sz w:val="28"/>
          <w:szCs w:val="28"/>
          <w:rtl/>
        </w:rPr>
        <w:t>12.</w:t>
      </w:r>
      <w:r>
        <w:rPr>
          <w:rFonts w:ascii="FrankRuehl" w:hAnsi="FrankRuehl" w:cs="FrankRuehl" w:hint="cs"/>
          <w:sz w:val="28"/>
          <w:szCs w:val="28"/>
          <w:rtl/>
        </w:rPr>
        <w:tab/>
      </w:r>
      <w:r>
        <w:rPr>
          <w:rFonts w:ascii="FrankRuehl" w:hAnsi="FrankRuehl" w:cs="FrankRuehl"/>
          <w:sz w:val="28"/>
          <w:szCs w:val="28"/>
          <w:rtl/>
        </w:rPr>
        <w:t xml:space="preserve">הנאשם רווק כבן 29, </w:t>
      </w:r>
      <w:r>
        <w:rPr>
          <w:rFonts w:ascii="FrankRuehl" w:hAnsi="FrankRuehl" w:cs="FrankRuehl" w:hint="cs"/>
          <w:sz w:val="28"/>
          <w:szCs w:val="28"/>
          <w:rtl/>
        </w:rPr>
        <w:t>ו</w:t>
      </w:r>
      <w:r>
        <w:rPr>
          <w:rFonts w:ascii="FrankRuehl" w:hAnsi="FrankRuehl" w:cs="FrankRuehl"/>
          <w:sz w:val="28"/>
          <w:szCs w:val="28"/>
          <w:rtl/>
        </w:rPr>
        <w:t xml:space="preserve">הספיק לצבור לחובתו 7 הרשעות קודמות ורישום נוסף </w:t>
      </w:r>
      <w:r>
        <w:rPr>
          <w:rFonts w:ascii="FrankRuehl" w:hAnsi="FrankRuehl" w:cs="FrankRuehl" w:hint="cs"/>
          <w:sz w:val="28"/>
          <w:szCs w:val="28"/>
          <w:rtl/>
        </w:rPr>
        <w:t>שהסתיים מבלי שהורשע ב</w:t>
      </w:r>
      <w:r>
        <w:rPr>
          <w:rFonts w:ascii="FrankRuehl" w:hAnsi="FrankRuehl" w:cs="FrankRuehl"/>
          <w:sz w:val="28"/>
          <w:szCs w:val="28"/>
          <w:rtl/>
        </w:rPr>
        <w:t xml:space="preserve">בית המשפט לנוער. עיקר עברו הפלילי של הנאשם בעבירות אלימות, בעטיין ריצה שני מאסרים בפועל מאחורי סורג ובריח (15 ו-9 חודשי מאסר). במסגרת אחד מהמאסרים הופעל מאסר מותנה שלא הרתיע את הנאשם מלשוב ולהסתבך בעבירות דומות. כן ריצה הנאשם שני מאסרים </w:t>
      </w:r>
      <w:r>
        <w:rPr>
          <w:rFonts w:ascii="FrankRuehl" w:hAnsi="FrankRuehl" w:cs="FrankRuehl" w:hint="cs"/>
          <w:sz w:val="28"/>
          <w:szCs w:val="28"/>
          <w:rtl/>
        </w:rPr>
        <w:t xml:space="preserve">בדרך של </w:t>
      </w:r>
      <w:r>
        <w:rPr>
          <w:rFonts w:ascii="FrankRuehl" w:hAnsi="FrankRuehl" w:cs="FrankRuehl"/>
          <w:sz w:val="28"/>
          <w:szCs w:val="28"/>
          <w:rtl/>
        </w:rPr>
        <w:t xml:space="preserve">עבודות שירות. לצד האמור, לנאשם אין עבר פלילי בתחום הסמים, מלבד שתי הרשעות בעבירות של החזקת סם </w:t>
      </w:r>
      <w:r w:rsidRPr="00100D39">
        <w:rPr>
          <w:rFonts w:ascii="FrankRuehl" w:hAnsi="FrankRuehl" w:cs="FrankRuehl"/>
          <w:sz w:val="28"/>
          <w:szCs w:val="28"/>
          <w:rtl/>
        </w:rPr>
        <w:t>לצריכה</w:t>
      </w:r>
      <w:r>
        <w:rPr>
          <w:rFonts w:ascii="Miriam" w:hAnsi="Miriam" w:cs="Miriam"/>
          <w:rtl/>
        </w:rPr>
        <w:t xml:space="preserve"> </w:t>
      </w:r>
      <w:r w:rsidRPr="00100D39">
        <w:rPr>
          <w:rFonts w:ascii="FrankRuehl" w:hAnsi="FrankRuehl" w:cs="FrankRuehl"/>
          <w:sz w:val="28"/>
          <w:szCs w:val="28"/>
          <w:rtl/>
        </w:rPr>
        <w:t>עצמית</w:t>
      </w:r>
      <w:r>
        <w:rPr>
          <w:rFonts w:ascii="FrankRuehl" w:hAnsi="FrankRuehl" w:cs="FrankRuehl"/>
          <w:sz w:val="28"/>
          <w:szCs w:val="28"/>
          <w:rtl/>
        </w:rPr>
        <w:t>.</w:t>
      </w:r>
    </w:p>
    <w:p w14:paraId="12976B2D" w14:textId="77777777" w:rsidR="00714FCA" w:rsidRDefault="00714FCA" w:rsidP="00714FCA">
      <w:pPr>
        <w:spacing w:after="480" w:line="360" w:lineRule="auto"/>
        <w:jc w:val="both"/>
        <w:rPr>
          <w:rFonts w:ascii="FrankRuehl" w:hAnsi="FrankRuehl" w:cs="FrankRuehl"/>
          <w:sz w:val="28"/>
          <w:szCs w:val="28"/>
          <w:rtl/>
        </w:rPr>
      </w:pPr>
      <w:r>
        <w:rPr>
          <w:rFonts w:ascii="FrankRuehl" w:hAnsi="FrankRuehl" w:cs="FrankRuehl" w:hint="cs"/>
          <w:sz w:val="28"/>
          <w:szCs w:val="28"/>
          <w:rtl/>
        </w:rPr>
        <w:t>13.</w:t>
      </w:r>
      <w:r>
        <w:rPr>
          <w:rFonts w:ascii="FrankRuehl" w:hAnsi="FrankRuehl" w:cs="FrankRuehl" w:hint="cs"/>
          <w:sz w:val="28"/>
          <w:szCs w:val="28"/>
          <w:rtl/>
        </w:rPr>
        <w:tab/>
      </w:r>
      <w:r>
        <w:rPr>
          <w:rFonts w:ascii="FrankRuehl" w:hAnsi="FrankRuehl" w:cs="FrankRuehl"/>
          <w:sz w:val="28"/>
          <w:szCs w:val="28"/>
          <w:rtl/>
        </w:rPr>
        <w:t xml:space="preserve">מתסקיר המבחן מיום 5.9.2021 עולה </w:t>
      </w:r>
      <w:r>
        <w:rPr>
          <w:rFonts w:ascii="FrankRuehl" w:hAnsi="FrankRuehl" w:cs="FrankRuehl" w:hint="cs"/>
          <w:sz w:val="28"/>
          <w:szCs w:val="28"/>
          <w:rtl/>
        </w:rPr>
        <w:t>ש</w:t>
      </w:r>
      <w:r>
        <w:rPr>
          <w:rFonts w:ascii="FrankRuehl" w:hAnsi="FrankRuehl" w:cs="FrankRuehl"/>
          <w:sz w:val="28"/>
          <w:szCs w:val="28"/>
          <w:rtl/>
        </w:rPr>
        <w:t>הנאשם גדל במשפחה קשת יום</w:t>
      </w:r>
      <w:r>
        <w:rPr>
          <w:rFonts w:ascii="FrankRuehl" w:hAnsi="FrankRuehl" w:cs="FrankRuehl" w:hint="cs"/>
          <w:sz w:val="28"/>
          <w:szCs w:val="28"/>
          <w:rtl/>
        </w:rPr>
        <w:t>,</w:t>
      </w:r>
      <w:r>
        <w:rPr>
          <w:rFonts w:ascii="FrankRuehl" w:hAnsi="FrankRuehl" w:cs="FrankRuehl"/>
          <w:sz w:val="28"/>
          <w:szCs w:val="28"/>
          <w:rtl/>
        </w:rPr>
        <w:t xml:space="preserve"> בסביבה מורכבת ואף אלימה</w:t>
      </w:r>
      <w:r>
        <w:rPr>
          <w:rFonts w:ascii="FrankRuehl" w:hAnsi="FrankRuehl" w:cs="FrankRuehl" w:hint="cs"/>
          <w:sz w:val="28"/>
          <w:szCs w:val="28"/>
          <w:rtl/>
        </w:rPr>
        <w:t xml:space="preserve">, כאשר גם הנאשם עצמו </w:t>
      </w:r>
      <w:r>
        <w:rPr>
          <w:rFonts w:ascii="FrankRuehl" w:hAnsi="FrankRuehl" w:cs="FrankRuehl"/>
          <w:sz w:val="28"/>
          <w:szCs w:val="28"/>
          <w:rtl/>
        </w:rPr>
        <w:t xml:space="preserve">היה מעורב לא אחת באירועים אלימים. בגיל 13 החל </w:t>
      </w:r>
      <w:r>
        <w:rPr>
          <w:rFonts w:ascii="FrankRuehl" w:hAnsi="FrankRuehl" w:cs="FrankRuehl" w:hint="cs"/>
          <w:sz w:val="28"/>
          <w:szCs w:val="28"/>
          <w:rtl/>
        </w:rPr>
        <w:t xml:space="preserve">הנאשם </w:t>
      </w:r>
      <w:r>
        <w:rPr>
          <w:rFonts w:ascii="FrankRuehl" w:hAnsi="FrankRuehl" w:cs="FrankRuehl"/>
          <w:sz w:val="28"/>
          <w:szCs w:val="28"/>
          <w:rtl/>
        </w:rPr>
        <w:t xml:space="preserve">להתרועע עם חברה שולית ובהמשך לא גויס לצה"ל על רקע מעורבותו בפלילים. לאורך השנים התקשה הנאשם לשמור על תעסוקה יציבה כשניכר כי </w:t>
      </w:r>
      <w:r>
        <w:rPr>
          <w:rFonts w:ascii="FrankRuehl" w:hAnsi="FrankRuehl" w:cs="FrankRuehl" w:hint="cs"/>
          <w:sz w:val="28"/>
          <w:szCs w:val="28"/>
          <w:rtl/>
        </w:rPr>
        <w:t>ה</w:t>
      </w:r>
      <w:r>
        <w:rPr>
          <w:rFonts w:ascii="FrankRuehl" w:hAnsi="FrankRuehl" w:cs="FrankRuehl"/>
          <w:sz w:val="28"/>
          <w:szCs w:val="28"/>
          <w:rtl/>
        </w:rPr>
        <w:t>תקשה להיענות לגורמי סמכות.</w:t>
      </w:r>
    </w:p>
    <w:p w14:paraId="55F74908" w14:textId="77777777" w:rsidR="00714FCA" w:rsidRDefault="00714FCA" w:rsidP="00714FCA">
      <w:pPr>
        <w:spacing w:after="480" w:line="360" w:lineRule="auto"/>
        <w:ind w:firstLine="720"/>
        <w:jc w:val="both"/>
        <w:rPr>
          <w:rFonts w:ascii="FrankRuehl" w:hAnsi="FrankRuehl" w:cs="FrankRuehl"/>
          <w:sz w:val="28"/>
          <w:szCs w:val="28"/>
          <w:rtl/>
        </w:rPr>
      </w:pPr>
      <w:r>
        <w:rPr>
          <w:rFonts w:ascii="FrankRuehl" w:hAnsi="FrankRuehl" w:cs="FrankRuehl"/>
          <w:sz w:val="28"/>
          <w:szCs w:val="28"/>
          <w:rtl/>
        </w:rPr>
        <w:t>הגם שהנאשם נטל אחריות למעשיו</w:t>
      </w:r>
      <w:r>
        <w:rPr>
          <w:rFonts w:ascii="FrankRuehl" w:hAnsi="FrankRuehl" w:cs="FrankRuehl" w:hint="cs"/>
          <w:sz w:val="28"/>
          <w:szCs w:val="28"/>
          <w:rtl/>
        </w:rPr>
        <w:t>,</w:t>
      </w:r>
      <w:r>
        <w:rPr>
          <w:rFonts w:ascii="FrankRuehl" w:hAnsi="FrankRuehl" w:cs="FrankRuehl"/>
          <w:sz w:val="28"/>
          <w:szCs w:val="28"/>
          <w:rtl/>
        </w:rPr>
        <w:t xml:space="preserve"> הרי שלא הביע </w:t>
      </w:r>
      <w:r>
        <w:rPr>
          <w:rFonts w:ascii="FrankRuehl" w:hAnsi="FrankRuehl" w:cs="FrankRuehl" w:hint="cs"/>
          <w:sz w:val="28"/>
          <w:szCs w:val="28"/>
          <w:rtl/>
        </w:rPr>
        <w:t xml:space="preserve">כל </w:t>
      </w:r>
      <w:r>
        <w:rPr>
          <w:rFonts w:ascii="FrankRuehl" w:hAnsi="FrankRuehl" w:cs="FrankRuehl"/>
          <w:sz w:val="28"/>
          <w:szCs w:val="28"/>
          <w:rtl/>
        </w:rPr>
        <w:t xml:space="preserve">חרטה, לאור תפיסות מקלות </w:t>
      </w:r>
      <w:r>
        <w:rPr>
          <w:rFonts w:ascii="FrankRuehl" w:hAnsi="FrankRuehl" w:cs="FrankRuehl" w:hint="cs"/>
          <w:sz w:val="28"/>
          <w:szCs w:val="28"/>
          <w:rtl/>
        </w:rPr>
        <w:t xml:space="preserve">בקשר </w:t>
      </w:r>
      <w:r>
        <w:rPr>
          <w:rFonts w:ascii="FrankRuehl" w:hAnsi="FrankRuehl" w:cs="FrankRuehl"/>
          <w:sz w:val="28"/>
          <w:szCs w:val="28"/>
          <w:rtl/>
        </w:rPr>
        <w:t xml:space="preserve">לשימוש בסמים. ניסיון להעמיק עמו </w:t>
      </w:r>
      <w:r>
        <w:rPr>
          <w:rFonts w:ascii="FrankRuehl" w:hAnsi="FrankRuehl" w:cs="FrankRuehl" w:hint="cs"/>
          <w:sz w:val="28"/>
          <w:szCs w:val="28"/>
          <w:rtl/>
        </w:rPr>
        <w:t>את המקור ל</w:t>
      </w:r>
      <w:r>
        <w:rPr>
          <w:rFonts w:ascii="FrankRuehl" w:hAnsi="FrankRuehl" w:cs="FrankRuehl"/>
          <w:sz w:val="28"/>
          <w:szCs w:val="28"/>
          <w:rtl/>
        </w:rPr>
        <w:t>תפיסות אלו לא צלח. הנאשם מסר כי בגיל 12 החל להשתמש בקנאביס</w:t>
      </w:r>
      <w:r>
        <w:rPr>
          <w:rFonts w:ascii="FrankRuehl" w:hAnsi="FrankRuehl" w:cs="FrankRuehl" w:hint="cs"/>
          <w:sz w:val="28"/>
          <w:szCs w:val="28"/>
          <w:rtl/>
        </w:rPr>
        <w:t>,</w:t>
      </w:r>
      <w:r>
        <w:rPr>
          <w:rFonts w:ascii="FrankRuehl" w:hAnsi="FrankRuehl" w:cs="FrankRuehl"/>
          <w:sz w:val="28"/>
          <w:szCs w:val="28"/>
          <w:rtl/>
        </w:rPr>
        <w:t xml:space="preserve"> אולם לפני כשנה, לאחר שחש ששימוש קבוע </w:t>
      </w:r>
      <w:r>
        <w:rPr>
          <w:rFonts w:ascii="FrankRuehl" w:hAnsi="FrankRuehl" w:cs="FrankRuehl" w:hint="cs"/>
          <w:sz w:val="28"/>
          <w:szCs w:val="28"/>
          <w:rtl/>
        </w:rPr>
        <w:t xml:space="preserve">בסמים </w:t>
      </w:r>
      <w:r>
        <w:rPr>
          <w:rFonts w:ascii="FrankRuehl" w:hAnsi="FrankRuehl" w:cs="FrankRuehl"/>
          <w:sz w:val="28"/>
          <w:szCs w:val="28"/>
          <w:rtl/>
        </w:rPr>
        <w:t>השפיע על תפקודו לרעה</w:t>
      </w:r>
      <w:r>
        <w:rPr>
          <w:rFonts w:ascii="FrankRuehl" w:hAnsi="FrankRuehl" w:cs="FrankRuehl" w:hint="cs"/>
          <w:sz w:val="28"/>
          <w:szCs w:val="28"/>
          <w:rtl/>
        </w:rPr>
        <w:t>,</w:t>
      </w:r>
      <w:r>
        <w:rPr>
          <w:rFonts w:ascii="FrankRuehl" w:hAnsi="FrankRuehl" w:cs="FrankRuehl"/>
          <w:sz w:val="28"/>
          <w:szCs w:val="28"/>
          <w:rtl/>
        </w:rPr>
        <w:t xml:space="preserve"> החל לצרוך ס</w:t>
      </w:r>
      <w:r>
        <w:rPr>
          <w:rFonts w:ascii="FrankRuehl" w:hAnsi="FrankRuehl" w:cs="FrankRuehl" w:hint="cs"/>
          <w:sz w:val="28"/>
          <w:szCs w:val="28"/>
          <w:rtl/>
        </w:rPr>
        <w:t>מי</w:t>
      </w:r>
      <w:r>
        <w:rPr>
          <w:rFonts w:ascii="FrankRuehl" w:hAnsi="FrankRuehl" w:cs="FrankRuehl"/>
          <w:sz w:val="28"/>
          <w:szCs w:val="28"/>
          <w:rtl/>
        </w:rPr>
        <w:t xml:space="preserve">ם בנסיבות חברתיות בלבד. כן מסר </w:t>
      </w:r>
      <w:r>
        <w:rPr>
          <w:rFonts w:ascii="FrankRuehl" w:hAnsi="FrankRuehl" w:cs="FrankRuehl" w:hint="cs"/>
          <w:sz w:val="28"/>
          <w:szCs w:val="28"/>
          <w:rtl/>
        </w:rPr>
        <w:t>שהוא</w:t>
      </w:r>
      <w:r>
        <w:rPr>
          <w:rFonts w:ascii="FrankRuehl" w:hAnsi="FrankRuehl" w:cs="FrankRuehl"/>
          <w:sz w:val="28"/>
          <w:szCs w:val="28"/>
          <w:rtl/>
        </w:rPr>
        <w:t xml:space="preserve"> משתמש באלכוהול בנסיבות דומות. הנאשם שלל שימוש בקוקאין על אף ש</w:t>
      </w:r>
      <w:r>
        <w:rPr>
          <w:rFonts w:ascii="FrankRuehl" w:hAnsi="FrankRuehl" w:cs="FrankRuehl" w:hint="cs"/>
          <w:sz w:val="28"/>
          <w:szCs w:val="28"/>
          <w:rtl/>
        </w:rPr>
        <w:t xml:space="preserve">לדבריו </w:t>
      </w:r>
      <w:r>
        <w:rPr>
          <w:rFonts w:ascii="FrankRuehl" w:hAnsi="FrankRuehl" w:cs="FrankRuehl"/>
          <w:sz w:val="28"/>
          <w:szCs w:val="28"/>
          <w:rtl/>
        </w:rPr>
        <w:t xml:space="preserve">התנסה בסם </w:t>
      </w:r>
      <w:r>
        <w:rPr>
          <w:rFonts w:ascii="FrankRuehl" w:hAnsi="FrankRuehl" w:cs="FrankRuehl" w:hint="cs"/>
          <w:sz w:val="28"/>
          <w:szCs w:val="28"/>
          <w:rtl/>
        </w:rPr>
        <w:t xml:space="preserve">מסוג זה </w:t>
      </w:r>
      <w:r>
        <w:rPr>
          <w:rFonts w:ascii="FrankRuehl" w:hAnsi="FrankRuehl" w:cs="FrankRuehl"/>
          <w:sz w:val="28"/>
          <w:szCs w:val="28"/>
          <w:rtl/>
        </w:rPr>
        <w:t>בעבר</w:t>
      </w:r>
      <w:r>
        <w:rPr>
          <w:rFonts w:ascii="FrankRuehl" w:hAnsi="FrankRuehl" w:cs="FrankRuehl" w:hint="cs"/>
          <w:sz w:val="28"/>
          <w:szCs w:val="28"/>
          <w:rtl/>
        </w:rPr>
        <w:t>.</w:t>
      </w:r>
      <w:r>
        <w:rPr>
          <w:rFonts w:ascii="FrankRuehl" w:hAnsi="FrankRuehl" w:cs="FrankRuehl"/>
          <w:sz w:val="28"/>
          <w:szCs w:val="28"/>
          <w:rtl/>
        </w:rPr>
        <w:t xml:space="preserve"> ואולם</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בניגוד לדבריו ב</w:t>
      </w:r>
      <w:r>
        <w:rPr>
          <w:rFonts w:ascii="FrankRuehl" w:hAnsi="FrankRuehl" w:cs="FrankRuehl"/>
          <w:sz w:val="28"/>
          <w:szCs w:val="28"/>
          <w:rtl/>
        </w:rPr>
        <w:t>שתי בדיקות שתן ש</w:t>
      </w:r>
      <w:r>
        <w:rPr>
          <w:rFonts w:ascii="FrankRuehl" w:hAnsi="FrankRuehl" w:cs="FrankRuehl" w:hint="cs"/>
          <w:sz w:val="28"/>
          <w:szCs w:val="28"/>
          <w:rtl/>
        </w:rPr>
        <w:t xml:space="preserve">נערכו לו נמצאו </w:t>
      </w:r>
      <w:r>
        <w:rPr>
          <w:rFonts w:ascii="FrankRuehl" w:hAnsi="FrankRuehl" w:cs="FrankRuehl"/>
          <w:sz w:val="28"/>
          <w:szCs w:val="28"/>
          <w:rtl/>
        </w:rPr>
        <w:t>שרידי קוקאין</w:t>
      </w:r>
      <w:r>
        <w:rPr>
          <w:rFonts w:ascii="FrankRuehl" w:hAnsi="FrankRuehl" w:cs="FrankRuehl" w:hint="cs"/>
          <w:sz w:val="28"/>
          <w:szCs w:val="28"/>
          <w:rtl/>
        </w:rPr>
        <w:t>.</w:t>
      </w:r>
      <w:r>
        <w:rPr>
          <w:rFonts w:ascii="FrankRuehl" w:hAnsi="FrankRuehl" w:cs="FrankRuehl"/>
          <w:sz w:val="28"/>
          <w:szCs w:val="28"/>
          <w:rtl/>
        </w:rPr>
        <w:t xml:space="preserve"> הנאשם התקשה להסביר </w:t>
      </w:r>
      <w:r>
        <w:rPr>
          <w:rFonts w:ascii="FrankRuehl" w:hAnsi="FrankRuehl" w:cs="FrankRuehl" w:hint="cs"/>
          <w:sz w:val="28"/>
          <w:szCs w:val="28"/>
          <w:rtl/>
        </w:rPr>
        <w:t xml:space="preserve">את </w:t>
      </w:r>
      <w:r>
        <w:rPr>
          <w:rFonts w:ascii="FrankRuehl" w:hAnsi="FrankRuehl" w:cs="FrankRuehl"/>
          <w:sz w:val="28"/>
          <w:szCs w:val="28"/>
          <w:rtl/>
        </w:rPr>
        <w:t>משמעות</w:t>
      </w:r>
      <w:r>
        <w:rPr>
          <w:rFonts w:ascii="FrankRuehl" w:hAnsi="FrankRuehl" w:cs="FrankRuehl" w:hint="cs"/>
          <w:sz w:val="28"/>
          <w:szCs w:val="28"/>
          <w:rtl/>
        </w:rPr>
        <w:t xml:space="preserve"> הדברים,</w:t>
      </w:r>
      <w:r>
        <w:rPr>
          <w:rFonts w:ascii="FrankRuehl" w:hAnsi="FrankRuehl" w:cs="FrankRuehl"/>
          <w:sz w:val="28"/>
          <w:szCs w:val="28"/>
          <w:rtl/>
        </w:rPr>
        <w:t xml:space="preserve"> </w:t>
      </w:r>
      <w:r>
        <w:rPr>
          <w:rFonts w:ascii="FrankRuehl" w:hAnsi="FrankRuehl" w:cs="FrankRuehl" w:hint="cs"/>
          <w:sz w:val="28"/>
          <w:szCs w:val="28"/>
          <w:rtl/>
        </w:rPr>
        <w:t>ו</w:t>
      </w:r>
      <w:r>
        <w:rPr>
          <w:rFonts w:ascii="FrankRuehl" w:hAnsi="FrankRuehl" w:cs="FrankRuehl"/>
          <w:sz w:val="28"/>
          <w:szCs w:val="28"/>
          <w:rtl/>
        </w:rPr>
        <w:t>המשיך לשלול בעייתיות בתחום ההתמכרויות. הנאשם הביע נכונות מילולית להשתלב בטיפול קבוצתי</w:t>
      </w:r>
      <w:r>
        <w:rPr>
          <w:rFonts w:ascii="FrankRuehl" w:hAnsi="FrankRuehl" w:cs="FrankRuehl" w:hint="cs"/>
          <w:sz w:val="28"/>
          <w:szCs w:val="28"/>
          <w:rtl/>
        </w:rPr>
        <w:t>,</w:t>
      </w:r>
      <w:r>
        <w:rPr>
          <w:rFonts w:ascii="FrankRuehl" w:hAnsi="FrankRuehl" w:cs="FrankRuehl"/>
          <w:sz w:val="28"/>
          <w:szCs w:val="28"/>
          <w:rtl/>
        </w:rPr>
        <w:t xml:space="preserve"> אולם להערכת שירות המבחן </w:t>
      </w:r>
      <w:r>
        <w:rPr>
          <w:rFonts w:ascii="FrankRuehl" w:hAnsi="FrankRuehl" w:cs="FrankRuehl" w:hint="cs"/>
          <w:sz w:val="28"/>
          <w:szCs w:val="28"/>
          <w:rtl/>
        </w:rPr>
        <w:t xml:space="preserve">הדבר נבע </w:t>
      </w:r>
      <w:r>
        <w:rPr>
          <w:rFonts w:ascii="FrankRuehl" w:hAnsi="FrankRuehl" w:cs="FrankRuehl"/>
          <w:sz w:val="28"/>
          <w:szCs w:val="28"/>
          <w:rtl/>
        </w:rPr>
        <w:t xml:space="preserve">מרצונו לקדם </w:t>
      </w:r>
      <w:r>
        <w:rPr>
          <w:rFonts w:ascii="FrankRuehl" w:hAnsi="FrankRuehl" w:cs="FrankRuehl" w:hint="cs"/>
          <w:sz w:val="28"/>
          <w:szCs w:val="28"/>
          <w:rtl/>
        </w:rPr>
        <w:t xml:space="preserve">את </w:t>
      </w:r>
      <w:r>
        <w:rPr>
          <w:rFonts w:ascii="FrankRuehl" w:hAnsi="FrankRuehl" w:cs="FrankRuehl"/>
          <w:sz w:val="28"/>
          <w:szCs w:val="28"/>
          <w:rtl/>
        </w:rPr>
        <w:t>מצבו המשפטי ולא מ</w:t>
      </w:r>
      <w:r>
        <w:rPr>
          <w:rFonts w:ascii="FrankRuehl" w:hAnsi="FrankRuehl" w:cs="FrankRuehl" w:hint="cs"/>
          <w:sz w:val="28"/>
          <w:szCs w:val="28"/>
          <w:rtl/>
        </w:rPr>
        <w:t xml:space="preserve">תוך </w:t>
      </w:r>
      <w:r>
        <w:rPr>
          <w:rFonts w:ascii="FrankRuehl" w:hAnsi="FrankRuehl" w:cs="FrankRuehl"/>
          <w:sz w:val="28"/>
          <w:szCs w:val="28"/>
          <w:rtl/>
        </w:rPr>
        <w:t xml:space="preserve">הכרה בדפוסיו השוליים. </w:t>
      </w:r>
      <w:r>
        <w:rPr>
          <w:rFonts w:ascii="FrankRuehl" w:hAnsi="FrankRuehl" w:cs="FrankRuehl" w:hint="cs"/>
          <w:sz w:val="28"/>
          <w:szCs w:val="28"/>
          <w:rtl/>
        </w:rPr>
        <w:t>נוכח כל האמור</w:t>
      </w:r>
      <w:r>
        <w:rPr>
          <w:rFonts w:ascii="FrankRuehl" w:hAnsi="FrankRuehl" w:cs="FrankRuehl"/>
          <w:sz w:val="28"/>
          <w:szCs w:val="28"/>
          <w:rtl/>
        </w:rPr>
        <w:t>, נמצא שהנאשם אינו מתאים לבצע</w:t>
      </w:r>
      <w:r>
        <w:rPr>
          <w:rFonts w:ascii="FrankRuehl" w:hAnsi="FrankRuehl" w:cs="FrankRuehl" w:hint="cs"/>
          <w:sz w:val="28"/>
          <w:szCs w:val="28"/>
          <w:rtl/>
        </w:rPr>
        <w:t xml:space="preserve"> </w:t>
      </w:r>
      <w:r>
        <w:rPr>
          <w:rFonts w:ascii="FrankRuehl" w:hAnsi="FrankRuehl" w:cs="FrankRuehl"/>
          <w:sz w:val="28"/>
          <w:szCs w:val="28"/>
          <w:rtl/>
        </w:rPr>
        <w:t xml:space="preserve">של"צ. </w:t>
      </w:r>
    </w:p>
    <w:p w14:paraId="0AB99947" w14:textId="77777777" w:rsidR="00714FCA" w:rsidRDefault="00714FCA" w:rsidP="00714FCA">
      <w:pPr>
        <w:spacing w:after="480" w:line="360" w:lineRule="auto"/>
        <w:ind w:firstLine="720"/>
        <w:jc w:val="both"/>
        <w:rPr>
          <w:rFonts w:ascii="FrankRuehl" w:hAnsi="FrankRuehl" w:cs="FrankRuehl"/>
          <w:sz w:val="28"/>
          <w:szCs w:val="28"/>
          <w:rtl/>
        </w:rPr>
      </w:pPr>
      <w:r>
        <w:rPr>
          <w:rFonts w:ascii="FrankRuehl" w:hAnsi="FrankRuehl" w:cs="FrankRuehl" w:hint="cs"/>
          <w:sz w:val="28"/>
          <w:szCs w:val="28"/>
          <w:rtl/>
        </w:rPr>
        <w:t>מהתסקיר אף עולה שהנאשם לא עמד בתנאי נוסף שעמד בבסיס ההסדר בין הצדדים, לאחר שהתברר</w:t>
      </w:r>
      <w:r>
        <w:rPr>
          <w:rFonts w:ascii="FrankRuehl" w:hAnsi="FrankRuehl" w:cs="FrankRuehl"/>
          <w:sz w:val="28"/>
          <w:szCs w:val="28"/>
          <w:rtl/>
        </w:rPr>
        <w:t xml:space="preserve"> </w:t>
      </w:r>
      <w:r>
        <w:rPr>
          <w:rFonts w:ascii="FrankRuehl" w:hAnsi="FrankRuehl" w:cs="FrankRuehl" w:hint="cs"/>
          <w:sz w:val="28"/>
          <w:szCs w:val="28"/>
          <w:rtl/>
        </w:rPr>
        <w:t>ש</w:t>
      </w:r>
      <w:r>
        <w:rPr>
          <w:rFonts w:ascii="FrankRuehl" w:hAnsi="FrankRuehl" w:cs="FrankRuehl"/>
          <w:sz w:val="28"/>
          <w:szCs w:val="28"/>
          <w:rtl/>
        </w:rPr>
        <w:t xml:space="preserve">הוגש </w:t>
      </w:r>
      <w:r>
        <w:rPr>
          <w:rFonts w:ascii="FrankRuehl" w:hAnsi="FrankRuehl" w:cs="FrankRuehl" w:hint="cs"/>
          <w:sz w:val="28"/>
          <w:szCs w:val="28"/>
          <w:rtl/>
        </w:rPr>
        <w:t>נגדו כתב אישום במועד</w:t>
      </w:r>
      <w:r>
        <w:rPr>
          <w:rFonts w:ascii="FrankRuehl" w:hAnsi="FrankRuehl" w:cs="FrankRuehl"/>
          <w:sz w:val="28"/>
          <w:szCs w:val="28"/>
          <w:rtl/>
        </w:rPr>
        <w:t xml:space="preserve"> מאוחר ל</w:t>
      </w:r>
      <w:r>
        <w:rPr>
          <w:rFonts w:ascii="FrankRuehl" w:hAnsi="FrankRuehl" w:cs="FrankRuehl" w:hint="cs"/>
          <w:sz w:val="28"/>
          <w:szCs w:val="28"/>
          <w:rtl/>
        </w:rPr>
        <w:t>מועד בו הוצג הסדר הטיעון</w:t>
      </w:r>
      <w:r>
        <w:rPr>
          <w:rFonts w:ascii="FrankRuehl" w:hAnsi="FrankRuehl" w:cs="FrankRuehl"/>
          <w:sz w:val="28"/>
          <w:szCs w:val="28"/>
          <w:rtl/>
        </w:rPr>
        <w:t>.</w:t>
      </w:r>
      <w:r>
        <w:rPr>
          <w:rFonts w:ascii="FrankRuehl" w:hAnsi="FrankRuehl" w:cs="FrankRuehl"/>
          <w:sz w:val="28"/>
          <w:szCs w:val="28"/>
          <w:rtl/>
        </w:rPr>
        <w:tab/>
      </w:r>
    </w:p>
    <w:p w14:paraId="0D3A0107" w14:textId="77777777" w:rsidR="00714FCA" w:rsidRDefault="00714FCA" w:rsidP="00714FCA">
      <w:pPr>
        <w:spacing w:after="480" w:line="360" w:lineRule="auto"/>
        <w:jc w:val="both"/>
        <w:rPr>
          <w:rFonts w:ascii="FrankRuehl" w:hAnsi="FrankRuehl" w:cs="FrankRuehl"/>
          <w:sz w:val="28"/>
          <w:szCs w:val="28"/>
          <w:rtl/>
        </w:rPr>
      </w:pPr>
      <w:r>
        <w:rPr>
          <w:rFonts w:ascii="FrankRuehl" w:hAnsi="FrankRuehl" w:cs="FrankRuehl"/>
          <w:sz w:val="28"/>
          <w:szCs w:val="28"/>
          <w:rtl/>
        </w:rPr>
        <w:tab/>
      </w:r>
      <w:r>
        <w:rPr>
          <w:rFonts w:ascii="FrankRuehl" w:hAnsi="FrankRuehl" w:cs="FrankRuehl" w:hint="cs"/>
          <w:sz w:val="28"/>
          <w:szCs w:val="28"/>
          <w:rtl/>
        </w:rPr>
        <w:t xml:space="preserve">להערכת </w:t>
      </w:r>
      <w:r>
        <w:rPr>
          <w:rFonts w:ascii="FrankRuehl" w:hAnsi="FrankRuehl" w:cs="FrankRuehl"/>
          <w:sz w:val="28"/>
          <w:szCs w:val="28"/>
          <w:rtl/>
        </w:rPr>
        <w:t>שירות המבחן</w:t>
      </w:r>
      <w:r>
        <w:rPr>
          <w:rFonts w:ascii="FrankRuehl" w:hAnsi="FrankRuehl" w:cs="FrankRuehl" w:hint="cs"/>
          <w:sz w:val="28"/>
          <w:szCs w:val="28"/>
          <w:rtl/>
        </w:rPr>
        <w:t xml:space="preserve"> ל</w:t>
      </w:r>
      <w:r>
        <w:rPr>
          <w:rFonts w:ascii="FrankRuehl" w:hAnsi="FrankRuehl" w:cs="FrankRuehl"/>
          <w:sz w:val="28"/>
          <w:szCs w:val="28"/>
          <w:rtl/>
        </w:rPr>
        <w:t xml:space="preserve">נאשם ערכים ודפוסים שוליים כשברקע דפוסי צריכת חומרים פסיכו-אקטיביים באופן המסכן את עצמו וסביבתו. </w:t>
      </w:r>
      <w:r>
        <w:rPr>
          <w:rFonts w:ascii="FrankRuehl" w:hAnsi="FrankRuehl" w:cs="FrankRuehl" w:hint="cs"/>
          <w:sz w:val="28"/>
          <w:szCs w:val="28"/>
          <w:rtl/>
        </w:rPr>
        <w:t xml:space="preserve">עוד </w:t>
      </w:r>
      <w:r>
        <w:rPr>
          <w:rFonts w:ascii="FrankRuehl" w:hAnsi="FrankRuehl" w:cs="FrankRuehl"/>
          <w:sz w:val="28"/>
          <w:szCs w:val="28"/>
          <w:rtl/>
        </w:rPr>
        <w:t>צוין כי הנאשם מאופיין באימפולסיביות, נוקשות מחשבתית, קשיים בוויסות ושליטה עצמית לצד קושי להכיר בצורך לערוך שינוי בבחירותיו. לאור האמור, בשים לב לסיכון הגבוה להמשך מעורבות פלילית מצד הנאשם לצד חוסר בשלות לערוך שינוי בחייו, מצא שירות המבחן כי אין יעילות בהמשך מעורבותו ונמנע מהמלצה שיקומית.</w:t>
      </w:r>
    </w:p>
    <w:p w14:paraId="054620EB" w14:textId="77777777" w:rsidR="00714FCA" w:rsidRDefault="00714FCA" w:rsidP="00714FCA">
      <w:pPr>
        <w:spacing w:after="480" w:line="360" w:lineRule="auto"/>
        <w:jc w:val="both"/>
        <w:rPr>
          <w:rFonts w:ascii="FrankRuehl" w:hAnsi="FrankRuehl" w:cs="FrankRuehl"/>
          <w:sz w:val="28"/>
          <w:szCs w:val="28"/>
          <w:rtl/>
        </w:rPr>
      </w:pPr>
      <w:r>
        <w:rPr>
          <w:rFonts w:ascii="FrankRuehl" w:hAnsi="FrankRuehl" w:cs="FrankRuehl" w:hint="cs"/>
          <w:sz w:val="28"/>
          <w:szCs w:val="28"/>
          <w:rtl/>
        </w:rPr>
        <w:t>14.</w:t>
      </w:r>
      <w:r>
        <w:rPr>
          <w:rFonts w:ascii="FrankRuehl" w:hAnsi="FrankRuehl" w:cs="FrankRuehl" w:hint="cs"/>
          <w:sz w:val="28"/>
          <w:szCs w:val="28"/>
          <w:rtl/>
        </w:rPr>
        <w:tab/>
      </w:r>
      <w:r>
        <w:rPr>
          <w:rFonts w:ascii="FrankRuehl" w:hAnsi="FrankRuehl" w:cs="FrankRuehl"/>
          <w:sz w:val="28"/>
          <w:szCs w:val="28"/>
          <w:rtl/>
        </w:rPr>
        <w:t>חרף התסקיר ה</w:t>
      </w:r>
      <w:r>
        <w:rPr>
          <w:rFonts w:ascii="FrankRuehl" w:hAnsi="FrankRuehl" w:cs="FrankRuehl" w:hint="cs"/>
          <w:sz w:val="28"/>
          <w:szCs w:val="28"/>
          <w:rtl/>
        </w:rPr>
        <w:t>ראשון</w:t>
      </w:r>
      <w:r>
        <w:rPr>
          <w:rFonts w:ascii="FrankRuehl" w:hAnsi="FrankRuehl" w:cs="FrankRuehl"/>
          <w:sz w:val="28"/>
          <w:szCs w:val="28"/>
          <w:rtl/>
        </w:rPr>
        <w:t xml:space="preserve">, </w:t>
      </w:r>
      <w:r>
        <w:rPr>
          <w:rFonts w:ascii="FrankRuehl" w:hAnsi="FrankRuehl" w:cs="FrankRuehl" w:hint="cs"/>
          <w:sz w:val="28"/>
          <w:szCs w:val="28"/>
          <w:rtl/>
        </w:rPr>
        <w:t>שלא נשא בשורות עבור הנאשם,</w:t>
      </w:r>
      <w:r>
        <w:rPr>
          <w:rFonts w:ascii="FrankRuehl" w:hAnsi="FrankRuehl" w:cs="FrankRuehl"/>
          <w:sz w:val="28"/>
          <w:szCs w:val="28"/>
          <w:rtl/>
        </w:rPr>
        <w:t xml:space="preserve"> ב</w:t>
      </w:r>
      <w:r>
        <w:rPr>
          <w:rFonts w:ascii="FrankRuehl" w:hAnsi="FrankRuehl" w:cs="FrankRuehl" w:hint="cs"/>
          <w:sz w:val="28"/>
          <w:szCs w:val="28"/>
          <w:rtl/>
        </w:rPr>
        <w:t>י</w:t>
      </w:r>
      <w:r>
        <w:rPr>
          <w:rFonts w:ascii="FrankRuehl" w:hAnsi="FrankRuehl" w:cs="FrankRuehl"/>
          <w:sz w:val="28"/>
          <w:szCs w:val="28"/>
          <w:rtl/>
        </w:rPr>
        <w:t>קש הנאשם כי תינתן לו הזדמנות נוספת להוכיח כי הוא מסוגל לשמור על ניקיון מסמים ולשתף פעולה עם שירות המבחן</w:t>
      </w:r>
      <w:r>
        <w:rPr>
          <w:rFonts w:ascii="FrankRuehl" w:hAnsi="FrankRuehl" w:cs="FrankRuehl" w:hint="cs"/>
          <w:sz w:val="28"/>
          <w:szCs w:val="28"/>
          <w:rtl/>
        </w:rPr>
        <w:t>. לאחר שמצאתי להיעתר לבקשתו, הופנה</w:t>
      </w:r>
      <w:r>
        <w:rPr>
          <w:rFonts w:ascii="FrankRuehl" w:hAnsi="FrankRuehl" w:cs="FrankRuehl"/>
          <w:sz w:val="28"/>
          <w:szCs w:val="28"/>
          <w:rtl/>
        </w:rPr>
        <w:t xml:space="preserve"> </w:t>
      </w:r>
      <w:r>
        <w:rPr>
          <w:rFonts w:ascii="FrankRuehl" w:hAnsi="FrankRuehl" w:cs="FrankRuehl" w:hint="cs"/>
          <w:sz w:val="28"/>
          <w:szCs w:val="28"/>
          <w:rtl/>
        </w:rPr>
        <w:t xml:space="preserve">הנאשם </w:t>
      </w:r>
      <w:r>
        <w:rPr>
          <w:rFonts w:ascii="FrankRuehl" w:hAnsi="FrankRuehl" w:cs="FrankRuehl"/>
          <w:sz w:val="28"/>
          <w:szCs w:val="28"/>
          <w:rtl/>
        </w:rPr>
        <w:t>בשנית לשירות המבחן</w:t>
      </w:r>
      <w:r>
        <w:rPr>
          <w:rFonts w:ascii="FrankRuehl" w:hAnsi="FrankRuehl" w:cs="FrankRuehl" w:hint="cs"/>
          <w:sz w:val="28"/>
          <w:szCs w:val="28"/>
          <w:rtl/>
        </w:rPr>
        <w:t>,</w:t>
      </w:r>
      <w:r>
        <w:rPr>
          <w:rFonts w:ascii="FrankRuehl" w:hAnsi="FrankRuehl" w:cs="FrankRuehl"/>
          <w:sz w:val="28"/>
          <w:szCs w:val="28"/>
          <w:rtl/>
        </w:rPr>
        <w:t xml:space="preserve"> אלא שבתסקיר המשלים מיום 21.11.2021 שב שירות המבחן על </w:t>
      </w:r>
      <w:r>
        <w:rPr>
          <w:rFonts w:ascii="FrankRuehl" w:hAnsi="FrankRuehl" w:cs="FrankRuehl" w:hint="cs"/>
          <w:sz w:val="28"/>
          <w:szCs w:val="28"/>
          <w:rtl/>
        </w:rPr>
        <w:t>מסקנתו</w:t>
      </w:r>
      <w:r>
        <w:rPr>
          <w:rFonts w:ascii="FrankRuehl" w:hAnsi="FrankRuehl" w:cs="FrankRuehl"/>
          <w:sz w:val="28"/>
          <w:szCs w:val="28"/>
          <w:rtl/>
        </w:rPr>
        <w:t xml:space="preserve"> הקודמ</w:t>
      </w:r>
      <w:r>
        <w:rPr>
          <w:rFonts w:ascii="FrankRuehl" w:hAnsi="FrankRuehl" w:cs="FrankRuehl" w:hint="cs"/>
          <w:sz w:val="28"/>
          <w:szCs w:val="28"/>
          <w:rtl/>
        </w:rPr>
        <w:t>ת,</w:t>
      </w:r>
      <w:r>
        <w:rPr>
          <w:rFonts w:ascii="FrankRuehl" w:hAnsi="FrankRuehl" w:cs="FrankRuehl"/>
          <w:sz w:val="28"/>
          <w:szCs w:val="28"/>
          <w:rtl/>
        </w:rPr>
        <w:t xml:space="preserve"> ו</w:t>
      </w:r>
      <w:r>
        <w:rPr>
          <w:rFonts w:ascii="FrankRuehl" w:hAnsi="FrankRuehl" w:cs="FrankRuehl" w:hint="cs"/>
          <w:sz w:val="28"/>
          <w:szCs w:val="28"/>
          <w:rtl/>
        </w:rPr>
        <w:t xml:space="preserve">אף </w:t>
      </w:r>
      <w:r>
        <w:rPr>
          <w:rFonts w:ascii="FrankRuehl" w:hAnsi="FrankRuehl" w:cs="FrankRuehl"/>
          <w:sz w:val="28"/>
          <w:szCs w:val="28"/>
          <w:rtl/>
        </w:rPr>
        <w:t xml:space="preserve">ביתר שאת. מהתסקיר עולה כי במהלך תקופת הדחייה ניתק הנאשם קשר עם שירות המבחן, לא ענה לפניותיו, לא התייצב לפגישות ולבדיקות שתן אליהן זומן באמצעות בא כוחו וכשלבסוף נוצר עמו קשר וניתנה לו הזדמנות נוספת להתייצב לפגישה ולבדיקות שתן – גם לאלו לא הגיע. לאור האמור, חזר שירות המבחן </w:t>
      </w:r>
      <w:r>
        <w:rPr>
          <w:rFonts w:ascii="FrankRuehl" w:hAnsi="FrankRuehl" w:cs="FrankRuehl" w:hint="cs"/>
          <w:sz w:val="28"/>
          <w:szCs w:val="28"/>
          <w:rtl/>
        </w:rPr>
        <w:t>וציין</w:t>
      </w:r>
      <w:r>
        <w:rPr>
          <w:rFonts w:ascii="FrankRuehl" w:hAnsi="FrankRuehl" w:cs="FrankRuehl"/>
          <w:sz w:val="28"/>
          <w:szCs w:val="28"/>
          <w:rtl/>
        </w:rPr>
        <w:t xml:space="preserve"> </w:t>
      </w:r>
      <w:r>
        <w:rPr>
          <w:rFonts w:ascii="FrankRuehl" w:hAnsi="FrankRuehl" w:cs="FrankRuehl" w:hint="cs"/>
          <w:sz w:val="28"/>
          <w:szCs w:val="28"/>
          <w:rtl/>
        </w:rPr>
        <w:t>ש</w:t>
      </w:r>
      <w:r>
        <w:rPr>
          <w:rFonts w:ascii="FrankRuehl" w:hAnsi="FrankRuehl" w:cs="FrankRuehl"/>
          <w:sz w:val="28"/>
          <w:szCs w:val="28"/>
          <w:rtl/>
        </w:rPr>
        <w:t>אין טעם בהמשך מעורבות</w:t>
      </w:r>
      <w:r>
        <w:rPr>
          <w:rFonts w:ascii="FrankRuehl" w:hAnsi="FrankRuehl" w:cs="FrankRuehl" w:hint="cs"/>
          <w:sz w:val="28"/>
          <w:szCs w:val="28"/>
          <w:rtl/>
        </w:rPr>
        <w:t xml:space="preserve"> טיפולית</w:t>
      </w:r>
      <w:r>
        <w:rPr>
          <w:rFonts w:ascii="FrankRuehl" w:hAnsi="FrankRuehl" w:cs="FrankRuehl"/>
          <w:sz w:val="28"/>
          <w:szCs w:val="28"/>
          <w:rtl/>
        </w:rPr>
        <w:t>.</w:t>
      </w:r>
    </w:p>
    <w:p w14:paraId="6E6993C3" w14:textId="77777777" w:rsidR="00714FCA" w:rsidRDefault="00714FCA" w:rsidP="00714FCA">
      <w:pPr>
        <w:spacing w:after="480" w:line="360" w:lineRule="auto"/>
        <w:jc w:val="both"/>
        <w:rPr>
          <w:rFonts w:ascii="FrankRuehl" w:hAnsi="FrankRuehl" w:cs="FrankRuehl"/>
          <w:sz w:val="28"/>
          <w:szCs w:val="28"/>
          <w:rtl/>
        </w:rPr>
      </w:pPr>
      <w:r>
        <w:rPr>
          <w:rFonts w:ascii="FrankRuehl" w:hAnsi="FrankRuehl" w:cs="FrankRuehl" w:hint="cs"/>
          <w:sz w:val="28"/>
          <w:szCs w:val="28"/>
          <w:rtl/>
        </w:rPr>
        <w:t>15.</w:t>
      </w:r>
      <w:r>
        <w:rPr>
          <w:rFonts w:ascii="FrankRuehl" w:hAnsi="FrankRuehl" w:cs="FrankRuehl" w:hint="cs"/>
          <w:sz w:val="28"/>
          <w:szCs w:val="28"/>
          <w:rtl/>
        </w:rPr>
        <w:tab/>
      </w:r>
      <w:r>
        <w:rPr>
          <w:rFonts w:ascii="FrankRuehl" w:hAnsi="FrankRuehl" w:cs="FrankRuehl"/>
          <w:sz w:val="28"/>
          <w:szCs w:val="28"/>
          <w:rtl/>
        </w:rPr>
        <w:t>הנה כי כן, מ</w:t>
      </w:r>
      <w:r>
        <w:rPr>
          <w:rFonts w:ascii="FrankRuehl" w:hAnsi="FrankRuehl" w:cs="FrankRuehl" w:hint="cs"/>
          <w:sz w:val="28"/>
          <w:szCs w:val="28"/>
          <w:rtl/>
        </w:rPr>
        <w:t>שני ה</w:t>
      </w:r>
      <w:r>
        <w:rPr>
          <w:rFonts w:ascii="FrankRuehl" w:hAnsi="FrankRuehl" w:cs="FrankRuehl"/>
          <w:sz w:val="28"/>
          <w:szCs w:val="28"/>
          <w:rtl/>
        </w:rPr>
        <w:t>תסקירי</w:t>
      </w:r>
      <w:r>
        <w:rPr>
          <w:rFonts w:ascii="FrankRuehl" w:hAnsi="FrankRuehl" w:cs="FrankRuehl" w:hint="cs"/>
          <w:sz w:val="28"/>
          <w:szCs w:val="28"/>
          <w:rtl/>
        </w:rPr>
        <w:t>ם</w:t>
      </w:r>
      <w:r>
        <w:rPr>
          <w:rFonts w:ascii="FrankRuehl" w:hAnsi="FrankRuehl" w:cs="FrankRuehl"/>
          <w:sz w:val="28"/>
          <w:szCs w:val="28"/>
          <w:rtl/>
        </w:rPr>
        <w:t xml:space="preserve"> מצטיירת תמונה של נאשם </w:t>
      </w:r>
      <w:r>
        <w:rPr>
          <w:rFonts w:ascii="FrankRuehl" w:hAnsi="FrankRuehl" w:cs="FrankRuehl" w:hint="cs"/>
          <w:sz w:val="28"/>
          <w:szCs w:val="28"/>
          <w:rtl/>
        </w:rPr>
        <w:t>שעל אף ש</w:t>
      </w:r>
      <w:r>
        <w:rPr>
          <w:rFonts w:ascii="FrankRuehl" w:hAnsi="FrankRuehl" w:cs="FrankRuehl"/>
          <w:sz w:val="28"/>
          <w:szCs w:val="28"/>
          <w:rtl/>
        </w:rPr>
        <w:t xml:space="preserve">מהווה סיכון של ממש לסביבתו, </w:t>
      </w:r>
      <w:r>
        <w:rPr>
          <w:rFonts w:ascii="FrankRuehl" w:hAnsi="FrankRuehl" w:cs="FrankRuehl" w:hint="cs"/>
          <w:sz w:val="28"/>
          <w:szCs w:val="28"/>
          <w:rtl/>
        </w:rPr>
        <w:t>הוא</w:t>
      </w:r>
      <w:r>
        <w:rPr>
          <w:rFonts w:ascii="FrankRuehl" w:hAnsi="FrankRuehl" w:cs="FrankRuehl"/>
          <w:sz w:val="28"/>
          <w:szCs w:val="28"/>
          <w:rtl/>
        </w:rPr>
        <w:t xml:space="preserve"> אינו מכיר בכך ואינו מעוניין לשקם </w:t>
      </w:r>
      <w:r>
        <w:rPr>
          <w:rFonts w:ascii="FrankRuehl" w:hAnsi="FrankRuehl" w:cs="FrankRuehl" w:hint="cs"/>
          <w:sz w:val="28"/>
          <w:szCs w:val="28"/>
          <w:rtl/>
        </w:rPr>
        <w:t xml:space="preserve">את </w:t>
      </w:r>
      <w:r>
        <w:rPr>
          <w:rFonts w:ascii="FrankRuehl" w:hAnsi="FrankRuehl" w:cs="FrankRuehl"/>
          <w:sz w:val="28"/>
          <w:szCs w:val="28"/>
          <w:rtl/>
        </w:rPr>
        <w:t xml:space="preserve">עצמו. </w:t>
      </w:r>
      <w:r>
        <w:rPr>
          <w:rFonts w:ascii="FrankRuehl" w:hAnsi="FrankRuehl" w:cs="FrankRuehl" w:hint="cs"/>
          <w:sz w:val="28"/>
          <w:szCs w:val="28"/>
          <w:rtl/>
        </w:rPr>
        <w:t xml:space="preserve">בשים לב למסוכנות הנשקפת מהנאשם, עברו הפלילי המכביד ויתר הנימוקים שצוינו לחומרה, </w:t>
      </w:r>
      <w:r>
        <w:rPr>
          <w:rFonts w:ascii="FrankRuehl" w:hAnsi="FrankRuehl" w:cs="FrankRuehl"/>
          <w:sz w:val="28"/>
          <w:szCs w:val="28"/>
          <w:rtl/>
        </w:rPr>
        <w:t>מצאתי להטיל על הנאשם עונש מוחשי ומרתיע. ב</w:t>
      </w:r>
      <w:r>
        <w:rPr>
          <w:rFonts w:ascii="FrankRuehl" w:hAnsi="FrankRuehl" w:cs="FrankRuehl" w:hint="cs"/>
          <w:sz w:val="28"/>
          <w:szCs w:val="28"/>
          <w:rtl/>
        </w:rPr>
        <w:t>נסיבותיו של הנאשם לא מצאתי שהטלת קנס כספי בלבד כעונש עיקרי הולמת את נסיבות המקרה, בפרט כאשר הטלת עונש מעין זה כעונש עיקרי משמעותה חריגה ממתחם הענישה ללא כל הצדקה בחוק.</w:t>
      </w:r>
      <w:r>
        <w:rPr>
          <w:rFonts w:ascii="FrankRuehl" w:hAnsi="FrankRuehl" w:cs="FrankRuehl"/>
          <w:sz w:val="28"/>
          <w:szCs w:val="28"/>
          <w:rtl/>
        </w:rPr>
        <w:t xml:space="preserve"> לצד האמור, יש ליתן את הדעת להודאת הנאשם, </w:t>
      </w:r>
      <w:r>
        <w:rPr>
          <w:rFonts w:ascii="FrankRuehl" w:hAnsi="FrankRuehl" w:cs="FrankRuehl" w:hint="cs"/>
          <w:sz w:val="28"/>
          <w:szCs w:val="28"/>
          <w:rtl/>
        </w:rPr>
        <w:t>ל</w:t>
      </w:r>
      <w:r>
        <w:rPr>
          <w:rFonts w:ascii="FrankRuehl" w:hAnsi="FrankRuehl" w:cs="FrankRuehl"/>
          <w:sz w:val="28"/>
          <w:szCs w:val="28"/>
          <w:rtl/>
        </w:rPr>
        <w:t>נטילת האחריות ו</w:t>
      </w:r>
      <w:r>
        <w:rPr>
          <w:rFonts w:ascii="FrankRuehl" w:hAnsi="FrankRuehl" w:cs="FrankRuehl" w:hint="cs"/>
          <w:sz w:val="28"/>
          <w:szCs w:val="28"/>
          <w:rtl/>
        </w:rPr>
        <w:t>ל</w:t>
      </w:r>
      <w:r>
        <w:rPr>
          <w:rFonts w:ascii="FrankRuehl" w:hAnsi="FrankRuehl" w:cs="FrankRuehl"/>
          <w:sz w:val="28"/>
          <w:szCs w:val="28"/>
          <w:rtl/>
        </w:rPr>
        <w:t>חיסכון בזמן שיפוטי.</w:t>
      </w:r>
    </w:p>
    <w:p w14:paraId="6356891D" w14:textId="77777777" w:rsidR="00714FCA" w:rsidRPr="009C6BA0" w:rsidRDefault="00714FCA" w:rsidP="00714FCA">
      <w:pPr>
        <w:spacing w:after="480" w:line="360" w:lineRule="auto"/>
        <w:jc w:val="both"/>
        <w:rPr>
          <w:rFonts w:ascii="FrankRuehl" w:hAnsi="FrankRuehl" w:cs="FrankRuehl"/>
          <w:sz w:val="28"/>
          <w:szCs w:val="28"/>
          <w:rtl/>
        </w:rPr>
      </w:pPr>
      <w:r>
        <w:rPr>
          <w:rFonts w:ascii="FrankRuehl" w:hAnsi="FrankRuehl" w:cs="FrankRuehl" w:hint="cs"/>
          <w:sz w:val="28"/>
          <w:szCs w:val="28"/>
          <w:rtl/>
        </w:rPr>
        <w:t>16.</w:t>
      </w:r>
      <w:r>
        <w:rPr>
          <w:rFonts w:ascii="FrankRuehl" w:hAnsi="FrankRuehl" w:cs="FrankRuehl" w:hint="cs"/>
          <w:sz w:val="28"/>
          <w:szCs w:val="28"/>
          <w:rtl/>
        </w:rPr>
        <w:tab/>
      </w:r>
      <w:r w:rsidRPr="009C6BA0">
        <w:rPr>
          <w:rFonts w:ascii="FrankRuehl" w:hAnsi="FrankRuehl" w:cs="FrankRuehl"/>
          <w:sz w:val="28"/>
          <w:szCs w:val="28"/>
          <w:rtl/>
        </w:rPr>
        <w:t xml:space="preserve">אשר על כן מצאתי </w:t>
      </w:r>
      <w:r>
        <w:rPr>
          <w:rFonts w:ascii="FrankRuehl" w:hAnsi="FrankRuehl" w:cs="FrankRuehl" w:hint="cs"/>
          <w:sz w:val="28"/>
          <w:szCs w:val="28"/>
          <w:rtl/>
        </w:rPr>
        <w:t>למקם את עונשו של הנאשם בחלקו המרכזי של המתחם העונשי ו</w:t>
      </w:r>
      <w:r w:rsidRPr="009C6BA0">
        <w:rPr>
          <w:rFonts w:ascii="FrankRuehl" w:hAnsi="FrankRuehl" w:cs="FrankRuehl"/>
          <w:sz w:val="28"/>
          <w:szCs w:val="28"/>
          <w:rtl/>
        </w:rPr>
        <w:t>לגזור על</w:t>
      </w:r>
      <w:r>
        <w:rPr>
          <w:rFonts w:ascii="FrankRuehl" w:hAnsi="FrankRuehl" w:cs="FrankRuehl" w:hint="cs"/>
          <w:sz w:val="28"/>
          <w:szCs w:val="28"/>
          <w:rtl/>
        </w:rPr>
        <w:t>יו</w:t>
      </w:r>
      <w:r w:rsidRPr="009C6BA0">
        <w:rPr>
          <w:rFonts w:ascii="FrankRuehl" w:hAnsi="FrankRuehl" w:cs="FrankRuehl"/>
          <w:sz w:val="28"/>
          <w:szCs w:val="28"/>
          <w:rtl/>
        </w:rPr>
        <w:t xml:space="preserve"> את העונשים הבאים:</w:t>
      </w:r>
    </w:p>
    <w:p w14:paraId="09D6FF52" w14:textId="77777777" w:rsidR="00714FCA" w:rsidRDefault="00714FCA" w:rsidP="00714FCA">
      <w:pPr>
        <w:pStyle w:val="a9"/>
        <w:numPr>
          <w:ilvl w:val="0"/>
          <w:numId w:val="1"/>
        </w:numPr>
        <w:spacing w:after="480" w:line="360" w:lineRule="auto"/>
        <w:ind w:left="714" w:hanging="357"/>
        <w:contextualSpacing w:val="0"/>
        <w:jc w:val="both"/>
        <w:rPr>
          <w:rFonts w:ascii="FrankRuehl" w:hAnsi="FrankRuehl" w:cs="FrankRuehl"/>
          <w:sz w:val="28"/>
          <w:szCs w:val="28"/>
        </w:rPr>
      </w:pPr>
      <w:r>
        <w:rPr>
          <w:rFonts w:ascii="FrankRuehl" w:hAnsi="FrankRuehl" w:cs="FrankRuehl" w:hint="cs"/>
          <w:sz w:val="28"/>
          <w:szCs w:val="28"/>
          <w:rtl/>
        </w:rPr>
        <w:t xml:space="preserve">5 </w:t>
      </w:r>
      <w:r>
        <w:rPr>
          <w:rFonts w:ascii="FrankRuehl" w:hAnsi="FrankRuehl" w:cs="FrankRuehl"/>
          <w:sz w:val="28"/>
          <w:szCs w:val="28"/>
          <w:rtl/>
        </w:rPr>
        <w:t xml:space="preserve">חודשי מאסר </w:t>
      </w:r>
      <w:r>
        <w:rPr>
          <w:rFonts w:ascii="FrankRuehl" w:hAnsi="FrankRuehl" w:cs="FrankRuehl" w:hint="cs"/>
          <w:sz w:val="28"/>
          <w:szCs w:val="28"/>
          <w:rtl/>
        </w:rPr>
        <w:t>אותם ירצה בדרך של עבודות שירות.</w:t>
      </w:r>
    </w:p>
    <w:p w14:paraId="180DA1D7" w14:textId="77777777" w:rsidR="00714FCA" w:rsidRDefault="00714FCA" w:rsidP="00714FCA">
      <w:pPr>
        <w:pStyle w:val="a9"/>
        <w:spacing w:after="480" w:line="360" w:lineRule="auto"/>
        <w:ind w:left="714"/>
        <w:contextualSpacing w:val="0"/>
        <w:jc w:val="both"/>
        <w:rPr>
          <w:rFonts w:ascii="FrankRuehl" w:hAnsi="FrankRuehl" w:cs="FrankRuehl"/>
          <w:sz w:val="28"/>
          <w:szCs w:val="28"/>
          <w:rtl/>
        </w:rPr>
      </w:pPr>
      <w:r>
        <w:rPr>
          <w:rFonts w:ascii="FrankRuehl" w:hAnsi="FrankRuehl" w:cs="FrankRuehl" w:hint="cs"/>
          <w:sz w:val="28"/>
          <w:szCs w:val="28"/>
          <w:rtl/>
        </w:rPr>
        <w:t>הנאשם ירצה עונש זה החל מיום 16.5.2022 בעירית חדרה ברח' הרצל 73, חדרה. במועד זה על הנאשם להתייצב לצורך קליטה והצבה במשרדי הממונה על עבודות השירות שלוחת צפון (סמוך לבית סוהר מגידו) לא יאוחר מהשעה 08:00.</w:t>
      </w:r>
    </w:p>
    <w:p w14:paraId="5E067FA8" w14:textId="77777777" w:rsidR="00714FCA" w:rsidRDefault="00714FCA" w:rsidP="00714FCA">
      <w:pPr>
        <w:pStyle w:val="a9"/>
        <w:spacing w:after="480" w:line="360" w:lineRule="auto"/>
        <w:ind w:left="714"/>
        <w:contextualSpacing w:val="0"/>
        <w:jc w:val="both"/>
        <w:rPr>
          <w:rFonts w:ascii="FrankRuehl" w:hAnsi="FrankRuehl" w:cs="FrankRuehl"/>
          <w:sz w:val="28"/>
          <w:szCs w:val="28"/>
          <w:rtl/>
        </w:rPr>
      </w:pPr>
      <w:r>
        <w:rPr>
          <w:rFonts w:ascii="FrankRuehl" w:hAnsi="FrankRuehl" w:cs="FrankRuehl" w:hint="cs"/>
          <w:sz w:val="28"/>
          <w:szCs w:val="28"/>
          <w:rtl/>
        </w:rPr>
        <w:t>מובהר לנאשם שככל שלא יעמוד בתנאי מקום ההצבה או לא ישתף פעולה עם הממונה, יכול והדבר יוביל להפקעת עבודות השירות ולריצוי יתרת התקופה בדרך של מאסר בין כתלי הכלא.</w:t>
      </w:r>
    </w:p>
    <w:p w14:paraId="3A5C45F8" w14:textId="77777777" w:rsidR="00714FCA" w:rsidRPr="009C6BA0" w:rsidRDefault="00714FCA" w:rsidP="00714FCA">
      <w:pPr>
        <w:pStyle w:val="a9"/>
        <w:spacing w:after="480" w:line="360" w:lineRule="auto"/>
        <w:ind w:left="714"/>
        <w:contextualSpacing w:val="0"/>
        <w:jc w:val="both"/>
        <w:rPr>
          <w:rFonts w:ascii="FrankRuehl" w:hAnsi="FrankRuehl" w:cs="FrankRuehl"/>
          <w:sz w:val="28"/>
          <w:szCs w:val="28"/>
        </w:rPr>
      </w:pPr>
      <w:r>
        <w:rPr>
          <w:rFonts w:ascii="FrankRuehl" w:hAnsi="FrankRuehl" w:cs="FrankRuehl" w:hint="cs"/>
          <w:sz w:val="28"/>
          <w:szCs w:val="28"/>
          <w:rtl/>
        </w:rPr>
        <w:t>מחוות הדעת עולה שהנאשם הבין, הסכים והתחייב לעמוד בכללים ובתנאים לריצוי המאסר בעבודות שירות.</w:t>
      </w:r>
    </w:p>
    <w:p w14:paraId="00F51131" w14:textId="77777777" w:rsidR="00714FCA" w:rsidRDefault="00714FCA" w:rsidP="00714FCA">
      <w:pPr>
        <w:pStyle w:val="a9"/>
        <w:numPr>
          <w:ilvl w:val="0"/>
          <w:numId w:val="1"/>
        </w:numPr>
        <w:spacing w:after="480" w:line="360" w:lineRule="auto"/>
        <w:ind w:left="714" w:hanging="357"/>
        <w:contextualSpacing w:val="0"/>
        <w:jc w:val="both"/>
        <w:rPr>
          <w:rFonts w:ascii="FrankRuehl" w:hAnsi="FrankRuehl" w:cs="FrankRuehl"/>
          <w:sz w:val="28"/>
          <w:szCs w:val="28"/>
        </w:rPr>
      </w:pPr>
      <w:r w:rsidRPr="00C942B9">
        <w:rPr>
          <w:rFonts w:ascii="FrankRuehl" w:hAnsi="FrankRuehl" w:cs="FrankRuehl"/>
          <w:sz w:val="28"/>
          <w:szCs w:val="28"/>
          <w:rtl/>
        </w:rPr>
        <w:t xml:space="preserve">6 חודשי מאסר אותם לא ירצה </w:t>
      </w:r>
      <w:r>
        <w:rPr>
          <w:rFonts w:ascii="FrankRuehl" w:hAnsi="FrankRuehl" w:cs="FrankRuehl"/>
          <w:sz w:val="28"/>
          <w:szCs w:val="28"/>
          <w:rtl/>
        </w:rPr>
        <w:t>הנאשם אלא אם יעבור בתוך שלוש שנים מיום שחרורו ממאסר על עבירות סמים מסוג פשע.</w:t>
      </w:r>
    </w:p>
    <w:p w14:paraId="54A12CF6" w14:textId="77777777" w:rsidR="00714FCA" w:rsidRDefault="00714FCA" w:rsidP="00714FCA">
      <w:pPr>
        <w:pStyle w:val="a9"/>
        <w:numPr>
          <w:ilvl w:val="0"/>
          <w:numId w:val="1"/>
        </w:numPr>
        <w:spacing w:after="480" w:line="360" w:lineRule="auto"/>
        <w:ind w:left="714" w:hanging="357"/>
        <w:contextualSpacing w:val="0"/>
        <w:jc w:val="both"/>
        <w:rPr>
          <w:rFonts w:ascii="FrankRuehl" w:hAnsi="FrankRuehl" w:cs="FrankRuehl"/>
          <w:sz w:val="28"/>
          <w:szCs w:val="28"/>
          <w:rtl/>
        </w:rPr>
      </w:pPr>
      <w:r>
        <w:rPr>
          <w:rFonts w:ascii="FrankRuehl" w:hAnsi="FrankRuehl" w:cs="FrankRuehl" w:hint="cs"/>
          <w:sz w:val="28"/>
          <w:szCs w:val="28"/>
          <w:rtl/>
        </w:rPr>
        <w:t>2</w:t>
      </w:r>
      <w:r>
        <w:rPr>
          <w:rFonts w:ascii="FrankRuehl" w:hAnsi="FrankRuehl" w:cs="FrankRuehl"/>
          <w:sz w:val="28"/>
          <w:szCs w:val="28"/>
          <w:rtl/>
        </w:rPr>
        <w:t xml:space="preserve"> חודשי מאסר אותם לא ירצה הנאשם אלא אם יעבור בתוך שלוש שנים מיום שחרורו ממאסר על עבירות סמים מסוג עוון.</w:t>
      </w:r>
    </w:p>
    <w:p w14:paraId="4646C0FE" w14:textId="77777777" w:rsidR="00714FCA" w:rsidRDefault="00714FCA" w:rsidP="00714FCA">
      <w:pPr>
        <w:pStyle w:val="a9"/>
        <w:numPr>
          <w:ilvl w:val="0"/>
          <w:numId w:val="1"/>
        </w:numPr>
        <w:spacing w:after="480" w:line="360" w:lineRule="auto"/>
        <w:ind w:left="714" w:hanging="357"/>
        <w:contextualSpacing w:val="0"/>
        <w:jc w:val="both"/>
        <w:rPr>
          <w:rFonts w:ascii="FrankRuehl" w:hAnsi="FrankRuehl" w:cs="FrankRuehl"/>
          <w:sz w:val="28"/>
          <w:szCs w:val="28"/>
          <w:rtl/>
        </w:rPr>
      </w:pPr>
      <w:r>
        <w:rPr>
          <w:rFonts w:ascii="FrankRuehl" w:hAnsi="FrankRuehl" w:cs="FrankRuehl"/>
          <w:sz w:val="28"/>
          <w:szCs w:val="28"/>
          <w:rtl/>
        </w:rPr>
        <w:t xml:space="preserve">קנס בסך 2,000 ₪ או </w:t>
      </w:r>
      <w:r>
        <w:rPr>
          <w:rFonts w:ascii="FrankRuehl" w:hAnsi="FrankRuehl" w:cs="FrankRuehl" w:hint="cs"/>
          <w:sz w:val="28"/>
          <w:szCs w:val="28"/>
          <w:rtl/>
        </w:rPr>
        <w:t>20 ימי</w:t>
      </w:r>
      <w:r>
        <w:rPr>
          <w:rFonts w:ascii="FrankRuehl" w:hAnsi="FrankRuehl" w:cs="FrankRuehl"/>
          <w:sz w:val="28"/>
          <w:szCs w:val="28"/>
          <w:rtl/>
        </w:rPr>
        <w:t xml:space="preserve"> מאסר תמורתו. הקנס ישולם ב- 2 תשלומים חודשיים שווים ורצופים, </w:t>
      </w:r>
      <w:r>
        <w:rPr>
          <w:rFonts w:ascii="FrankRuehl" w:hAnsi="FrankRuehl" w:cs="FrankRuehl" w:hint="cs"/>
          <w:sz w:val="28"/>
          <w:szCs w:val="28"/>
          <w:rtl/>
        </w:rPr>
        <w:t>התשלום הראשון ישולם עד ליום</w:t>
      </w:r>
      <w:r>
        <w:rPr>
          <w:rFonts w:ascii="FrankRuehl" w:hAnsi="FrankRuehl" w:cs="FrankRuehl"/>
          <w:sz w:val="28"/>
          <w:szCs w:val="28"/>
          <w:rtl/>
        </w:rPr>
        <w:t xml:space="preserve"> 1.3.</w:t>
      </w:r>
      <w:r>
        <w:rPr>
          <w:rFonts w:ascii="FrankRuehl" w:hAnsi="FrankRuehl" w:cs="FrankRuehl" w:hint="cs"/>
          <w:sz w:val="28"/>
          <w:szCs w:val="28"/>
          <w:rtl/>
        </w:rPr>
        <w:t>20</w:t>
      </w:r>
      <w:r>
        <w:rPr>
          <w:rFonts w:ascii="FrankRuehl" w:hAnsi="FrankRuehl" w:cs="FrankRuehl"/>
          <w:sz w:val="28"/>
          <w:szCs w:val="28"/>
          <w:rtl/>
        </w:rPr>
        <w:t>2</w:t>
      </w:r>
      <w:r>
        <w:rPr>
          <w:rFonts w:ascii="FrankRuehl" w:hAnsi="FrankRuehl" w:cs="FrankRuehl" w:hint="cs"/>
          <w:sz w:val="28"/>
          <w:szCs w:val="28"/>
          <w:rtl/>
        </w:rPr>
        <w:t>2</w:t>
      </w:r>
      <w:r>
        <w:rPr>
          <w:rFonts w:ascii="FrankRuehl" w:hAnsi="FrankRuehl" w:cs="FrankRuehl"/>
          <w:sz w:val="28"/>
          <w:szCs w:val="28"/>
          <w:rtl/>
        </w:rPr>
        <w:t xml:space="preserve"> </w:t>
      </w:r>
      <w:r>
        <w:rPr>
          <w:rFonts w:ascii="FrankRuehl" w:hAnsi="FrankRuehl" w:cs="FrankRuehl" w:hint="cs"/>
          <w:sz w:val="28"/>
          <w:szCs w:val="28"/>
          <w:rtl/>
        </w:rPr>
        <w:t>והתשלום השני עד ליום 1.4.2022</w:t>
      </w:r>
      <w:r>
        <w:rPr>
          <w:rFonts w:ascii="FrankRuehl" w:hAnsi="FrankRuehl" w:cs="FrankRuehl"/>
          <w:sz w:val="28"/>
          <w:szCs w:val="28"/>
          <w:rtl/>
        </w:rPr>
        <w:t xml:space="preserve">. לא ישולם </w:t>
      </w:r>
      <w:r>
        <w:rPr>
          <w:rFonts w:ascii="FrankRuehl" w:hAnsi="FrankRuehl" w:cs="FrankRuehl" w:hint="cs"/>
          <w:sz w:val="28"/>
          <w:szCs w:val="28"/>
          <w:rtl/>
        </w:rPr>
        <w:t>תשלום</w:t>
      </w:r>
      <w:r>
        <w:rPr>
          <w:rFonts w:ascii="FrankRuehl" w:hAnsi="FrankRuehl" w:cs="FrankRuehl"/>
          <w:sz w:val="28"/>
          <w:szCs w:val="28"/>
          <w:rtl/>
        </w:rPr>
        <w:t xml:space="preserve"> במועדו, תעמוד יתרת הקנס לפירעון מידי.</w:t>
      </w:r>
    </w:p>
    <w:p w14:paraId="2366BD99" w14:textId="77777777" w:rsidR="00714FCA" w:rsidRDefault="00714FCA" w:rsidP="00714FCA">
      <w:pPr>
        <w:pStyle w:val="a9"/>
        <w:numPr>
          <w:ilvl w:val="0"/>
          <w:numId w:val="1"/>
        </w:numPr>
        <w:spacing w:after="480" w:line="360" w:lineRule="auto"/>
        <w:ind w:left="714" w:hanging="357"/>
        <w:contextualSpacing w:val="0"/>
        <w:jc w:val="both"/>
        <w:rPr>
          <w:rFonts w:ascii="FrankRuehl" w:hAnsi="FrankRuehl" w:cs="FrankRuehl"/>
          <w:sz w:val="28"/>
          <w:szCs w:val="28"/>
          <w:rtl/>
        </w:rPr>
      </w:pPr>
      <w:r>
        <w:rPr>
          <w:rFonts w:ascii="FrankRuehl" w:hAnsi="FrankRuehl" w:cs="FrankRuehl"/>
          <w:sz w:val="28"/>
          <w:szCs w:val="28"/>
          <w:rtl/>
        </w:rPr>
        <w:t xml:space="preserve">הנאשם יפסל מלקבל ומלהחזיק רישיון נהיגה לתקופה של 6 חודשים, ואולם הנאשם לא יישא בעונש זה אלא אם יעבור בתוך 3 שנים </w:t>
      </w:r>
      <w:r>
        <w:rPr>
          <w:rFonts w:ascii="FrankRuehl" w:hAnsi="FrankRuehl" w:cs="FrankRuehl" w:hint="cs"/>
          <w:sz w:val="28"/>
          <w:szCs w:val="28"/>
          <w:rtl/>
        </w:rPr>
        <w:t xml:space="preserve">מיום שחרורו ממאסר על </w:t>
      </w:r>
      <w:r>
        <w:rPr>
          <w:rFonts w:ascii="FrankRuehl" w:hAnsi="FrankRuehl" w:cs="FrankRuehl"/>
          <w:sz w:val="28"/>
          <w:szCs w:val="28"/>
          <w:rtl/>
        </w:rPr>
        <w:t>עבירה ל</w:t>
      </w:r>
      <w:r>
        <w:rPr>
          <w:rFonts w:ascii="FrankRuehl" w:hAnsi="FrankRuehl" w:cs="FrankRuehl" w:hint="cs"/>
          <w:sz w:val="28"/>
          <w:szCs w:val="28"/>
          <w:rtl/>
        </w:rPr>
        <w:t>פי</w:t>
      </w:r>
      <w:r>
        <w:rPr>
          <w:rFonts w:ascii="FrankRuehl" w:hAnsi="FrankRuehl" w:cs="FrankRuehl"/>
          <w:sz w:val="28"/>
          <w:szCs w:val="28"/>
          <w:rtl/>
        </w:rPr>
        <w:t xml:space="preserve"> </w:t>
      </w:r>
      <w:hyperlink r:id="rId17" w:history="1">
        <w:r w:rsidR="005A4DD0" w:rsidRPr="005A4DD0">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w:t>
      </w:r>
    </w:p>
    <w:p w14:paraId="37844A95" w14:textId="77777777" w:rsidR="00714FCA" w:rsidRDefault="00714FCA" w:rsidP="00714FCA">
      <w:pPr>
        <w:spacing w:after="480" w:line="360" w:lineRule="auto"/>
        <w:jc w:val="both"/>
        <w:rPr>
          <w:rFonts w:ascii="FrankRuehl" w:hAnsi="FrankRuehl" w:cs="FrankRuehl"/>
          <w:sz w:val="28"/>
          <w:szCs w:val="28"/>
        </w:rPr>
      </w:pPr>
      <w:r>
        <w:rPr>
          <w:rFonts w:ascii="FrankRuehl" w:hAnsi="FrankRuehl" w:cs="FrankRuehl" w:hint="cs"/>
          <w:sz w:val="28"/>
          <w:szCs w:val="28"/>
          <w:rtl/>
        </w:rPr>
        <w:t>17.</w:t>
      </w:r>
      <w:r>
        <w:rPr>
          <w:rFonts w:ascii="FrankRuehl" w:hAnsi="FrankRuehl" w:cs="FrankRuehl" w:hint="cs"/>
          <w:sz w:val="28"/>
          <w:szCs w:val="28"/>
          <w:rtl/>
        </w:rPr>
        <w:tab/>
        <w:t>ניתן בזאת צ</w:t>
      </w:r>
      <w:r>
        <w:rPr>
          <w:rFonts w:ascii="FrankRuehl" w:hAnsi="FrankRuehl" w:cs="FrankRuehl"/>
          <w:sz w:val="28"/>
          <w:szCs w:val="28"/>
          <w:rtl/>
        </w:rPr>
        <w:t>ו כללי למוצגים.</w:t>
      </w:r>
      <w:r>
        <w:rPr>
          <w:rFonts w:ascii="FrankRuehl" w:hAnsi="FrankRuehl" w:cs="FrankRuehl" w:hint="cs"/>
          <w:sz w:val="28"/>
          <w:szCs w:val="28"/>
          <w:rtl/>
        </w:rPr>
        <w:t xml:space="preserve"> הסמים יושמדו.</w:t>
      </w:r>
    </w:p>
    <w:p w14:paraId="692E1237" w14:textId="77777777" w:rsidR="00714FCA" w:rsidRDefault="00714FCA" w:rsidP="00714FCA">
      <w:pPr>
        <w:spacing w:after="360" w:line="360" w:lineRule="auto"/>
        <w:jc w:val="both"/>
        <w:rPr>
          <w:rFonts w:cs="FrankRuehl"/>
          <w:sz w:val="28"/>
          <w:szCs w:val="28"/>
          <w:rtl/>
        </w:rPr>
      </w:pPr>
      <w:r>
        <w:rPr>
          <w:rFonts w:cs="FrankRuehl" w:hint="cs"/>
          <w:sz w:val="28"/>
          <w:szCs w:val="28"/>
          <w:rtl/>
        </w:rPr>
        <w:t>18.</w:t>
      </w:r>
      <w:r>
        <w:rPr>
          <w:rFonts w:cs="FrankRuehl" w:hint="cs"/>
          <w:sz w:val="28"/>
          <w:szCs w:val="28"/>
          <w:rtl/>
        </w:rPr>
        <w:tab/>
      </w:r>
      <w:r>
        <w:rPr>
          <w:rFonts w:cs="FrankRuehl"/>
          <w:sz w:val="28"/>
          <w:szCs w:val="28"/>
          <w:rtl/>
        </w:rPr>
        <w:t xml:space="preserve">ערבויות והפקדות שניתנו במסגרת </w:t>
      </w:r>
      <w:r>
        <w:rPr>
          <w:rFonts w:cs="FrankRuehl" w:hint="cs"/>
          <w:sz w:val="28"/>
          <w:szCs w:val="28"/>
          <w:rtl/>
        </w:rPr>
        <w:t xml:space="preserve">תיק זה או במסגרת </w:t>
      </w:r>
      <w:r>
        <w:rPr>
          <w:rFonts w:cs="FrankRuehl"/>
          <w:sz w:val="28"/>
          <w:szCs w:val="28"/>
          <w:rtl/>
        </w:rPr>
        <w:t>הליכי המעצר הקשורים לתיק זה יושבו לידי הנאשם, כפוף לכל מניעה חוקית אחרת, לרבות עיקול.</w:t>
      </w:r>
    </w:p>
    <w:p w14:paraId="277DAAE3" w14:textId="77777777" w:rsidR="00714FCA" w:rsidRDefault="00714FCA" w:rsidP="00714FCA">
      <w:pPr>
        <w:spacing w:after="360" w:line="360" w:lineRule="auto"/>
        <w:jc w:val="both"/>
        <w:rPr>
          <w:rFonts w:cs="FrankRuehl"/>
          <w:sz w:val="28"/>
          <w:szCs w:val="28"/>
          <w:rtl/>
        </w:rPr>
      </w:pPr>
    </w:p>
    <w:p w14:paraId="1B119751" w14:textId="77777777" w:rsidR="00714FCA" w:rsidRDefault="00714FCA" w:rsidP="00714FCA">
      <w:pPr>
        <w:spacing w:after="360" w:line="360" w:lineRule="auto"/>
        <w:jc w:val="both"/>
        <w:rPr>
          <w:rFonts w:cs="FrankRuehl"/>
          <w:sz w:val="28"/>
          <w:szCs w:val="28"/>
          <w:rtl/>
        </w:rPr>
      </w:pPr>
      <w:r>
        <w:rPr>
          <w:rFonts w:cs="FrankRuehl" w:hint="cs"/>
          <w:sz w:val="28"/>
          <w:szCs w:val="28"/>
          <w:rtl/>
        </w:rPr>
        <w:t>19.</w:t>
      </w:r>
      <w:r>
        <w:rPr>
          <w:rFonts w:cs="FrankRuehl" w:hint="cs"/>
          <w:sz w:val="28"/>
          <w:szCs w:val="28"/>
          <w:rtl/>
        </w:rPr>
        <w:tab/>
      </w:r>
      <w:r>
        <w:rPr>
          <w:rFonts w:cs="FrankRuehl"/>
          <w:sz w:val="28"/>
          <w:szCs w:val="28"/>
          <w:rtl/>
        </w:rPr>
        <w:t>המזכירות תעביר העתק גזר הדין לשירות המבחן</w:t>
      </w:r>
      <w:r>
        <w:rPr>
          <w:rFonts w:cs="FrankRuehl" w:hint="cs"/>
          <w:sz w:val="28"/>
          <w:szCs w:val="28"/>
          <w:rtl/>
        </w:rPr>
        <w:t xml:space="preserve"> ולממונה על עבודות השירות</w:t>
      </w:r>
      <w:r>
        <w:rPr>
          <w:rFonts w:cs="FrankRuehl"/>
          <w:sz w:val="28"/>
          <w:szCs w:val="28"/>
          <w:rtl/>
        </w:rPr>
        <w:t>.</w:t>
      </w:r>
    </w:p>
    <w:p w14:paraId="0CE6B188" w14:textId="77777777" w:rsidR="00714FCA" w:rsidRDefault="00714FCA" w:rsidP="00714FCA">
      <w:pPr>
        <w:spacing w:after="360" w:line="360" w:lineRule="auto"/>
        <w:jc w:val="both"/>
        <w:rPr>
          <w:rFonts w:cs="FrankRuehl"/>
          <w:sz w:val="28"/>
          <w:szCs w:val="28"/>
          <w:rtl/>
        </w:rPr>
      </w:pPr>
    </w:p>
    <w:p w14:paraId="09355D3D" w14:textId="77777777" w:rsidR="00714FCA" w:rsidRDefault="005A4DD0" w:rsidP="00714FCA">
      <w:pPr>
        <w:spacing w:after="360" w:line="360" w:lineRule="auto"/>
        <w:jc w:val="both"/>
        <w:rPr>
          <w:rFonts w:ascii="David" w:hAnsi="David" w:cs="FrankRuehl"/>
          <w:b/>
          <w:bCs/>
          <w:sz w:val="28"/>
          <w:szCs w:val="28"/>
          <w:rtl/>
        </w:rPr>
      </w:pPr>
      <w:r w:rsidRPr="005A4DD0">
        <w:rPr>
          <w:rFonts w:cs="FrankRuehl"/>
          <w:b/>
          <w:bCs/>
          <w:color w:val="FFFFFF"/>
          <w:sz w:val="2"/>
          <w:szCs w:val="2"/>
          <w:rtl/>
        </w:rPr>
        <w:t>5129371</w:t>
      </w:r>
      <w:r w:rsidR="00714FCA">
        <w:rPr>
          <w:rFonts w:cs="FrankRuehl"/>
          <w:b/>
          <w:bCs/>
          <w:sz w:val="28"/>
          <w:szCs w:val="28"/>
          <w:rtl/>
        </w:rPr>
        <w:t>זכות ערעור לבית המשפט המחוזי מרכז-לוד בתוך 45 ימים מהיום.</w:t>
      </w:r>
      <w:r w:rsidR="00714FCA">
        <w:rPr>
          <w:rFonts w:ascii="David" w:hAnsi="David" w:cs="FrankRuehl"/>
          <w:b/>
          <w:bCs/>
          <w:sz w:val="28"/>
          <w:szCs w:val="28"/>
          <w:rtl/>
        </w:rPr>
        <w:t xml:space="preserve"> </w:t>
      </w:r>
    </w:p>
    <w:p w14:paraId="5F46B4CA" w14:textId="77777777" w:rsidR="00714FCA" w:rsidRPr="005A4DD0" w:rsidRDefault="005A4DD0" w:rsidP="00714FCA">
      <w:pPr>
        <w:rPr>
          <w:rFonts w:ascii="Arial" w:hAnsi="Arial"/>
          <w:color w:val="FFFFFF"/>
          <w:sz w:val="2"/>
          <w:szCs w:val="2"/>
          <w:rtl/>
        </w:rPr>
      </w:pPr>
      <w:r w:rsidRPr="005A4DD0">
        <w:rPr>
          <w:rFonts w:ascii="Arial" w:hAnsi="Arial"/>
          <w:color w:val="FFFFFF"/>
          <w:sz w:val="2"/>
          <w:szCs w:val="2"/>
          <w:rtl/>
        </w:rPr>
        <w:t>54678313</w:t>
      </w:r>
    </w:p>
    <w:p w14:paraId="36929C19" w14:textId="77777777" w:rsidR="00714FCA" w:rsidRPr="00BF2440" w:rsidRDefault="00714FCA" w:rsidP="00714FCA">
      <w:pPr>
        <w:rPr>
          <w:rFonts w:ascii="Arial" w:hAnsi="Arial"/>
          <w:sz w:val="26"/>
          <w:szCs w:val="26"/>
          <w:rtl/>
        </w:rPr>
      </w:pPr>
    </w:p>
    <w:p w14:paraId="317B4872" w14:textId="77777777" w:rsidR="00714FCA" w:rsidRPr="000F2247" w:rsidRDefault="005A4DD0" w:rsidP="00714FCA">
      <w:pPr>
        <w:rPr>
          <w:rFonts w:ascii="Arial" w:hAnsi="Arial"/>
          <w:b/>
          <w:bCs/>
          <w:sz w:val="26"/>
          <w:szCs w:val="26"/>
          <w:rtl/>
        </w:rPr>
      </w:pPr>
      <w:bookmarkStart w:id="8" w:name="Nitan"/>
      <w:r>
        <w:rPr>
          <w:rFonts w:ascii="Arial" w:hAnsi="Arial"/>
          <w:sz w:val="26"/>
          <w:szCs w:val="26"/>
          <w:rtl/>
        </w:rPr>
        <w:t xml:space="preserve">ניתן היום,  ו' אדר א' תשפ"ב, 07 פברואר 2022, במעמד הצדדים. </w:t>
      </w:r>
      <w:bookmarkEnd w:id="8"/>
    </w:p>
    <w:p w14:paraId="6196FD54" w14:textId="77777777" w:rsidR="00714FCA" w:rsidRPr="000F2247" w:rsidRDefault="00714FCA" w:rsidP="005A4DD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8815707" w14:textId="77777777" w:rsidR="005A4DD0" w:rsidRDefault="00495B4F" w:rsidP="005A4DD0">
      <w:r w:rsidRPr="00495B4F">
        <w:rPr>
          <w:rFonts w:ascii="Arial" w:hAnsi="Arial"/>
          <w:b/>
          <w:bCs/>
          <w:color w:val="FFFFFF"/>
          <w:sz w:val="2"/>
          <w:szCs w:val="2"/>
          <w:rtl/>
        </w:rPr>
        <w:t>5129371</w:t>
      </w:r>
    </w:p>
    <w:p w14:paraId="14F4ADBE" w14:textId="77777777" w:rsidR="005A4DD0" w:rsidRDefault="005A4DD0" w:rsidP="005A4DD0">
      <w:pPr>
        <w:rPr>
          <w:rtl/>
        </w:rPr>
      </w:pPr>
    </w:p>
    <w:p w14:paraId="09BA11CB" w14:textId="77777777" w:rsidR="005A4DD0" w:rsidRDefault="005A4DD0" w:rsidP="005A4DD0">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42493BF6" w14:textId="77777777" w:rsidR="00495B4F" w:rsidRPr="00495B4F" w:rsidRDefault="00495B4F" w:rsidP="00495B4F">
      <w:pPr>
        <w:keepNext/>
        <w:rPr>
          <w:rFonts w:ascii="David" w:hAnsi="David"/>
          <w:color w:val="000000"/>
          <w:sz w:val="22"/>
          <w:szCs w:val="22"/>
          <w:rtl/>
        </w:rPr>
      </w:pPr>
    </w:p>
    <w:p w14:paraId="0E8E3472" w14:textId="77777777" w:rsidR="00495B4F" w:rsidRPr="00495B4F" w:rsidRDefault="00495B4F" w:rsidP="00495B4F">
      <w:pPr>
        <w:keepNext/>
        <w:rPr>
          <w:rFonts w:ascii="David" w:hAnsi="David"/>
          <w:color w:val="000000"/>
          <w:sz w:val="22"/>
          <w:szCs w:val="22"/>
          <w:rtl/>
        </w:rPr>
      </w:pPr>
      <w:r w:rsidRPr="00495B4F">
        <w:rPr>
          <w:rFonts w:ascii="David" w:hAnsi="David"/>
          <w:color w:val="000000"/>
          <w:sz w:val="22"/>
          <w:szCs w:val="22"/>
          <w:rtl/>
        </w:rPr>
        <w:t>עמית מיכלס 54678313-/</w:t>
      </w:r>
    </w:p>
    <w:p w14:paraId="007EB85C" w14:textId="77777777" w:rsidR="005A4DD0" w:rsidRPr="005A4DD0" w:rsidRDefault="00495B4F" w:rsidP="00495B4F">
      <w:pPr>
        <w:rPr>
          <w:color w:val="0000FF"/>
          <w:u w:val="single"/>
        </w:rPr>
      </w:pPr>
      <w:r w:rsidRPr="00495B4F">
        <w:rPr>
          <w:color w:val="000000"/>
          <w:u w:val="single"/>
          <w:rtl/>
        </w:rPr>
        <w:t>נוסח מסמך זה כפוף לשינויי ניסוח ועריכה</w:t>
      </w:r>
    </w:p>
    <w:sectPr w:rsidR="005A4DD0" w:rsidRPr="005A4DD0" w:rsidSect="00495B4F">
      <w:headerReference w:type="even" r:id="rId19"/>
      <w:headerReference w:type="default" r:id="rId20"/>
      <w:footerReference w:type="even" r:id="rId21"/>
      <w:footerReference w:type="default" r:id="rId22"/>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98933" w14:textId="77777777" w:rsidR="00EF1BEE" w:rsidRDefault="00EF1BEE" w:rsidP="006B0728">
      <w:r>
        <w:separator/>
      </w:r>
    </w:p>
  </w:endnote>
  <w:endnote w:type="continuationSeparator" w:id="0">
    <w:p w14:paraId="11567D33" w14:textId="77777777" w:rsidR="00EF1BEE" w:rsidRDefault="00EF1BEE" w:rsidP="006B0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ADE1C" w14:textId="77777777" w:rsidR="00495B4F" w:rsidRDefault="00495B4F" w:rsidP="00495B4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77E0EB" w14:textId="77777777" w:rsidR="00374301" w:rsidRPr="00495B4F" w:rsidRDefault="00495B4F" w:rsidP="00495B4F">
    <w:pPr>
      <w:pStyle w:val="a5"/>
      <w:pBdr>
        <w:top w:val="single" w:sz="4" w:space="1" w:color="auto"/>
        <w:between w:val="single" w:sz="4" w:space="0" w:color="auto"/>
      </w:pBdr>
      <w:spacing w:after="60"/>
      <w:jc w:val="center"/>
      <w:rPr>
        <w:rFonts w:ascii="FrankRuehl" w:hAnsi="FrankRuehl" w:cs="FrankRuehl"/>
        <w:color w:val="000000"/>
      </w:rPr>
    </w:pPr>
    <w:r w:rsidRPr="00495B4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A57A8" w14:textId="77777777" w:rsidR="00495B4F" w:rsidRDefault="00495B4F" w:rsidP="00495B4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777CD">
      <w:rPr>
        <w:rFonts w:ascii="FrankRuehl" w:hAnsi="FrankRuehl" w:cs="FrankRuehl"/>
        <w:noProof/>
        <w:rtl/>
      </w:rPr>
      <w:t>1</w:t>
    </w:r>
    <w:r>
      <w:rPr>
        <w:rFonts w:ascii="FrankRuehl" w:hAnsi="FrankRuehl" w:cs="FrankRuehl"/>
        <w:rtl/>
      </w:rPr>
      <w:fldChar w:fldCharType="end"/>
    </w:r>
  </w:p>
  <w:p w14:paraId="7CF1967A" w14:textId="77777777" w:rsidR="00374301" w:rsidRPr="00495B4F" w:rsidRDefault="00495B4F" w:rsidP="00495B4F">
    <w:pPr>
      <w:pStyle w:val="a5"/>
      <w:pBdr>
        <w:top w:val="single" w:sz="4" w:space="1" w:color="auto"/>
        <w:between w:val="single" w:sz="4" w:space="0" w:color="auto"/>
      </w:pBdr>
      <w:spacing w:after="60"/>
      <w:jc w:val="center"/>
      <w:rPr>
        <w:rFonts w:ascii="FrankRuehl" w:hAnsi="FrankRuehl" w:cs="FrankRuehl"/>
        <w:color w:val="000000"/>
      </w:rPr>
    </w:pPr>
    <w:r w:rsidRPr="00495B4F">
      <w:rPr>
        <w:rFonts w:ascii="FrankRuehl" w:hAnsi="FrankRuehl" w:cs="FrankRuehl"/>
        <w:color w:val="000000"/>
      </w:rPr>
      <w:pict w14:anchorId="76DEB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FE92A" w14:textId="77777777" w:rsidR="00EF1BEE" w:rsidRDefault="00EF1BEE" w:rsidP="006B0728">
      <w:r>
        <w:separator/>
      </w:r>
    </w:p>
  </w:footnote>
  <w:footnote w:type="continuationSeparator" w:id="0">
    <w:p w14:paraId="65A92471" w14:textId="77777777" w:rsidR="00EF1BEE" w:rsidRDefault="00EF1BEE" w:rsidP="006B0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76D34" w14:textId="77777777" w:rsidR="005A4DD0" w:rsidRPr="00495B4F" w:rsidRDefault="00495B4F" w:rsidP="00495B4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24243-07-20</w:t>
    </w:r>
    <w:r>
      <w:rPr>
        <w:rFonts w:ascii="David" w:hAnsi="David"/>
        <w:color w:val="000000"/>
        <w:sz w:val="22"/>
        <w:szCs w:val="22"/>
        <w:rtl/>
      </w:rPr>
      <w:tab/>
      <w:t xml:space="preserve"> מדינת ישראל נ' אביהו אנניה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E4712" w14:textId="77777777" w:rsidR="005A4DD0" w:rsidRPr="00495B4F" w:rsidRDefault="00495B4F" w:rsidP="00495B4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24243-07-20</w:t>
    </w:r>
    <w:r>
      <w:rPr>
        <w:rFonts w:ascii="David" w:hAnsi="David"/>
        <w:color w:val="000000"/>
        <w:sz w:val="22"/>
        <w:szCs w:val="22"/>
        <w:rtl/>
      </w:rPr>
      <w:tab/>
      <w:t xml:space="preserve"> מדינת ישראל נ' אביהו אנניה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D5C4F"/>
    <w:multiLevelType w:val="hybridMultilevel"/>
    <w:tmpl w:val="F230D6D8"/>
    <w:lvl w:ilvl="0" w:tplc="A19A273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90617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14FCA"/>
    <w:rsid w:val="001B5A3B"/>
    <w:rsid w:val="00374301"/>
    <w:rsid w:val="00495B4F"/>
    <w:rsid w:val="004E2991"/>
    <w:rsid w:val="005A4DD0"/>
    <w:rsid w:val="00636180"/>
    <w:rsid w:val="006B0728"/>
    <w:rsid w:val="00714FCA"/>
    <w:rsid w:val="0085459D"/>
    <w:rsid w:val="00A24263"/>
    <w:rsid w:val="00B777CD"/>
    <w:rsid w:val="00D35E55"/>
    <w:rsid w:val="00D57938"/>
    <w:rsid w:val="00DC7B5E"/>
    <w:rsid w:val="00E7581D"/>
    <w:rsid w:val="00EF1B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673AE6"/>
  <w15:chartTrackingRefBased/>
  <w15:docId w15:val="{2D21E206-8E1F-4F83-8415-E0F8D4C6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4FC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14FCA"/>
    <w:pPr>
      <w:tabs>
        <w:tab w:val="center" w:pos="4153"/>
        <w:tab w:val="right" w:pos="8306"/>
      </w:tabs>
    </w:pPr>
  </w:style>
  <w:style w:type="character" w:customStyle="1" w:styleId="a4">
    <w:name w:val="כותרת עליונה תו"/>
    <w:link w:val="a3"/>
    <w:rsid w:val="00714FCA"/>
    <w:rPr>
      <w:rFonts w:ascii="Times New Roman" w:eastAsia="Times New Roman" w:hAnsi="Times New Roman" w:cs="David"/>
      <w:sz w:val="24"/>
      <w:szCs w:val="24"/>
    </w:rPr>
  </w:style>
  <w:style w:type="paragraph" w:styleId="a5">
    <w:name w:val="footer"/>
    <w:basedOn w:val="a"/>
    <w:link w:val="a6"/>
    <w:rsid w:val="00714FCA"/>
    <w:pPr>
      <w:tabs>
        <w:tab w:val="center" w:pos="4153"/>
        <w:tab w:val="right" w:pos="8306"/>
      </w:tabs>
    </w:pPr>
  </w:style>
  <w:style w:type="character" w:customStyle="1" w:styleId="a6">
    <w:name w:val="כותרת תחתונה תו"/>
    <w:link w:val="a5"/>
    <w:rsid w:val="00714FCA"/>
    <w:rPr>
      <w:rFonts w:ascii="Times New Roman" w:eastAsia="Times New Roman" w:hAnsi="Times New Roman" w:cs="David"/>
      <w:sz w:val="24"/>
      <w:szCs w:val="24"/>
    </w:rPr>
  </w:style>
  <w:style w:type="table" w:styleId="a7">
    <w:name w:val="Table Grid"/>
    <w:basedOn w:val="a1"/>
    <w:rsid w:val="00714FC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14FCA"/>
  </w:style>
  <w:style w:type="paragraph" w:styleId="a9">
    <w:name w:val="List Paragraph"/>
    <w:basedOn w:val="a"/>
    <w:qFormat/>
    <w:rsid w:val="00714FCA"/>
    <w:pPr>
      <w:spacing w:after="160" w:line="256" w:lineRule="auto"/>
      <w:ind w:left="720"/>
      <w:contextualSpacing/>
    </w:pPr>
    <w:rPr>
      <w:rFonts w:ascii="Calibri" w:eastAsia="Calibri" w:hAnsi="Calibri" w:cs="Arial"/>
      <w:sz w:val="22"/>
      <w:szCs w:val="22"/>
    </w:rPr>
  </w:style>
  <w:style w:type="character" w:styleId="Hyperlink">
    <w:name w:val="Hyperlink"/>
    <w:rsid w:val="005A4D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6169989"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case/5763166" TargetMode="External"/><Relationship Id="rId1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7217205"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2535152" TargetMode="External"/><Relationship Id="rId23" Type="http://schemas.openxmlformats.org/officeDocument/2006/relationships/fontTable" Target="fontTable.xml"/><Relationship Id="rId10" Type="http://schemas.openxmlformats.org/officeDocument/2006/relationships/hyperlink" Target="http://www.nevo.co.il/law/4216/7.a.;7.c"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4417058"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1916</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11474</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3604592</vt:i4>
      </vt:variant>
      <vt:variant>
        <vt:i4>27</vt:i4>
      </vt:variant>
      <vt:variant>
        <vt:i4>0</vt:i4>
      </vt:variant>
      <vt:variant>
        <vt:i4>5</vt:i4>
      </vt:variant>
      <vt:variant>
        <vt:lpwstr>http://www.nevo.co.il/case/27217205</vt:lpwstr>
      </vt:variant>
      <vt:variant>
        <vt:lpwstr/>
      </vt:variant>
      <vt:variant>
        <vt:i4>3604596</vt:i4>
      </vt:variant>
      <vt:variant>
        <vt:i4>24</vt:i4>
      </vt:variant>
      <vt:variant>
        <vt:i4>0</vt:i4>
      </vt:variant>
      <vt:variant>
        <vt:i4>5</vt:i4>
      </vt:variant>
      <vt:variant>
        <vt:lpwstr>http://www.nevo.co.il/case/22535152</vt:lpwstr>
      </vt:variant>
      <vt:variant>
        <vt:lpwstr/>
      </vt:variant>
      <vt:variant>
        <vt:i4>3407985</vt:i4>
      </vt:variant>
      <vt:variant>
        <vt:i4>21</vt:i4>
      </vt:variant>
      <vt:variant>
        <vt:i4>0</vt:i4>
      </vt:variant>
      <vt:variant>
        <vt:i4>5</vt:i4>
      </vt:variant>
      <vt:variant>
        <vt:lpwstr>http://www.nevo.co.il/case/24417058</vt:lpwstr>
      </vt:variant>
      <vt:variant>
        <vt:lpwstr/>
      </vt:variant>
      <vt:variant>
        <vt:i4>3145844</vt:i4>
      </vt:variant>
      <vt:variant>
        <vt:i4>18</vt:i4>
      </vt:variant>
      <vt:variant>
        <vt:i4>0</vt:i4>
      </vt:variant>
      <vt:variant>
        <vt:i4>5</vt:i4>
      </vt:variant>
      <vt:variant>
        <vt:lpwstr>http://www.nevo.co.il/case/6169989</vt:lpwstr>
      </vt:variant>
      <vt:variant>
        <vt:lpwstr/>
      </vt:variant>
      <vt:variant>
        <vt:i4>3407990</vt:i4>
      </vt:variant>
      <vt:variant>
        <vt:i4>15</vt:i4>
      </vt:variant>
      <vt:variant>
        <vt:i4>0</vt:i4>
      </vt:variant>
      <vt:variant>
        <vt:i4>5</vt:i4>
      </vt:variant>
      <vt:variant>
        <vt:lpwstr>http://www.nevo.co.il/case/5763166</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2025-04-23T00:40:00Z</dcterms:created>
  <dcterms:modified xsi:type="dcterms:W3CDTF">2025-04-23T00:40:00Z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24243</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אביהו אנניה</vt:lpwstr>
  </property>
  <property fmtid="{D5CDD505-2E9C-101B-9397-08002B2CF9AE}" pid="10" name="LAWYER">
    <vt:lpwstr>נעמה לסרי;ירון פורר</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20220207</vt:lpwstr>
  </property>
  <property fmtid="{D5CDD505-2E9C-101B-9397-08002B2CF9AE}" pid="14" name="TYPE_N_DATE">
    <vt:lpwstr>38020220207</vt:lpwstr>
  </property>
  <property fmtid="{D5CDD505-2E9C-101B-9397-08002B2CF9AE}" pid="15" name="WORDNUMPAGES">
    <vt:lpwstr>8</vt:lpwstr>
  </property>
  <property fmtid="{D5CDD505-2E9C-101B-9397-08002B2CF9AE}" pid="16" name="TYPE_ABS_DATE">
    <vt:lpwstr>380020220207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5763166;6169989;24417058;22535152;27217205</vt:lpwstr>
  </property>
  <property fmtid="{D5CDD505-2E9C-101B-9397-08002B2CF9AE}" pid="36" name="LAWLISTTMP1">
    <vt:lpwstr>4216/007.a;007.c</vt:lpwstr>
  </property>
</Properties>
</file>