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B269D9" w:rsidRPr="002E4805" w14:paraId="7123EBD4" w14:textId="77777777" w:rsidTr="00B6199B">
        <w:trPr>
          <w:gridAfter w:val="1"/>
          <w:wAfter w:w="99" w:type="dxa"/>
          <w:trHeight w:hRule="exact" w:val="418"/>
          <w:jc w:val="center"/>
        </w:trPr>
        <w:tc>
          <w:tcPr>
            <w:tcW w:w="8721" w:type="dxa"/>
            <w:gridSpan w:val="4"/>
          </w:tcPr>
          <w:p w14:paraId="41FBBA39" w14:textId="77777777" w:rsidR="00B269D9" w:rsidRPr="002E4805" w:rsidRDefault="00B269D9" w:rsidP="00C32BB0">
            <w:pPr>
              <w:pStyle w:val="a3"/>
              <w:jc w:val="center"/>
              <w:rPr>
                <w:rFonts w:ascii="Tahoma" w:hAnsi="Tahoma" w:cs="Tahoma"/>
                <w:color w:val="000080"/>
                <w:rtl/>
              </w:rPr>
            </w:pPr>
            <w:bookmarkStart w:id="0" w:name="FirstLawyer"/>
            <w:bookmarkStart w:id="1" w:name="LastJudge"/>
            <w:r w:rsidRPr="002E4805">
              <w:rPr>
                <w:rFonts w:ascii="Tahoma" w:hAnsi="Tahoma" w:cs="Tahoma"/>
                <w:b/>
                <w:bCs/>
                <w:color w:val="000080"/>
                <w:rtl/>
              </w:rPr>
              <w:t>בית משפט השלום בירושלים</w:t>
            </w:r>
          </w:p>
        </w:tc>
      </w:tr>
      <w:tr w:rsidR="00B269D9" w:rsidRPr="002E4805" w14:paraId="68D1071E" w14:textId="77777777" w:rsidTr="00B6199B">
        <w:trPr>
          <w:gridAfter w:val="1"/>
          <w:wAfter w:w="99" w:type="dxa"/>
          <w:trHeight w:val="337"/>
          <w:jc w:val="center"/>
        </w:trPr>
        <w:tc>
          <w:tcPr>
            <w:tcW w:w="5061" w:type="dxa"/>
            <w:gridSpan w:val="3"/>
          </w:tcPr>
          <w:p w14:paraId="0A1B1D07" w14:textId="77777777" w:rsidR="00B269D9" w:rsidRPr="002E4805" w:rsidRDefault="00B269D9" w:rsidP="00C32BB0">
            <w:pPr>
              <w:rPr>
                <w:rFonts w:cs="FrankRuehl"/>
                <w:sz w:val="28"/>
                <w:szCs w:val="28"/>
                <w:rtl/>
              </w:rPr>
            </w:pPr>
            <w:r w:rsidRPr="002E4805">
              <w:rPr>
                <w:rFonts w:cs="FrankRuehl"/>
                <w:sz w:val="28"/>
                <w:szCs w:val="28"/>
                <w:rtl/>
              </w:rPr>
              <w:t>ת"פ</w:t>
            </w:r>
            <w:r w:rsidRPr="002E4805">
              <w:rPr>
                <w:rFonts w:cs="FrankRuehl" w:hint="cs"/>
                <w:sz w:val="28"/>
                <w:szCs w:val="28"/>
                <w:rtl/>
              </w:rPr>
              <w:t xml:space="preserve"> </w:t>
            </w:r>
            <w:r w:rsidRPr="002E4805">
              <w:rPr>
                <w:rFonts w:cs="FrankRuehl"/>
                <w:sz w:val="28"/>
                <w:szCs w:val="28"/>
                <w:rtl/>
              </w:rPr>
              <w:t>24358-07-20</w:t>
            </w:r>
            <w:r w:rsidRPr="002E4805">
              <w:rPr>
                <w:rFonts w:cs="FrankRuehl" w:hint="cs"/>
                <w:sz w:val="28"/>
                <w:szCs w:val="28"/>
                <w:rtl/>
              </w:rPr>
              <w:t xml:space="preserve"> </w:t>
            </w:r>
            <w:r w:rsidRPr="002E4805">
              <w:rPr>
                <w:rFonts w:cs="FrankRuehl"/>
                <w:sz w:val="28"/>
                <w:szCs w:val="28"/>
                <w:rtl/>
              </w:rPr>
              <w:t>מדינת ישראל נ' בן חמו(אחר/נוסף)</w:t>
            </w:r>
          </w:p>
          <w:p w14:paraId="4D355681" w14:textId="77777777" w:rsidR="00B269D9" w:rsidRPr="002E4805" w:rsidRDefault="00B269D9" w:rsidP="00C32BB0">
            <w:pPr>
              <w:pStyle w:val="a3"/>
              <w:rPr>
                <w:rFonts w:cs="FrankRuehl"/>
                <w:sz w:val="28"/>
                <w:szCs w:val="28"/>
                <w:rtl/>
              </w:rPr>
            </w:pPr>
          </w:p>
        </w:tc>
        <w:tc>
          <w:tcPr>
            <w:tcW w:w="3660" w:type="dxa"/>
          </w:tcPr>
          <w:p w14:paraId="12447F36" w14:textId="77777777" w:rsidR="00B269D9" w:rsidRPr="002E4805" w:rsidRDefault="00B269D9" w:rsidP="00C32BB0">
            <w:pPr>
              <w:pStyle w:val="a3"/>
              <w:jc w:val="right"/>
              <w:rPr>
                <w:rFonts w:cs="FrankRuehl"/>
                <w:sz w:val="28"/>
                <w:szCs w:val="28"/>
                <w:rtl/>
              </w:rPr>
            </w:pPr>
          </w:p>
        </w:tc>
      </w:tr>
      <w:tr w:rsidR="00B269D9" w:rsidRPr="002E4805" w14:paraId="375D4BFA" w14:textId="77777777" w:rsidTr="00B619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60AF532" w14:textId="77777777" w:rsidR="00B269D9" w:rsidRPr="002E4805" w:rsidRDefault="00B269D9" w:rsidP="00C32BB0">
            <w:pPr>
              <w:rPr>
                <w:rFonts w:ascii="David" w:hAnsi="David"/>
                <w:b/>
                <w:bCs/>
                <w:sz w:val="26"/>
                <w:szCs w:val="26"/>
              </w:rPr>
            </w:pPr>
            <w:r w:rsidRPr="002E4805">
              <w:rPr>
                <w:rFonts w:hint="cs"/>
                <w:rtl/>
              </w:rPr>
              <w:t xml:space="preserve"> </w:t>
            </w:r>
            <w:r w:rsidRPr="002E4805">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D6D5D33" w14:textId="77777777" w:rsidR="00B269D9" w:rsidRPr="002E4805" w:rsidRDefault="00B269D9" w:rsidP="00C32BB0">
            <w:pPr>
              <w:rPr>
                <w:rFonts w:ascii="David" w:hAnsi="David"/>
                <w:b/>
                <w:bCs/>
                <w:sz w:val="26"/>
                <w:szCs w:val="26"/>
                <w:rtl/>
              </w:rPr>
            </w:pPr>
            <w:r w:rsidRPr="002E4805">
              <w:rPr>
                <w:rFonts w:ascii="David" w:hAnsi="David"/>
                <w:b/>
                <w:bCs/>
                <w:sz w:val="26"/>
                <w:szCs w:val="26"/>
                <w:rtl/>
              </w:rPr>
              <w:t>כבוד השופט  פאול שטרק</w:t>
            </w:r>
          </w:p>
          <w:p w14:paraId="479D45CB" w14:textId="77777777" w:rsidR="00B269D9" w:rsidRPr="002E4805" w:rsidRDefault="00B269D9" w:rsidP="00C32BB0">
            <w:pPr>
              <w:rPr>
                <w:rFonts w:ascii="David" w:hAnsi="David"/>
                <w:b/>
                <w:bCs/>
                <w:sz w:val="26"/>
                <w:szCs w:val="26"/>
              </w:rPr>
            </w:pPr>
          </w:p>
          <w:p w14:paraId="778B5588" w14:textId="77777777" w:rsidR="00B269D9" w:rsidRPr="002E4805" w:rsidRDefault="00B269D9" w:rsidP="00C32BB0">
            <w:pPr>
              <w:rPr>
                <w:rFonts w:ascii="David" w:hAnsi="David"/>
                <w:b/>
                <w:bCs/>
                <w:sz w:val="26"/>
                <w:szCs w:val="26"/>
                <w:rtl/>
              </w:rPr>
            </w:pPr>
          </w:p>
        </w:tc>
      </w:tr>
      <w:tr w:rsidR="00B269D9" w:rsidRPr="002E4805" w14:paraId="5E3B1CC9" w14:textId="77777777" w:rsidTr="00B619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387C2E" w14:textId="77777777" w:rsidR="00B269D9" w:rsidRPr="002E4805" w:rsidRDefault="00B269D9" w:rsidP="00C32BB0">
            <w:pPr>
              <w:rPr>
                <w:rFonts w:ascii="David" w:hAnsi="David"/>
                <w:b/>
                <w:bCs/>
                <w:sz w:val="26"/>
                <w:szCs w:val="26"/>
                <w:rtl/>
              </w:rPr>
            </w:pPr>
            <w:bookmarkStart w:id="2" w:name="FirstAppellant"/>
            <w:r w:rsidRPr="002E4805">
              <w:rPr>
                <w:rFonts w:ascii="David" w:hAnsi="David"/>
                <w:b/>
                <w:bCs/>
                <w:sz w:val="26"/>
                <w:szCs w:val="26"/>
                <w:rtl/>
              </w:rPr>
              <w:t>בעניין:</w:t>
            </w:r>
          </w:p>
        </w:tc>
        <w:tc>
          <w:tcPr>
            <w:tcW w:w="3219" w:type="dxa"/>
            <w:tcBorders>
              <w:top w:val="nil"/>
              <w:left w:val="nil"/>
              <w:bottom w:val="nil"/>
              <w:right w:val="nil"/>
            </w:tcBorders>
            <w:shd w:val="clear" w:color="auto" w:fill="auto"/>
          </w:tcPr>
          <w:p w14:paraId="3F00B9B1" w14:textId="77777777" w:rsidR="00B269D9" w:rsidRPr="002E4805" w:rsidRDefault="00B269D9" w:rsidP="00B269D9">
            <w:pPr>
              <w:suppressLineNumbers/>
              <w:rPr>
                <w:b/>
                <w:bCs/>
              </w:rPr>
            </w:pPr>
            <w:r w:rsidRPr="002E4805">
              <w:rPr>
                <w:rFonts w:ascii="Arial" w:hAnsi="Arial"/>
                <w:b/>
                <w:bCs/>
                <w:sz w:val="26"/>
                <w:szCs w:val="26"/>
                <w:rtl/>
              </w:rPr>
              <w:t>ה</w:t>
            </w:r>
            <w:r w:rsidRPr="002E4805">
              <w:rPr>
                <w:b/>
                <w:bCs/>
                <w:rtl/>
              </w:rPr>
              <w:t>מאשימה</w:t>
            </w:r>
          </w:p>
          <w:p w14:paraId="19E091FF" w14:textId="77777777" w:rsidR="00B269D9" w:rsidRPr="002E4805" w:rsidRDefault="00B269D9" w:rsidP="00C32BB0">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574D9D2E" w14:textId="77777777" w:rsidR="00B269D9" w:rsidRPr="002E4805" w:rsidRDefault="00B269D9" w:rsidP="00B269D9">
            <w:pPr>
              <w:suppressLineNumbers/>
            </w:pPr>
            <w:r w:rsidRPr="002E4805">
              <w:rPr>
                <w:rFonts w:ascii="Arial" w:hAnsi="Arial"/>
                <w:b/>
                <w:bCs/>
                <w:sz w:val="26"/>
                <w:szCs w:val="26"/>
                <w:rtl/>
              </w:rPr>
              <w:t>מדינת ישראל</w:t>
            </w:r>
            <w:r w:rsidRPr="002E4805">
              <w:rPr>
                <w:rFonts w:ascii="Arial" w:hAnsi="Arial"/>
                <w:b/>
                <w:bCs/>
                <w:sz w:val="26"/>
                <w:szCs w:val="26"/>
                <w:rtl/>
              </w:rPr>
              <w:br/>
              <w:t>ע"י תביעות ירושלים</w:t>
            </w:r>
          </w:p>
          <w:p w14:paraId="5793DABB" w14:textId="77777777" w:rsidR="00B269D9" w:rsidRPr="002E4805" w:rsidRDefault="00B269D9" w:rsidP="00C32BB0">
            <w:pPr>
              <w:rPr>
                <w:rFonts w:ascii="David" w:hAnsi="David"/>
                <w:sz w:val="26"/>
                <w:szCs w:val="26"/>
              </w:rPr>
            </w:pPr>
          </w:p>
        </w:tc>
      </w:tr>
      <w:bookmarkEnd w:id="2"/>
      <w:tr w:rsidR="00B269D9" w:rsidRPr="002E4805" w14:paraId="68653C8E" w14:textId="77777777" w:rsidTr="00B619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CC3798" w14:textId="77777777" w:rsidR="00B269D9" w:rsidRPr="002E4805" w:rsidRDefault="00B269D9" w:rsidP="00C32BB0">
            <w:pPr>
              <w:rPr>
                <w:rFonts w:ascii="David" w:hAnsi="David"/>
                <w:b/>
                <w:bCs/>
                <w:sz w:val="26"/>
                <w:szCs w:val="26"/>
              </w:rPr>
            </w:pPr>
          </w:p>
        </w:tc>
        <w:tc>
          <w:tcPr>
            <w:tcW w:w="7897" w:type="dxa"/>
            <w:gridSpan w:val="4"/>
            <w:tcBorders>
              <w:top w:val="nil"/>
              <w:left w:val="nil"/>
              <w:bottom w:val="nil"/>
              <w:right w:val="nil"/>
            </w:tcBorders>
            <w:shd w:val="clear" w:color="auto" w:fill="auto"/>
          </w:tcPr>
          <w:p w14:paraId="617D7D43" w14:textId="77777777" w:rsidR="00B269D9" w:rsidRPr="002E4805" w:rsidRDefault="00B269D9" w:rsidP="00C32BB0">
            <w:pPr>
              <w:rPr>
                <w:rFonts w:ascii="David" w:hAnsi="David"/>
                <w:b/>
                <w:bCs/>
                <w:sz w:val="26"/>
                <w:szCs w:val="26"/>
              </w:rPr>
            </w:pPr>
          </w:p>
          <w:p w14:paraId="263B5247" w14:textId="77777777" w:rsidR="00B269D9" w:rsidRPr="002E4805" w:rsidRDefault="00B269D9" w:rsidP="00C32BB0">
            <w:pPr>
              <w:rPr>
                <w:rFonts w:ascii="David" w:hAnsi="David"/>
                <w:b/>
                <w:bCs/>
                <w:sz w:val="26"/>
                <w:szCs w:val="26"/>
                <w:rtl/>
              </w:rPr>
            </w:pPr>
            <w:r w:rsidRPr="002E4805">
              <w:rPr>
                <w:rFonts w:ascii="David" w:hAnsi="David"/>
                <w:b/>
                <w:bCs/>
                <w:sz w:val="26"/>
                <w:szCs w:val="26"/>
                <w:rtl/>
              </w:rPr>
              <w:t>נגד</w:t>
            </w:r>
          </w:p>
          <w:p w14:paraId="4CD02697" w14:textId="77777777" w:rsidR="00B269D9" w:rsidRPr="002E4805" w:rsidRDefault="00B269D9" w:rsidP="00C32BB0">
            <w:pPr>
              <w:rPr>
                <w:rFonts w:ascii="David" w:hAnsi="David"/>
                <w:b/>
                <w:bCs/>
                <w:sz w:val="26"/>
                <w:szCs w:val="26"/>
                <w:rtl/>
              </w:rPr>
            </w:pPr>
          </w:p>
        </w:tc>
      </w:tr>
      <w:tr w:rsidR="00B269D9" w:rsidRPr="002E4805" w14:paraId="2EC8B9F4" w14:textId="77777777" w:rsidTr="00B619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D0FB4A" w14:textId="77777777" w:rsidR="00B269D9" w:rsidRPr="002E4805" w:rsidRDefault="00B269D9" w:rsidP="00C32BB0">
            <w:pPr>
              <w:rPr>
                <w:rFonts w:ascii="David" w:hAnsi="David"/>
                <w:b/>
                <w:bCs/>
                <w:sz w:val="26"/>
                <w:szCs w:val="26"/>
                <w:rtl/>
              </w:rPr>
            </w:pPr>
          </w:p>
        </w:tc>
        <w:tc>
          <w:tcPr>
            <w:tcW w:w="3219" w:type="dxa"/>
            <w:tcBorders>
              <w:top w:val="nil"/>
              <w:left w:val="nil"/>
              <w:bottom w:val="nil"/>
              <w:right w:val="nil"/>
            </w:tcBorders>
            <w:shd w:val="clear" w:color="auto" w:fill="auto"/>
          </w:tcPr>
          <w:p w14:paraId="02450859" w14:textId="77777777" w:rsidR="00B269D9" w:rsidRPr="002E4805" w:rsidRDefault="00B269D9" w:rsidP="00C32BB0">
            <w:pPr>
              <w:rPr>
                <w:rFonts w:ascii="Arial" w:hAnsi="Arial"/>
                <w:b/>
                <w:bCs/>
                <w:sz w:val="26"/>
                <w:szCs w:val="26"/>
              </w:rPr>
            </w:pPr>
            <w:r w:rsidRPr="002E480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D5DF63B" w14:textId="77777777" w:rsidR="00B269D9" w:rsidRPr="002E4805" w:rsidRDefault="00B269D9" w:rsidP="00B269D9">
            <w:pPr>
              <w:suppressLineNumbers/>
              <w:rPr>
                <w:rtl/>
              </w:rPr>
            </w:pPr>
            <w:r w:rsidRPr="002E4805">
              <w:rPr>
                <w:rFonts w:ascii="Arial" w:hAnsi="Arial"/>
                <w:b/>
                <w:bCs/>
                <w:sz w:val="26"/>
                <w:szCs w:val="26"/>
                <w:rtl/>
              </w:rPr>
              <w:t xml:space="preserve">משה בן חמו </w:t>
            </w:r>
            <w:r w:rsidRPr="002E4805">
              <w:rPr>
                <w:rFonts w:ascii="Arial" w:hAnsi="Arial"/>
                <w:b/>
                <w:bCs/>
                <w:sz w:val="26"/>
                <w:szCs w:val="26"/>
                <w:rtl/>
              </w:rPr>
              <w:br/>
              <w:t>ע"י ב"כ עוה"ד איתן להמן</w:t>
            </w:r>
          </w:p>
          <w:p w14:paraId="08BBFC3F" w14:textId="77777777" w:rsidR="00B269D9" w:rsidRPr="002E4805" w:rsidRDefault="00B269D9" w:rsidP="00C32BB0">
            <w:pPr>
              <w:rPr>
                <w:rFonts w:ascii="David" w:hAnsi="David"/>
                <w:sz w:val="26"/>
                <w:szCs w:val="26"/>
                <w:rtl/>
              </w:rPr>
            </w:pPr>
          </w:p>
        </w:tc>
      </w:tr>
    </w:tbl>
    <w:p w14:paraId="6592A0E7" w14:textId="77777777" w:rsidR="00B6199B" w:rsidRDefault="00B6199B" w:rsidP="002E4805">
      <w:pPr>
        <w:rPr>
          <w:sz w:val="26"/>
          <w:szCs w:val="26"/>
          <w:rtl/>
        </w:rPr>
      </w:pPr>
    </w:p>
    <w:p w14:paraId="4533A0E6" w14:textId="77777777" w:rsidR="00B6199B" w:rsidRPr="00B6199B" w:rsidRDefault="00B6199B" w:rsidP="00B6199B">
      <w:pPr>
        <w:spacing w:after="120" w:line="240" w:lineRule="exact"/>
        <w:ind w:left="283" w:hanging="283"/>
        <w:jc w:val="both"/>
        <w:rPr>
          <w:rFonts w:ascii="FrankRuehl" w:hAnsi="FrankRuehl" w:cs="FrankRuehl"/>
          <w:rtl/>
        </w:rPr>
      </w:pPr>
    </w:p>
    <w:p w14:paraId="68B06F5E" w14:textId="77777777" w:rsidR="00451FE9" w:rsidRPr="00451FE9" w:rsidRDefault="00451FE9" w:rsidP="00451FE9">
      <w:pPr>
        <w:spacing w:before="120" w:after="120" w:line="240" w:lineRule="exact"/>
        <w:ind w:left="283" w:hanging="283"/>
        <w:jc w:val="both"/>
        <w:rPr>
          <w:rFonts w:ascii="FrankRuehl" w:hAnsi="FrankRuehl" w:cs="FrankRuehl"/>
          <w:rtl/>
        </w:rPr>
      </w:pPr>
    </w:p>
    <w:p w14:paraId="53AD64DB" w14:textId="77777777" w:rsidR="00210ECB" w:rsidRDefault="00210ECB" w:rsidP="00210ECB">
      <w:pPr>
        <w:rPr>
          <w:sz w:val="26"/>
          <w:szCs w:val="26"/>
          <w:rtl/>
        </w:rPr>
      </w:pPr>
      <w:bookmarkStart w:id="3" w:name="LawTable"/>
      <w:bookmarkEnd w:id="3"/>
    </w:p>
    <w:p w14:paraId="3E02FB21" w14:textId="77777777" w:rsidR="00210ECB" w:rsidRPr="00210ECB" w:rsidRDefault="00210ECB" w:rsidP="00210ECB">
      <w:pPr>
        <w:spacing w:before="120" w:after="120" w:line="240" w:lineRule="exact"/>
        <w:ind w:left="283" w:hanging="283"/>
        <w:jc w:val="both"/>
        <w:rPr>
          <w:rFonts w:ascii="FrankRuehl" w:hAnsi="FrankRuehl" w:cs="FrankRuehl"/>
          <w:rtl/>
        </w:rPr>
      </w:pPr>
    </w:p>
    <w:p w14:paraId="1368E51A" w14:textId="77777777" w:rsidR="00210ECB" w:rsidRPr="00210ECB" w:rsidRDefault="00210ECB" w:rsidP="00210ECB">
      <w:pPr>
        <w:spacing w:before="120" w:after="120" w:line="240" w:lineRule="exact"/>
        <w:ind w:left="283" w:hanging="283"/>
        <w:jc w:val="both"/>
        <w:rPr>
          <w:rFonts w:ascii="FrankRuehl" w:hAnsi="FrankRuehl" w:cs="FrankRuehl"/>
          <w:rtl/>
        </w:rPr>
      </w:pPr>
    </w:p>
    <w:p w14:paraId="3A29CE31" w14:textId="77777777" w:rsidR="00210ECB" w:rsidRPr="00210ECB" w:rsidRDefault="00210ECB" w:rsidP="00210ECB">
      <w:pPr>
        <w:spacing w:before="120" w:after="120" w:line="240" w:lineRule="exact"/>
        <w:ind w:left="283" w:hanging="283"/>
        <w:jc w:val="both"/>
        <w:rPr>
          <w:rFonts w:ascii="FrankRuehl" w:hAnsi="FrankRuehl" w:cs="FrankRuehl"/>
          <w:rtl/>
        </w:rPr>
      </w:pPr>
      <w:r w:rsidRPr="00210ECB">
        <w:rPr>
          <w:rFonts w:ascii="FrankRuehl" w:hAnsi="FrankRuehl" w:cs="FrankRuehl"/>
          <w:rtl/>
        </w:rPr>
        <w:t xml:space="preserve">חקיקה שאוזכרה: </w:t>
      </w:r>
    </w:p>
    <w:p w14:paraId="70D80D08" w14:textId="77777777" w:rsidR="00210ECB" w:rsidRPr="00210ECB" w:rsidRDefault="00210ECB" w:rsidP="00210ECB">
      <w:pPr>
        <w:spacing w:before="120" w:after="120" w:line="240" w:lineRule="exact"/>
        <w:ind w:left="283" w:hanging="283"/>
        <w:jc w:val="both"/>
        <w:rPr>
          <w:rFonts w:ascii="FrankRuehl" w:hAnsi="FrankRuehl" w:cs="FrankRuehl"/>
          <w:rtl/>
        </w:rPr>
      </w:pPr>
      <w:hyperlink r:id="rId7" w:history="1">
        <w:r w:rsidRPr="00210ECB">
          <w:rPr>
            <w:rFonts w:ascii="FrankRuehl" w:hAnsi="FrankRuehl" w:cs="FrankRuehl"/>
            <w:color w:val="0000FF"/>
            <w:rtl/>
          </w:rPr>
          <w:t>פקודת הסמים המסוכנים [נוסח חדש], תשל"ג-1973</w:t>
        </w:r>
      </w:hyperlink>
      <w:r w:rsidRPr="00210ECB">
        <w:rPr>
          <w:rFonts w:ascii="FrankRuehl" w:hAnsi="FrankRuehl" w:cs="FrankRuehl"/>
          <w:rtl/>
        </w:rPr>
        <w:t xml:space="preserve">: סע'  </w:t>
      </w:r>
      <w:hyperlink r:id="rId8" w:history="1">
        <w:r w:rsidRPr="00210ECB">
          <w:rPr>
            <w:rFonts w:ascii="FrankRuehl" w:hAnsi="FrankRuehl" w:cs="FrankRuehl"/>
            <w:color w:val="0000FF"/>
            <w:rtl/>
          </w:rPr>
          <w:t>7 (ג)</w:t>
        </w:r>
      </w:hyperlink>
    </w:p>
    <w:p w14:paraId="2B78E6F1" w14:textId="77777777" w:rsidR="00210ECB" w:rsidRPr="00210ECB" w:rsidRDefault="00210ECB" w:rsidP="00210ECB">
      <w:pPr>
        <w:spacing w:before="120" w:after="120" w:line="240" w:lineRule="exact"/>
        <w:ind w:left="283" w:hanging="283"/>
        <w:jc w:val="both"/>
        <w:rPr>
          <w:rFonts w:ascii="FrankRuehl" w:hAnsi="FrankRuehl" w:cs="FrankRuehl"/>
          <w:rtl/>
        </w:rPr>
      </w:pPr>
      <w:hyperlink r:id="rId9" w:history="1">
        <w:r w:rsidRPr="00210ECB">
          <w:rPr>
            <w:rFonts w:ascii="FrankRuehl" w:hAnsi="FrankRuehl" w:cs="FrankRuehl"/>
            <w:color w:val="0000FF"/>
            <w:rtl/>
          </w:rPr>
          <w:t>חוק העונשין, תשל"ז-1977</w:t>
        </w:r>
      </w:hyperlink>
      <w:r w:rsidRPr="00210ECB">
        <w:rPr>
          <w:rFonts w:ascii="FrankRuehl" w:hAnsi="FrankRuehl" w:cs="FrankRuehl"/>
          <w:rtl/>
        </w:rPr>
        <w:t xml:space="preserve">: סע'  </w:t>
      </w:r>
      <w:hyperlink r:id="rId10" w:history="1">
        <w:r w:rsidRPr="00210ECB">
          <w:rPr>
            <w:rFonts w:ascii="FrankRuehl" w:hAnsi="FrankRuehl" w:cs="FrankRuehl"/>
            <w:color w:val="0000FF"/>
            <w:rtl/>
          </w:rPr>
          <w:t>40ח</w:t>
        </w:r>
      </w:hyperlink>
      <w:r w:rsidRPr="00210ECB">
        <w:rPr>
          <w:rFonts w:ascii="FrankRuehl" w:hAnsi="FrankRuehl" w:cs="FrankRuehl"/>
          <w:rtl/>
        </w:rPr>
        <w:t xml:space="preserve">, </w:t>
      </w:r>
      <w:hyperlink r:id="rId11" w:history="1">
        <w:r w:rsidRPr="00210ECB">
          <w:rPr>
            <w:rFonts w:ascii="FrankRuehl" w:hAnsi="FrankRuehl" w:cs="FrankRuehl"/>
            <w:color w:val="0000FF"/>
            <w:rtl/>
          </w:rPr>
          <w:t>40ט'</w:t>
        </w:r>
      </w:hyperlink>
      <w:r w:rsidRPr="00210ECB">
        <w:rPr>
          <w:rFonts w:ascii="FrankRuehl" w:hAnsi="FrankRuehl" w:cs="FrankRuehl"/>
          <w:rtl/>
        </w:rPr>
        <w:t xml:space="preserve">, </w:t>
      </w:r>
      <w:hyperlink r:id="rId12" w:history="1">
        <w:r w:rsidRPr="00210ECB">
          <w:rPr>
            <w:rFonts w:ascii="FrankRuehl" w:hAnsi="FrankRuehl" w:cs="FrankRuehl"/>
            <w:color w:val="0000FF"/>
            <w:rtl/>
          </w:rPr>
          <w:t>40יא</w:t>
        </w:r>
      </w:hyperlink>
    </w:p>
    <w:p w14:paraId="584068EA" w14:textId="77777777" w:rsidR="00210ECB" w:rsidRPr="00210ECB" w:rsidRDefault="00210ECB" w:rsidP="00210ECB">
      <w:pPr>
        <w:rPr>
          <w:sz w:val="26"/>
          <w:szCs w:val="26"/>
          <w:rtl/>
        </w:rPr>
      </w:pPr>
      <w:bookmarkStart w:id="4" w:name="LawTable_End"/>
      <w:bookmarkEnd w:id="4"/>
    </w:p>
    <w:p w14:paraId="3A05D025" w14:textId="77777777" w:rsidR="00B269D9" w:rsidRPr="00451FE9" w:rsidRDefault="00B269D9" w:rsidP="00451FE9">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69D9" w14:paraId="0A6CC120" w14:textId="77777777" w:rsidTr="00B269D9">
        <w:trPr>
          <w:trHeight w:val="355"/>
          <w:jc w:val="center"/>
        </w:trPr>
        <w:tc>
          <w:tcPr>
            <w:tcW w:w="8820" w:type="dxa"/>
            <w:tcBorders>
              <w:top w:val="nil"/>
              <w:left w:val="nil"/>
              <w:bottom w:val="nil"/>
              <w:right w:val="nil"/>
            </w:tcBorders>
            <w:shd w:val="clear" w:color="auto" w:fill="auto"/>
          </w:tcPr>
          <w:p w14:paraId="0C0EEDF1" w14:textId="77777777" w:rsidR="002E4805" w:rsidRPr="002E4805" w:rsidRDefault="002E4805" w:rsidP="002E4805">
            <w:pPr>
              <w:jc w:val="center"/>
              <w:rPr>
                <w:rFonts w:ascii="David" w:hAnsi="David"/>
                <w:b/>
                <w:bCs/>
                <w:sz w:val="32"/>
                <w:szCs w:val="32"/>
                <w:u w:val="single"/>
                <w:rtl/>
              </w:rPr>
            </w:pPr>
            <w:bookmarkStart w:id="5" w:name="PsakDin" w:colFirst="0" w:colLast="0"/>
            <w:bookmarkEnd w:id="0"/>
            <w:bookmarkEnd w:id="1"/>
            <w:r w:rsidRPr="002E4805">
              <w:rPr>
                <w:rFonts w:ascii="David" w:hAnsi="David"/>
                <w:b/>
                <w:bCs/>
                <w:sz w:val="32"/>
                <w:szCs w:val="32"/>
                <w:u w:val="single"/>
                <w:rtl/>
              </w:rPr>
              <w:t>גזר דין</w:t>
            </w:r>
          </w:p>
          <w:p w14:paraId="33CAE981" w14:textId="77777777" w:rsidR="00B269D9" w:rsidRPr="002E4805" w:rsidRDefault="00B269D9" w:rsidP="002E4805">
            <w:pPr>
              <w:jc w:val="center"/>
              <w:rPr>
                <w:rFonts w:ascii="David" w:hAnsi="David"/>
                <w:bCs/>
                <w:sz w:val="32"/>
                <w:szCs w:val="32"/>
                <w:u w:val="single"/>
              </w:rPr>
            </w:pPr>
          </w:p>
        </w:tc>
      </w:tr>
      <w:bookmarkEnd w:id="5"/>
    </w:tbl>
    <w:p w14:paraId="09399224" w14:textId="77777777" w:rsidR="00B269D9" w:rsidRDefault="00B269D9" w:rsidP="00B269D9">
      <w:pPr>
        <w:rPr>
          <w:rFonts w:ascii="Arial" w:hAnsi="Arial"/>
          <w:b/>
          <w:bCs/>
          <w:sz w:val="26"/>
          <w:szCs w:val="26"/>
        </w:rPr>
      </w:pPr>
    </w:p>
    <w:p w14:paraId="00A81452" w14:textId="77777777" w:rsidR="00B269D9" w:rsidRDefault="00B269D9" w:rsidP="00B269D9">
      <w:pPr>
        <w:spacing w:line="360" w:lineRule="auto"/>
        <w:rPr>
          <w:rFonts w:ascii="David" w:eastAsia="Calibri" w:hAnsi="David"/>
          <w:b/>
          <w:bCs/>
          <w:u w:val="single"/>
          <w:rtl/>
        </w:rPr>
      </w:pPr>
      <w:r>
        <w:rPr>
          <w:rFonts w:ascii="David" w:eastAsia="Calibri" w:hAnsi="David"/>
          <w:b/>
          <w:bCs/>
          <w:u w:val="single"/>
          <w:rtl/>
        </w:rPr>
        <w:t>כתב האישום</w:t>
      </w:r>
    </w:p>
    <w:p w14:paraId="4B204BD4" w14:textId="77777777" w:rsidR="00B269D9" w:rsidRDefault="00B269D9" w:rsidP="00B269D9">
      <w:pPr>
        <w:spacing w:line="360" w:lineRule="auto"/>
        <w:jc w:val="both"/>
        <w:rPr>
          <w:rFonts w:ascii="David" w:eastAsia="Calibri" w:hAnsi="David"/>
          <w:rtl/>
        </w:rPr>
      </w:pPr>
      <w:bookmarkStart w:id="6" w:name="ABSTRACT_START"/>
      <w:bookmarkEnd w:id="6"/>
      <w:r>
        <w:rPr>
          <w:rFonts w:ascii="David" w:eastAsia="Calibri" w:hAnsi="David"/>
          <w:rtl/>
        </w:rPr>
        <w:t xml:space="preserve">הנאשם הורשע לאחר ניהול הוכחות בעבירה של החזקת סם לצריכה עצמית, </w:t>
      </w:r>
      <w:r>
        <w:rPr>
          <w:rFonts w:ascii="David" w:hAnsi="David"/>
          <w:rtl/>
        </w:rPr>
        <w:t xml:space="preserve">עבירה לפי סעיף </w:t>
      </w:r>
      <w:hyperlink r:id="rId13" w:history="1">
        <w:r w:rsidR="00B6199B" w:rsidRPr="00B6199B">
          <w:rPr>
            <w:rStyle w:val="Hyperlink"/>
            <w:rFonts w:ascii="David" w:hAnsi="David"/>
            <w:rtl/>
          </w:rPr>
          <w:t>7 (ג)</w:t>
        </w:r>
      </w:hyperlink>
      <w:r>
        <w:rPr>
          <w:rFonts w:ascii="David" w:hAnsi="David"/>
          <w:rtl/>
        </w:rPr>
        <w:t xml:space="preserve"> סיפא </w:t>
      </w:r>
      <w:r>
        <w:rPr>
          <w:rFonts w:ascii="David" w:hAnsi="David"/>
          <w:b/>
          <w:bCs/>
          <w:rtl/>
        </w:rPr>
        <w:t xml:space="preserve"> </w:t>
      </w:r>
      <w:r>
        <w:rPr>
          <w:rFonts w:ascii="David" w:hAnsi="David"/>
          <w:rtl/>
        </w:rPr>
        <w:t>ל</w:t>
      </w:r>
      <w:hyperlink r:id="rId14" w:history="1">
        <w:r w:rsidR="002E4805" w:rsidRPr="002E4805">
          <w:rPr>
            <w:rFonts w:ascii="David" w:hAnsi="David"/>
            <w:b/>
            <w:bCs/>
            <w:color w:val="0000FF"/>
            <w:u w:val="single"/>
            <w:rtl/>
          </w:rPr>
          <w:t>פקודת הסמים המסוכנים</w:t>
        </w:r>
      </w:hyperlink>
      <w:r>
        <w:rPr>
          <w:rFonts w:ascii="David" w:hAnsi="David"/>
          <w:b/>
          <w:bCs/>
          <w:rtl/>
        </w:rPr>
        <w:t xml:space="preserve"> (נוסח חדש), התשל"ג – 1973 (</w:t>
      </w:r>
      <w:r>
        <w:rPr>
          <w:rFonts w:ascii="David" w:hAnsi="David"/>
          <w:rtl/>
        </w:rPr>
        <w:t xml:space="preserve">להלן – </w:t>
      </w:r>
      <w:r>
        <w:rPr>
          <w:rFonts w:ascii="David" w:hAnsi="David"/>
          <w:b/>
          <w:bCs/>
          <w:rtl/>
        </w:rPr>
        <w:t>הפקודה</w:t>
      </w:r>
      <w:r>
        <w:rPr>
          <w:rFonts w:ascii="David" w:eastAsia="Calibri" w:hAnsi="David"/>
          <w:rtl/>
        </w:rPr>
        <w:t xml:space="preserve">). כתב האישום המקורי ייחס לנאשם החזקת סם שלא לצריכה עצמית נוכח הכמות שנתפסה בביתו - </w:t>
      </w:r>
      <w:r>
        <w:rPr>
          <w:rFonts w:ascii="David" w:hAnsi="David"/>
          <w:rtl/>
        </w:rPr>
        <w:t>חשיש בכמות של 974.52 גרם (לצורך העניין קילו של סם)</w:t>
      </w:r>
      <w:r>
        <w:rPr>
          <w:rFonts w:ascii="David" w:eastAsia="Calibri" w:hAnsi="David"/>
          <w:rtl/>
        </w:rPr>
        <w:t>. כאמור הנאשם טען כי מדובר בסם לצריכה עצמית, ניהל הוכחות ובסיומן החלטתי לזכות אותו מהעבירה המיוחסת לו ולהרשיע אותו בעבירה של החזקת סם לצריכה עצמית בלבד, על אף הכמות הגדולה, מן הטעמים שפורטו בהכרעת הדין.</w:t>
      </w:r>
    </w:p>
    <w:p w14:paraId="3109ED24" w14:textId="77777777" w:rsidR="00B269D9" w:rsidRDefault="00B269D9" w:rsidP="00B269D9">
      <w:pPr>
        <w:spacing w:line="360" w:lineRule="auto"/>
        <w:jc w:val="both"/>
        <w:rPr>
          <w:rFonts w:ascii="David" w:eastAsia="Calibri" w:hAnsi="David"/>
          <w:rtl/>
        </w:rPr>
      </w:pPr>
      <w:bookmarkStart w:id="7" w:name="ABSTRACT_END"/>
      <w:bookmarkEnd w:id="7"/>
    </w:p>
    <w:p w14:paraId="64DB5D4F" w14:textId="77777777" w:rsidR="00B269D9" w:rsidRDefault="00B269D9" w:rsidP="00B269D9">
      <w:pPr>
        <w:spacing w:line="360" w:lineRule="auto"/>
        <w:jc w:val="both"/>
        <w:rPr>
          <w:rFonts w:ascii="David" w:eastAsia="Calibri" w:hAnsi="David"/>
          <w:b/>
          <w:bCs/>
          <w:u w:val="single"/>
        </w:rPr>
      </w:pPr>
      <w:r>
        <w:rPr>
          <w:rFonts w:ascii="David" w:eastAsia="Calibri" w:hAnsi="David"/>
          <w:b/>
          <w:bCs/>
          <w:u w:val="single"/>
          <w:rtl/>
        </w:rPr>
        <w:t>טיעונים לעונש</w:t>
      </w:r>
    </w:p>
    <w:p w14:paraId="4E979ABB" w14:textId="77777777" w:rsidR="00B269D9" w:rsidRDefault="00B269D9" w:rsidP="00B269D9">
      <w:pPr>
        <w:spacing w:line="360" w:lineRule="auto"/>
        <w:jc w:val="both"/>
        <w:rPr>
          <w:rFonts w:ascii="David" w:eastAsia="Calibri" w:hAnsi="David"/>
        </w:rPr>
      </w:pPr>
      <w:r>
        <w:rPr>
          <w:rFonts w:ascii="David" w:eastAsia="Calibri" w:hAnsi="David"/>
          <w:rtl/>
        </w:rPr>
        <w:t xml:space="preserve">הצדדים לא הגיעו להסכמה עונשית. </w:t>
      </w:r>
    </w:p>
    <w:p w14:paraId="2917DB84" w14:textId="77777777" w:rsidR="00B269D9" w:rsidRDefault="00B269D9" w:rsidP="00B269D9">
      <w:pPr>
        <w:spacing w:line="360" w:lineRule="auto"/>
        <w:jc w:val="both"/>
        <w:rPr>
          <w:rFonts w:ascii="David" w:eastAsia="Calibri" w:hAnsi="David"/>
        </w:rPr>
      </w:pPr>
    </w:p>
    <w:p w14:paraId="134D19CB" w14:textId="77777777" w:rsidR="00B269D9" w:rsidRDefault="00B269D9" w:rsidP="00B269D9">
      <w:pPr>
        <w:spacing w:line="360" w:lineRule="auto"/>
        <w:jc w:val="both"/>
        <w:rPr>
          <w:rFonts w:ascii="David" w:eastAsia="Calibri" w:hAnsi="David"/>
          <w:rtl/>
        </w:rPr>
      </w:pPr>
      <w:r>
        <w:rPr>
          <w:rFonts w:ascii="David" w:eastAsia="Calibri" w:hAnsi="David"/>
          <w:rtl/>
        </w:rPr>
        <w:lastRenderedPageBreak/>
        <w:t>מחד, המאשימה טוענת כי יש להטיל על הנאשם שנת מאסר, וזאת בשל כמות הסמים שנתפסה בביתו ועברו הפלילי של הנאשם, זאת בהסתמך על פסיקה שהוגשה.</w:t>
      </w:r>
      <w:r>
        <w:rPr>
          <w:rFonts w:ascii="David" w:hAnsi="David"/>
          <w:rtl/>
        </w:rPr>
        <w:t xml:space="preserve"> המאשימה הפנתה לפסיקה שאינה תואמת נסיבות ההרשעה ועניינו של הנאשם. ההפניה לפסק דין ב</w:t>
      </w:r>
      <w:hyperlink r:id="rId15" w:history="1">
        <w:r w:rsidR="002E4805" w:rsidRPr="002E4805">
          <w:rPr>
            <w:rFonts w:ascii="David" w:hAnsi="David"/>
            <w:color w:val="0000FF"/>
            <w:u w:val="single"/>
            <w:rtl/>
          </w:rPr>
          <w:t>ת.פ. 42032-10-17</w:t>
        </w:r>
      </w:hyperlink>
      <w:r>
        <w:rPr>
          <w:rFonts w:ascii="David" w:hAnsi="David"/>
          <w:rtl/>
        </w:rPr>
        <w:t xml:space="preserve"> מתייחס להחזקת 0.9 גרם של קוקאין בבית המעצר אינו דומה בתכלית לעניינו של נאשם, כאשר שם הורשע הנאשם בהחזקת קוקאין בהיותו עצור בבית המעצר, מעשה המהווה עבירה חמורה יותר אשר פוגעת לא מעט בערך החברתי, בין היתר כיבוד משמעת תנאי מעצר/מאסר. </w:t>
      </w:r>
    </w:p>
    <w:p w14:paraId="0FE33520" w14:textId="77777777" w:rsidR="00B269D9" w:rsidRDefault="00B269D9" w:rsidP="00B269D9">
      <w:pPr>
        <w:spacing w:line="360" w:lineRule="auto"/>
        <w:jc w:val="both"/>
        <w:rPr>
          <w:rFonts w:ascii="David" w:eastAsia="Calibri" w:hAnsi="David"/>
          <w:rtl/>
        </w:rPr>
      </w:pPr>
    </w:p>
    <w:p w14:paraId="1A79BED4" w14:textId="77777777" w:rsidR="00B269D9" w:rsidRDefault="00B269D9" w:rsidP="00B269D9">
      <w:pPr>
        <w:spacing w:line="360" w:lineRule="auto"/>
        <w:jc w:val="both"/>
        <w:rPr>
          <w:rFonts w:ascii="David" w:eastAsia="Calibri" w:hAnsi="David"/>
          <w:rtl/>
        </w:rPr>
      </w:pPr>
      <w:r>
        <w:rPr>
          <w:rFonts w:ascii="David" w:eastAsia="Calibri" w:hAnsi="David"/>
          <w:rtl/>
        </w:rPr>
        <w:t xml:space="preserve">מאידך, הסניגור טוען כי ניתן להסתפק בעונש של מאסר על תנאי, וזאת לנוכח העבירה בה הורשע בסופו של דבר, גילו של הנאשם, מצבו הרפואי והעובדה כי כיום הינו בעל רישיון לקנאביס רפואי. </w:t>
      </w:r>
      <w:r>
        <w:rPr>
          <w:rFonts w:ascii="David" w:hAnsi="David"/>
          <w:rtl/>
        </w:rPr>
        <w:t>הסנגור המלומד מפנה למספר פסקי דין, בין היתר 1672-09-19 ביחס להחזקת 660 גרם סם מסוג קנאביס/חשיש. אולם מדובר בגידול הסם בביתו של אותו נאשם כדי להימנע מהצורך לפנות לסוחרי הסם. יוער כי האישום המיוחס לנאשם באותו תיק היה החזקה לצריכה עצמית.</w:t>
      </w:r>
    </w:p>
    <w:p w14:paraId="4B9A9951" w14:textId="77777777" w:rsidR="00B269D9" w:rsidRDefault="00B269D9" w:rsidP="00B269D9">
      <w:pPr>
        <w:spacing w:line="360" w:lineRule="auto"/>
        <w:jc w:val="both"/>
        <w:rPr>
          <w:rFonts w:ascii="David" w:eastAsia="Calibri" w:hAnsi="David"/>
        </w:rPr>
      </w:pPr>
    </w:p>
    <w:p w14:paraId="04F88B27" w14:textId="77777777" w:rsidR="00B269D9" w:rsidRDefault="00B269D9" w:rsidP="00B269D9">
      <w:pPr>
        <w:spacing w:line="360" w:lineRule="auto"/>
        <w:jc w:val="both"/>
        <w:rPr>
          <w:rFonts w:ascii="David" w:eastAsia="Calibri" w:hAnsi="David"/>
          <w:b/>
          <w:bCs/>
          <w:u w:val="single"/>
          <w:rtl/>
        </w:rPr>
      </w:pPr>
      <w:r>
        <w:rPr>
          <w:rFonts w:ascii="David" w:eastAsia="Calibri" w:hAnsi="David"/>
          <w:b/>
          <w:bCs/>
          <w:u w:val="single"/>
          <w:rtl/>
        </w:rPr>
        <w:t xml:space="preserve">קביעת מתחם הענישה </w:t>
      </w:r>
      <w:r>
        <w:rPr>
          <w:rFonts w:ascii="David" w:eastAsia="Calibri" w:hAnsi="David"/>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DFEF8A9" w14:textId="77777777" w:rsidR="00B269D9" w:rsidRDefault="00B269D9" w:rsidP="00B269D9">
      <w:pPr>
        <w:spacing w:line="360" w:lineRule="auto"/>
        <w:jc w:val="both"/>
        <w:rPr>
          <w:rFonts w:ascii="David" w:eastAsia="Calibri" w:hAnsi="David"/>
          <w:b/>
          <w:bCs/>
          <w:u w:val="single"/>
          <w:rtl/>
        </w:rPr>
      </w:pPr>
    </w:p>
    <w:p w14:paraId="49964CA7" w14:textId="77777777" w:rsidR="00B269D9" w:rsidRDefault="00B269D9" w:rsidP="00B269D9">
      <w:pPr>
        <w:spacing w:line="360" w:lineRule="auto"/>
        <w:jc w:val="both"/>
        <w:rPr>
          <w:rFonts w:ascii="David" w:eastAsia="Calibri" w:hAnsi="David"/>
          <w:rtl/>
        </w:rPr>
      </w:pPr>
      <w:r>
        <w:rPr>
          <w:rFonts w:ascii="David" w:eastAsia="Calibri" w:hAnsi="David"/>
          <w:b/>
          <w:bCs/>
          <w:u w:val="single"/>
          <w:rtl/>
        </w:rPr>
        <w:t xml:space="preserve">אשר לערך המוגן </w:t>
      </w:r>
      <w:r>
        <w:rPr>
          <w:rFonts w:ascii="David" w:eastAsia="Calibri" w:hAnsi="David"/>
          <w:rtl/>
        </w:rPr>
        <w:t xml:space="preserve">– העבירות אותן עבר הנאשם פוגעות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בעניינו הפגיעה בערך המוגן נמוכה. </w:t>
      </w:r>
    </w:p>
    <w:p w14:paraId="260773AB" w14:textId="77777777" w:rsidR="00B269D9" w:rsidRDefault="00B269D9" w:rsidP="00B269D9">
      <w:pPr>
        <w:spacing w:line="360" w:lineRule="auto"/>
        <w:jc w:val="both"/>
        <w:rPr>
          <w:rFonts w:ascii="David" w:eastAsia="Calibri" w:hAnsi="David"/>
          <w:rtl/>
        </w:rPr>
      </w:pPr>
    </w:p>
    <w:p w14:paraId="06ED282A" w14:textId="77777777" w:rsidR="00B269D9" w:rsidRDefault="00B269D9" w:rsidP="00B269D9">
      <w:pPr>
        <w:spacing w:line="360" w:lineRule="auto"/>
        <w:jc w:val="both"/>
        <w:rPr>
          <w:rFonts w:ascii="David" w:hAnsi="David"/>
          <w:rtl/>
        </w:rPr>
      </w:pPr>
      <w:r>
        <w:rPr>
          <w:rFonts w:ascii="David" w:hAnsi="David"/>
          <w:b/>
          <w:bCs/>
          <w:u w:val="single"/>
          <w:rtl/>
        </w:rPr>
        <w:t xml:space="preserve">נסיבות הקשורות בביצוע העבירה, לפי </w:t>
      </w:r>
      <w:hyperlink r:id="rId16" w:history="1">
        <w:r w:rsidR="00B6199B" w:rsidRPr="00B6199B">
          <w:rPr>
            <w:rStyle w:val="Hyperlink"/>
            <w:rFonts w:ascii="David" w:hAnsi="David"/>
            <w:b/>
            <w:bCs/>
            <w:rtl/>
          </w:rPr>
          <w:t>סעיף 40ט'</w:t>
        </w:r>
      </w:hyperlink>
      <w:r>
        <w:rPr>
          <w:rFonts w:ascii="David" w:hAnsi="David"/>
          <w:b/>
          <w:bCs/>
          <w:u w:val="single"/>
          <w:rtl/>
        </w:rPr>
        <w:t xml:space="preserve"> ל</w:t>
      </w:r>
      <w:hyperlink r:id="rId17" w:history="1">
        <w:r w:rsidR="002E4805" w:rsidRPr="002E4805">
          <w:rPr>
            <w:rFonts w:ascii="David" w:hAnsi="David"/>
            <w:b/>
            <w:bCs/>
            <w:color w:val="0000FF"/>
            <w:u w:val="single"/>
            <w:rtl/>
          </w:rPr>
          <w:t>חוק העונשין</w:t>
        </w:r>
      </w:hyperlink>
      <w:r>
        <w:rPr>
          <w:rFonts w:ascii="David" w:hAnsi="David"/>
          <w:b/>
          <w:bCs/>
          <w:rtl/>
        </w:rPr>
        <w:t xml:space="preserve"> – </w:t>
      </w:r>
      <w:r>
        <w:rPr>
          <w:rFonts w:ascii="David" w:hAnsi="David"/>
          <w:rtl/>
        </w:rPr>
        <w:t>בין הנסיבות הקשורות בביצוע העבירה יש לשקול את אלה, לעניין קביעת המתחם: מחד מדובר בעבירה מתוכנתת עם כמות לא מבוטלת של סם, אלא שכפי שפירטתי ארוכות בהכרעת הדין, די לומר כי מדובר בהצטלבות מספר נסיבות ביניהן תחילת מגפה "קורונה" אשר הביאה לסגר שהוטל על הציבור באותה עת וגרם לאזרחים לצבור מצרכים בביתם. הנאשם אשר סובל מכאבים, צרך סם מסוג חשיש או קנאביס והחליט לרכוש כמות לא מבוטלת</w:t>
      </w:r>
      <w:r>
        <w:rPr>
          <w:rFonts w:ascii="David" w:hAnsi="David"/>
        </w:rPr>
        <w:t>,</w:t>
      </w:r>
      <w:r>
        <w:rPr>
          <w:rFonts w:ascii="David" w:hAnsi="David"/>
          <w:rtl/>
        </w:rPr>
        <w:t xml:space="preserve"> של סם שתספיק לצרכיו, זאת בהינתן הסגרים של אותה תקופה ובמטרה שלא להפר את הסגרים ולסכן את שלום הציבור. לכך יש להוסיף, כי הוכח בפניי כי הנאשם רכש את הסמים לצורך צריכתו העצמית בלבד, כאשר לא מצאתי כל ראיה כי הייתה כוונת סחר כלשהי.  אכן עסקינן בכמות סם שאינה מבוטלת, אולם מאז חקיקת </w:t>
      </w:r>
      <w:r>
        <w:rPr>
          <w:rFonts w:ascii="David" w:hAnsi="David"/>
          <w:b/>
          <w:bCs/>
          <w:rtl/>
        </w:rPr>
        <w:t>פקודת הסמים</w:t>
      </w:r>
      <w:r>
        <w:rPr>
          <w:rFonts w:ascii="David" w:hAnsi="David"/>
          <w:rtl/>
        </w:rPr>
        <w:t xml:space="preserve"> ב 1971 חלו שינויים חברתיים משמעותיים ביחס לצריכת סם מסוג קנאביס. ב2018 תוקנה בפקודה בהוספת סעיף </w:t>
      </w:r>
      <w:hyperlink r:id="rId18" w:history="1">
        <w:r w:rsidR="00B6199B" w:rsidRPr="00B6199B">
          <w:rPr>
            <w:rStyle w:val="Hyperlink"/>
            <w:rFonts w:ascii="David" w:hAnsi="David"/>
            <w:rtl/>
          </w:rPr>
          <w:t>7 (ג)</w:t>
        </w:r>
      </w:hyperlink>
      <w:r>
        <w:rPr>
          <w:rFonts w:ascii="David" w:hAnsi="David"/>
          <w:rtl/>
        </w:rPr>
        <w:t xml:space="preserve"> </w:t>
      </w:r>
      <w:r>
        <w:rPr>
          <w:rFonts w:ascii="David" w:hAnsi="David" w:hint="cs"/>
          <w:rtl/>
        </w:rPr>
        <w:t xml:space="preserve">(אשר פקע) ובמקומו מערכת מנהלית) </w:t>
      </w:r>
      <w:r>
        <w:rPr>
          <w:rFonts w:ascii="David" w:hAnsi="David"/>
          <w:rtl/>
        </w:rPr>
        <w:t xml:space="preserve">הקובע עונש של קנס בלבד לפי הנסיבות המתוארות באותו סעיף. יתרה מכך, קיימת הכרות בפן הרפואי של הסם והיום ניתן לקבל רישיון שימוש בו לצרכים רפואיים וטיפוליים. לנאשם היום רישיון להיעזר בסם מסוג קנאביס כדי לרפא את הכאבים המגבילים את יכולתו לעבוד במקצוע הכרוך בעבודה פיזית. </w:t>
      </w:r>
    </w:p>
    <w:p w14:paraId="532A79D8" w14:textId="77777777" w:rsidR="00B269D9" w:rsidRDefault="00B269D9" w:rsidP="00B269D9">
      <w:pPr>
        <w:spacing w:line="360" w:lineRule="auto"/>
        <w:jc w:val="both"/>
        <w:rPr>
          <w:rFonts w:ascii="David" w:hAnsi="David"/>
          <w:rtl/>
        </w:rPr>
      </w:pPr>
    </w:p>
    <w:p w14:paraId="1F914237" w14:textId="77777777" w:rsidR="00B269D9" w:rsidRDefault="00B269D9" w:rsidP="00B269D9">
      <w:pPr>
        <w:spacing w:line="360" w:lineRule="auto"/>
        <w:jc w:val="both"/>
        <w:rPr>
          <w:rFonts w:ascii="David" w:eastAsia="Calibri" w:hAnsi="David"/>
          <w:rtl/>
        </w:rPr>
      </w:pPr>
      <w:r>
        <w:rPr>
          <w:rFonts w:ascii="David" w:eastAsia="Calibri" w:hAnsi="David"/>
          <w:b/>
          <w:bCs/>
          <w:u w:val="single"/>
          <w:rtl/>
        </w:rPr>
        <w:t>מדיניות הענישה הנוהגת וקביעת מתחם הענישה</w:t>
      </w:r>
      <w:r>
        <w:rPr>
          <w:rFonts w:ascii="David" w:eastAsia="Calibri" w:hAnsi="David"/>
          <w:b/>
          <w:bCs/>
          <w:rtl/>
        </w:rPr>
        <w:t xml:space="preserve"> – </w:t>
      </w:r>
      <w:r>
        <w:rPr>
          <w:rFonts w:ascii="David" w:eastAsia="Calibri" w:hAnsi="David"/>
          <w:rtl/>
        </w:rPr>
        <w:t>כאמור קשה למצוא מקרים בנסיבות דומות, נוכח כמות הסם שהחזיק הנאשם והעבירה בה הורשע, אך ההפניה של הסנגור ל</w:t>
      </w:r>
      <w:hyperlink r:id="rId19" w:history="1">
        <w:r w:rsidR="002E4805" w:rsidRPr="002E4805">
          <w:rPr>
            <w:rFonts w:ascii="David" w:eastAsia="Calibri" w:hAnsi="David"/>
            <w:color w:val="0000FF"/>
            <w:u w:val="single"/>
            <w:rtl/>
          </w:rPr>
          <w:t>ת"פ 1672-09-19</w:t>
        </w:r>
      </w:hyperlink>
      <w:r>
        <w:rPr>
          <w:rFonts w:ascii="David" w:eastAsia="Calibri" w:hAnsi="David"/>
          <w:rtl/>
        </w:rPr>
        <w:t xml:space="preserve"> </w:t>
      </w:r>
      <w:r>
        <w:rPr>
          <w:rFonts w:ascii="David" w:eastAsia="Calibri" w:hAnsi="David"/>
          <w:b/>
          <w:bCs/>
          <w:u w:val="single"/>
          <w:rtl/>
        </w:rPr>
        <w:t>מדינת ישראל</w:t>
      </w:r>
      <w:r>
        <w:rPr>
          <w:rFonts w:ascii="David" w:eastAsia="Calibri" w:hAnsi="David"/>
          <w:rtl/>
        </w:rPr>
        <w:t xml:space="preserve"> נ' </w:t>
      </w:r>
      <w:r>
        <w:rPr>
          <w:rFonts w:ascii="David" w:eastAsia="Calibri" w:hAnsi="David"/>
          <w:b/>
          <w:bCs/>
          <w:u w:val="single"/>
          <w:rtl/>
        </w:rPr>
        <w:t>שתיל</w:t>
      </w:r>
      <w:r>
        <w:rPr>
          <w:rFonts w:ascii="David" w:eastAsia="Calibri" w:hAnsi="David"/>
          <w:rtl/>
        </w:rPr>
        <w:t xml:space="preserve"> מוצדקת בעיני, שם הורשע הנאשם בעבירה של החזקת סם שלא לצ"ע ( 660 גרם קנאביס) והזמנת סמים מחו"ל ובית המשפט ביטל את הרשעת הנאשם והטיל עליו של"</w:t>
      </w:r>
      <w:r>
        <w:rPr>
          <w:rFonts w:ascii="David" w:eastAsia="Calibri" w:hAnsi="David" w:hint="cs"/>
          <w:rtl/>
        </w:rPr>
        <w:t>צ</w:t>
      </w:r>
      <w:r>
        <w:rPr>
          <w:rFonts w:ascii="David" w:eastAsia="Calibri" w:hAnsi="David"/>
          <w:rtl/>
        </w:rPr>
        <w:t>. בנסיבות העניין אני סבור כי המתחם צריך לנוע בין של"</w:t>
      </w:r>
      <w:r>
        <w:rPr>
          <w:rFonts w:ascii="David" w:eastAsia="Calibri" w:hAnsi="David" w:hint="cs"/>
          <w:rtl/>
        </w:rPr>
        <w:t>.צ</w:t>
      </w:r>
      <w:r>
        <w:rPr>
          <w:rFonts w:ascii="David" w:eastAsia="Calibri" w:hAnsi="David"/>
          <w:rtl/>
        </w:rPr>
        <w:t>ץ ומאסר על תנאי ועד 6 חודשי מאסר בפועל שיכול ויורצו בעבודת שירות.</w:t>
      </w:r>
    </w:p>
    <w:p w14:paraId="22A5FD4B" w14:textId="77777777" w:rsidR="00B269D9" w:rsidRDefault="00B269D9" w:rsidP="00B269D9">
      <w:pPr>
        <w:spacing w:line="360" w:lineRule="auto"/>
        <w:jc w:val="both"/>
        <w:rPr>
          <w:rFonts w:ascii="David" w:eastAsia="Calibri" w:hAnsi="David"/>
          <w:rtl/>
        </w:rPr>
      </w:pPr>
    </w:p>
    <w:p w14:paraId="54F2DA65" w14:textId="77777777" w:rsidR="00B269D9" w:rsidRDefault="00B269D9" w:rsidP="00B269D9">
      <w:pPr>
        <w:spacing w:line="360" w:lineRule="auto"/>
        <w:jc w:val="both"/>
        <w:rPr>
          <w:rFonts w:ascii="David" w:hAnsi="David"/>
          <w:rtl/>
        </w:rPr>
      </w:pPr>
      <w:r>
        <w:rPr>
          <w:rFonts w:ascii="David" w:hAnsi="David"/>
          <w:b/>
          <w:bCs/>
          <w:u w:val="single"/>
          <w:rtl/>
        </w:rPr>
        <w:t xml:space="preserve">נסיבות שאינן קשורות בביצוע העבירה לפי </w:t>
      </w:r>
      <w:hyperlink r:id="rId20" w:history="1">
        <w:r w:rsidR="00B6199B" w:rsidRPr="00B6199B">
          <w:rPr>
            <w:rStyle w:val="Hyperlink"/>
            <w:rFonts w:ascii="David" w:hAnsi="David"/>
            <w:b/>
            <w:bCs/>
            <w:rtl/>
          </w:rPr>
          <w:t>סעיף 40י"א</w:t>
        </w:r>
      </w:hyperlink>
      <w:r>
        <w:rPr>
          <w:rFonts w:ascii="David" w:hAnsi="David"/>
          <w:b/>
          <w:bCs/>
          <w:u w:val="single"/>
          <w:rtl/>
        </w:rPr>
        <w:t xml:space="preserve"> ל</w:t>
      </w:r>
      <w:hyperlink r:id="rId21" w:history="1">
        <w:r w:rsidR="002E4805" w:rsidRPr="002E4805">
          <w:rPr>
            <w:rFonts w:ascii="David" w:hAnsi="David"/>
            <w:b/>
            <w:bCs/>
            <w:color w:val="0000FF"/>
            <w:u w:val="single"/>
            <w:rtl/>
          </w:rPr>
          <w:t>חוק העונשין</w:t>
        </w:r>
      </w:hyperlink>
      <w:r>
        <w:rPr>
          <w:rFonts w:ascii="David" w:hAnsi="David"/>
          <w:b/>
          <w:bCs/>
          <w:rtl/>
        </w:rPr>
        <w:t xml:space="preserve"> – </w:t>
      </w:r>
      <w:r>
        <w:rPr>
          <w:rFonts w:ascii="David" w:hAnsi="David"/>
          <w:rtl/>
        </w:rPr>
        <w:t>ניתן  לתת משקל לנסיבות הבאות שאינן קשורות בביצוע העבירה, במסגרת גזירת העונש בתוך המתחם: הצדדים וויתרו על שליחת הנאשם לשירות מבחן. הנאשם הינו בן 59 שסובל מבעיות רפואיות וכאבים. הנאשם היה עצור בתיק זה מעצר של ממש במשך 18 ימים ולאחר מכן שהה במעצר בית מלא כמעט שנה, ללא כל הפרות מצידו. גם בעת ביצוע העבירות ועד מתן הכרעת הדין, הנאשם עבד אצל ד"ר סקוט לורנס כקבלן, אשר העיד לפניי כי הנאשם עובד מסור וטוב. מדובר באדם שבעברו היה מכור לסמים והוא השתקם ואף לאחרונה עבר טיפול נוסף ביחידת של"ם, תוך גילוי מוטיבציה ורצון לנהל אורח חיים נורמטיבי. לאחרונה עבר הנאשם תאונה אשר מונעת ממנו להמשיך לעבוד וכיום הוא מתקיים מקצבה של הביטוח הלאומי וכאמור כיום הינו בעל רישיון לשימוש בקנאביס רפואי. בעברו הפלילי של הנאשם מספר הרשעות, כאשר האחרונה שבהם הינה משנת 2010 על עבירות שבוצעו בשנת 2005. לא זו אף זו מאז 1996 כל הרשעה קיימת הינה בעבירה של החזקת סם לצריכה עצמית. בנסיבות אלה, אני סבור כי הטלת מאסר בפועל ולו בעבודות שירות, יפגעו בתהליך השיקומי של הנאשם, זאת בנוסף בהתחשבות  במצבו הכלכלי והבריאותי.</w:t>
      </w:r>
    </w:p>
    <w:p w14:paraId="03B13EB8" w14:textId="77777777" w:rsidR="00B269D9" w:rsidRDefault="00B269D9" w:rsidP="00B269D9">
      <w:pPr>
        <w:spacing w:line="360" w:lineRule="auto"/>
        <w:jc w:val="both"/>
        <w:rPr>
          <w:rFonts w:ascii="David" w:hAnsi="David"/>
          <w:rtl/>
        </w:rPr>
      </w:pPr>
    </w:p>
    <w:p w14:paraId="41BFCD25" w14:textId="77777777" w:rsidR="00B269D9" w:rsidRDefault="00B269D9" w:rsidP="00B269D9">
      <w:pPr>
        <w:spacing w:line="360" w:lineRule="auto"/>
        <w:jc w:val="both"/>
        <w:rPr>
          <w:rFonts w:ascii="David" w:hAnsi="David"/>
          <w:rtl/>
        </w:rPr>
      </w:pPr>
      <w:r>
        <w:rPr>
          <w:rFonts w:ascii="David" w:hAnsi="David"/>
          <w:rtl/>
        </w:rPr>
        <w:t xml:space="preserve">נוכח מכלול הנסיבות המפורטות יש לקבוע עונשו של הנאשם ברף התחתון של המתחם שקבעתי בדמות של התחייבות כספית כחלופה של קנס לאור מצבו הכלכלי של הנאשם ובהתאם </w:t>
      </w:r>
      <w:hyperlink r:id="rId22" w:history="1">
        <w:r w:rsidR="00B6199B" w:rsidRPr="00B6199B">
          <w:rPr>
            <w:rStyle w:val="Hyperlink"/>
            <w:rFonts w:ascii="David" w:hAnsi="David"/>
            <w:rtl/>
          </w:rPr>
          <w:t>לסעיף 40ח</w:t>
        </w:r>
      </w:hyperlink>
      <w:r>
        <w:rPr>
          <w:rFonts w:ascii="David" w:hAnsi="David"/>
          <w:rtl/>
        </w:rPr>
        <w:t xml:space="preserve"> ל</w:t>
      </w:r>
      <w:hyperlink r:id="rId23" w:history="1">
        <w:r w:rsidR="002E4805" w:rsidRPr="002E4805">
          <w:rPr>
            <w:rFonts w:ascii="David" w:hAnsi="David"/>
            <w:b/>
            <w:bCs/>
            <w:color w:val="0000FF"/>
            <w:u w:val="single"/>
            <w:rtl/>
          </w:rPr>
          <w:t>חוק העונשין</w:t>
        </w:r>
      </w:hyperlink>
      <w:r>
        <w:rPr>
          <w:rFonts w:ascii="David" w:hAnsi="David"/>
          <w:b/>
          <w:bCs/>
          <w:rtl/>
        </w:rPr>
        <w:t xml:space="preserve"> התשל"ז – </w:t>
      </w:r>
      <w:r w:rsidRPr="00682390">
        <w:rPr>
          <w:rFonts w:ascii="David" w:hAnsi="David"/>
          <w:b/>
          <w:bCs/>
          <w:rtl/>
        </w:rPr>
        <w:t>1977,</w:t>
      </w:r>
      <w:r>
        <w:rPr>
          <w:rFonts w:ascii="David" w:hAnsi="David"/>
          <w:rtl/>
        </w:rPr>
        <w:t xml:space="preserve">  מאסר על תנאי, ושל"צ.  </w:t>
      </w:r>
    </w:p>
    <w:p w14:paraId="762DD609" w14:textId="77777777" w:rsidR="00B269D9" w:rsidRDefault="00B269D9" w:rsidP="00B269D9">
      <w:pPr>
        <w:spacing w:line="360" w:lineRule="auto"/>
        <w:jc w:val="both"/>
        <w:rPr>
          <w:rFonts w:ascii="David" w:hAnsi="David"/>
          <w:rtl/>
        </w:rPr>
      </w:pPr>
    </w:p>
    <w:p w14:paraId="5779100E" w14:textId="77777777" w:rsidR="00B269D9" w:rsidRDefault="00B269D9" w:rsidP="00B269D9">
      <w:pPr>
        <w:spacing w:line="360" w:lineRule="auto"/>
        <w:jc w:val="both"/>
        <w:rPr>
          <w:rFonts w:ascii="David" w:hAnsi="David"/>
          <w:rtl/>
        </w:rPr>
      </w:pPr>
    </w:p>
    <w:p w14:paraId="5A69BB6E" w14:textId="77777777" w:rsidR="00B269D9" w:rsidRDefault="00B269D9" w:rsidP="00B269D9">
      <w:pPr>
        <w:spacing w:line="360" w:lineRule="auto"/>
        <w:jc w:val="both"/>
        <w:rPr>
          <w:rFonts w:ascii="David" w:hAnsi="David"/>
          <w:b/>
          <w:bCs/>
          <w:u w:val="single"/>
          <w:rtl/>
        </w:rPr>
      </w:pPr>
      <w:r>
        <w:rPr>
          <w:rFonts w:ascii="David" w:hAnsi="David"/>
          <w:b/>
          <w:bCs/>
          <w:u w:val="single"/>
          <w:rtl/>
        </w:rPr>
        <w:t>גזר הדין</w:t>
      </w:r>
    </w:p>
    <w:p w14:paraId="25485CB4" w14:textId="77777777" w:rsidR="00B269D9" w:rsidRDefault="00B269D9" w:rsidP="00B269D9">
      <w:pPr>
        <w:spacing w:line="360" w:lineRule="auto"/>
        <w:jc w:val="both"/>
        <w:rPr>
          <w:rFonts w:ascii="David" w:hAnsi="David"/>
          <w:b/>
          <w:bCs/>
          <w:u w:val="single"/>
          <w:rtl/>
        </w:rPr>
      </w:pPr>
    </w:p>
    <w:p w14:paraId="641934E3" w14:textId="77777777" w:rsidR="00B269D9" w:rsidRDefault="00B269D9" w:rsidP="00B269D9">
      <w:pPr>
        <w:numPr>
          <w:ilvl w:val="0"/>
          <w:numId w:val="1"/>
        </w:numPr>
        <w:spacing w:after="160" w:line="360" w:lineRule="auto"/>
        <w:ind w:left="429" w:hanging="425"/>
        <w:contextualSpacing/>
        <w:jc w:val="both"/>
        <w:rPr>
          <w:rFonts w:ascii="David" w:eastAsia="Calibri" w:hAnsi="David"/>
          <w:rtl/>
        </w:rPr>
      </w:pPr>
      <w:r>
        <w:rPr>
          <w:rFonts w:ascii="David" w:eastAsia="Calibri" w:hAnsi="David"/>
          <w:rtl/>
        </w:rPr>
        <w:t>18 ימי מאסר מיום מעצרו. משמעות הדבר היא שהוא סיים לרצות את עונשו.</w:t>
      </w:r>
    </w:p>
    <w:p w14:paraId="360EDDF4" w14:textId="77777777" w:rsidR="00B269D9" w:rsidRDefault="00B269D9" w:rsidP="00B269D9">
      <w:pPr>
        <w:bidi w:val="0"/>
        <w:spacing w:after="160" w:line="360" w:lineRule="auto"/>
        <w:ind w:left="429"/>
        <w:contextualSpacing/>
        <w:jc w:val="both"/>
        <w:rPr>
          <w:rFonts w:ascii="David" w:eastAsia="Calibri" w:hAnsi="David"/>
          <w:rtl/>
        </w:rPr>
      </w:pPr>
    </w:p>
    <w:p w14:paraId="7365AC49" w14:textId="77777777" w:rsidR="00B269D9" w:rsidRDefault="00B269D9" w:rsidP="00B269D9">
      <w:pPr>
        <w:numPr>
          <w:ilvl w:val="0"/>
          <w:numId w:val="1"/>
        </w:numPr>
        <w:spacing w:after="160" w:line="360" w:lineRule="auto"/>
        <w:ind w:left="429" w:hanging="425"/>
        <w:contextualSpacing/>
        <w:jc w:val="both"/>
        <w:rPr>
          <w:rFonts w:ascii="David" w:eastAsia="Calibri" w:hAnsi="David"/>
        </w:rPr>
      </w:pPr>
      <w:r>
        <w:rPr>
          <w:rFonts w:ascii="David" w:eastAsia="Calibri" w:hAnsi="David"/>
          <w:rtl/>
        </w:rPr>
        <w:t>3 חודשי מאסר שלא ירוצו, אלא אם יעבור הנאשם כל עבירת סמים מסוג פשע בתוך 3 שנים מהיום. במסגרת ההחלטה שלא להטיל מאסר על תנאי בעבירות סמים מסוג עוון, לקחתי בחשבון את העובדה כי לנאשם אישור רפואי לצריכת קנאביס.</w:t>
      </w:r>
    </w:p>
    <w:p w14:paraId="1E8F53C6" w14:textId="77777777" w:rsidR="00B269D9" w:rsidRDefault="00B269D9" w:rsidP="00B269D9">
      <w:pPr>
        <w:pStyle w:val="a8"/>
        <w:rPr>
          <w:rFonts w:ascii="David" w:hAnsi="David"/>
          <w:rtl/>
        </w:rPr>
      </w:pPr>
    </w:p>
    <w:p w14:paraId="7B8D9217" w14:textId="77777777" w:rsidR="00B269D9" w:rsidRDefault="00B269D9" w:rsidP="00B269D9">
      <w:pPr>
        <w:numPr>
          <w:ilvl w:val="0"/>
          <w:numId w:val="1"/>
        </w:numPr>
        <w:spacing w:after="160" w:line="360" w:lineRule="auto"/>
        <w:ind w:left="429" w:hanging="425"/>
        <w:contextualSpacing/>
        <w:jc w:val="both"/>
        <w:rPr>
          <w:rFonts w:ascii="David" w:eastAsia="Calibri" w:hAnsi="David"/>
        </w:rPr>
      </w:pPr>
      <w:r w:rsidRPr="004F57F7">
        <w:rPr>
          <w:rFonts w:ascii="David" w:eastAsia="Calibri" w:hAnsi="David"/>
          <w:rtl/>
        </w:rPr>
        <w:t xml:space="preserve">התחייבות בסך </w:t>
      </w:r>
      <w:r>
        <w:rPr>
          <w:rFonts w:ascii="David" w:eastAsia="Calibri" w:hAnsi="David" w:hint="cs"/>
          <w:rtl/>
        </w:rPr>
        <w:t xml:space="preserve">5,000 </w:t>
      </w:r>
      <w:r>
        <w:rPr>
          <w:rFonts w:ascii="David" w:eastAsia="Calibri" w:hAnsi="David"/>
          <w:rtl/>
        </w:rPr>
        <w:t>₪ שלא לעבור כל עביר</w:t>
      </w:r>
      <w:r>
        <w:rPr>
          <w:rFonts w:ascii="David" w:eastAsia="Calibri" w:hAnsi="David" w:hint="cs"/>
          <w:rtl/>
        </w:rPr>
        <w:t xml:space="preserve">ת פשע לפי </w:t>
      </w:r>
      <w:r w:rsidRPr="00682390">
        <w:rPr>
          <w:rFonts w:ascii="David" w:eastAsia="Calibri" w:hAnsi="David" w:hint="cs"/>
          <w:b/>
          <w:bCs/>
          <w:rtl/>
        </w:rPr>
        <w:t>פקודת סמים</w:t>
      </w:r>
      <w:r w:rsidR="002E4805">
        <w:rPr>
          <w:rFonts w:ascii="David" w:eastAsia="Calibri" w:hAnsi="David"/>
          <w:rtl/>
        </w:rPr>
        <w:t xml:space="preserve"> </w:t>
      </w:r>
      <w:r w:rsidRPr="004F57F7">
        <w:rPr>
          <w:rFonts w:ascii="David" w:eastAsia="Calibri" w:hAnsi="David"/>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012A8148" w14:textId="77777777" w:rsidR="00B269D9" w:rsidRPr="008927B4" w:rsidRDefault="00B269D9" w:rsidP="00B269D9">
      <w:pPr>
        <w:spacing w:after="160" w:line="360" w:lineRule="auto"/>
        <w:ind w:left="1080"/>
        <w:contextualSpacing/>
        <w:jc w:val="both"/>
        <w:rPr>
          <w:rFonts w:ascii="David" w:eastAsia="Calibri" w:hAnsi="David"/>
        </w:rPr>
      </w:pPr>
    </w:p>
    <w:p w14:paraId="56AE639F" w14:textId="77777777" w:rsidR="00B269D9" w:rsidRDefault="00B269D9" w:rsidP="00B269D9">
      <w:pPr>
        <w:bidi w:val="0"/>
        <w:spacing w:after="160" w:line="252" w:lineRule="auto"/>
        <w:ind w:left="720"/>
        <w:contextualSpacing/>
        <w:rPr>
          <w:rFonts w:ascii="David" w:eastAsia="Calibri" w:hAnsi="David"/>
          <w:b/>
          <w:bCs/>
        </w:rPr>
      </w:pPr>
    </w:p>
    <w:p w14:paraId="7B30BB01" w14:textId="77777777" w:rsidR="00B269D9" w:rsidRDefault="00B269D9" w:rsidP="00B269D9">
      <w:pPr>
        <w:spacing w:after="160" w:line="360" w:lineRule="auto"/>
        <w:ind w:left="1080"/>
        <w:contextualSpacing/>
        <w:jc w:val="both"/>
        <w:rPr>
          <w:rFonts w:ascii="David" w:eastAsia="Calibri" w:hAnsi="David"/>
          <w:b/>
          <w:bCs/>
        </w:rPr>
      </w:pPr>
    </w:p>
    <w:p w14:paraId="1782FE6A" w14:textId="77777777" w:rsidR="00B269D9" w:rsidRDefault="00B269D9" w:rsidP="00B269D9">
      <w:pPr>
        <w:numPr>
          <w:ilvl w:val="0"/>
          <w:numId w:val="1"/>
        </w:numPr>
        <w:spacing w:after="160" w:line="360" w:lineRule="auto"/>
        <w:ind w:left="429" w:hanging="425"/>
        <w:contextualSpacing/>
        <w:jc w:val="both"/>
        <w:rPr>
          <w:rFonts w:ascii="David" w:eastAsia="Calibri" w:hAnsi="David"/>
          <w:b/>
          <w:bCs/>
        </w:rPr>
      </w:pPr>
      <w:r>
        <w:rPr>
          <w:rFonts w:ascii="David" w:eastAsia="Calibri" w:hAnsi="David"/>
          <w:rtl/>
        </w:rPr>
        <w:t>120 שעות שירות לתועלת הציבור, העבודות יבוצעו בפיקוח שירות המבחן אשר מתבקש להכין תוכנית מתאימה והולמת למצבו הבריאותי של הנאשם. ככל שיהיה צורך בשינוי מקום ביצוע העבודות ומועדן, הדבר יעשה על ידי שירות המבחן ללא צורך בצו שיפוטי נוסף. התוכנית תוגש לאישור בית המשפט עד 1.6.22.</w:t>
      </w:r>
    </w:p>
    <w:p w14:paraId="1766F576" w14:textId="77777777" w:rsidR="00B269D9" w:rsidRDefault="00B269D9" w:rsidP="00B269D9">
      <w:pPr>
        <w:spacing w:after="160" w:line="360" w:lineRule="auto"/>
        <w:ind w:left="1080"/>
        <w:contextualSpacing/>
        <w:jc w:val="both"/>
        <w:rPr>
          <w:rFonts w:ascii="David" w:eastAsia="Calibri" w:hAnsi="David"/>
          <w:b/>
          <w:bCs/>
          <w:rtl/>
        </w:rPr>
      </w:pPr>
    </w:p>
    <w:p w14:paraId="63E3783F" w14:textId="77777777" w:rsidR="00B269D9" w:rsidRDefault="00B269D9" w:rsidP="00B269D9">
      <w:pPr>
        <w:numPr>
          <w:ilvl w:val="0"/>
          <w:numId w:val="1"/>
        </w:numPr>
        <w:spacing w:after="160" w:line="360" w:lineRule="auto"/>
        <w:ind w:left="429" w:hanging="425"/>
        <w:contextualSpacing/>
        <w:jc w:val="both"/>
        <w:rPr>
          <w:rFonts w:ascii="David" w:eastAsia="Calibri" w:hAnsi="David"/>
          <w:b/>
          <w:bCs/>
        </w:rPr>
      </w:pPr>
      <w:r>
        <w:rPr>
          <w:rFonts w:ascii="David" w:eastAsia="Calibri" w:hAnsi="David"/>
          <w:rtl/>
        </w:rPr>
        <w:t>הנאשם מוזהר כי אם לא יבצע השל"</w:t>
      </w:r>
      <w:r>
        <w:rPr>
          <w:rFonts w:ascii="David" w:eastAsia="Calibri" w:hAnsi="David" w:hint="cs"/>
          <w:rtl/>
        </w:rPr>
        <w:t>צ</w:t>
      </w:r>
      <w:r>
        <w:rPr>
          <w:rFonts w:ascii="David" w:eastAsia="Calibri" w:hAnsi="David"/>
          <w:rtl/>
        </w:rPr>
        <w:t xml:space="preserve"> כנדרש ובהתאם להוראות שירות המבחן הוא צפוי לגזירת דינו מחדש.</w:t>
      </w:r>
    </w:p>
    <w:p w14:paraId="2888F48F" w14:textId="77777777" w:rsidR="00B269D9" w:rsidRDefault="00B269D9" w:rsidP="00B269D9">
      <w:pPr>
        <w:spacing w:line="360" w:lineRule="auto"/>
        <w:ind w:left="720"/>
        <w:jc w:val="both"/>
        <w:rPr>
          <w:rFonts w:ascii="David" w:hAnsi="David"/>
          <w:b/>
          <w:bCs/>
        </w:rPr>
      </w:pPr>
    </w:p>
    <w:p w14:paraId="291AEC77" w14:textId="77777777" w:rsidR="00B269D9" w:rsidRDefault="00B269D9" w:rsidP="00B269D9">
      <w:pPr>
        <w:spacing w:line="360" w:lineRule="auto"/>
        <w:ind w:left="720"/>
        <w:jc w:val="both"/>
        <w:rPr>
          <w:rFonts w:ascii="David" w:hAnsi="David"/>
          <w:b/>
          <w:bCs/>
        </w:rPr>
      </w:pPr>
      <w:r>
        <w:rPr>
          <w:rFonts w:ascii="David" w:hAnsi="David"/>
          <w:b/>
          <w:bCs/>
          <w:rtl/>
        </w:rPr>
        <w:t>זכות ערעור בבית משפט המחוזי תוך 45 יום.</w:t>
      </w:r>
    </w:p>
    <w:p w14:paraId="08EE54E5" w14:textId="77777777" w:rsidR="00B269D9" w:rsidRDefault="00B269D9" w:rsidP="00B269D9">
      <w:pPr>
        <w:spacing w:line="360" w:lineRule="auto"/>
        <w:jc w:val="both"/>
        <w:rPr>
          <w:rFonts w:ascii="David" w:hAnsi="David"/>
          <w:b/>
          <w:bCs/>
        </w:rPr>
      </w:pPr>
    </w:p>
    <w:p w14:paraId="3A3B897E" w14:textId="77777777" w:rsidR="00B269D9" w:rsidRDefault="00B269D9" w:rsidP="00B269D9">
      <w:pPr>
        <w:spacing w:after="160" w:line="360" w:lineRule="auto"/>
        <w:ind w:left="1440"/>
        <w:contextualSpacing/>
        <w:jc w:val="both"/>
        <w:rPr>
          <w:rFonts w:ascii="David" w:eastAsia="Calibri" w:hAnsi="David"/>
          <w:b/>
          <w:bCs/>
          <w:rtl/>
        </w:rPr>
      </w:pPr>
    </w:p>
    <w:p w14:paraId="19167860" w14:textId="77777777" w:rsidR="00B269D9" w:rsidRDefault="00B269D9" w:rsidP="00B269D9">
      <w:pPr>
        <w:spacing w:after="160" w:line="360" w:lineRule="auto"/>
        <w:ind w:left="720"/>
        <w:contextualSpacing/>
        <w:jc w:val="both"/>
        <w:rPr>
          <w:rFonts w:ascii="David" w:eastAsia="Calibri" w:hAnsi="David"/>
          <w:b/>
          <w:bCs/>
        </w:rPr>
      </w:pPr>
    </w:p>
    <w:p w14:paraId="0E14A6F0" w14:textId="77777777" w:rsidR="00B269D9" w:rsidRDefault="00B269D9" w:rsidP="00B269D9">
      <w:pPr>
        <w:spacing w:after="160" w:line="360" w:lineRule="auto"/>
        <w:ind w:left="720"/>
        <w:contextualSpacing/>
        <w:jc w:val="both"/>
        <w:rPr>
          <w:rFonts w:ascii="David" w:eastAsia="Calibri" w:hAnsi="David"/>
          <w:b/>
          <w:bCs/>
        </w:rPr>
      </w:pPr>
    </w:p>
    <w:p w14:paraId="4954F12C" w14:textId="77777777" w:rsidR="00B269D9" w:rsidRDefault="00B269D9" w:rsidP="00B269D9">
      <w:pPr>
        <w:spacing w:line="360" w:lineRule="auto"/>
        <w:jc w:val="both"/>
        <w:rPr>
          <w:rFonts w:ascii="David" w:hAnsi="David"/>
          <w:rtl/>
        </w:rPr>
      </w:pPr>
    </w:p>
    <w:p w14:paraId="5AB4F05C" w14:textId="77777777" w:rsidR="00B269D9" w:rsidRDefault="00B269D9" w:rsidP="00B269D9">
      <w:pPr>
        <w:rPr>
          <w:rFonts w:ascii="Arial" w:hAnsi="Arial"/>
          <w:b/>
          <w:bCs/>
          <w:sz w:val="26"/>
          <w:szCs w:val="26"/>
          <w:rtl/>
        </w:rPr>
      </w:pPr>
    </w:p>
    <w:p w14:paraId="6A75EF48" w14:textId="77777777" w:rsidR="00B269D9" w:rsidRDefault="00B269D9" w:rsidP="00B269D9">
      <w:pPr>
        <w:rPr>
          <w:rFonts w:ascii="Arial" w:hAnsi="Arial"/>
          <w:b/>
          <w:bCs/>
          <w:sz w:val="26"/>
          <w:szCs w:val="26"/>
        </w:rPr>
      </w:pPr>
    </w:p>
    <w:p w14:paraId="496992A5" w14:textId="77777777" w:rsidR="00B269D9" w:rsidRPr="002E4805" w:rsidRDefault="002E4805" w:rsidP="00B269D9">
      <w:pPr>
        <w:rPr>
          <w:rFonts w:ascii="Arial" w:hAnsi="Arial"/>
          <w:b/>
          <w:bCs/>
          <w:color w:val="FFFFFF"/>
          <w:sz w:val="2"/>
          <w:szCs w:val="2"/>
          <w:rtl/>
        </w:rPr>
      </w:pPr>
      <w:r w:rsidRPr="002E4805">
        <w:rPr>
          <w:rFonts w:ascii="Arial" w:hAnsi="Arial"/>
          <w:b/>
          <w:bCs/>
          <w:color w:val="FFFFFF"/>
          <w:sz w:val="2"/>
          <w:szCs w:val="2"/>
          <w:rtl/>
        </w:rPr>
        <w:t>5129371</w:t>
      </w:r>
    </w:p>
    <w:p w14:paraId="722B9696" w14:textId="77777777" w:rsidR="00B269D9" w:rsidRDefault="002E4805" w:rsidP="00B269D9">
      <w:pPr>
        <w:rPr>
          <w:rFonts w:ascii="Arial" w:hAnsi="Arial"/>
          <w:b/>
          <w:bCs/>
          <w:sz w:val="26"/>
          <w:szCs w:val="26"/>
          <w:rtl/>
        </w:rPr>
      </w:pPr>
      <w:bookmarkStart w:id="8" w:name="Nitan"/>
      <w:r w:rsidRPr="002E4805">
        <w:rPr>
          <w:rFonts w:ascii="Arial" w:hAnsi="Arial"/>
          <w:b/>
          <w:bCs/>
          <w:color w:val="FFFFFF"/>
          <w:sz w:val="2"/>
          <w:szCs w:val="2"/>
          <w:rtl/>
        </w:rPr>
        <w:t>54678313</w:t>
      </w:r>
      <w:r>
        <w:rPr>
          <w:rFonts w:ascii="Arial" w:hAnsi="Arial"/>
          <w:b/>
          <w:bCs/>
          <w:sz w:val="26"/>
          <w:szCs w:val="26"/>
          <w:rtl/>
        </w:rPr>
        <w:t xml:space="preserve">ניתן היום,  י' ניסן תשפ"ב, 11 אפריל 2022, בהעדר הצדדים. </w:t>
      </w:r>
      <w:bookmarkEnd w:id="8"/>
    </w:p>
    <w:p w14:paraId="0D3CDFBF" w14:textId="77777777" w:rsidR="00B269D9" w:rsidRDefault="00B269D9" w:rsidP="002E4805">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7360618C" w14:textId="77777777" w:rsidR="00B269D9" w:rsidRDefault="00B269D9" w:rsidP="00B269D9">
      <w:pPr>
        <w:jc w:val="center"/>
        <w:rPr>
          <w:rFonts w:ascii="Arial" w:hAnsi="Arial"/>
          <w:b/>
          <w:bCs/>
          <w:sz w:val="26"/>
          <w:szCs w:val="26"/>
        </w:rPr>
      </w:pPr>
    </w:p>
    <w:p w14:paraId="538B3CC8" w14:textId="77777777" w:rsidR="002E4805" w:rsidRDefault="002E4805" w:rsidP="002E4805">
      <w:pPr>
        <w:rPr>
          <w:rtl/>
        </w:rPr>
      </w:pPr>
    </w:p>
    <w:p w14:paraId="1FA7A77D" w14:textId="77777777" w:rsidR="002E4805" w:rsidRDefault="002E4805" w:rsidP="002E480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DD13049" w14:textId="77777777" w:rsidR="00B6199B" w:rsidRPr="00B6199B" w:rsidRDefault="00B6199B" w:rsidP="00B6199B">
      <w:pPr>
        <w:keepNext/>
        <w:rPr>
          <w:rFonts w:ascii="David" w:hAnsi="David"/>
          <w:color w:val="000000"/>
          <w:sz w:val="22"/>
          <w:szCs w:val="22"/>
          <w:rtl/>
        </w:rPr>
      </w:pPr>
    </w:p>
    <w:p w14:paraId="5D366478" w14:textId="77777777" w:rsidR="00B6199B" w:rsidRPr="00B6199B" w:rsidRDefault="00B6199B" w:rsidP="00B6199B">
      <w:pPr>
        <w:keepNext/>
        <w:rPr>
          <w:rFonts w:ascii="David" w:hAnsi="David"/>
          <w:color w:val="000000"/>
          <w:sz w:val="22"/>
          <w:szCs w:val="22"/>
          <w:rtl/>
        </w:rPr>
      </w:pPr>
      <w:r w:rsidRPr="00B6199B">
        <w:rPr>
          <w:rFonts w:ascii="David" w:hAnsi="David"/>
          <w:color w:val="000000"/>
          <w:sz w:val="22"/>
          <w:szCs w:val="22"/>
          <w:rtl/>
        </w:rPr>
        <w:t>פאול שטרק 54678313-/</w:t>
      </w:r>
    </w:p>
    <w:p w14:paraId="0AB9247E" w14:textId="77777777" w:rsidR="002E4805" w:rsidRPr="002E4805" w:rsidRDefault="00B6199B" w:rsidP="00B6199B">
      <w:pPr>
        <w:rPr>
          <w:color w:val="0000FF"/>
          <w:u w:val="single"/>
        </w:rPr>
      </w:pPr>
      <w:r w:rsidRPr="00B6199B">
        <w:rPr>
          <w:color w:val="000000"/>
          <w:u w:val="single"/>
          <w:rtl/>
        </w:rPr>
        <w:t>נוסח מסמך זה כפוף לשינויי ניסוח ועריכה</w:t>
      </w:r>
    </w:p>
    <w:sectPr w:rsidR="002E4805" w:rsidRPr="002E4805" w:rsidSect="00B6199B">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00A2B" w14:textId="77777777" w:rsidR="000A154B" w:rsidRDefault="000A154B" w:rsidP="00D711D0">
      <w:r>
        <w:separator/>
      </w:r>
    </w:p>
  </w:endnote>
  <w:endnote w:type="continuationSeparator" w:id="0">
    <w:p w14:paraId="2EC3E960" w14:textId="77777777" w:rsidR="000A154B" w:rsidRDefault="000A154B" w:rsidP="00D7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819F" w14:textId="77777777" w:rsidR="00B6199B" w:rsidRDefault="00B6199B" w:rsidP="00B619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A5A01A" w14:textId="77777777" w:rsidR="00C32BB0" w:rsidRPr="00B6199B" w:rsidRDefault="00B6199B" w:rsidP="00B6199B">
    <w:pPr>
      <w:pStyle w:val="a5"/>
      <w:pBdr>
        <w:top w:val="single" w:sz="4" w:space="1" w:color="auto"/>
        <w:between w:val="single" w:sz="4" w:space="0" w:color="auto"/>
      </w:pBdr>
      <w:spacing w:after="60"/>
      <w:jc w:val="center"/>
      <w:rPr>
        <w:rFonts w:ascii="FrankRuehl" w:hAnsi="FrankRuehl" w:cs="FrankRuehl"/>
        <w:color w:val="000000"/>
      </w:rPr>
    </w:pPr>
    <w:r w:rsidRPr="00B619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C87C" w14:textId="77777777" w:rsidR="00B6199B" w:rsidRDefault="00B6199B" w:rsidP="00B619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6106">
      <w:rPr>
        <w:rFonts w:ascii="FrankRuehl" w:hAnsi="FrankRuehl" w:cs="FrankRuehl"/>
        <w:noProof/>
        <w:rtl/>
      </w:rPr>
      <w:t>1</w:t>
    </w:r>
    <w:r>
      <w:rPr>
        <w:rFonts w:ascii="FrankRuehl" w:hAnsi="FrankRuehl" w:cs="FrankRuehl"/>
        <w:rtl/>
      </w:rPr>
      <w:fldChar w:fldCharType="end"/>
    </w:r>
  </w:p>
  <w:p w14:paraId="00300AAD" w14:textId="77777777" w:rsidR="00C32BB0" w:rsidRPr="00B6199B" w:rsidRDefault="00B6199B" w:rsidP="00B6199B">
    <w:pPr>
      <w:pStyle w:val="a5"/>
      <w:pBdr>
        <w:top w:val="single" w:sz="4" w:space="1" w:color="auto"/>
        <w:between w:val="single" w:sz="4" w:space="0" w:color="auto"/>
      </w:pBdr>
      <w:spacing w:after="60"/>
      <w:jc w:val="center"/>
      <w:rPr>
        <w:rFonts w:ascii="FrankRuehl" w:hAnsi="FrankRuehl" w:cs="FrankRuehl"/>
        <w:color w:val="000000"/>
      </w:rPr>
    </w:pPr>
    <w:r w:rsidRPr="00B6199B">
      <w:rPr>
        <w:rFonts w:ascii="FrankRuehl" w:hAnsi="FrankRuehl" w:cs="FrankRuehl"/>
        <w:color w:val="000000"/>
      </w:rPr>
      <w:pict w14:anchorId="50810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6BB3F" w14:textId="77777777" w:rsidR="000A154B" w:rsidRDefault="000A154B" w:rsidP="00D711D0">
      <w:r>
        <w:separator/>
      </w:r>
    </w:p>
  </w:footnote>
  <w:footnote w:type="continuationSeparator" w:id="0">
    <w:p w14:paraId="791624D5" w14:textId="77777777" w:rsidR="000A154B" w:rsidRDefault="000A154B" w:rsidP="00D7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53841" w14:textId="77777777" w:rsidR="002E4805" w:rsidRPr="00B6199B" w:rsidRDefault="00B6199B" w:rsidP="00B619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24358-07-20</w:t>
    </w:r>
    <w:r>
      <w:rPr>
        <w:rFonts w:ascii="David" w:hAnsi="David"/>
        <w:color w:val="000000"/>
        <w:sz w:val="22"/>
        <w:szCs w:val="22"/>
        <w:rtl/>
      </w:rPr>
      <w:tab/>
      <w:t xml:space="preserve"> מדינת ישראל נ' משה בן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1E8C" w14:textId="77777777" w:rsidR="002E4805" w:rsidRPr="00B6199B" w:rsidRDefault="00B6199B" w:rsidP="00B619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24358-07-20</w:t>
    </w:r>
    <w:r>
      <w:rPr>
        <w:rFonts w:ascii="David" w:hAnsi="David"/>
        <w:color w:val="000000"/>
        <w:sz w:val="22"/>
        <w:szCs w:val="22"/>
        <w:rtl/>
      </w:rPr>
      <w:tab/>
      <w:t xml:space="preserve"> מדינת ישראל נ' משה בן 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44243D"/>
    <w:multiLevelType w:val="hybridMultilevel"/>
    <w:tmpl w:val="58AE727A"/>
    <w:lvl w:ilvl="0" w:tplc="D840C8E0">
      <w:start w:val="1"/>
      <w:numFmt w:val="hebrew1"/>
      <w:lvlText w:val="%1."/>
      <w:lvlJc w:val="left"/>
      <w:pPr>
        <w:ind w:left="1080" w:hanging="360"/>
      </w:pPr>
      <w:rPr>
        <w:b w:val="0"/>
        <w:bCs w:val="0"/>
      </w:rPr>
    </w:lvl>
    <w:lvl w:ilvl="1" w:tplc="BB1E22F8">
      <w:start w:val="1"/>
      <w:numFmt w:val="lowerLetter"/>
      <w:lvlText w:val="%2."/>
      <w:lvlJc w:val="left"/>
      <w:pPr>
        <w:ind w:left="1800" w:hanging="360"/>
      </w:pPr>
    </w:lvl>
    <w:lvl w:ilvl="2" w:tplc="ED96261A">
      <w:start w:val="1"/>
      <w:numFmt w:val="lowerRoman"/>
      <w:lvlText w:val="%3."/>
      <w:lvlJc w:val="right"/>
      <w:pPr>
        <w:ind w:left="2520" w:hanging="180"/>
      </w:pPr>
    </w:lvl>
    <w:lvl w:ilvl="3" w:tplc="1E12E552">
      <w:start w:val="1"/>
      <w:numFmt w:val="decimal"/>
      <w:lvlText w:val="%4."/>
      <w:lvlJc w:val="left"/>
      <w:pPr>
        <w:ind w:left="3240" w:hanging="360"/>
      </w:pPr>
    </w:lvl>
    <w:lvl w:ilvl="4" w:tplc="3612E0F6">
      <w:start w:val="1"/>
      <w:numFmt w:val="lowerLetter"/>
      <w:lvlText w:val="%5."/>
      <w:lvlJc w:val="left"/>
      <w:pPr>
        <w:ind w:left="3960" w:hanging="360"/>
      </w:pPr>
    </w:lvl>
    <w:lvl w:ilvl="5" w:tplc="FCB8A4FE">
      <w:start w:val="1"/>
      <w:numFmt w:val="lowerRoman"/>
      <w:lvlText w:val="%6."/>
      <w:lvlJc w:val="right"/>
      <w:pPr>
        <w:ind w:left="4680" w:hanging="180"/>
      </w:pPr>
    </w:lvl>
    <w:lvl w:ilvl="6" w:tplc="1F86DB3A">
      <w:start w:val="1"/>
      <w:numFmt w:val="decimal"/>
      <w:lvlText w:val="%7."/>
      <w:lvlJc w:val="left"/>
      <w:pPr>
        <w:ind w:left="5400" w:hanging="360"/>
      </w:pPr>
    </w:lvl>
    <w:lvl w:ilvl="7" w:tplc="C97C48C0">
      <w:start w:val="1"/>
      <w:numFmt w:val="lowerLetter"/>
      <w:lvlText w:val="%8."/>
      <w:lvlJc w:val="left"/>
      <w:pPr>
        <w:ind w:left="6120" w:hanging="360"/>
      </w:pPr>
    </w:lvl>
    <w:lvl w:ilvl="8" w:tplc="54A6C68C">
      <w:start w:val="1"/>
      <w:numFmt w:val="lowerRoman"/>
      <w:lvlText w:val="%9."/>
      <w:lvlJc w:val="right"/>
      <w:pPr>
        <w:ind w:left="6840" w:hanging="180"/>
      </w:pPr>
    </w:lvl>
  </w:abstractNum>
  <w:num w:numId="1" w16cid:durableId="647593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69D9"/>
    <w:rsid w:val="000A154B"/>
    <w:rsid w:val="001B5A3B"/>
    <w:rsid w:val="00210ECB"/>
    <w:rsid w:val="002E4805"/>
    <w:rsid w:val="00451FE9"/>
    <w:rsid w:val="006E1045"/>
    <w:rsid w:val="00782E87"/>
    <w:rsid w:val="00824AD0"/>
    <w:rsid w:val="0084781B"/>
    <w:rsid w:val="00872B06"/>
    <w:rsid w:val="00A26106"/>
    <w:rsid w:val="00B269D9"/>
    <w:rsid w:val="00B6199B"/>
    <w:rsid w:val="00C32BB0"/>
    <w:rsid w:val="00D711D0"/>
    <w:rsid w:val="00F514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ACAA6B"/>
  <w15:chartTrackingRefBased/>
  <w15:docId w15:val="{9BFEA205-594C-4D75-93D4-29A1201D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69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69D9"/>
    <w:pPr>
      <w:tabs>
        <w:tab w:val="center" w:pos="4153"/>
        <w:tab w:val="right" w:pos="8306"/>
      </w:tabs>
    </w:pPr>
  </w:style>
  <w:style w:type="character" w:customStyle="1" w:styleId="a4">
    <w:name w:val="כותרת עליונה תו"/>
    <w:link w:val="a3"/>
    <w:rsid w:val="00B269D9"/>
    <w:rPr>
      <w:rFonts w:ascii="Times New Roman" w:eastAsia="Times New Roman" w:hAnsi="Times New Roman" w:cs="David"/>
      <w:sz w:val="24"/>
      <w:szCs w:val="24"/>
    </w:rPr>
  </w:style>
  <w:style w:type="paragraph" w:styleId="a5">
    <w:name w:val="footer"/>
    <w:basedOn w:val="a"/>
    <w:link w:val="a6"/>
    <w:rsid w:val="00B269D9"/>
    <w:pPr>
      <w:tabs>
        <w:tab w:val="center" w:pos="4153"/>
        <w:tab w:val="right" w:pos="8306"/>
      </w:tabs>
    </w:pPr>
  </w:style>
  <w:style w:type="character" w:customStyle="1" w:styleId="a6">
    <w:name w:val="כותרת תחתונה תו"/>
    <w:link w:val="a5"/>
    <w:rsid w:val="00B269D9"/>
    <w:rPr>
      <w:rFonts w:ascii="Times New Roman" w:eastAsia="Times New Roman" w:hAnsi="Times New Roman" w:cs="David"/>
      <w:sz w:val="24"/>
      <w:szCs w:val="24"/>
    </w:rPr>
  </w:style>
  <w:style w:type="character" w:styleId="a7">
    <w:name w:val="page number"/>
    <w:rsid w:val="00B269D9"/>
  </w:style>
  <w:style w:type="paragraph" w:styleId="a8">
    <w:name w:val="List Paragraph"/>
    <w:basedOn w:val="a"/>
    <w:qFormat/>
    <w:rsid w:val="00B269D9"/>
    <w:pPr>
      <w:bidi w:val="0"/>
      <w:spacing w:after="160" w:line="256" w:lineRule="auto"/>
      <w:ind w:left="720"/>
      <w:contextualSpacing/>
    </w:pPr>
    <w:rPr>
      <w:rFonts w:ascii="Calibri" w:eastAsia="Calibri" w:hAnsi="Calibri" w:cs="Arial"/>
      <w:sz w:val="22"/>
      <w:szCs w:val="22"/>
    </w:rPr>
  </w:style>
  <w:style w:type="table" w:customStyle="1" w:styleId="1">
    <w:name w:val="רשת טבלה1"/>
    <w:basedOn w:val="a1"/>
    <w:next w:val="a9"/>
    <w:rsid w:val="00B269D9"/>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rsid w:val="00B26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E4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7.c"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40j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3161848"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0301/40h" TargetMode="External"/><Relationship Id="rId19" Type="http://schemas.openxmlformats.org/officeDocument/2006/relationships/hyperlink" Target="http://www.nevo.co.il/case/26000700"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h"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1177</Words>
  <Characters>5889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7052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http://www.nevo.co.il/law/70301/40h</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3276917</vt:i4>
      </vt:variant>
      <vt:variant>
        <vt:i4>36</vt:i4>
      </vt:variant>
      <vt:variant>
        <vt:i4>0</vt:i4>
      </vt:variant>
      <vt:variant>
        <vt:i4>5</vt:i4>
      </vt:variant>
      <vt:variant>
        <vt:lpwstr>http://www.nevo.co.il/case/26000700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3539065</vt:i4>
      </vt:variant>
      <vt:variant>
        <vt:i4>24</vt:i4>
      </vt:variant>
      <vt:variant>
        <vt:i4>0</vt:i4>
      </vt:variant>
      <vt:variant>
        <vt:i4>5</vt:i4>
      </vt:variant>
      <vt:variant>
        <vt:lpwstr>http://www.nevo.co.il/case/23161848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7995492</vt:i4>
      </vt:variant>
      <vt:variant>
        <vt:i4>6</vt:i4>
      </vt:variant>
      <vt:variant>
        <vt:i4>0</vt:i4>
      </vt:variant>
      <vt:variant>
        <vt:i4>5</vt:i4>
      </vt:variant>
      <vt:variant>
        <vt:lpwstr>http://www.nevo.co.il/law/70301</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24358</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משה בן חמו</vt:lpwstr>
  </property>
  <property fmtid="{D5CDD505-2E9C-101B-9397-08002B2CF9AE}" pid="10" name="LAWYER">
    <vt:lpwstr>איתן להמן</vt:lpwstr>
  </property>
  <property fmtid="{D5CDD505-2E9C-101B-9397-08002B2CF9AE}" pid="11" name="JUDGE">
    <vt:lpwstr>פאול שטרק</vt:lpwstr>
  </property>
  <property fmtid="{D5CDD505-2E9C-101B-9397-08002B2CF9AE}" pid="12" name="CITY">
    <vt:lpwstr>י-ם</vt:lpwstr>
  </property>
  <property fmtid="{D5CDD505-2E9C-101B-9397-08002B2CF9AE}" pid="13" name="DATE">
    <vt:lpwstr>20220411</vt:lpwstr>
  </property>
  <property fmtid="{D5CDD505-2E9C-101B-9397-08002B2CF9AE}" pid="14" name="TYPE_N_DATE">
    <vt:lpwstr>38020220411</vt:lpwstr>
  </property>
  <property fmtid="{D5CDD505-2E9C-101B-9397-08002B2CF9AE}" pid="15" name="WORDNUMPAGES">
    <vt:lpwstr>4</vt:lpwstr>
  </property>
  <property fmtid="{D5CDD505-2E9C-101B-9397-08002B2CF9AE}" pid="16" name="TYPE_ABS_DATE">
    <vt:lpwstr>380020220411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23161848;26000700</vt:lpwstr>
  </property>
  <property fmtid="{D5CDD505-2E9C-101B-9397-08002B2CF9AE}" pid="36" name="LAWLISTTMP1">
    <vt:lpwstr>4216/007.c:2</vt:lpwstr>
  </property>
  <property fmtid="{D5CDD505-2E9C-101B-9397-08002B2CF9AE}" pid="37" name="LAWLISTTMP2">
    <vt:lpwstr>70301/040i;40ja;040h</vt:lpwstr>
  </property>
</Properties>
</file>