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F7F6B" w:rsidRPr="004C5178" w14:paraId="40568E2A" w14:textId="77777777" w:rsidTr="00650987">
        <w:trPr>
          <w:trHeight w:hRule="exact" w:val="418"/>
          <w:jc w:val="center"/>
        </w:trPr>
        <w:tc>
          <w:tcPr>
            <w:tcW w:w="8721" w:type="dxa"/>
            <w:gridSpan w:val="2"/>
          </w:tcPr>
          <w:p w14:paraId="2EEC7523" w14:textId="77777777" w:rsidR="007F7F6B" w:rsidRPr="004C5178" w:rsidRDefault="007F7F6B" w:rsidP="00A04569">
            <w:pPr>
              <w:pStyle w:val="a3"/>
              <w:jc w:val="center"/>
              <w:rPr>
                <w:rFonts w:ascii="Tahoma" w:hAnsi="Tahoma" w:cs="Tahoma"/>
                <w:color w:val="000080"/>
                <w:rtl/>
              </w:rPr>
            </w:pPr>
            <w:bookmarkStart w:id="0" w:name="LastJudge"/>
            <w:r w:rsidRPr="004C5178">
              <w:rPr>
                <w:rFonts w:ascii="Tahoma" w:hAnsi="Tahoma" w:cs="Tahoma"/>
                <w:b/>
                <w:bCs/>
                <w:color w:val="000080"/>
                <w:rtl/>
              </w:rPr>
              <w:t>בית משפט השלום באילת</w:t>
            </w:r>
          </w:p>
        </w:tc>
      </w:tr>
      <w:tr w:rsidR="007F7F6B" w:rsidRPr="004C5178" w14:paraId="580FED8A" w14:textId="77777777" w:rsidTr="00650987">
        <w:trPr>
          <w:trHeight w:val="337"/>
          <w:jc w:val="center"/>
        </w:trPr>
        <w:tc>
          <w:tcPr>
            <w:tcW w:w="5054" w:type="dxa"/>
          </w:tcPr>
          <w:p w14:paraId="5398C1EA" w14:textId="77777777" w:rsidR="007F7F6B" w:rsidRPr="004C5178" w:rsidRDefault="007F7F6B" w:rsidP="00650987">
            <w:pPr>
              <w:rPr>
                <w:rFonts w:cs="FrankRuehl" w:hint="cs"/>
                <w:sz w:val="28"/>
                <w:szCs w:val="28"/>
                <w:rtl/>
              </w:rPr>
            </w:pPr>
            <w:r w:rsidRPr="004C5178">
              <w:rPr>
                <w:rFonts w:cs="FrankRuehl"/>
                <w:sz w:val="28"/>
                <w:szCs w:val="28"/>
                <w:rtl/>
              </w:rPr>
              <w:t>ת"פ</w:t>
            </w:r>
            <w:r w:rsidRPr="004C5178">
              <w:rPr>
                <w:rFonts w:cs="FrankRuehl" w:hint="cs"/>
                <w:sz w:val="28"/>
                <w:szCs w:val="28"/>
                <w:rtl/>
              </w:rPr>
              <w:t xml:space="preserve"> </w:t>
            </w:r>
            <w:r w:rsidRPr="004C5178">
              <w:rPr>
                <w:rFonts w:cs="FrankRuehl"/>
                <w:sz w:val="28"/>
                <w:szCs w:val="28"/>
                <w:rtl/>
              </w:rPr>
              <w:t>27373-07-20</w:t>
            </w:r>
            <w:r w:rsidRPr="004C5178">
              <w:rPr>
                <w:rFonts w:cs="FrankRuehl" w:hint="cs"/>
                <w:sz w:val="28"/>
                <w:szCs w:val="28"/>
                <w:rtl/>
              </w:rPr>
              <w:t xml:space="preserve"> </w:t>
            </w:r>
            <w:r w:rsidRPr="004C5178">
              <w:rPr>
                <w:rFonts w:cs="FrankRuehl"/>
                <w:sz w:val="28"/>
                <w:szCs w:val="28"/>
                <w:rtl/>
              </w:rPr>
              <w:t xml:space="preserve">מדינת ישראל נ' </w:t>
            </w:r>
            <w:r w:rsidR="00650987">
              <w:rPr>
                <w:rFonts w:cs="FrankRuehl" w:hint="cs"/>
                <w:sz w:val="28"/>
                <w:szCs w:val="28"/>
                <w:rtl/>
              </w:rPr>
              <w:t>פלוני</w:t>
            </w:r>
          </w:p>
          <w:p w14:paraId="265413FD" w14:textId="77777777" w:rsidR="007F7F6B" w:rsidRPr="004C5178" w:rsidRDefault="007F7F6B" w:rsidP="00A04569">
            <w:pPr>
              <w:pStyle w:val="a3"/>
              <w:rPr>
                <w:rFonts w:cs="FrankRuehl"/>
                <w:sz w:val="28"/>
                <w:szCs w:val="28"/>
                <w:rtl/>
              </w:rPr>
            </w:pPr>
          </w:p>
        </w:tc>
        <w:tc>
          <w:tcPr>
            <w:tcW w:w="3667" w:type="dxa"/>
          </w:tcPr>
          <w:p w14:paraId="028F8C8F" w14:textId="77777777" w:rsidR="007F7F6B" w:rsidRPr="004C5178" w:rsidRDefault="007F7F6B" w:rsidP="00A04569">
            <w:pPr>
              <w:pStyle w:val="a3"/>
              <w:jc w:val="right"/>
              <w:rPr>
                <w:rFonts w:cs="FrankRuehl"/>
                <w:sz w:val="28"/>
                <w:szCs w:val="28"/>
                <w:rtl/>
              </w:rPr>
            </w:pPr>
          </w:p>
        </w:tc>
      </w:tr>
    </w:tbl>
    <w:p w14:paraId="7618ABB0" w14:textId="77777777" w:rsidR="007F7F6B" w:rsidRPr="004C5178" w:rsidRDefault="007F7F6B" w:rsidP="007F7F6B">
      <w:pPr>
        <w:pStyle w:val="a3"/>
        <w:rPr>
          <w:rtl/>
        </w:rPr>
      </w:pPr>
      <w:r w:rsidRPr="004C5178">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7F7F6B" w:rsidRPr="004C5178" w14:paraId="4E9F7D6D" w14:textId="77777777" w:rsidTr="007F7F6B">
        <w:trPr>
          <w:trHeight w:val="295"/>
          <w:jc w:val="center"/>
        </w:trPr>
        <w:tc>
          <w:tcPr>
            <w:tcW w:w="923" w:type="dxa"/>
            <w:tcBorders>
              <w:top w:val="nil"/>
              <w:left w:val="nil"/>
              <w:bottom w:val="nil"/>
              <w:right w:val="nil"/>
            </w:tcBorders>
            <w:shd w:val="clear" w:color="auto" w:fill="auto"/>
          </w:tcPr>
          <w:p w14:paraId="2B7F66A4" w14:textId="77777777" w:rsidR="007F7F6B" w:rsidRPr="004C5178" w:rsidRDefault="007F7F6B" w:rsidP="007F7F6B">
            <w:pPr>
              <w:jc w:val="both"/>
              <w:rPr>
                <w:rFonts w:ascii="David" w:hAnsi="David"/>
                <w:sz w:val="26"/>
                <w:szCs w:val="26"/>
              </w:rPr>
            </w:pPr>
            <w:r w:rsidRPr="004C5178">
              <w:rPr>
                <w:rFonts w:ascii="David" w:hAnsi="David" w:hint="cs"/>
                <w:sz w:val="26"/>
                <w:szCs w:val="26"/>
                <w:rtl/>
              </w:rPr>
              <w:t>ל</w:t>
            </w:r>
            <w:r w:rsidRPr="004C5178">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5191640A" w14:textId="77777777" w:rsidR="007F7F6B" w:rsidRPr="004C5178" w:rsidRDefault="007F7F6B" w:rsidP="00A04569">
            <w:pPr>
              <w:rPr>
                <w:rFonts w:ascii="David" w:hAnsi="David"/>
                <w:b/>
                <w:bCs/>
                <w:sz w:val="26"/>
                <w:szCs w:val="26"/>
                <w:rtl/>
              </w:rPr>
            </w:pPr>
            <w:r w:rsidRPr="004C5178">
              <w:rPr>
                <w:rFonts w:ascii="David" w:hAnsi="David"/>
                <w:b/>
                <w:bCs/>
                <w:sz w:val="26"/>
                <w:szCs w:val="26"/>
                <w:rtl/>
              </w:rPr>
              <w:t>כבוד השופט  גיל אדלמן</w:t>
            </w:r>
          </w:p>
          <w:p w14:paraId="51B7B1E4" w14:textId="77777777" w:rsidR="007F7F6B" w:rsidRPr="004C5178" w:rsidRDefault="007F7F6B" w:rsidP="00A04569">
            <w:pPr>
              <w:rPr>
                <w:rFonts w:ascii="David" w:hAnsi="David"/>
                <w:sz w:val="26"/>
                <w:szCs w:val="26"/>
                <w:rtl/>
              </w:rPr>
            </w:pPr>
          </w:p>
          <w:p w14:paraId="0F306500" w14:textId="77777777" w:rsidR="007F7F6B" w:rsidRPr="004C5178" w:rsidRDefault="007F7F6B" w:rsidP="007F7F6B">
            <w:pPr>
              <w:jc w:val="both"/>
              <w:rPr>
                <w:rFonts w:ascii="David" w:hAnsi="David"/>
                <w:sz w:val="26"/>
                <w:szCs w:val="26"/>
              </w:rPr>
            </w:pPr>
          </w:p>
        </w:tc>
      </w:tr>
      <w:tr w:rsidR="007F7F6B" w:rsidRPr="004C5178" w14:paraId="676900CE" w14:textId="77777777" w:rsidTr="007F7F6B">
        <w:trPr>
          <w:trHeight w:val="355"/>
          <w:jc w:val="center"/>
        </w:trPr>
        <w:tc>
          <w:tcPr>
            <w:tcW w:w="923" w:type="dxa"/>
            <w:tcBorders>
              <w:top w:val="nil"/>
              <w:left w:val="nil"/>
              <w:bottom w:val="nil"/>
              <w:right w:val="nil"/>
            </w:tcBorders>
            <w:shd w:val="clear" w:color="auto" w:fill="auto"/>
          </w:tcPr>
          <w:p w14:paraId="579BA2ED" w14:textId="77777777" w:rsidR="007F7F6B" w:rsidRPr="004C5178" w:rsidRDefault="007F7F6B" w:rsidP="007F7F6B">
            <w:pPr>
              <w:jc w:val="both"/>
              <w:rPr>
                <w:rFonts w:ascii="David" w:hAnsi="David"/>
                <w:sz w:val="26"/>
                <w:szCs w:val="26"/>
              </w:rPr>
            </w:pPr>
            <w:bookmarkStart w:id="1" w:name="FirstAppellant"/>
            <w:bookmarkStart w:id="2" w:name="FirstLawyer"/>
            <w:r w:rsidRPr="004C5178">
              <w:rPr>
                <w:rFonts w:ascii="David" w:hAnsi="David"/>
                <w:sz w:val="26"/>
                <w:szCs w:val="26"/>
                <w:rtl/>
              </w:rPr>
              <w:t>בעניין:</w:t>
            </w:r>
          </w:p>
        </w:tc>
        <w:tc>
          <w:tcPr>
            <w:tcW w:w="3219" w:type="dxa"/>
            <w:tcBorders>
              <w:top w:val="nil"/>
              <w:left w:val="nil"/>
              <w:bottom w:val="nil"/>
              <w:right w:val="nil"/>
            </w:tcBorders>
            <w:shd w:val="clear" w:color="auto" w:fill="auto"/>
          </w:tcPr>
          <w:p w14:paraId="08C64042" w14:textId="77777777" w:rsidR="007F7F6B" w:rsidRPr="004C5178" w:rsidRDefault="007F7F6B" w:rsidP="007F7F6B">
            <w:pPr>
              <w:suppressLineNumbers/>
            </w:pPr>
            <w:r w:rsidRPr="004C5178">
              <w:rPr>
                <w:rFonts w:ascii="Arial" w:hAnsi="Arial" w:hint="cs"/>
                <w:b/>
                <w:bCs/>
                <w:sz w:val="26"/>
                <w:szCs w:val="26"/>
                <w:rtl/>
              </w:rPr>
              <w:t>ה</w:t>
            </w:r>
            <w:r w:rsidRPr="004C5178">
              <w:rPr>
                <w:rFonts w:ascii="Arial" w:hAnsi="Arial"/>
                <w:b/>
                <w:bCs/>
                <w:sz w:val="26"/>
                <w:szCs w:val="26"/>
                <w:rtl/>
              </w:rPr>
              <w:t>מאשימה</w:t>
            </w:r>
          </w:p>
          <w:p w14:paraId="389BD581" w14:textId="77777777" w:rsidR="007F7F6B" w:rsidRPr="004C5178" w:rsidRDefault="007F7F6B" w:rsidP="00A04569">
            <w:pPr>
              <w:rPr>
                <w:rFonts w:ascii="David" w:hAnsi="David"/>
                <w:sz w:val="26"/>
                <w:szCs w:val="26"/>
              </w:rPr>
            </w:pPr>
          </w:p>
        </w:tc>
        <w:tc>
          <w:tcPr>
            <w:tcW w:w="4678" w:type="dxa"/>
            <w:tcBorders>
              <w:top w:val="nil"/>
              <w:left w:val="nil"/>
              <w:bottom w:val="nil"/>
              <w:right w:val="nil"/>
            </w:tcBorders>
            <w:shd w:val="clear" w:color="auto" w:fill="auto"/>
            <w:vAlign w:val="center"/>
          </w:tcPr>
          <w:p w14:paraId="4D5A922D" w14:textId="77777777" w:rsidR="007F7F6B" w:rsidRPr="004C5178" w:rsidRDefault="007F7F6B" w:rsidP="00727B3E">
            <w:pPr>
              <w:suppressLineNumbers/>
              <w:bidi w:val="0"/>
              <w:rPr>
                <w:rFonts w:ascii="Arial" w:hAnsi="Arial"/>
                <w:b/>
                <w:bCs/>
                <w:sz w:val="26"/>
                <w:szCs w:val="26"/>
                <w:rtl/>
              </w:rPr>
            </w:pPr>
            <w:r w:rsidRPr="004C5178">
              <w:rPr>
                <w:rFonts w:ascii="Arial" w:hAnsi="Arial"/>
                <w:b/>
                <w:bCs/>
                <w:sz w:val="26"/>
                <w:szCs w:val="26"/>
                <w:rtl/>
              </w:rPr>
              <w:t>מדינת ישראל</w:t>
            </w:r>
            <w:r w:rsidRPr="004C5178">
              <w:rPr>
                <w:rFonts w:ascii="Arial" w:hAnsi="Arial" w:hint="cs"/>
                <w:b/>
                <w:bCs/>
                <w:sz w:val="26"/>
                <w:szCs w:val="26"/>
                <w:rtl/>
              </w:rPr>
              <w:t xml:space="preserve"> </w:t>
            </w:r>
          </w:p>
          <w:p w14:paraId="26A699CC" w14:textId="77777777" w:rsidR="007F7F6B" w:rsidRPr="004C5178" w:rsidRDefault="007F7F6B" w:rsidP="007F7F6B">
            <w:pPr>
              <w:suppressLineNumbers/>
            </w:pPr>
            <w:r w:rsidRPr="004C5178">
              <w:rPr>
                <w:rFonts w:ascii="Arial" w:hAnsi="Arial"/>
                <w:b/>
                <w:bCs/>
                <w:sz w:val="26"/>
                <w:szCs w:val="26"/>
                <w:rtl/>
              </w:rPr>
              <w:t>ע"י ב"כ עוה"ד</w:t>
            </w:r>
            <w:r w:rsidRPr="004C5178">
              <w:rPr>
                <w:rFonts w:hint="cs"/>
                <w:rtl/>
              </w:rPr>
              <w:t xml:space="preserve"> </w:t>
            </w:r>
            <w:r w:rsidRPr="004C5178">
              <w:rPr>
                <w:rFonts w:hint="cs"/>
                <w:b/>
                <w:bCs/>
                <w:sz w:val="26"/>
                <w:szCs w:val="26"/>
                <w:rtl/>
              </w:rPr>
              <w:t>שירלי הדר</w:t>
            </w:r>
          </w:p>
          <w:p w14:paraId="6066EB98" w14:textId="77777777" w:rsidR="007F7F6B" w:rsidRPr="004C5178" w:rsidRDefault="007F7F6B" w:rsidP="00A04569">
            <w:pPr>
              <w:rPr>
                <w:rFonts w:ascii="David" w:hAnsi="David"/>
                <w:sz w:val="26"/>
                <w:szCs w:val="26"/>
              </w:rPr>
            </w:pPr>
          </w:p>
        </w:tc>
      </w:tr>
      <w:bookmarkEnd w:id="1"/>
      <w:bookmarkEnd w:id="2"/>
      <w:tr w:rsidR="007F7F6B" w:rsidRPr="004C5178" w14:paraId="62CCA3F4" w14:textId="77777777" w:rsidTr="007F7F6B">
        <w:trPr>
          <w:trHeight w:val="355"/>
          <w:jc w:val="center"/>
        </w:trPr>
        <w:tc>
          <w:tcPr>
            <w:tcW w:w="923" w:type="dxa"/>
            <w:tcBorders>
              <w:top w:val="nil"/>
              <w:left w:val="nil"/>
              <w:bottom w:val="nil"/>
              <w:right w:val="nil"/>
            </w:tcBorders>
            <w:shd w:val="clear" w:color="auto" w:fill="auto"/>
          </w:tcPr>
          <w:p w14:paraId="4250CFD4" w14:textId="77777777" w:rsidR="007F7F6B" w:rsidRPr="004C5178" w:rsidRDefault="007F7F6B" w:rsidP="007F7F6B">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141CE8F" w14:textId="77777777" w:rsidR="007F7F6B" w:rsidRPr="004C5178" w:rsidRDefault="007F7F6B" w:rsidP="007F7F6B">
            <w:pPr>
              <w:jc w:val="center"/>
              <w:rPr>
                <w:rFonts w:ascii="David" w:hAnsi="David"/>
                <w:b/>
                <w:bCs/>
                <w:sz w:val="26"/>
                <w:szCs w:val="26"/>
                <w:rtl/>
              </w:rPr>
            </w:pPr>
          </w:p>
          <w:p w14:paraId="449E15EC" w14:textId="77777777" w:rsidR="007F7F6B" w:rsidRPr="004C5178" w:rsidRDefault="007F7F6B" w:rsidP="007F7F6B">
            <w:pPr>
              <w:jc w:val="center"/>
              <w:rPr>
                <w:rFonts w:ascii="David" w:hAnsi="David"/>
                <w:b/>
                <w:bCs/>
                <w:sz w:val="26"/>
                <w:szCs w:val="26"/>
                <w:rtl/>
              </w:rPr>
            </w:pPr>
            <w:r w:rsidRPr="004C5178">
              <w:rPr>
                <w:rFonts w:ascii="David" w:hAnsi="David"/>
                <w:b/>
                <w:bCs/>
                <w:sz w:val="26"/>
                <w:szCs w:val="26"/>
                <w:rtl/>
              </w:rPr>
              <w:t>נגד</w:t>
            </w:r>
          </w:p>
          <w:p w14:paraId="7FBBCDA1" w14:textId="77777777" w:rsidR="007F7F6B" w:rsidRPr="004C5178" w:rsidRDefault="007F7F6B" w:rsidP="007F7F6B">
            <w:pPr>
              <w:jc w:val="both"/>
              <w:rPr>
                <w:rFonts w:ascii="David" w:hAnsi="David"/>
                <w:sz w:val="26"/>
                <w:szCs w:val="26"/>
              </w:rPr>
            </w:pPr>
          </w:p>
        </w:tc>
      </w:tr>
      <w:tr w:rsidR="007F7F6B" w:rsidRPr="004C5178" w14:paraId="51BDAFB1" w14:textId="77777777" w:rsidTr="007F7F6B">
        <w:trPr>
          <w:trHeight w:val="355"/>
          <w:jc w:val="center"/>
        </w:trPr>
        <w:tc>
          <w:tcPr>
            <w:tcW w:w="923" w:type="dxa"/>
            <w:tcBorders>
              <w:top w:val="nil"/>
              <w:left w:val="nil"/>
              <w:bottom w:val="nil"/>
              <w:right w:val="nil"/>
            </w:tcBorders>
            <w:shd w:val="clear" w:color="auto" w:fill="auto"/>
          </w:tcPr>
          <w:p w14:paraId="5FBABB41" w14:textId="77777777" w:rsidR="007F7F6B" w:rsidRPr="004C5178" w:rsidRDefault="007F7F6B" w:rsidP="00A04569">
            <w:pPr>
              <w:rPr>
                <w:rFonts w:ascii="David" w:hAnsi="David"/>
                <w:sz w:val="26"/>
                <w:szCs w:val="26"/>
                <w:rtl/>
              </w:rPr>
            </w:pPr>
          </w:p>
        </w:tc>
        <w:tc>
          <w:tcPr>
            <w:tcW w:w="3219" w:type="dxa"/>
            <w:tcBorders>
              <w:top w:val="nil"/>
              <w:left w:val="nil"/>
              <w:bottom w:val="nil"/>
              <w:right w:val="nil"/>
            </w:tcBorders>
            <w:shd w:val="clear" w:color="auto" w:fill="auto"/>
          </w:tcPr>
          <w:p w14:paraId="19AE90DF" w14:textId="77777777" w:rsidR="007F7F6B" w:rsidRPr="004C5178" w:rsidRDefault="007F7F6B" w:rsidP="00A04569">
            <w:pPr>
              <w:rPr>
                <w:rFonts w:ascii="Arial" w:hAnsi="Arial"/>
                <w:b/>
                <w:bCs/>
                <w:sz w:val="26"/>
                <w:szCs w:val="26"/>
                <w:rtl/>
              </w:rPr>
            </w:pPr>
            <w:r w:rsidRPr="004C5178">
              <w:rPr>
                <w:rFonts w:ascii="Arial" w:hAnsi="Arial"/>
                <w:b/>
                <w:bCs/>
                <w:sz w:val="26"/>
                <w:szCs w:val="26"/>
                <w:rtl/>
              </w:rPr>
              <w:t>הנאש</w:t>
            </w:r>
            <w:r w:rsidRPr="004C5178">
              <w:rPr>
                <w:rFonts w:ascii="Arial" w:hAnsi="Arial" w:hint="cs"/>
                <w:b/>
                <w:bCs/>
                <w:sz w:val="26"/>
                <w:szCs w:val="26"/>
                <w:rtl/>
              </w:rPr>
              <w:t>ם</w:t>
            </w:r>
          </w:p>
        </w:tc>
        <w:tc>
          <w:tcPr>
            <w:tcW w:w="4678" w:type="dxa"/>
            <w:tcBorders>
              <w:top w:val="nil"/>
              <w:left w:val="nil"/>
              <w:bottom w:val="nil"/>
              <w:right w:val="nil"/>
            </w:tcBorders>
            <w:shd w:val="clear" w:color="auto" w:fill="auto"/>
            <w:vAlign w:val="center"/>
          </w:tcPr>
          <w:p w14:paraId="58F86FD6" w14:textId="77777777" w:rsidR="007F7F6B" w:rsidRPr="004C5178" w:rsidRDefault="00650987" w:rsidP="00650987">
            <w:pPr>
              <w:suppressLineNumbers/>
              <w:rPr>
                <w:rFonts w:ascii="Arial" w:hAnsi="Arial" w:hint="cs"/>
                <w:b/>
                <w:bCs/>
                <w:sz w:val="26"/>
                <w:szCs w:val="26"/>
                <w:rtl/>
              </w:rPr>
            </w:pPr>
            <w:r>
              <w:rPr>
                <w:rFonts w:ascii="Arial" w:hAnsi="Arial" w:hint="cs"/>
                <w:b/>
                <w:bCs/>
                <w:sz w:val="26"/>
                <w:szCs w:val="26"/>
                <w:rtl/>
              </w:rPr>
              <w:t>פלוני</w:t>
            </w:r>
          </w:p>
          <w:p w14:paraId="4DE740C1" w14:textId="77777777" w:rsidR="007F7F6B" w:rsidRPr="004C5178" w:rsidRDefault="007F7F6B" w:rsidP="007F7F6B">
            <w:pPr>
              <w:suppressLineNumbers/>
            </w:pPr>
            <w:r w:rsidRPr="004C5178">
              <w:rPr>
                <w:rFonts w:ascii="Arial" w:hAnsi="Arial"/>
                <w:b/>
                <w:bCs/>
                <w:sz w:val="26"/>
                <w:szCs w:val="26"/>
                <w:rtl/>
              </w:rPr>
              <w:t>ע"י ב"כ עוה"ד</w:t>
            </w:r>
            <w:r w:rsidRPr="004C5178">
              <w:rPr>
                <w:rFonts w:hint="cs"/>
                <w:rtl/>
              </w:rPr>
              <w:t xml:space="preserve"> </w:t>
            </w:r>
            <w:r w:rsidRPr="004C5178">
              <w:rPr>
                <w:rFonts w:hint="cs"/>
                <w:b/>
                <w:bCs/>
                <w:sz w:val="26"/>
                <w:szCs w:val="26"/>
                <w:rtl/>
              </w:rPr>
              <w:t>יצחק כהן</w:t>
            </w:r>
          </w:p>
          <w:p w14:paraId="3BAC080D" w14:textId="77777777" w:rsidR="007F7F6B" w:rsidRPr="004C5178" w:rsidRDefault="007F7F6B" w:rsidP="00A04569">
            <w:pPr>
              <w:rPr>
                <w:rFonts w:ascii="David" w:hAnsi="David"/>
                <w:sz w:val="26"/>
                <w:szCs w:val="26"/>
              </w:rPr>
            </w:pPr>
          </w:p>
        </w:tc>
      </w:tr>
    </w:tbl>
    <w:p w14:paraId="7509F263" w14:textId="77777777" w:rsidR="004C5178" w:rsidRPr="004C5178" w:rsidRDefault="004C5178" w:rsidP="004C5178">
      <w:pPr>
        <w:spacing w:before="120" w:after="120" w:line="240" w:lineRule="exact"/>
        <w:ind w:left="283" w:hanging="283"/>
        <w:jc w:val="both"/>
        <w:rPr>
          <w:rFonts w:ascii="FrankRuehl" w:hAnsi="FrankRuehl" w:cs="FrankRuehl"/>
          <w:rtl/>
        </w:rPr>
      </w:pPr>
    </w:p>
    <w:p w14:paraId="19A4BF0C" w14:textId="77777777" w:rsidR="00650987" w:rsidRPr="00650987" w:rsidRDefault="00650987" w:rsidP="00650987">
      <w:pPr>
        <w:spacing w:before="120" w:after="120" w:line="240" w:lineRule="exact"/>
        <w:ind w:left="283" w:hanging="283"/>
        <w:jc w:val="both"/>
        <w:rPr>
          <w:rFonts w:ascii="FrankRuehl" w:hAnsi="FrankRuehl" w:cs="FrankRuehl"/>
          <w:rtl/>
        </w:rPr>
      </w:pPr>
    </w:p>
    <w:p w14:paraId="6041E53B" w14:textId="77777777" w:rsidR="00DF6CD4" w:rsidRPr="00DF6CD4" w:rsidRDefault="00DF6CD4" w:rsidP="00DF6CD4">
      <w:pPr>
        <w:spacing w:before="120" w:after="120" w:line="240" w:lineRule="exact"/>
        <w:ind w:left="283" w:hanging="283"/>
        <w:jc w:val="both"/>
        <w:rPr>
          <w:rFonts w:ascii="FrankRuehl" w:hAnsi="FrankRuehl" w:cs="FrankRuehl"/>
          <w:rtl/>
        </w:rPr>
      </w:pPr>
    </w:p>
    <w:p w14:paraId="5B03F946" w14:textId="77777777" w:rsidR="000D7DAC" w:rsidRDefault="000D7DAC" w:rsidP="000D7DAC">
      <w:pPr>
        <w:rPr>
          <w:sz w:val="26"/>
          <w:szCs w:val="26"/>
          <w:rtl/>
        </w:rPr>
      </w:pPr>
      <w:bookmarkStart w:id="3" w:name="LawTable"/>
      <w:bookmarkEnd w:id="3"/>
    </w:p>
    <w:p w14:paraId="427EE166" w14:textId="77777777" w:rsidR="000D7DAC" w:rsidRPr="000D7DAC" w:rsidRDefault="000D7DAC" w:rsidP="000D7DAC">
      <w:pPr>
        <w:spacing w:before="120" w:after="120" w:line="240" w:lineRule="exact"/>
        <w:ind w:left="283" w:hanging="283"/>
        <w:jc w:val="both"/>
        <w:rPr>
          <w:rFonts w:ascii="FrankRuehl" w:hAnsi="FrankRuehl" w:cs="FrankRuehl"/>
          <w:rtl/>
        </w:rPr>
      </w:pPr>
    </w:p>
    <w:p w14:paraId="1899E045" w14:textId="77777777" w:rsidR="000D7DAC" w:rsidRPr="000D7DAC" w:rsidRDefault="000D7DAC" w:rsidP="000D7DAC">
      <w:pPr>
        <w:spacing w:before="120" w:after="120" w:line="240" w:lineRule="exact"/>
        <w:ind w:left="283" w:hanging="283"/>
        <w:jc w:val="both"/>
        <w:rPr>
          <w:rFonts w:ascii="FrankRuehl" w:hAnsi="FrankRuehl" w:cs="FrankRuehl"/>
          <w:rtl/>
        </w:rPr>
      </w:pPr>
    </w:p>
    <w:p w14:paraId="623D8537" w14:textId="77777777" w:rsidR="000D7DAC" w:rsidRPr="000D7DAC" w:rsidRDefault="000D7DAC" w:rsidP="000D7DAC">
      <w:pPr>
        <w:spacing w:before="120" w:after="120" w:line="240" w:lineRule="exact"/>
        <w:ind w:left="283" w:hanging="283"/>
        <w:jc w:val="both"/>
        <w:rPr>
          <w:rFonts w:ascii="FrankRuehl" w:hAnsi="FrankRuehl" w:cs="FrankRuehl"/>
          <w:rtl/>
        </w:rPr>
      </w:pPr>
      <w:r w:rsidRPr="000D7DAC">
        <w:rPr>
          <w:rFonts w:ascii="FrankRuehl" w:hAnsi="FrankRuehl" w:cs="FrankRuehl"/>
          <w:rtl/>
        </w:rPr>
        <w:t xml:space="preserve">חקיקה שאוזכרה: </w:t>
      </w:r>
    </w:p>
    <w:p w14:paraId="6D2C7A20" w14:textId="77777777" w:rsidR="000D7DAC" w:rsidRPr="000D7DAC" w:rsidRDefault="000D7DAC" w:rsidP="000D7DAC">
      <w:pPr>
        <w:spacing w:before="120" w:after="120" w:line="240" w:lineRule="exact"/>
        <w:ind w:left="283" w:hanging="283"/>
        <w:jc w:val="both"/>
        <w:rPr>
          <w:rFonts w:ascii="FrankRuehl" w:hAnsi="FrankRuehl" w:cs="FrankRuehl"/>
          <w:rtl/>
        </w:rPr>
      </w:pPr>
      <w:hyperlink r:id="rId7" w:history="1">
        <w:r w:rsidRPr="000D7DAC">
          <w:rPr>
            <w:rFonts w:ascii="FrankRuehl" w:hAnsi="FrankRuehl" w:cs="FrankRuehl"/>
            <w:color w:val="0000FF"/>
            <w:rtl/>
          </w:rPr>
          <w:t>חוק העונשין, תשל"ז-1977</w:t>
        </w:r>
      </w:hyperlink>
      <w:r w:rsidRPr="000D7DAC">
        <w:rPr>
          <w:rFonts w:ascii="FrankRuehl" w:hAnsi="FrankRuehl" w:cs="FrankRuehl"/>
          <w:rtl/>
        </w:rPr>
        <w:t xml:space="preserve">: סע'  </w:t>
      </w:r>
      <w:hyperlink r:id="rId8" w:history="1">
        <w:r w:rsidRPr="000D7DAC">
          <w:rPr>
            <w:rFonts w:ascii="FrankRuehl" w:hAnsi="FrankRuehl" w:cs="FrankRuehl"/>
            <w:color w:val="0000FF"/>
            <w:rtl/>
          </w:rPr>
          <w:t>40ד</w:t>
        </w:r>
      </w:hyperlink>
      <w:r w:rsidRPr="000D7DAC">
        <w:rPr>
          <w:rFonts w:ascii="FrankRuehl" w:hAnsi="FrankRuehl" w:cs="FrankRuehl"/>
          <w:rtl/>
        </w:rPr>
        <w:t xml:space="preserve">, </w:t>
      </w:r>
      <w:hyperlink r:id="rId9" w:history="1">
        <w:r w:rsidRPr="000D7DAC">
          <w:rPr>
            <w:rFonts w:ascii="FrankRuehl" w:hAnsi="FrankRuehl" w:cs="FrankRuehl"/>
            <w:color w:val="0000FF"/>
            <w:rtl/>
          </w:rPr>
          <w:t>40ד(א).</w:t>
        </w:r>
      </w:hyperlink>
      <w:r w:rsidRPr="000D7DAC">
        <w:rPr>
          <w:rFonts w:ascii="FrankRuehl" w:hAnsi="FrankRuehl" w:cs="FrankRuehl"/>
          <w:rtl/>
        </w:rPr>
        <w:t xml:space="preserve">, </w:t>
      </w:r>
      <w:hyperlink r:id="rId10" w:history="1">
        <w:r w:rsidRPr="000D7DAC">
          <w:rPr>
            <w:rFonts w:ascii="FrankRuehl" w:hAnsi="FrankRuehl" w:cs="FrankRuehl"/>
            <w:color w:val="0000FF"/>
            <w:rtl/>
          </w:rPr>
          <w:t>287 (א)</w:t>
        </w:r>
      </w:hyperlink>
      <w:r w:rsidRPr="000D7DAC">
        <w:rPr>
          <w:rFonts w:ascii="FrankRuehl" w:hAnsi="FrankRuehl" w:cs="FrankRuehl"/>
          <w:rtl/>
        </w:rPr>
        <w:t xml:space="preserve">, </w:t>
      </w:r>
      <w:hyperlink r:id="rId11" w:history="1">
        <w:r w:rsidRPr="000D7DAC">
          <w:rPr>
            <w:rFonts w:ascii="FrankRuehl" w:hAnsi="FrankRuehl" w:cs="FrankRuehl"/>
            <w:color w:val="0000FF"/>
            <w:rtl/>
          </w:rPr>
          <w:t>382 (ב)</w:t>
        </w:r>
      </w:hyperlink>
      <w:r w:rsidRPr="000D7DAC">
        <w:rPr>
          <w:rFonts w:ascii="FrankRuehl" w:hAnsi="FrankRuehl" w:cs="FrankRuehl"/>
          <w:rtl/>
        </w:rPr>
        <w:t xml:space="preserve">, </w:t>
      </w:r>
      <w:hyperlink r:id="rId12" w:history="1">
        <w:r w:rsidRPr="000D7DAC">
          <w:rPr>
            <w:rFonts w:ascii="FrankRuehl" w:hAnsi="FrankRuehl" w:cs="FrankRuehl"/>
            <w:color w:val="0000FF"/>
            <w:rtl/>
          </w:rPr>
          <w:t>382 (ג)</w:t>
        </w:r>
      </w:hyperlink>
      <w:r w:rsidRPr="000D7DAC">
        <w:rPr>
          <w:rFonts w:ascii="FrankRuehl" w:hAnsi="FrankRuehl" w:cs="FrankRuehl"/>
          <w:rtl/>
        </w:rPr>
        <w:t xml:space="preserve">, </w:t>
      </w:r>
      <w:hyperlink r:id="rId13" w:history="1">
        <w:r w:rsidRPr="000D7DAC">
          <w:rPr>
            <w:rFonts w:ascii="FrankRuehl" w:hAnsi="FrankRuehl" w:cs="FrankRuehl"/>
            <w:color w:val="0000FF"/>
            <w:rtl/>
          </w:rPr>
          <w:t>40יא</w:t>
        </w:r>
      </w:hyperlink>
    </w:p>
    <w:p w14:paraId="5E561416" w14:textId="77777777" w:rsidR="000D7DAC" w:rsidRPr="000D7DAC" w:rsidRDefault="000D7DAC" w:rsidP="000D7DAC">
      <w:pPr>
        <w:spacing w:before="120" w:after="120" w:line="240" w:lineRule="exact"/>
        <w:ind w:left="283" w:hanging="283"/>
        <w:jc w:val="both"/>
        <w:rPr>
          <w:rFonts w:ascii="FrankRuehl" w:hAnsi="FrankRuehl" w:cs="FrankRuehl"/>
          <w:rtl/>
        </w:rPr>
      </w:pPr>
      <w:hyperlink r:id="rId14" w:history="1">
        <w:r w:rsidRPr="000D7DAC">
          <w:rPr>
            <w:rFonts w:ascii="FrankRuehl" w:hAnsi="FrankRuehl" w:cs="FrankRuehl"/>
            <w:color w:val="0000FF"/>
            <w:rtl/>
          </w:rPr>
          <w:t>פקודת הסמים המסוכנים [נוסח חדש], תשל"ג-1973</w:t>
        </w:r>
      </w:hyperlink>
      <w:r w:rsidRPr="000D7DAC">
        <w:rPr>
          <w:rFonts w:ascii="FrankRuehl" w:hAnsi="FrankRuehl" w:cs="FrankRuehl"/>
          <w:rtl/>
        </w:rPr>
        <w:t xml:space="preserve">: סע'  </w:t>
      </w:r>
      <w:hyperlink r:id="rId15" w:history="1">
        <w:r w:rsidRPr="000D7DAC">
          <w:rPr>
            <w:rFonts w:ascii="FrankRuehl" w:hAnsi="FrankRuehl" w:cs="FrankRuehl"/>
            <w:color w:val="0000FF"/>
            <w:rtl/>
          </w:rPr>
          <w:t>7(א)</w:t>
        </w:r>
      </w:hyperlink>
      <w:r w:rsidRPr="000D7DAC">
        <w:rPr>
          <w:rFonts w:ascii="FrankRuehl" w:hAnsi="FrankRuehl" w:cs="FrankRuehl"/>
          <w:rtl/>
        </w:rPr>
        <w:t xml:space="preserve">, </w:t>
      </w:r>
      <w:hyperlink r:id="rId16" w:history="1">
        <w:r w:rsidRPr="000D7DAC">
          <w:rPr>
            <w:rFonts w:ascii="FrankRuehl" w:hAnsi="FrankRuehl" w:cs="FrankRuehl"/>
            <w:color w:val="0000FF"/>
            <w:rtl/>
          </w:rPr>
          <w:t>7(ג)</w:t>
        </w:r>
      </w:hyperlink>
    </w:p>
    <w:p w14:paraId="274D7094" w14:textId="77777777" w:rsidR="000D7DAC" w:rsidRPr="000D7DAC" w:rsidRDefault="000D7DAC" w:rsidP="000D7DAC">
      <w:pPr>
        <w:rPr>
          <w:sz w:val="26"/>
          <w:szCs w:val="26"/>
          <w:rtl/>
        </w:rPr>
      </w:pPr>
      <w:bookmarkStart w:id="4" w:name="LawTable_End"/>
      <w:bookmarkEnd w:id="4"/>
    </w:p>
    <w:p w14:paraId="60E49669" w14:textId="77777777" w:rsidR="00650987" w:rsidRPr="00DF6CD4" w:rsidRDefault="00650987" w:rsidP="00DF6CD4">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F7F6B" w14:paraId="4DC81FCD" w14:textId="77777777" w:rsidTr="007F7F6B">
        <w:trPr>
          <w:trHeight w:val="355"/>
          <w:jc w:val="center"/>
        </w:trPr>
        <w:tc>
          <w:tcPr>
            <w:tcW w:w="8820" w:type="dxa"/>
            <w:tcBorders>
              <w:top w:val="nil"/>
              <w:left w:val="nil"/>
              <w:bottom w:val="nil"/>
              <w:right w:val="nil"/>
            </w:tcBorders>
            <w:shd w:val="clear" w:color="auto" w:fill="auto"/>
          </w:tcPr>
          <w:p w14:paraId="3C6B2046" w14:textId="77777777" w:rsidR="004C5178" w:rsidRPr="004C5178" w:rsidRDefault="004C5178" w:rsidP="004C5178">
            <w:pPr>
              <w:jc w:val="center"/>
              <w:rPr>
                <w:rFonts w:ascii="David" w:hAnsi="David"/>
                <w:b/>
                <w:bCs/>
                <w:sz w:val="32"/>
                <w:szCs w:val="32"/>
                <w:u w:val="single"/>
                <w:rtl/>
              </w:rPr>
            </w:pPr>
            <w:bookmarkStart w:id="5" w:name="PsakDin" w:colFirst="0" w:colLast="0"/>
            <w:bookmarkEnd w:id="0"/>
            <w:r w:rsidRPr="004C5178">
              <w:rPr>
                <w:rFonts w:ascii="David" w:hAnsi="David"/>
                <w:b/>
                <w:bCs/>
                <w:sz w:val="32"/>
                <w:szCs w:val="32"/>
                <w:u w:val="single"/>
                <w:rtl/>
              </w:rPr>
              <w:t>גזר דין</w:t>
            </w:r>
          </w:p>
          <w:p w14:paraId="74C1E702" w14:textId="77777777" w:rsidR="007F7F6B" w:rsidRPr="004C5178" w:rsidRDefault="007F7F6B" w:rsidP="004C5178">
            <w:pPr>
              <w:jc w:val="center"/>
              <w:rPr>
                <w:rFonts w:ascii="David" w:hAnsi="David"/>
                <w:bCs/>
                <w:sz w:val="32"/>
                <w:szCs w:val="32"/>
                <w:u w:val="single"/>
                <w:rtl/>
              </w:rPr>
            </w:pPr>
          </w:p>
        </w:tc>
      </w:tr>
      <w:bookmarkEnd w:id="5"/>
    </w:tbl>
    <w:p w14:paraId="1178E0DB" w14:textId="77777777" w:rsidR="007F7F6B" w:rsidRPr="000F2247" w:rsidRDefault="007F7F6B" w:rsidP="007F7F6B">
      <w:pPr>
        <w:rPr>
          <w:rFonts w:ascii="Arial" w:hAnsi="Arial"/>
          <w:b/>
          <w:bCs/>
          <w:sz w:val="26"/>
          <w:szCs w:val="26"/>
          <w:rtl/>
        </w:rPr>
      </w:pPr>
    </w:p>
    <w:p w14:paraId="6556DBD1" w14:textId="77777777" w:rsidR="007F7F6B" w:rsidRDefault="007F7F6B" w:rsidP="007F7F6B">
      <w:pPr>
        <w:spacing w:line="360" w:lineRule="auto"/>
        <w:jc w:val="both"/>
        <w:rPr>
          <w:rFonts w:ascii="David" w:hAnsi="David"/>
          <w:b/>
          <w:bCs/>
          <w:u w:val="single"/>
        </w:rPr>
      </w:pPr>
      <w:r>
        <w:rPr>
          <w:rFonts w:ascii="David" w:hAnsi="David"/>
          <w:b/>
          <w:bCs/>
          <w:u w:val="single"/>
          <w:rtl/>
        </w:rPr>
        <w:t xml:space="preserve">השתלשלות העניינים העובדתית </w:t>
      </w:r>
    </w:p>
    <w:p w14:paraId="503BCBD9" w14:textId="77777777" w:rsidR="007F7F6B" w:rsidRDefault="007F7F6B" w:rsidP="007F7F6B">
      <w:pPr>
        <w:pStyle w:val="aa"/>
        <w:spacing w:line="360" w:lineRule="auto"/>
        <w:ind w:left="360"/>
        <w:jc w:val="both"/>
        <w:rPr>
          <w:rFonts w:ascii="David" w:hAnsi="David" w:cs="David"/>
          <w:color w:val="FF0000"/>
          <w:sz w:val="24"/>
          <w:szCs w:val="24"/>
        </w:rPr>
      </w:pPr>
      <w:bookmarkStart w:id="6" w:name="ABSTRACT_START"/>
      <w:bookmarkEnd w:id="6"/>
    </w:p>
    <w:p w14:paraId="21082564" w14:textId="77777777" w:rsidR="007F7F6B" w:rsidRDefault="007F7F6B" w:rsidP="00650987">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w:t>
      </w:r>
      <w:r w:rsidR="00650987">
        <w:rPr>
          <w:rFonts w:ascii="David" w:hAnsi="David" w:cs="David" w:hint="cs"/>
          <w:sz w:val="24"/>
          <w:szCs w:val="24"/>
          <w:rtl/>
        </w:rPr>
        <w:t xml:space="preserve">פלוני </w:t>
      </w:r>
      <w:r>
        <w:rPr>
          <w:rFonts w:ascii="David" w:hAnsi="David" w:cs="David"/>
          <w:sz w:val="24"/>
          <w:szCs w:val="24"/>
          <w:rtl/>
        </w:rPr>
        <w:t xml:space="preserve"> (להלן: הנאשם) הורשע על פי הודאתו בעובדות כתב אישום מתוקן בעבירות של תקיפה הגורמת חבלה ממש – בן זוג לפי סעיף </w:t>
      </w:r>
      <w:hyperlink r:id="rId17" w:history="1">
        <w:r w:rsidR="00650987" w:rsidRPr="00650987">
          <w:rPr>
            <w:rStyle w:val="Hyperlink"/>
            <w:rFonts w:ascii="David" w:hAnsi="David" w:cs="David"/>
            <w:sz w:val="24"/>
            <w:szCs w:val="24"/>
            <w:rtl/>
          </w:rPr>
          <w:t>382 (ג)</w:t>
        </w:r>
      </w:hyperlink>
      <w:r>
        <w:rPr>
          <w:rFonts w:ascii="David" w:hAnsi="David" w:cs="David"/>
          <w:sz w:val="24"/>
          <w:szCs w:val="24"/>
          <w:rtl/>
        </w:rPr>
        <w:t xml:space="preserve"> ל</w:t>
      </w:r>
      <w:hyperlink r:id="rId18" w:history="1">
        <w:r w:rsidR="004C5178" w:rsidRPr="004C5178">
          <w:rPr>
            <w:rFonts w:ascii="David" w:hAnsi="David" w:cs="David"/>
            <w:color w:val="0000FF"/>
            <w:sz w:val="24"/>
            <w:szCs w:val="24"/>
            <w:u w:val="single"/>
            <w:rtl/>
          </w:rPr>
          <w:t>חוק העונשין</w:t>
        </w:r>
      </w:hyperlink>
      <w:r>
        <w:rPr>
          <w:rFonts w:ascii="David" w:hAnsi="David" w:cs="David"/>
          <w:sz w:val="24"/>
          <w:szCs w:val="24"/>
          <w:rtl/>
        </w:rPr>
        <w:t xml:space="preserve">, תשל"ז- 1977 (להלן: החוק); ותקיפה סתם - בן זוג (2 עבירות) לפי סעיף </w:t>
      </w:r>
      <w:hyperlink r:id="rId19" w:history="1">
        <w:r w:rsidR="00650987" w:rsidRPr="00650987">
          <w:rPr>
            <w:rStyle w:val="Hyperlink"/>
            <w:rFonts w:ascii="David" w:hAnsi="David" w:cs="David"/>
            <w:sz w:val="24"/>
            <w:szCs w:val="24"/>
            <w:rtl/>
          </w:rPr>
          <w:t>382 (ב)</w:t>
        </w:r>
      </w:hyperlink>
      <w:r>
        <w:rPr>
          <w:rFonts w:ascii="David" w:hAnsi="David" w:cs="David"/>
          <w:sz w:val="24"/>
          <w:szCs w:val="24"/>
          <w:rtl/>
        </w:rPr>
        <w:t xml:space="preserve"> לחוק. כן הורשע בעובדות כתב אישום במסגרת </w:t>
      </w:r>
      <w:hyperlink r:id="rId20" w:history="1">
        <w:r w:rsidR="004C5178" w:rsidRPr="004C5178">
          <w:rPr>
            <w:rFonts w:ascii="David" w:hAnsi="David" w:cs="David"/>
            <w:color w:val="0000FF"/>
            <w:sz w:val="24"/>
            <w:szCs w:val="24"/>
            <w:u w:val="single"/>
            <w:rtl/>
          </w:rPr>
          <w:t>ת"פ 42384-05-22</w:t>
        </w:r>
      </w:hyperlink>
      <w:r>
        <w:rPr>
          <w:rFonts w:ascii="David" w:hAnsi="David" w:cs="David"/>
          <w:sz w:val="24"/>
          <w:szCs w:val="24"/>
          <w:rtl/>
        </w:rPr>
        <w:t xml:space="preserve">, שצורף לתיק דנא (להלן: התיק המצורף) בעבירות של החזקה/ שימוש בסמים לצריכה עצמית – עבירה לפי </w:t>
      </w:r>
      <w:hyperlink r:id="rId21" w:history="1">
        <w:r w:rsidR="00650987" w:rsidRPr="00650987">
          <w:rPr>
            <w:rStyle w:val="Hyperlink"/>
            <w:rFonts w:ascii="David" w:hAnsi="David" w:cs="David"/>
            <w:sz w:val="24"/>
            <w:szCs w:val="24"/>
            <w:rtl/>
          </w:rPr>
          <w:t>סעיף 7(א)</w:t>
        </w:r>
      </w:hyperlink>
      <w:r>
        <w:rPr>
          <w:rFonts w:ascii="David" w:hAnsi="David" w:cs="David"/>
          <w:sz w:val="24"/>
          <w:szCs w:val="24"/>
          <w:rtl/>
        </w:rPr>
        <w:t xml:space="preserve"> + </w:t>
      </w:r>
      <w:hyperlink r:id="rId22" w:history="1">
        <w:r w:rsidR="00650987" w:rsidRPr="00650987">
          <w:rPr>
            <w:rStyle w:val="Hyperlink"/>
            <w:rFonts w:ascii="David" w:hAnsi="David" w:cs="David"/>
            <w:sz w:val="24"/>
            <w:szCs w:val="24"/>
            <w:rtl/>
          </w:rPr>
          <w:t>7(ג)</w:t>
        </w:r>
      </w:hyperlink>
      <w:r>
        <w:rPr>
          <w:rFonts w:ascii="David" w:hAnsi="David" w:cs="David"/>
          <w:sz w:val="24"/>
          <w:szCs w:val="24"/>
          <w:rtl/>
        </w:rPr>
        <w:t xml:space="preserve"> סיפא ל</w:t>
      </w:r>
      <w:hyperlink r:id="rId23" w:history="1">
        <w:r w:rsidR="004C5178" w:rsidRPr="004C5178">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תשל"ג- 1973; והפרת הוראה חוקית – עבירה לפני סעיף </w:t>
      </w:r>
      <w:hyperlink r:id="rId24" w:history="1">
        <w:r w:rsidR="00650987" w:rsidRPr="00650987">
          <w:rPr>
            <w:rStyle w:val="Hyperlink"/>
            <w:rFonts w:ascii="David" w:hAnsi="David" w:cs="David"/>
            <w:sz w:val="24"/>
            <w:szCs w:val="24"/>
            <w:rtl/>
          </w:rPr>
          <w:t>287 (א)</w:t>
        </w:r>
      </w:hyperlink>
      <w:r>
        <w:rPr>
          <w:rFonts w:ascii="David" w:hAnsi="David" w:cs="David"/>
          <w:sz w:val="24"/>
          <w:szCs w:val="24"/>
          <w:rtl/>
        </w:rPr>
        <w:t xml:space="preserve"> לחוק.</w:t>
      </w:r>
    </w:p>
    <w:p w14:paraId="508F33D6" w14:textId="77777777" w:rsidR="007F7F6B" w:rsidRDefault="007F7F6B" w:rsidP="007F7F6B">
      <w:pPr>
        <w:pStyle w:val="aa"/>
        <w:spacing w:line="360" w:lineRule="auto"/>
        <w:ind w:left="360"/>
        <w:jc w:val="both"/>
        <w:rPr>
          <w:rFonts w:ascii="David" w:hAnsi="David" w:cs="David"/>
          <w:sz w:val="24"/>
          <w:szCs w:val="24"/>
        </w:rPr>
      </w:pPr>
      <w:bookmarkStart w:id="7" w:name="ABSTRACT_END"/>
      <w:bookmarkEnd w:id="7"/>
    </w:p>
    <w:p w14:paraId="20C46FA9" w14:textId="77777777" w:rsidR="007F7F6B" w:rsidRDefault="007F7F6B" w:rsidP="00650987">
      <w:pPr>
        <w:pStyle w:val="aa"/>
        <w:numPr>
          <w:ilvl w:val="0"/>
          <w:numId w:val="1"/>
        </w:numPr>
        <w:spacing w:line="360" w:lineRule="auto"/>
        <w:jc w:val="both"/>
        <w:rPr>
          <w:rFonts w:ascii="David" w:hAnsi="David" w:cs="David"/>
          <w:sz w:val="24"/>
          <w:szCs w:val="24"/>
        </w:rPr>
      </w:pPr>
      <w:r>
        <w:rPr>
          <w:rFonts w:ascii="David" w:hAnsi="David" w:cs="David"/>
          <w:sz w:val="24"/>
          <w:szCs w:val="24"/>
          <w:rtl/>
        </w:rPr>
        <w:lastRenderedPageBreak/>
        <w:t xml:space="preserve">על פי עובדות כתב האישום המתוקן בתיק העיקרי, בחלק הכללי, במועדים הרלוונטיים היו הנאשם </w:t>
      </w:r>
      <w:r w:rsidR="00650987">
        <w:rPr>
          <w:rFonts w:ascii="David" w:hAnsi="David" w:cs="David" w:hint="cs"/>
          <w:sz w:val="24"/>
          <w:szCs w:val="24"/>
          <w:rtl/>
        </w:rPr>
        <w:t>ופלונית</w:t>
      </w:r>
      <w:r>
        <w:rPr>
          <w:rFonts w:ascii="David" w:hAnsi="David" w:cs="David"/>
          <w:sz w:val="24"/>
          <w:szCs w:val="24"/>
          <w:rtl/>
        </w:rPr>
        <w:t xml:space="preserve"> בני זוג נשואים כ- 3 שנים ולהם ילדה משותפת בת כשנה וחצי (להלן ובהתאמה: המתלוננת ו- הקטינה). </w:t>
      </w:r>
    </w:p>
    <w:p w14:paraId="2AFC74D9" w14:textId="77777777" w:rsidR="007F7F6B" w:rsidRDefault="007F7F6B" w:rsidP="007F7F6B">
      <w:pPr>
        <w:pStyle w:val="aa"/>
        <w:spacing w:line="360" w:lineRule="auto"/>
        <w:ind w:left="360"/>
        <w:jc w:val="both"/>
        <w:rPr>
          <w:rFonts w:ascii="David" w:hAnsi="David" w:cs="David"/>
          <w:color w:val="FF0000"/>
          <w:sz w:val="24"/>
          <w:szCs w:val="24"/>
        </w:rPr>
      </w:pPr>
    </w:p>
    <w:p w14:paraId="321B6321" w14:textId="77777777" w:rsidR="007F7F6B" w:rsidRDefault="007F7F6B" w:rsidP="007F7F6B">
      <w:pPr>
        <w:pStyle w:val="aa"/>
        <w:spacing w:line="360" w:lineRule="auto"/>
        <w:ind w:left="360"/>
        <w:jc w:val="both"/>
        <w:rPr>
          <w:rFonts w:ascii="David" w:hAnsi="David" w:cs="David"/>
          <w:sz w:val="24"/>
          <w:szCs w:val="24"/>
          <w:rtl/>
        </w:rPr>
      </w:pPr>
      <w:r>
        <w:rPr>
          <w:rFonts w:ascii="David" w:hAnsi="David" w:cs="David"/>
          <w:sz w:val="24"/>
          <w:szCs w:val="24"/>
          <w:rtl/>
        </w:rPr>
        <w:t xml:space="preserve">כתב האישום מספר כי ביום 8.7.2020 בשעה 17:00 לערך, עת התגוררו הנאשם והמתלוננת בביתם המשותף שברחוב עונות השנה 8/11 באילת (להלן: הבית), אירחה המתלוננת את חברתה ובתה, ובתוך כך הגיע הנאשם והבחין בלכלוך ואי סדר ברחבי הבית. לאור המתואר, הלך הנאשם לבית אחיו הנמצא בסמוך. </w:t>
      </w:r>
    </w:p>
    <w:p w14:paraId="5FB6A89A" w14:textId="77777777" w:rsidR="007F7F6B" w:rsidRDefault="007F7F6B" w:rsidP="007F7F6B">
      <w:pPr>
        <w:pStyle w:val="aa"/>
        <w:spacing w:line="360" w:lineRule="auto"/>
        <w:ind w:left="360"/>
        <w:jc w:val="both"/>
        <w:rPr>
          <w:rFonts w:ascii="David" w:hAnsi="David" w:cs="David"/>
          <w:sz w:val="24"/>
          <w:szCs w:val="24"/>
          <w:rtl/>
        </w:rPr>
      </w:pPr>
    </w:p>
    <w:p w14:paraId="7D6EFDF3" w14:textId="77777777" w:rsidR="007F7F6B" w:rsidRDefault="007F7F6B" w:rsidP="007F7F6B">
      <w:pPr>
        <w:pStyle w:val="aa"/>
        <w:spacing w:line="360" w:lineRule="auto"/>
        <w:ind w:left="360"/>
        <w:jc w:val="both"/>
        <w:rPr>
          <w:rFonts w:ascii="David" w:hAnsi="David" w:cs="David"/>
          <w:sz w:val="24"/>
          <w:szCs w:val="24"/>
        </w:rPr>
      </w:pPr>
      <w:r>
        <w:rPr>
          <w:rFonts w:ascii="David" w:hAnsi="David" w:cs="David"/>
          <w:sz w:val="24"/>
          <w:szCs w:val="24"/>
          <w:rtl/>
        </w:rPr>
        <w:t xml:space="preserve">על פי כתב האישום המתלוננת הסיעה את חברתה ובתה לביתן ועשתה דרכה חזרה לבית. בתוך כך התקשר אליה הנאשם ואמר לה: "בואי אני רוצה לדבר איתך". עם הגעתה של המתלוננת לבית, בשעה 20:55 לערך, פנה אליה הנאשם ואמר: "מה נראה לך, קניתי בית חדש מה זה הבלאגן" ובתוך כך החל לבעוט בשקיות קרטון שהיו בסמוך אליו, ולהשליך אריזה וחפצים נוספים אל עבר המתלוננת, כל זאת לעיני הקטינה אשר היתה בזרועותיה של המתלוננת. </w:t>
      </w:r>
    </w:p>
    <w:p w14:paraId="26114399" w14:textId="77777777" w:rsidR="007F7F6B" w:rsidRDefault="007F7F6B" w:rsidP="007F7F6B">
      <w:pPr>
        <w:pStyle w:val="aa"/>
        <w:spacing w:line="360" w:lineRule="auto"/>
        <w:ind w:left="360"/>
        <w:jc w:val="both"/>
        <w:rPr>
          <w:rFonts w:ascii="David" w:hAnsi="David" w:cs="David"/>
          <w:sz w:val="24"/>
          <w:szCs w:val="24"/>
          <w:rtl/>
        </w:rPr>
      </w:pPr>
    </w:p>
    <w:p w14:paraId="7F5B02D8" w14:textId="77777777" w:rsidR="007F7F6B" w:rsidRDefault="007F7F6B" w:rsidP="007F7F6B">
      <w:pPr>
        <w:pStyle w:val="aa"/>
        <w:spacing w:line="360" w:lineRule="auto"/>
        <w:ind w:left="360"/>
        <w:jc w:val="both"/>
        <w:rPr>
          <w:rFonts w:ascii="David" w:hAnsi="David" w:cs="David"/>
          <w:sz w:val="24"/>
          <w:szCs w:val="24"/>
          <w:rtl/>
        </w:rPr>
      </w:pPr>
      <w:r>
        <w:rPr>
          <w:rFonts w:ascii="David" w:hAnsi="David" w:cs="David"/>
          <w:sz w:val="24"/>
          <w:szCs w:val="24"/>
          <w:rtl/>
        </w:rPr>
        <w:t>במעמד זה, דחף הנאשם את המתלוננת וגרם לנפילתה, וכן הלם באגרוף לעינה השמאלית וגרם לה לנפיחות בעפעף העליון ולסימני המטומה. בתוך כך, ניסה הנאשם לקחת את הקטינה מידיה של המתלוננת ובעוד המתלוננת מתנגדת לכך, אמר לה הנאשם: "את פסיכית ומשוגעת";</w:t>
      </w:r>
      <w:r>
        <w:rPr>
          <w:rFonts w:ascii="David" w:hAnsi="David" w:cs="David"/>
          <w:sz w:val="24"/>
          <w:szCs w:val="24"/>
        </w:rPr>
        <w:t xml:space="preserve"> </w:t>
      </w:r>
      <w:r>
        <w:rPr>
          <w:rFonts w:ascii="David" w:hAnsi="David" w:cs="David"/>
          <w:sz w:val="24"/>
          <w:szCs w:val="24"/>
          <w:rtl/>
        </w:rPr>
        <w:t xml:space="preserve">"את זבל"; "את דוחה"; וכן אמר כי עשה טעות שהתחתן איתה.  </w:t>
      </w:r>
    </w:p>
    <w:p w14:paraId="6189167F" w14:textId="77777777" w:rsidR="007F7F6B" w:rsidRDefault="007F7F6B" w:rsidP="007F7F6B">
      <w:pPr>
        <w:pStyle w:val="aa"/>
        <w:spacing w:line="360" w:lineRule="auto"/>
        <w:ind w:left="360"/>
        <w:jc w:val="both"/>
        <w:rPr>
          <w:rFonts w:ascii="David" w:hAnsi="David" w:cs="David"/>
          <w:sz w:val="24"/>
          <w:szCs w:val="24"/>
          <w:rtl/>
        </w:rPr>
      </w:pPr>
    </w:p>
    <w:p w14:paraId="6330F40E" w14:textId="77777777" w:rsidR="007F7F6B" w:rsidRDefault="007F7F6B" w:rsidP="007F7F6B">
      <w:pPr>
        <w:pStyle w:val="aa"/>
        <w:spacing w:line="360" w:lineRule="auto"/>
        <w:ind w:left="360"/>
        <w:jc w:val="both"/>
        <w:rPr>
          <w:rFonts w:ascii="David" w:hAnsi="David" w:cs="David"/>
          <w:sz w:val="24"/>
          <w:szCs w:val="24"/>
          <w:rtl/>
        </w:rPr>
      </w:pPr>
      <w:r>
        <w:rPr>
          <w:rFonts w:ascii="David" w:hAnsi="David" w:cs="David"/>
          <w:sz w:val="24"/>
          <w:szCs w:val="24"/>
          <w:rtl/>
        </w:rPr>
        <w:t xml:space="preserve">כתב האישום מוסיף ומתאר כי במועד שאינו ידוע במדויק, אולם כשנתיים עובר למועד המתואר לעיל, עת היתה המתלוננת בחודש השלישי להריונה, התגלע ויכוח בין המתלוננת לבין הנאשם בסמוך לבית הוריו ברחוב עונות השנה 2 באילת, על רקע אי רצונה של המתלוננת ללכת עם הנאשם וחבריו לים. במעמד זה, סטר הנאשם למתלוננת וגרם לנפילתה. </w:t>
      </w:r>
    </w:p>
    <w:p w14:paraId="680FA8D5" w14:textId="77777777" w:rsidR="007F7F6B" w:rsidRDefault="007F7F6B" w:rsidP="007F7F6B">
      <w:pPr>
        <w:pStyle w:val="aa"/>
        <w:spacing w:line="360" w:lineRule="auto"/>
        <w:ind w:left="360"/>
        <w:jc w:val="both"/>
        <w:rPr>
          <w:rFonts w:ascii="David" w:hAnsi="David" w:cs="David"/>
          <w:sz w:val="24"/>
          <w:szCs w:val="24"/>
          <w:rtl/>
        </w:rPr>
      </w:pPr>
    </w:p>
    <w:p w14:paraId="3BCCD4DC" w14:textId="77777777" w:rsidR="007F7F6B" w:rsidRDefault="007F7F6B" w:rsidP="007F7F6B">
      <w:pPr>
        <w:pStyle w:val="aa"/>
        <w:spacing w:line="360" w:lineRule="auto"/>
        <w:ind w:left="360"/>
        <w:jc w:val="both"/>
        <w:rPr>
          <w:rFonts w:ascii="David" w:hAnsi="David" w:cs="David"/>
          <w:sz w:val="24"/>
          <w:szCs w:val="24"/>
          <w:rtl/>
        </w:rPr>
      </w:pPr>
      <w:r>
        <w:rPr>
          <w:rFonts w:ascii="David" w:hAnsi="David" w:cs="David"/>
          <w:sz w:val="24"/>
          <w:szCs w:val="24"/>
          <w:rtl/>
        </w:rPr>
        <w:t xml:space="preserve">עוד מתאר כתב האישום כי ביום 6.9.2018, בשעה שאינה ידועה, עת חזרו הנאשם והמתלוננת מבילוי משותף בו חגגה המתלוננת את יום הולדתה, התגלע ויכוח ביניהם לאחר שהמתלוננת שכחה לקחת מפתח ולכן ננעלו השניים מחוץ לביתם הקודם. הנאשם התרגז, החל לבעוט בדלת המעלית ודחף את המתלוננת מספר פעמים בפניה ובגופה.  </w:t>
      </w:r>
    </w:p>
    <w:p w14:paraId="3C0EE1D3" w14:textId="77777777" w:rsidR="007F7F6B" w:rsidRDefault="007F7F6B" w:rsidP="007F7F6B">
      <w:pPr>
        <w:pStyle w:val="aa"/>
        <w:spacing w:line="360" w:lineRule="auto"/>
        <w:ind w:left="360"/>
        <w:jc w:val="both"/>
        <w:rPr>
          <w:rFonts w:ascii="David" w:hAnsi="David" w:cs="David"/>
          <w:color w:val="FF0000"/>
          <w:sz w:val="24"/>
          <w:szCs w:val="24"/>
          <w:rtl/>
        </w:rPr>
      </w:pPr>
    </w:p>
    <w:p w14:paraId="21FA36B1" w14:textId="77777777" w:rsidR="007F7F6B" w:rsidRDefault="007F7F6B" w:rsidP="007F7F6B">
      <w:pPr>
        <w:pStyle w:val="aa"/>
        <w:numPr>
          <w:ilvl w:val="0"/>
          <w:numId w:val="1"/>
        </w:numPr>
        <w:spacing w:line="360" w:lineRule="auto"/>
        <w:jc w:val="both"/>
        <w:rPr>
          <w:rFonts w:ascii="David" w:hAnsi="David" w:cs="David"/>
          <w:sz w:val="24"/>
          <w:szCs w:val="24"/>
          <w:rtl/>
        </w:rPr>
      </w:pPr>
      <w:r>
        <w:rPr>
          <w:rFonts w:ascii="David" w:hAnsi="David" w:cs="David"/>
          <w:sz w:val="24"/>
          <w:szCs w:val="24"/>
          <w:rtl/>
        </w:rPr>
        <w:t>על פי עובדות כתב האישום בתיק המצורף, ביום 8.9.2020 הורה בית משפט השלום באילת על הסרת האיזוק האלקטרוני מהנאשם וקבע כי האחרון ישהה בתנאי מעצר בית מלאים, כפי שנקבעו במסגרת דיון בבית המשפט המחוזי בבאר שבע ב</w:t>
      </w:r>
      <w:hyperlink r:id="rId25" w:history="1">
        <w:r w:rsidR="004C5178" w:rsidRPr="004C5178">
          <w:rPr>
            <w:rFonts w:ascii="David" w:hAnsi="David" w:cs="David"/>
            <w:color w:val="0000FF"/>
            <w:sz w:val="24"/>
            <w:szCs w:val="24"/>
            <w:u w:val="single"/>
            <w:rtl/>
          </w:rPr>
          <w:t>עמ"ת 47103-07-20</w:t>
        </w:r>
      </w:hyperlink>
      <w:r>
        <w:rPr>
          <w:rFonts w:ascii="David" w:hAnsi="David" w:cs="David"/>
          <w:sz w:val="24"/>
          <w:szCs w:val="24"/>
          <w:rtl/>
        </w:rPr>
        <w:t xml:space="preserve"> (להלן: ההוראה החוקית).</w:t>
      </w:r>
    </w:p>
    <w:p w14:paraId="1710F261" w14:textId="77777777" w:rsidR="007F7F6B" w:rsidRDefault="007F7F6B" w:rsidP="007F7F6B">
      <w:pPr>
        <w:pStyle w:val="aa"/>
        <w:spacing w:line="360" w:lineRule="auto"/>
        <w:ind w:left="360"/>
        <w:jc w:val="both"/>
        <w:rPr>
          <w:rFonts w:ascii="David" w:hAnsi="David" w:cs="David"/>
          <w:sz w:val="24"/>
          <w:szCs w:val="24"/>
        </w:rPr>
      </w:pPr>
    </w:p>
    <w:p w14:paraId="002F310F" w14:textId="77777777" w:rsidR="007F7F6B" w:rsidRDefault="007F7F6B" w:rsidP="007F7F6B">
      <w:pPr>
        <w:pStyle w:val="aa"/>
        <w:spacing w:line="360" w:lineRule="auto"/>
        <w:ind w:left="360"/>
        <w:jc w:val="both"/>
        <w:rPr>
          <w:rFonts w:ascii="David" w:hAnsi="David" w:cs="David"/>
          <w:sz w:val="24"/>
          <w:szCs w:val="24"/>
        </w:rPr>
      </w:pPr>
      <w:r>
        <w:rPr>
          <w:rFonts w:ascii="David" w:hAnsi="David" w:cs="David"/>
          <w:sz w:val="24"/>
          <w:szCs w:val="24"/>
          <w:rtl/>
        </w:rPr>
        <w:lastRenderedPageBreak/>
        <w:t xml:space="preserve">כתב האישום מתאר כי בתאריך 25.2.2021, בשעה 02:25 לערך, שהה הנאשם במסעדה באילת ובכך הפר את ההוראה החוקית. באותו מעמד החזיק הנאשם בסם מסוכן מסוג קוקאין במשקל 0.1485 גרם נטו, לצריכתו העצמית. </w:t>
      </w:r>
    </w:p>
    <w:p w14:paraId="2D79BA4F" w14:textId="77777777" w:rsidR="007F7F6B" w:rsidRDefault="007F7F6B" w:rsidP="007F7F6B">
      <w:pPr>
        <w:pStyle w:val="aa"/>
        <w:spacing w:line="360" w:lineRule="auto"/>
        <w:ind w:left="360"/>
        <w:jc w:val="both"/>
        <w:rPr>
          <w:rFonts w:ascii="David" w:hAnsi="David" w:cs="David"/>
          <w:sz w:val="24"/>
          <w:szCs w:val="24"/>
          <w:rtl/>
        </w:rPr>
      </w:pPr>
    </w:p>
    <w:p w14:paraId="31ED2279" w14:textId="77777777" w:rsidR="007F7F6B" w:rsidRDefault="007F7F6B" w:rsidP="007F7F6B">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תחילה, במסגרת התיק העיקרי, כפר הנאשם בעובדות כתב האישום והחלו להישמע הראיות במסגרת פרשת התביעה, אולם בדיון שהתקיים ביום 22.9.2022 הציגו הצדדים הסדר דיוני, במסגרתו הודה הנאשם בכתב האישום המתוקן, וכן בכתב האישום המצורף והורשע בעבירות כמפורט לעיל. </w:t>
      </w:r>
    </w:p>
    <w:p w14:paraId="71503F8A" w14:textId="77777777" w:rsidR="007F7F6B" w:rsidRDefault="007F7F6B" w:rsidP="007F7F6B">
      <w:pPr>
        <w:pStyle w:val="aa"/>
        <w:spacing w:line="360" w:lineRule="auto"/>
        <w:ind w:left="360"/>
        <w:jc w:val="both"/>
        <w:rPr>
          <w:rFonts w:ascii="David" w:hAnsi="David" w:cs="David"/>
          <w:sz w:val="24"/>
          <w:szCs w:val="24"/>
        </w:rPr>
      </w:pPr>
    </w:p>
    <w:p w14:paraId="2EA28B31" w14:textId="77777777" w:rsidR="007F7F6B" w:rsidRDefault="007F7F6B" w:rsidP="007F7F6B">
      <w:pPr>
        <w:pStyle w:val="aa"/>
        <w:numPr>
          <w:ilvl w:val="0"/>
          <w:numId w:val="1"/>
        </w:numPr>
        <w:spacing w:line="360" w:lineRule="auto"/>
        <w:jc w:val="both"/>
        <w:rPr>
          <w:rFonts w:ascii="David" w:hAnsi="David" w:cs="David"/>
          <w:sz w:val="24"/>
          <w:szCs w:val="24"/>
        </w:rPr>
      </w:pPr>
      <w:r>
        <w:rPr>
          <w:rFonts w:ascii="David" w:hAnsi="David" w:cs="David"/>
          <w:sz w:val="24"/>
          <w:szCs w:val="24"/>
          <w:rtl/>
        </w:rPr>
        <w:t>במסגרת ההסדר הוסכם כי הנאשם יופנה לקבלת תסקיר שירות המבחן; לא התגבשה הסכמה עונשית בין הצדדים, למעט העובדה שהמאשימה ציינה כי עמדתה העונשית בתיק שצורף היא למאסר על תנאי וקנס.</w:t>
      </w:r>
    </w:p>
    <w:p w14:paraId="2CC2AC98" w14:textId="77777777" w:rsidR="007F7F6B" w:rsidRDefault="007F7F6B" w:rsidP="007F7F6B">
      <w:pPr>
        <w:pStyle w:val="1"/>
        <w:spacing w:after="0"/>
        <w:ind w:left="360" w:firstLine="0"/>
        <w:rPr>
          <w:color w:val="FF0000"/>
          <w:szCs w:val="24"/>
        </w:rPr>
      </w:pPr>
    </w:p>
    <w:p w14:paraId="43641C3C" w14:textId="77777777" w:rsidR="007F7F6B" w:rsidRDefault="007F7F6B" w:rsidP="007F7F6B">
      <w:pPr>
        <w:spacing w:line="360" w:lineRule="auto"/>
        <w:jc w:val="both"/>
        <w:rPr>
          <w:rFonts w:ascii="David" w:hAnsi="David"/>
          <w:b/>
          <w:bCs/>
          <w:u w:val="single"/>
        </w:rPr>
      </w:pPr>
      <w:r>
        <w:rPr>
          <w:rFonts w:ascii="David" w:hAnsi="David"/>
          <w:b/>
          <w:bCs/>
          <w:u w:val="single"/>
          <w:rtl/>
        </w:rPr>
        <w:t>תסקיר שירות המבחן</w:t>
      </w:r>
    </w:p>
    <w:p w14:paraId="729BFB8A" w14:textId="77777777" w:rsidR="007F7F6B" w:rsidRDefault="007F7F6B" w:rsidP="007F7F6B">
      <w:pPr>
        <w:spacing w:line="360" w:lineRule="auto"/>
        <w:jc w:val="both"/>
        <w:rPr>
          <w:rFonts w:ascii="David" w:hAnsi="David"/>
          <w:b/>
          <w:bCs/>
          <w:color w:val="FF0000"/>
          <w:u w:val="single"/>
        </w:rPr>
      </w:pPr>
    </w:p>
    <w:p w14:paraId="650DE3DA" w14:textId="77777777" w:rsidR="007F7F6B" w:rsidRDefault="007F7F6B" w:rsidP="007F7F6B">
      <w:pPr>
        <w:pStyle w:val="aa"/>
        <w:numPr>
          <w:ilvl w:val="0"/>
          <w:numId w:val="1"/>
        </w:numPr>
        <w:spacing w:line="360" w:lineRule="auto"/>
        <w:jc w:val="both"/>
        <w:rPr>
          <w:rFonts w:ascii="David" w:hAnsi="David"/>
          <w:rtl/>
        </w:rPr>
      </w:pPr>
      <w:r>
        <w:rPr>
          <w:rFonts w:ascii="David" w:hAnsi="David" w:cs="David"/>
          <w:sz w:val="24"/>
          <w:szCs w:val="24"/>
          <w:rtl/>
        </w:rPr>
        <w:t xml:space="preserve">בעניינו של הנאשם התקבלו שלושה תסקירים. ביום 7.2.2023 התקבל תסקיר שירות המבחן בעניינו של הנאשם (להלן: התסקיר הראשון). התסקיר פרט את נתוניו האישיים והמשפחתיים של הנאשם ובחן את התייחסותו לעבירות בהן הורשע, וכן את הערכת הסיכון לעבריינות והסיכוי לשיקום. בתסקיר צוין כי הסיכון להישנות אלימות זוגית כלפי המתלוננת נמוך בשל העובדה כי הם מתגוררים במרחק גאוגרפי רב האחד מהשני. שירות המבחן ציין כי קיימת רמת סיכון להישנות אלימות במערכות יחסים זוגיות בעתיד. בשורה התחתונה המליץ התסקיר על </w:t>
      </w:r>
    </w:p>
    <w:p w14:paraId="60EB12D0" w14:textId="77777777" w:rsidR="007F7F6B" w:rsidRDefault="007F7F6B" w:rsidP="007F7F6B">
      <w:pPr>
        <w:pStyle w:val="aa"/>
        <w:spacing w:line="360" w:lineRule="auto"/>
        <w:ind w:left="360"/>
        <w:jc w:val="both"/>
        <w:rPr>
          <w:rFonts w:ascii="David" w:hAnsi="David" w:cs="David"/>
          <w:sz w:val="24"/>
          <w:szCs w:val="24"/>
        </w:rPr>
      </w:pPr>
      <w:r>
        <w:rPr>
          <w:rFonts w:ascii="David" w:hAnsi="David" w:cs="David"/>
          <w:sz w:val="24"/>
          <w:szCs w:val="24"/>
          <w:rtl/>
        </w:rPr>
        <w:t>בחינת  התאמתו של הנאשם לשילוב במסגרת קבוצה טיפולית לגברים שנהגו באלימות זוגית.</w:t>
      </w:r>
    </w:p>
    <w:p w14:paraId="353D8FA1" w14:textId="77777777" w:rsidR="007F7F6B" w:rsidRDefault="007F7F6B" w:rsidP="007F7F6B">
      <w:pPr>
        <w:pStyle w:val="aa"/>
        <w:spacing w:line="360" w:lineRule="auto"/>
        <w:ind w:left="360"/>
        <w:jc w:val="both"/>
        <w:rPr>
          <w:rFonts w:ascii="David" w:hAnsi="David" w:cs="David"/>
          <w:sz w:val="24"/>
          <w:szCs w:val="24"/>
          <w:rtl/>
        </w:rPr>
      </w:pPr>
    </w:p>
    <w:p w14:paraId="15BBD3B4" w14:textId="77777777" w:rsidR="007F7F6B" w:rsidRDefault="007F7F6B" w:rsidP="007F7F6B">
      <w:pPr>
        <w:pStyle w:val="aa"/>
        <w:spacing w:line="360" w:lineRule="auto"/>
        <w:ind w:left="360"/>
        <w:jc w:val="both"/>
        <w:rPr>
          <w:rFonts w:ascii="David" w:hAnsi="David" w:cs="David"/>
          <w:sz w:val="24"/>
          <w:szCs w:val="24"/>
          <w:rtl/>
        </w:rPr>
      </w:pPr>
      <w:r>
        <w:rPr>
          <w:rFonts w:ascii="David" w:hAnsi="David" w:cs="David"/>
          <w:sz w:val="24"/>
          <w:szCs w:val="24"/>
          <w:rtl/>
        </w:rPr>
        <w:t xml:space="preserve">בתסקיר שהוגש ביום 18.9.2023 (להלן: התסקיר השני), ציין שירות המבחן כי הנאשם השתלב בקבוצה טיפולית והביע שביעות רצון מהשתתפותו בקבוצה. שירות המבחן העריך כי קיים סיכון נמוך מאד לביצוע עבירה נוספת בתחום האלימות הזוגית, ציין כי הנאשם, ללא מעורבות פלילית קודמת, מנהל אורח חיים יציב, ומאז ביצוע העבירות לא נפתחו נגדו תיקים חדשים. לאור זאת, סבר שירות המבחן כי יש להטיל על הנאשם ענישה שיקומית - טיפולית בדמות צו של"צ בהיקף של 80 שעות, וכן צו מבחן למשך חצי שנה, במהלכו יתקיים המשך מעקב אחר בדיקות שתן. עוד הומלץ על השתת ענישה צופה פני עתיד בדמות מאסר מותנה. </w:t>
      </w:r>
    </w:p>
    <w:p w14:paraId="61B56D6A" w14:textId="77777777" w:rsidR="007F7F6B" w:rsidRDefault="007F7F6B" w:rsidP="007F7F6B">
      <w:pPr>
        <w:pStyle w:val="aa"/>
        <w:jc w:val="both"/>
        <w:rPr>
          <w:rFonts w:ascii="David" w:hAnsi="David" w:cs="David"/>
          <w:color w:val="FF0000"/>
          <w:sz w:val="24"/>
          <w:szCs w:val="24"/>
          <w:rtl/>
        </w:rPr>
      </w:pPr>
    </w:p>
    <w:p w14:paraId="08337139" w14:textId="77777777" w:rsidR="007F7F6B" w:rsidRDefault="007F7F6B" w:rsidP="007F7F6B">
      <w:pPr>
        <w:pStyle w:val="aa"/>
        <w:spacing w:line="360" w:lineRule="auto"/>
        <w:ind w:left="360"/>
        <w:jc w:val="both"/>
        <w:rPr>
          <w:rFonts w:ascii="David" w:hAnsi="David" w:cs="David"/>
          <w:sz w:val="24"/>
          <w:szCs w:val="24"/>
        </w:rPr>
      </w:pPr>
      <w:r>
        <w:rPr>
          <w:rFonts w:ascii="David" w:hAnsi="David" w:cs="David"/>
          <w:sz w:val="24"/>
          <w:szCs w:val="24"/>
          <w:rtl/>
        </w:rPr>
        <w:t xml:space="preserve">בתסקיר שהוגש ביום 13.6.2024 (להלן: תסקיר משלים), ציין שירות המבחן כי הטיפול בקבוצה נפסק בעטייה של מלחמת חרבות ברזל. עם זאת, הנאשם שמר על קשר רציף עם שירות המבחן תוך גילוי אחריות ומחויבות,  והבדיקות לגילוי שרידי סם נמצאו שליליות. עוד התרשם שירות המבחן כי הסיכון להישנות התנהגות אלימה כלפי המתלוננת הצטמצם משמעותית וכי הנאשם מתמודד עם תוצאות התנהגותו והשלכותיהן. הנאשם הביע חרטה על התנהגותו, ולאור התהליך הממושך אותו עבר (כשנה ושלושה חודשים) חזר בו שירות המבחן מהמלצתו להטלת צו מבחן והסתפק בהמלצה להשית על הנאשם צו של"צ בהיקף של 80 שעות והטלת מאסר מותנה.  </w:t>
      </w:r>
    </w:p>
    <w:p w14:paraId="388B58E5" w14:textId="77777777" w:rsidR="007F7F6B" w:rsidRDefault="007F7F6B" w:rsidP="007F7F6B">
      <w:pPr>
        <w:pStyle w:val="aa"/>
        <w:spacing w:line="360" w:lineRule="auto"/>
        <w:ind w:left="360"/>
        <w:jc w:val="both"/>
        <w:rPr>
          <w:rFonts w:ascii="David" w:hAnsi="David" w:cs="David"/>
          <w:b/>
          <w:bCs/>
          <w:sz w:val="24"/>
          <w:szCs w:val="24"/>
          <w:u w:val="single"/>
          <w:rtl/>
        </w:rPr>
      </w:pPr>
    </w:p>
    <w:p w14:paraId="54DE2414" w14:textId="77777777" w:rsidR="007F7F6B" w:rsidRDefault="007F7F6B" w:rsidP="007F7F6B">
      <w:pPr>
        <w:pStyle w:val="aa"/>
        <w:spacing w:line="360" w:lineRule="auto"/>
        <w:ind w:left="360"/>
        <w:jc w:val="both"/>
        <w:rPr>
          <w:rFonts w:ascii="David" w:hAnsi="David" w:cs="David"/>
          <w:b/>
          <w:bCs/>
          <w:sz w:val="24"/>
          <w:szCs w:val="24"/>
          <w:u w:val="single"/>
        </w:rPr>
      </w:pPr>
      <w:r>
        <w:rPr>
          <w:rFonts w:ascii="David" w:hAnsi="David" w:cs="David"/>
          <w:b/>
          <w:bCs/>
          <w:sz w:val="24"/>
          <w:szCs w:val="24"/>
          <w:u w:val="single"/>
          <w:rtl/>
        </w:rPr>
        <w:t>טיעוני הצדדים לעונש</w:t>
      </w:r>
    </w:p>
    <w:p w14:paraId="691AF9C4" w14:textId="77777777" w:rsidR="007F7F6B" w:rsidRDefault="007F7F6B" w:rsidP="007F7F6B">
      <w:pPr>
        <w:pStyle w:val="aa"/>
        <w:spacing w:line="360" w:lineRule="auto"/>
        <w:ind w:left="360"/>
        <w:jc w:val="both"/>
        <w:rPr>
          <w:rFonts w:ascii="David" w:hAnsi="David" w:cs="David"/>
          <w:color w:val="FF0000"/>
          <w:sz w:val="24"/>
          <w:szCs w:val="24"/>
          <w:rtl/>
        </w:rPr>
      </w:pPr>
    </w:p>
    <w:p w14:paraId="4AECC0A0" w14:textId="77777777" w:rsidR="007F7F6B" w:rsidRDefault="007F7F6B" w:rsidP="007F7F6B">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ב"כ המאשימה ביקשה לקבוע מתחם ענישה נפרד לכל אחד מכתבי האישום. בתיק העיקרי ביקשה לקבוע מתחם ענישה הנע בין 14 ועד 28 חודשי מאסר בפועל לצד רכיבי ענישה נלווים. ביחס לתיק המצורף, עתרה לקבוע מתחם ענישה הנע בין מאסר על תנאי ועד מספר חודשי מאסר. המאשימה ביקשה למקם את עונשו של הנאשם במרכז המתחם, ולהשית עליו 18 חודשי מאסר בפועל, מאסרים מותנים על עבירות אלימות מסוג עוון ופשע, מאסרים מותנים בעבירות סמים והפרת הוראה חוקית, תשלום פיצוי כספי למתלוננת, קנס והתחייבות להימנע מביצוע עבירות בהן הורשע. </w:t>
      </w:r>
    </w:p>
    <w:p w14:paraId="77A68D98" w14:textId="77777777" w:rsidR="007F7F6B" w:rsidRDefault="007F7F6B" w:rsidP="007F7F6B">
      <w:pPr>
        <w:pStyle w:val="aa"/>
        <w:spacing w:line="360" w:lineRule="auto"/>
        <w:ind w:left="360"/>
        <w:jc w:val="both"/>
        <w:rPr>
          <w:rFonts w:ascii="David" w:hAnsi="David" w:cs="David"/>
          <w:color w:val="FF0000"/>
          <w:sz w:val="24"/>
          <w:szCs w:val="24"/>
          <w:rtl/>
        </w:rPr>
      </w:pPr>
    </w:p>
    <w:p w14:paraId="4B92E765" w14:textId="77777777" w:rsidR="007F7F6B" w:rsidRDefault="007F7F6B" w:rsidP="007F7F6B">
      <w:pPr>
        <w:pStyle w:val="aa"/>
        <w:spacing w:line="360" w:lineRule="auto"/>
        <w:ind w:left="360"/>
        <w:jc w:val="both"/>
        <w:rPr>
          <w:rFonts w:ascii="David" w:hAnsi="David" w:cs="David"/>
          <w:sz w:val="24"/>
          <w:szCs w:val="24"/>
        </w:rPr>
      </w:pPr>
      <w:r>
        <w:rPr>
          <w:rFonts w:ascii="David" w:hAnsi="David" w:cs="David"/>
          <w:sz w:val="24"/>
          <w:szCs w:val="24"/>
          <w:rtl/>
        </w:rPr>
        <w:t xml:space="preserve">התובעת טענה כי הערכים המוגנים שנפגעו כתוצאה מביצוע העבירות מושא כתבי האישום הם זכותו של אדם לשמירה על בטחונו האישי, שלמות גופו, כבודו ושלוות נפשו, לרבות זכותה של אישה לחוש מוגנת ובטוחה בביתה פנימה, ההגנה על שלטון החוק ושמירה על בריאותם של צרכני הסמים. </w:t>
      </w:r>
    </w:p>
    <w:p w14:paraId="5DC3EC2D" w14:textId="77777777" w:rsidR="007F7F6B" w:rsidRDefault="007F7F6B" w:rsidP="007F7F6B">
      <w:pPr>
        <w:pStyle w:val="aa"/>
        <w:spacing w:line="360" w:lineRule="auto"/>
        <w:ind w:left="360"/>
        <w:jc w:val="both"/>
        <w:rPr>
          <w:rFonts w:ascii="David" w:hAnsi="David" w:cs="David"/>
          <w:color w:val="FF0000"/>
          <w:sz w:val="24"/>
          <w:szCs w:val="24"/>
          <w:rtl/>
        </w:rPr>
      </w:pPr>
    </w:p>
    <w:p w14:paraId="4048560F" w14:textId="77777777" w:rsidR="007F7F6B" w:rsidRDefault="007F7F6B" w:rsidP="007F7F6B">
      <w:pPr>
        <w:pStyle w:val="aa"/>
        <w:spacing w:line="360" w:lineRule="auto"/>
        <w:ind w:left="360"/>
        <w:jc w:val="both"/>
        <w:rPr>
          <w:rFonts w:ascii="David" w:hAnsi="David" w:cs="David"/>
          <w:sz w:val="24"/>
          <w:szCs w:val="24"/>
          <w:rtl/>
        </w:rPr>
      </w:pPr>
      <w:r>
        <w:rPr>
          <w:rFonts w:ascii="David" w:hAnsi="David" w:cs="David"/>
          <w:sz w:val="24"/>
          <w:szCs w:val="24"/>
          <w:rtl/>
        </w:rPr>
        <w:t xml:space="preserve">התביעה עמדה על כך כי מעשיו החוזרים של הנאשם אשר נהג באלימות כלפי המתלוננת עת היתה בהריון, ובמקרה נוסף, לעיני ביתם הפעוטה עת הוחזקה בידיה של המתלוננת, התרחשו לאורך זמן. לדברי המאשימה הנאשם אף הגדיל והפר הוראה חוקית ולימד על עצמו כמי שמזלזל בהחלטות בית המשפט.  מכאן גובר הצורך בהפעלת שיקולי גמול והרתעה והעדפתם על פני שיקולי שיקום. </w:t>
      </w:r>
    </w:p>
    <w:p w14:paraId="321A63E1" w14:textId="77777777" w:rsidR="007F7F6B" w:rsidRDefault="007F7F6B" w:rsidP="007F7F6B">
      <w:pPr>
        <w:pStyle w:val="aa"/>
        <w:spacing w:line="360" w:lineRule="auto"/>
        <w:ind w:left="360"/>
        <w:jc w:val="both"/>
        <w:rPr>
          <w:rFonts w:ascii="David" w:hAnsi="David" w:cs="David"/>
          <w:sz w:val="24"/>
          <w:szCs w:val="24"/>
          <w:rtl/>
        </w:rPr>
      </w:pPr>
    </w:p>
    <w:p w14:paraId="39766DD4" w14:textId="77777777" w:rsidR="007F7F6B" w:rsidRDefault="007F7F6B" w:rsidP="007F7F6B">
      <w:pPr>
        <w:pStyle w:val="aa"/>
        <w:spacing w:line="360" w:lineRule="auto"/>
        <w:ind w:left="360"/>
        <w:jc w:val="both"/>
        <w:rPr>
          <w:rFonts w:ascii="David" w:hAnsi="David" w:cs="David"/>
          <w:sz w:val="24"/>
          <w:szCs w:val="24"/>
          <w:rtl/>
        </w:rPr>
      </w:pPr>
      <w:r>
        <w:rPr>
          <w:rFonts w:ascii="David" w:hAnsi="David" w:cs="David"/>
          <w:sz w:val="24"/>
          <w:szCs w:val="24"/>
          <w:rtl/>
        </w:rPr>
        <w:t xml:space="preserve">ביחס למיקום עונשו של הנאשם בגדרי המתחם שהתבקש על ידי התביעה, טענה המאשימה כי "למרות שמדובר בנאשם נעדר עבר פלילי, הרי שמסכת האירועים מגלה כי מדובר למעשה בנאשם שביצע עבירות שוב ושוב על פני תקופה ממושכת".  </w:t>
      </w:r>
    </w:p>
    <w:p w14:paraId="0F60359C" w14:textId="77777777" w:rsidR="007F7F6B" w:rsidRDefault="007F7F6B" w:rsidP="007F7F6B">
      <w:pPr>
        <w:pStyle w:val="aa"/>
        <w:spacing w:line="360" w:lineRule="auto"/>
        <w:ind w:left="360"/>
        <w:jc w:val="both"/>
        <w:rPr>
          <w:rFonts w:ascii="David" w:hAnsi="David" w:cs="David"/>
          <w:sz w:val="24"/>
          <w:szCs w:val="24"/>
          <w:rtl/>
        </w:rPr>
      </w:pPr>
    </w:p>
    <w:p w14:paraId="78F5621B" w14:textId="77777777" w:rsidR="007F7F6B" w:rsidRDefault="007F7F6B" w:rsidP="007F7F6B">
      <w:pPr>
        <w:pStyle w:val="aa"/>
        <w:spacing w:line="360" w:lineRule="auto"/>
        <w:ind w:left="360"/>
        <w:jc w:val="both"/>
        <w:rPr>
          <w:rFonts w:ascii="David" w:hAnsi="David" w:cs="David"/>
          <w:sz w:val="24"/>
          <w:szCs w:val="24"/>
          <w:rtl/>
        </w:rPr>
      </w:pPr>
      <w:r>
        <w:rPr>
          <w:rFonts w:ascii="David" w:hAnsi="David" w:cs="David"/>
          <w:sz w:val="24"/>
          <w:szCs w:val="24"/>
          <w:rtl/>
        </w:rPr>
        <w:t xml:space="preserve">התביעה הגישה פסיקה התומכת לשיטתה בעתירתה העונשית. </w:t>
      </w:r>
    </w:p>
    <w:p w14:paraId="78C1AE1A" w14:textId="77777777" w:rsidR="007F7F6B" w:rsidRDefault="007F7F6B" w:rsidP="007F7F6B">
      <w:pPr>
        <w:pStyle w:val="aa"/>
        <w:spacing w:line="360" w:lineRule="auto"/>
        <w:ind w:left="360"/>
        <w:jc w:val="both"/>
        <w:rPr>
          <w:rFonts w:ascii="David" w:hAnsi="David" w:cs="David"/>
          <w:color w:val="FF0000"/>
          <w:sz w:val="24"/>
          <w:szCs w:val="24"/>
          <w:rtl/>
        </w:rPr>
      </w:pPr>
    </w:p>
    <w:p w14:paraId="394104DF" w14:textId="77777777" w:rsidR="007F7F6B" w:rsidRDefault="007F7F6B" w:rsidP="007F7F6B">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ב"כ הנאשם בטיעוניו, ביקש ליתן את הבכורה לשיקולי שיקום הנאשם ולאמץ את המלצות שירות המבחן במלואן, כפי שבאו לידי ביטוי בתסקיר המשלים. </w:t>
      </w:r>
    </w:p>
    <w:p w14:paraId="0E64A85F" w14:textId="77777777" w:rsidR="007F7F6B" w:rsidRDefault="007F7F6B" w:rsidP="007F7F6B">
      <w:pPr>
        <w:pStyle w:val="aa"/>
        <w:spacing w:line="360" w:lineRule="auto"/>
        <w:ind w:left="360"/>
        <w:jc w:val="both"/>
        <w:rPr>
          <w:rFonts w:ascii="David" w:hAnsi="David" w:cs="David"/>
          <w:sz w:val="24"/>
          <w:szCs w:val="24"/>
        </w:rPr>
      </w:pPr>
      <w:r>
        <w:rPr>
          <w:rFonts w:ascii="David" w:hAnsi="David" w:cs="David"/>
          <w:sz w:val="24"/>
          <w:szCs w:val="24"/>
          <w:rtl/>
        </w:rPr>
        <w:t xml:space="preserve"> </w:t>
      </w:r>
    </w:p>
    <w:p w14:paraId="469BF152" w14:textId="77777777" w:rsidR="007F7F6B" w:rsidRDefault="007F7F6B" w:rsidP="007F7F6B">
      <w:pPr>
        <w:pStyle w:val="aa"/>
        <w:spacing w:line="360" w:lineRule="auto"/>
        <w:ind w:left="360"/>
        <w:jc w:val="both"/>
        <w:rPr>
          <w:rFonts w:ascii="David" w:hAnsi="David" w:cs="David"/>
          <w:sz w:val="24"/>
          <w:szCs w:val="24"/>
        </w:rPr>
      </w:pPr>
      <w:r>
        <w:rPr>
          <w:rFonts w:ascii="David" w:hAnsi="David" w:cs="David"/>
          <w:sz w:val="24"/>
          <w:szCs w:val="24"/>
          <w:rtl/>
        </w:rPr>
        <w:t xml:space="preserve">ביחס לנסיבות ביצוע העבירה הפנה הסניגור לאירועים המפורטים בכתב האישום המתוקן באופן כרונולוגי בהדגישו כי "העבירה הראשונה בה הורשע הנאשם התרחשה לפני 6 שנים. העבירה השנייה בה הורשע הנאשם, סעיף 9 לכתב האישום, גם היא מלפני 6 שנים. העבירה השלישית מלפני 4 שנים. ריכוז עבירות כאלה נובע כידוע באלמ"ב, מגיעה אישה, מתלוננת,  מספרת על אירועי עבר, גם אין תאריכים, ואז מכינים על הכל כתב אישום."  כן הדגיש הסניגור כי אף התיק שצורף, עניינו בעבירות שהתרחשו לפני מספר שנים. </w:t>
      </w:r>
    </w:p>
    <w:p w14:paraId="6785A217" w14:textId="77777777" w:rsidR="007F7F6B" w:rsidRDefault="007F7F6B" w:rsidP="007F7F6B">
      <w:pPr>
        <w:pStyle w:val="aa"/>
        <w:spacing w:line="360" w:lineRule="auto"/>
        <w:ind w:left="360"/>
        <w:jc w:val="both"/>
        <w:rPr>
          <w:rFonts w:ascii="David" w:hAnsi="David" w:cs="David"/>
          <w:sz w:val="24"/>
          <w:szCs w:val="24"/>
          <w:rtl/>
        </w:rPr>
      </w:pPr>
    </w:p>
    <w:p w14:paraId="0CA83B41" w14:textId="77777777" w:rsidR="007F7F6B" w:rsidRDefault="007F7F6B" w:rsidP="007F7F6B">
      <w:pPr>
        <w:pStyle w:val="aa"/>
        <w:spacing w:line="360" w:lineRule="auto"/>
        <w:ind w:left="360"/>
        <w:jc w:val="both"/>
        <w:rPr>
          <w:rFonts w:ascii="David" w:hAnsi="David" w:cs="David"/>
          <w:sz w:val="24"/>
          <w:szCs w:val="24"/>
        </w:rPr>
      </w:pPr>
      <w:r>
        <w:rPr>
          <w:rFonts w:ascii="David" w:hAnsi="David" w:cs="David"/>
          <w:sz w:val="24"/>
          <w:szCs w:val="24"/>
          <w:rtl/>
        </w:rPr>
        <w:t xml:space="preserve">ההגנה הדגישה כי הנאשם שהה במעצר בגין תיק זה במשך 20 ימים, לאחר מכן הועבר למעצר בפיקוח אלקטרוני למשך חודש וחצי, שוחרר למעצר בית מלא ובהדרגה שב לעבודה והותר לו לחזור לאילת. בסך הכל שהה הנאשם בתנאים מגבילים משך כ-9 חודשים. עוד הוסיף הסניגור כי הנאשם נעדר עבר פלילי, וכיום מנהל קשר רצוף וחיובי עם המתלוננת, גרושתו, ועם ביתו, המתגוררות בצפון הארץ. </w:t>
      </w:r>
    </w:p>
    <w:p w14:paraId="2CF5D97F" w14:textId="77777777" w:rsidR="007F7F6B" w:rsidRDefault="007F7F6B" w:rsidP="007F7F6B">
      <w:pPr>
        <w:pStyle w:val="aa"/>
        <w:spacing w:line="360" w:lineRule="auto"/>
        <w:ind w:left="360"/>
        <w:jc w:val="both"/>
        <w:rPr>
          <w:rFonts w:ascii="David" w:hAnsi="David" w:cs="David"/>
          <w:color w:val="FF0000"/>
          <w:sz w:val="24"/>
          <w:szCs w:val="24"/>
          <w:rtl/>
        </w:rPr>
      </w:pPr>
    </w:p>
    <w:p w14:paraId="6EA5AF68" w14:textId="77777777" w:rsidR="007F7F6B" w:rsidRDefault="007F7F6B" w:rsidP="007F7F6B">
      <w:pPr>
        <w:pStyle w:val="aa"/>
        <w:spacing w:line="360" w:lineRule="auto"/>
        <w:ind w:left="360"/>
        <w:jc w:val="both"/>
        <w:rPr>
          <w:rFonts w:ascii="David" w:hAnsi="David" w:cs="David"/>
          <w:color w:val="FF0000"/>
          <w:sz w:val="24"/>
          <w:szCs w:val="24"/>
          <w:rtl/>
        </w:rPr>
      </w:pPr>
      <w:r>
        <w:rPr>
          <w:rFonts w:ascii="David" w:hAnsi="David" w:cs="David"/>
          <w:sz w:val="24"/>
          <w:szCs w:val="24"/>
          <w:rtl/>
        </w:rPr>
        <w:t xml:space="preserve">ב"כ הנאשם חידד כי הנאשם פנה ביוזמתו לטיפול פרטני עקב העומס על שירות המבחן, ובמקביל לשילובו בקבוצות טיפול של שירות המבחן, הוא טופל במסגרת מכון פרטי. עוד הדגיש הסניגור כי בהתאם לתסקירי שירות המבחן, הסיכוי להישנות אלימות זוגית מפני הנאשם כלפי המתלוננת הוא נמוך מאד. </w:t>
      </w:r>
    </w:p>
    <w:p w14:paraId="6547138D" w14:textId="77777777" w:rsidR="007F7F6B" w:rsidRDefault="007F7F6B" w:rsidP="007F7F6B">
      <w:pPr>
        <w:pStyle w:val="aa"/>
        <w:spacing w:line="360" w:lineRule="auto"/>
        <w:ind w:left="360"/>
        <w:jc w:val="both"/>
        <w:rPr>
          <w:rFonts w:ascii="David" w:hAnsi="David" w:cs="David"/>
          <w:color w:val="FF0000"/>
          <w:sz w:val="24"/>
          <w:szCs w:val="24"/>
          <w:rtl/>
        </w:rPr>
      </w:pPr>
    </w:p>
    <w:p w14:paraId="72C60247" w14:textId="77777777" w:rsidR="007F7F6B" w:rsidRDefault="007F7F6B" w:rsidP="007F7F6B">
      <w:pPr>
        <w:pStyle w:val="aa"/>
        <w:spacing w:line="360" w:lineRule="auto"/>
        <w:ind w:left="360"/>
        <w:jc w:val="both"/>
        <w:rPr>
          <w:rFonts w:ascii="David" w:hAnsi="David" w:cs="David"/>
          <w:sz w:val="24"/>
          <w:szCs w:val="24"/>
          <w:rtl/>
        </w:rPr>
      </w:pPr>
      <w:r>
        <w:rPr>
          <w:rFonts w:ascii="David" w:hAnsi="David" w:cs="David"/>
          <w:sz w:val="24"/>
          <w:szCs w:val="24"/>
          <w:rtl/>
        </w:rPr>
        <w:t xml:space="preserve">ההגנה הגישה פסיקה התומכת לשיטתה בעתירתה העונשית. </w:t>
      </w:r>
    </w:p>
    <w:p w14:paraId="315259E0" w14:textId="77777777" w:rsidR="007F7F6B" w:rsidRDefault="007F7F6B" w:rsidP="007F7F6B">
      <w:pPr>
        <w:pStyle w:val="aa"/>
        <w:spacing w:line="360" w:lineRule="auto"/>
        <w:ind w:left="360"/>
        <w:jc w:val="both"/>
        <w:rPr>
          <w:rFonts w:ascii="David" w:hAnsi="David" w:cs="David"/>
          <w:color w:val="FF0000"/>
          <w:sz w:val="24"/>
          <w:szCs w:val="24"/>
          <w:rtl/>
        </w:rPr>
      </w:pPr>
    </w:p>
    <w:p w14:paraId="3F4EB86C" w14:textId="77777777" w:rsidR="007F7F6B" w:rsidRDefault="007F7F6B" w:rsidP="007F7F6B">
      <w:pPr>
        <w:pStyle w:val="aa"/>
        <w:spacing w:line="360" w:lineRule="auto"/>
        <w:ind w:left="360"/>
        <w:jc w:val="both"/>
        <w:rPr>
          <w:rFonts w:ascii="David" w:hAnsi="David" w:cs="David"/>
          <w:sz w:val="24"/>
          <w:szCs w:val="24"/>
          <w:rtl/>
        </w:rPr>
      </w:pPr>
      <w:r>
        <w:rPr>
          <w:rFonts w:ascii="David" w:hAnsi="David" w:cs="David"/>
          <w:sz w:val="24"/>
          <w:szCs w:val="24"/>
          <w:rtl/>
        </w:rPr>
        <w:t xml:space="preserve">הנאשם בדברו האחרון אמר: </w:t>
      </w:r>
    </w:p>
    <w:p w14:paraId="4A05DD1A" w14:textId="77777777" w:rsidR="007F7F6B" w:rsidRDefault="007F7F6B" w:rsidP="007F7F6B">
      <w:pPr>
        <w:pStyle w:val="David"/>
        <w:ind w:left="360"/>
        <w:rPr>
          <w:rFonts w:ascii="David" w:eastAsia="David" w:hAnsi="David"/>
          <w:sz w:val="28"/>
        </w:rPr>
      </w:pPr>
      <w:r>
        <w:rPr>
          <w:rFonts w:ascii="David" w:hAnsi="David"/>
          <w:rtl/>
        </w:rPr>
        <w:t>"אני מצטער על כל מה שהיה. אני בדרך חדשה ואם אפשר להקל בעונש במה שאפשר, תודה רבה"</w:t>
      </w:r>
      <w:r>
        <w:rPr>
          <w:rFonts w:ascii="David" w:eastAsia="David" w:hAnsi="David"/>
          <w:sz w:val="28"/>
          <w:rtl/>
        </w:rPr>
        <w:t>.</w:t>
      </w:r>
    </w:p>
    <w:p w14:paraId="5E000E6D" w14:textId="77777777" w:rsidR="007F7F6B" w:rsidRDefault="007F7F6B" w:rsidP="007F7F6B">
      <w:pPr>
        <w:pStyle w:val="David"/>
        <w:ind w:left="360"/>
        <w:rPr>
          <w:rFonts w:ascii="David" w:eastAsia="David" w:hAnsi="David"/>
          <w:color w:val="FF0000"/>
          <w:sz w:val="28"/>
          <w:rtl/>
        </w:rPr>
      </w:pPr>
    </w:p>
    <w:p w14:paraId="43365F96" w14:textId="77777777" w:rsidR="007F7F6B" w:rsidRPr="007F7F6B" w:rsidRDefault="007F7F6B" w:rsidP="007F7F6B">
      <w:pPr>
        <w:pStyle w:val="aa"/>
        <w:spacing w:line="360" w:lineRule="auto"/>
        <w:ind w:left="0"/>
        <w:jc w:val="both"/>
        <w:rPr>
          <w:rFonts w:ascii="David" w:hAnsi="David" w:cs="David"/>
          <w:b/>
          <w:bCs/>
          <w:sz w:val="24"/>
          <w:szCs w:val="24"/>
          <w:u w:val="single"/>
        </w:rPr>
      </w:pPr>
      <w:r>
        <w:rPr>
          <w:rFonts w:ascii="David" w:hAnsi="David" w:cs="David"/>
          <w:b/>
          <w:bCs/>
          <w:sz w:val="24"/>
          <w:szCs w:val="24"/>
          <w:u w:val="single"/>
          <w:rtl/>
        </w:rPr>
        <w:t xml:space="preserve">דיון והכרעה </w:t>
      </w:r>
    </w:p>
    <w:p w14:paraId="17FDDE3A" w14:textId="77777777" w:rsidR="007F7F6B" w:rsidRDefault="007F7F6B" w:rsidP="007F7F6B">
      <w:pPr>
        <w:spacing w:line="360" w:lineRule="auto"/>
        <w:jc w:val="both"/>
        <w:rPr>
          <w:rFonts w:ascii="David" w:hAnsi="David"/>
          <w:u w:val="single"/>
          <w:rtl/>
        </w:rPr>
      </w:pPr>
      <w:r>
        <w:rPr>
          <w:rFonts w:ascii="David" w:hAnsi="David"/>
          <w:u w:val="single"/>
          <w:rtl/>
        </w:rPr>
        <w:t xml:space="preserve">מתחם העונש ההולם </w:t>
      </w:r>
    </w:p>
    <w:p w14:paraId="01431DA8" w14:textId="77777777" w:rsidR="007F7F6B" w:rsidRDefault="007F7F6B" w:rsidP="007F7F6B">
      <w:pPr>
        <w:spacing w:line="360" w:lineRule="auto"/>
        <w:jc w:val="both"/>
        <w:rPr>
          <w:rFonts w:ascii="David" w:hAnsi="David"/>
          <w:color w:val="FF0000"/>
          <w:u w:val="single"/>
        </w:rPr>
      </w:pPr>
    </w:p>
    <w:p w14:paraId="06D56D8F" w14:textId="77777777" w:rsidR="007F7F6B" w:rsidRDefault="007F7F6B" w:rsidP="007F7F6B">
      <w:pPr>
        <w:pStyle w:val="aa"/>
        <w:numPr>
          <w:ilvl w:val="0"/>
          <w:numId w:val="1"/>
        </w:numPr>
        <w:spacing w:line="360" w:lineRule="auto"/>
        <w:jc w:val="both"/>
        <w:rPr>
          <w:rFonts w:ascii="David" w:hAnsi="David" w:cs="David"/>
          <w:sz w:val="24"/>
          <w:szCs w:val="24"/>
          <w:rtl/>
        </w:rPr>
      </w:pPr>
      <w:r>
        <w:rPr>
          <w:rFonts w:ascii="David" w:hAnsi="David" w:cs="David"/>
          <w:sz w:val="24"/>
          <w:szCs w:val="24"/>
          <w:rtl/>
        </w:rPr>
        <w:t>בהתאם למבחן הקשר ההדוק (</w:t>
      </w:r>
      <w:hyperlink r:id="rId26" w:history="1">
        <w:r w:rsidR="004C5178" w:rsidRPr="004C5178">
          <w:rPr>
            <w:rFonts w:ascii="David" w:hAnsi="David" w:cs="David"/>
            <w:color w:val="0000FF"/>
            <w:sz w:val="24"/>
            <w:szCs w:val="24"/>
            <w:u w:val="single"/>
            <w:rtl/>
          </w:rPr>
          <w:t>ע"פ 4910/13</w:t>
        </w:r>
      </w:hyperlink>
      <w:r>
        <w:rPr>
          <w:rFonts w:ascii="David" w:hAnsi="David" w:cs="David"/>
          <w:sz w:val="24"/>
          <w:szCs w:val="24"/>
          <w:rtl/>
        </w:rPr>
        <w:t xml:space="preserve"> </w:t>
      </w:r>
      <w:r>
        <w:rPr>
          <w:rFonts w:ascii="David" w:hAnsi="David" w:cs="David"/>
          <w:b/>
          <w:bCs/>
          <w:sz w:val="24"/>
          <w:szCs w:val="24"/>
          <w:rtl/>
        </w:rPr>
        <w:t xml:space="preserve">אחמד בני ג'אבר נ' מדינת ישראל </w:t>
      </w:r>
      <w:r>
        <w:rPr>
          <w:rFonts w:ascii="David" w:hAnsi="David" w:cs="David"/>
          <w:sz w:val="24"/>
          <w:szCs w:val="24"/>
          <w:rtl/>
        </w:rPr>
        <w:t xml:space="preserve">(29.10.2014)), אני קובע מתחם ענישה כולל בגין העבירות בהן הורשע הנאשם, הגם שמדובר בעבירות שונות, שחלקן פורט בכתב אישום נפרד. עסקינן בפרשה אחת,  שספיחיה נובעים מאותה מסכת עבריינית, והעבירות בתיק המצורף הנוגעות להפרת תנאי השחרור והחזקת סמים לצריכה עצמית נעברו בעת שהנאשם היה נתון בתנאים מגבילים, בגין האירועים בתיק העיקרי. </w:t>
      </w:r>
    </w:p>
    <w:p w14:paraId="44D8AAEA" w14:textId="77777777" w:rsidR="007F7F6B" w:rsidRDefault="007F7F6B" w:rsidP="007F7F6B">
      <w:pPr>
        <w:pStyle w:val="aa"/>
        <w:spacing w:line="360" w:lineRule="auto"/>
        <w:ind w:left="360"/>
        <w:jc w:val="both"/>
        <w:rPr>
          <w:rFonts w:ascii="David" w:hAnsi="David" w:cs="David"/>
          <w:sz w:val="24"/>
          <w:szCs w:val="24"/>
        </w:rPr>
      </w:pPr>
    </w:p>
    <w:p w14:paraId="4721BF8B" w14:textId="77777777" w:rsidR="007F7F6B" w:rsidRDefault="007F7F6B" w:rsidP="007F7F6B">
      <w:pPr>
        <w:pStyle w:val="aa"/>
        <w:numPr>
          <w:ilvl w:val="0"/>
          <w:numId w:val="1"/>
        </w:numPr>
        <w:spacing w:line="360" w:lineRule="auto"/>
        <w:jc w:val="both"/>
        <w:rPr>
          <w:rFonts w:ascii="David" w:hAnsi="David" w:cs="David"/>
          <w:sz w:val="24"/>
          <w:szCs w:val="24"/>
        </w:rPr>
      </w:pPr>
      <w:r>
        <w:rPr>
          <w:rFonts w:ascii="David" w:hAnsi="David" w:cs="David"/>
          <w:sz w:val="24"/>
          <w:szCs w:val="24"/>
          <w:rtl/>
        </w:rPr>
        <w:t>הערכים המוגנים שנפגעו כתוצאה ממעשיו של הנאשם הם שמירה על שלמות גופה ונפשה של המתלוננת, וכן ההגנה על כבודה וזכותה הבסיסית  להיות מוגנת בתוך ביתה שלה. עוד נפגעו ערכים של שמירה על שלטון החוק וההגנה מפני נגע הסמים.</w:t>
      </w:r>
    </w:p>
    <w:p w14:paraId="74BE0246" w14:textId="77777777" w:rsidR="007F7F6B" w:rsidRDefault="007F7F6B" w:rsidP="007F7F6B">
      <w:pPr>
        <w:pStyle w:val="aa"/>
        <w:rPr>
          <w:rFonts w:ascii="David" w:hAnsi="David" w:cs="David"/>
          <w:sz w:val="24"/>
          <w:szCs w:val="24"/>
        </w:rPr>
      </w:pPr>
    </w:p>
    <w:p w14:paraId="386A1BE9" w14:textId="77777777" w:rsidR="007F7F6B" w:rsidRDefault="007F7F6B" w:rsidP="007F7F6B">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רבות הודגש בפסיקת בית המשפט העליון אודות החומרה היתרה הגלומה בעבירות אלימות במשפחה; ראו למשל את </w:t>
      </w:r>
      <w:hyperlink r:id="rId27" w:history="1">
        <w:r w:rsidR="004C5178" w:rsidRPr="004C5178">
          <w:rPr>
            <w:rFonts w:ascii="David" w:hAnsi="David" w:cs="David"/>
            <w:color w:val="0000FF"/>
            <w:sz w:val="24"/>
            <w:szCs w:val="24"/>
            <w:u w:val="single"/>
            <w:rtl/>
          </w:rPr>
          <w:t>רע"פ 340/21</w:t>
        </w:r>
      </w:hyperlink>
      <w:r>
        <w:rPr>
          <w:rFonts w:ascii="David" w:hAnsi="David" w:cs="David"/>
          <w:sz w:val="24"/>
          <w:szCs w:val="24"/>
          <w:rtl/>
        </w:rPr>
        <w:t xml:space="preserve"> </w:t>
      </w:r>
      <w:r>
        <w:rPr>
          <w:rFonts w:ascii="David" w:hAnsi="David" w:cs="David"/>
          <w:b/>
          <w:bCs/>
          <w:sz w:val="24"/>
          <w:szCs w:val="24"/>
          <w:rtl/>
        </w:rPr>
        <w:t>מסרי נ' מדינת ישראל</w:t>
      </w:r>
      <w:r>
        <w:rPr>
          <w:rFonts w:ascii="David" w:hAnsi="David" w:cs="David"/>
          <w:sz w:val="24"/>
          <w:szCs w:val="24"/>
          <w:rtl/>
        </w:rPr>
        <w:t xml:space="preserve">  (28.1.2021):</w:t>
      </w:r>
    </w:p>
    <w:p w14:paraId="59BD8373" w14:textId="77777777" w:rsidR="007F7F6B" w:rsidRDefault="007F7F6B" w:rsidP="007F7F6B">
      <w:pPr>
        <w:pStyle w:val="aa"/>
        <w:rPr>
          <w:rFonts w:ascii="David" w:hAnsi="David" w:cs="David"/>
          <w:sz w:val="24"/>
          <w:szCs w:val="24"/>
          <w:rtl/>
        </w:rPr>
      </w:pPr>
    </w:p>
    <w:p w14:paraId="5668A965" w14:textId="77777777" w:rsidR="007F7F6B" w:rsidRDefault="007F7F6B" w:rsidP="007F7F6B">
      <w:pPr>
        <w:pStyle w:val="aa"/>
        <w:spacing w:line="360" w:lineRule="auto"/>
        <w:ind w:left="360"/>
        <w:jc w:val="both"/>
        <w:rPr>
          <w:rFonts w:ascii="David" w:hAnsi="David" w:cs="David"/>
          <w:sz w:val="24"/>
          <w:szCs w:val="24"/>
        </w:rPr>
      </w:pPr>
      <w:r>
        <w:rPr>
          <w:rFonts w:ascii="David" w:hAnsi="David" w:cs="David"/>
          <w:sz w:val="24"/>
          <w:szCs w:val="24"/>
          <w:rtl/>
        </w:rPr>
        <w:t xml:space="preserve">"כפי שהודגש לא אחת, יש לנקוט במדיניות ענישה מחמירה ומרתיעה כלפי עבירות אלימות במשפחה – ואלימות בין בני זוג בפרט – על מנת למגר תופעה נפסדת זו. זאת, בין היתר לנוכח הקושי הקיים לעיתים בחשיפת עבירות אלו, המבוצעות  בהסתר מאחורי מפתן הדלת; הפגיעה הקשה שהן מסבות לתחושת הביטחון של בני המשפחה – וקורבנות המעשים בפרט; והחשש מהסלמת המעשים באופן העלול אף לסכן את חיי בני המשפחה, ובהם בת זוגו של התוקף (ראו והשוו </w:t>
      </w:r>
      <w:hyperlink r:id="rId28" w:history="1">
        <w:r w:rsidR="004C5178" w:rsidRPr="004C5178">
          <w:rPr>
            <w:rFonts w:ascii="David" w:hAnsi="David" w:cs="David"/>
            <w:color w:val="0000FF"/>
            <w:sz w:val="24"/>
            <w:szCs w:val="24"/>
            <w:u w:val="single"/>
            <w:rtl/>
          </w:rPr>
          <w:t>רע"פ 1884/19</w:t>
        </w:r>
      </w:hyperlink>
      <w:r>
        <w:rPr>
          <w:rFonts w:ascii="David" w:hAnsi="David" w:cs="David"/>
          <w:sz w:val="24"/>
          <w:szCs w:val="24"/>
          <w:rtl/>
        </w:rPr>
        <w:t xml:space="preserve"> פלוני נ' מדינת ישראל (14.3.2019))".</w:t>
      </w:r>
    </w:p>
    <w:p w14:paraId="083760A3" w14:textId="77777777" w:rsidR="007F7F6B" w:rsidRDefault="007F7F6B" w:rsidP="007F7F6B">
      <w:pPr>
        <w:pStyle w:val="aa"/>
        <w:jc w:val="both"/>
        <w:rPr>
          <w:rFonts w:ascii="David" w:hAnsi="David" w:cs="David"/>
          <w:color w:val="FF0000"/>
          <w:sz w:val="24"/>
          <w:szCs w:val="24"/>
          <w:rtl/>
        </w:rPr>
      </w:pPr>
    </w:p>
    <w:p w14:paraId="4F82F1A1" w14:textId="77777777" w:rsidR="007F7F6B" w:rsidRDefault="007F7F6B" w:rsidP="007F7F6B">
      <w:pPr>
        <w:pStyle w:val="aa"/>
        <w:spacing w:line="360" w:lineRule="auto"/>
        <w:ind w:left="360"/>
        <w:jc w:val="both"/>
        <w:rPr>
          <w:rFonts w:ascii="David" w:hAnsi="David" w:cs="David"/>
          <w:color w:val="FF0000"/>
          <w:sz w:val="24"/>
          <w:szCs w:val="24"/>
        </w:rPr>
      </w:pPr>
    </w:p>
    <w:p w14:paraId="6D7C91F7" w14:textId="77777777" w:rsidR="007F7F6B" w:rsidRDefault="007F7F6B" w:rsidP="007F7F6B">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מידת הפגיעה בערכים המוגנים במקרה דנא איננה נמוכה. הנאשם נהג באלימות כלפי המתלוננת, לאורך זמן, ורמס את כבודה. </w:t>
      </w:r>
    </w:p>
    <w:p w14:paraId="5EF8A0D2" w14:textId="77777777" w:rsidR="007F7F6B" w:rsidRDefault="007F7F6B" w:rsidP="007F7F6B">
      <w:pPr>
        <w:pStyle w:val="aa"/>
        <w:spacing w:line="360" w:lineRule="auto"/>
        <w:ind w:left="360"/>
        <w:jc w:val="both"/>
        <w:rPr>
          <w:rFonts w:ascii="David" w:hAnsi="David" w:cs="David"/>
          <w:sz w:val="24"/>
          <w:szCs w:val="24"/>
        </w:rPr>
      </w:pPr>
    </w:p>
    <w:p w14:paraId="033E8E4E" w14:textId="77777777" w:rsidR="007F7F6B" w:rsidRDefault="007F7F6B" w:rsidP="007F7F6B">
      <w:pPr>
        <w:pStyle w:val="aa"/>
        <w:spacing w:line="360" w:lineRule="auto"/>
        <w:ind w:left="360"/>
        <w:jc w:val="both"/>
        <w:rPr>
          <w:rFonts w:ascii="David" w:hAnsi="David" w:cs="David"/>
          <w:sz w:val="24"/>
          <w:szCs w:val="24"/>
        </w:rPr>
      </w:pPr>
      <w:r>
        <w:rPr>
          <w:rFonts w:ascii="David" w:hAnsi="David" w:cs="David"/>
          <w:sz w:val="24"/>
          <w:szCs w:val="24"/>
          <w:rtl/>
        </w:rPr>
        <w:t xml:space="preserve">באירוע ראשון מבחינה כרונולוגית, הנאשם דחף את המתלוננת מספר פעמים בפניה ובגופה (לאחר בילוי לכבוד יום הולדתה (!)); באירוע שני סטר לנאשמת ולא היסס לעשות כן על אף שהיתה בחודשי הריונה הראשונים - המתלוננת נפלה ארצה מעוצמת המכה; באירוע שלישי השליך לעברה חפצים עת אחזה את בתם הפעוטה בידיה, ולאחר מכן דחף אותה וגרם לנפילתה והלם באגרוף לעינה השמאלית עד שהותיר בה חבלה בדמות נפיחות בעפעף וסימני המטומה. </w:t>
      </w:r>
    </w:p>
    <w:p w14:paraId="11E5FD09" w14:textId="77777777" w:rsidR="007F7F6B" w:rsidRDefault="007F7F6B" w:rsidP="007F7F6B">
      <w:pPr>
        <w:pStyle w:val="aa"/>
        <w:spacing w:line="360" w:lineRule="auto"/>
        <w:ind w:left="360"/>
        <w:jc w:val="both"/>
        <w:rPr>
          <w:rFonts w:ascii="David" w:hAnsi="David" w:cs="David"/>
          <w:sz w:val="24"/>
          <w:szCs w:val="24"/>
        </w:rPr>
      </w:pPr>
    </w:p>
    <w:p w14:paraId="3F290CAD" w14:textId="77777777" w:rsidR="007F7F6B" w:rsidRDefault="007F7F6B" w:rsidP="007F7F6B">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מעבר לנזק הפיזי שנגרם למתלוננת, ברי כי מעשיו של הנאשם יכלו לגרום לחבלות אף חמורות יותר, עת התנהל בדרך ביריונית ואלימה, אף במהלך היותה של המתלוננת בהריון. לא ניתן אף להתעלם מעוצמת האלימות שהלכה והסלימה ככל שהאירועים התקדמו על ציר הזמן. </w:t>
      </w:r>
    </w:p>
    <w:p w14:paraId="24D8217D" w14:textId="77777777" w:rsidR="007F7F6B" w:rsidRDefault="007F7F6B" w:rsidP="007F7F6B">
      <w:pPr>
        <w:pStyle w:val="aa"/>
        <w:spacing w:line="360" w:lineRule="auto"/>
        <w:ind w:left="360"/>
        <w:jc w:val="both"/>
        <w:rPr>
          <w:rFonts w:ascii="David" w:hAnsi="David" w:cs="David"/>
          <w:sz w:val="24"/>
          <w:szCs w:val="24"/>
        </w:rPr>
      </w:pPr>
    </w:p>
    <w:p w14:paraId="12898DAF" w14:textId="77777777" w:rsidR="007F7F6B" w:rsidRDefault="007F7F6B" w:rsidP="007F7F6B">
      <w:pPr>
        <w:pStyle w:val="aa"/>
        <w:spacing w:line="360" w:lineRule="auto"/>
        <w:ind w:left="360"/>
        <w:jc w:val="both"/>
        <w:rPr>
          <w:rFonts w:ascii="David" w:hAnsi="David" w:cs="David"/>
          <w:sz w:val="24"/>
          <w:szCs w:val="24"/>
        </w:rPr>
      </w:pPr>
      <w:r>
        <w:rPr>
          <w:rFonts w:ascii="David" w:hAnsi="David" w:cs="David"/>
          <w:sz w:val="24"/>
          <w:szCs w:val="24"/>
          <w:rtl/>
        </w:rPr>
        <w:t xml:space="preserve">לא יכול להיות חולק כי למתלוננת נגרם נזק נפשי, ולמרבה הצער אף לקטינה אשר נאלצה לחזות בחלק מן האירועים, בוודאי עת ניסה נאשם לקחתה מידי אמה, לאחר שהיכה אותה  תוך שהוא מכנה אותה "פסיכית ומשוגעת" "זבל" "דוחה" ועוד כיוצא באלה "פניני לשון". משכך, אין לתמוה על כך שבתסקיר הראשון דווח כי הקטינה סירבה לשהות במחיצתו של הנאשם והוא נאלץ לפגוש בה במסגרת "מרכז קשר", ולחזור עמה לקשר בהדרגה. </w:t>
      </w:r>
    </w:p>
    <w:p w14:paraId="420D1AD0" w14:textId="77777777" w:rsidR="007F7F6B" w:rsidRDefault="007F7F6B" w:rsidP="007F7F6B">
      <w:pPr>
        <w:pStyle w:val="aa"/>
        <w:spacing w:line="360" w:lineRule="auto"/>
        <w:ind w:left="360"/>
        <w:jc w:val="both"/>
        <w:rPr>
          <w:rFonts w:ascii="David" w:hAnsi="David" w:cs="David"/>
          <w:color w:val="FF0000"/>
          <w:sz w:val="24"/>
          <w:szCs w:val="24"/>
          <w:rtl/>
        </w:rPr>
      </w:pPr>
    </w:p>
    <w:p w14:paraId="0BCA65CC" w14:textId="77777777" w:rsidR="007F7F6B" w:rsidRDefault="007F7F6B" w:rsidP="007F7F6B">
      <w:pPr>
        <w:pStyle w:val="aa"/>
        <w:numPr>
          <w:ilvl w:val="0"/>
          <w:numId w:val="1"/>
        </w:numPr>
        <w:spacing w:line="360" w:lineRule="auto"/>
        <w:jc w:val="both"/>
        <w:rPr>
          <w:rFonts w:ascii="David" w:hAnsi="David" w:cs="David"/>
          <w:sz w:val="24"/>
          <w:szCs w:val="24"/>
          <w:rtl/>
        </w:rPr>
      </w:pPr>
      <w:r>
        <w:rPr>
          <w:rFonts w:ascii="David" w:hAnsi="David" w:cs="David"/>
          <w:sz w:val="24"/>
          <w:szCs w:val="24"/>
          <w:rtl/>
        </w:rPr>
        <w:t>מדיניות הענישה הנהוגה:</w:t>
      </w:r>
      <w:r>
        <w:rPr>
          <w:rFonts w:ascii="David" w:hAnsi="David" w:cs="David"/>
          <w:sz w:val="24"/>
          <w:szCs w:val="24"/>
        </w:rPr>
        <w:t xml:space="preserve"> </w:t>
      </w:r>
      <w:r>
        <w:rPr>
          <w:rFonts w:ascii="David" w:hAnsi="David" w:cs="David"/>
          <w:sz w:val="24"/>
          <w:szCs w:val="24"/>
          <w:rtl/>
        </w:rPr>
        <w:t xml:space="preserve">הצדדים הגישו פסיקה על מנת לתמוך בעתירתם העונשית; חלק מפסקי הדין שהוגשו הם ישנים ולא כללו מתחמי ענישה, ומשכך ראיתי להתייחס לפסיקה רלוונטית, וכן לפסקי דין נוספים, כמפורט להלן. </w:t>
      </w:r>
    </w:p>
    <w:p w14:paraId="6EAFFA7B" w14:textId="77777777" w:rsidR="007F7F6B" w:rsidRDefault="007F7F6B" w:rsidP="007F7F6B">
      <w:pPr>
        <w:pStyle w:val="aa"/>
        <w:spacing w:line="360" w:lineRule="auto"/>
        <w:ind w:left="360"/>
        <w:jc w:val="both"/>
        <w:rPr>
          <w:rFonts w:ascii="David" w:hAnsi="David" w:cs="David"/>
          <w:sz w:val="24"/>
          <w:szCs w:val="24"/>
        </w:rPr>
      </w:pPr>
    </w:p>
    <w:p w14:paraId="70292370" w14:textId="77777777" w:rsidR="007F7F6B" w:rsidRDefault="007F7F6B" w:rsidP="007F7F6B">
      <w:pPr>
        <w:pStyle w:val="aa"/>
        <w:jc w:val="both"/>
        <w:rPr>
          <w:rFonts w:ascii="David" w:hAnsi="David" w:cs="David"/>
          <w:color w:val="FF0000"/>
          <w:sz w:val="24"/>
          <w:szCs w:val="24"/>
          <w:rtl/>
        </w:rPr>
      </w:pPr>
    </w:p>
    <w:p w14:paraId="7541691C" w14:textId="77777777" w:rsidR="007F7F6B" w:rsidRDefault="007F7F6B" w:rsidP="007F7F6B">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במסגרת </w:t>
      </w:r>
      <w:hyperlink r:id="rId29" w:history="1">
        <w:r w:rsidR="004C5178" w:rsidRPr="004C5178">
          <w:rPr>
            <w:rFonts w:ascii="David" w:hAnsi="David" w:cs="David"/>
            <w:color w:val="0000FF"/>
            <w:sz w:val="24"/>
            <w:szCs w:val="24"/>
            <w:u w:val="single"/>
            <w:rtl/>
          </w:rPr>
          <w:t>רע"פ 6979/22</w:t>
        </w:r>
      </w:hyperlink>
      <w:r>
        <w:rPr>
          <w:rFonts w:ascii="David" w:hAnsi="David" w:cs="David"/>
          <w:sz w:val="24"/>
          <w:szCs w:val="24"/>
          <w:rtl/>
        </w:rPr>
        <w:t xml:space="preserve"> </w:t>
      </w:r>
      <w:r>
        <w:rPr>
          <w:rFonts w:ascii="David" w:hAnsi="David" w:cs="David"/>
          <w:b/>
          <w:bCs/>
          <w:sz w:val="24"/>
          <w:szCs w:val="24"/>
          <w:rtl/>
        </w:rPr>
        <w:t xml:space="preserve">דודקה נ' מדינת ישראל </w:t>
      </w:r>
      <w:r>
        <w:rPr>
          <w:rFonts w:ascii="David" w:hAnsi="David" w:cs="David"/>
          <w:sz w:val="24"/>
          <w:szCs w:val="24"/>
          <w:rtl/>
        </w:rPr>
        <w:t xml:space="preserve">(30.10.2022) נדחתה בקשת רשות ערעור אשר הגיש המבקש שהורשע בעבירות איומים, תקיפה הגורמת חבלה של ממש כלפי בת זוג ותקיפה סתם כלפי בת זוג בכך שמשך בשערות ראשה של המתלוננת, דחף אותה וכיבה על צווארה סיגריה, סטר לה בפניה, והטיח את ראשה בדלת. למחרת איים עליה כי ירצח אותה, וכשבוע לפני כן, עת שכלבתה של המתלוננת הקיאה, דחף ראשה לקיא, משך בשערות ראשה וצעק עליה. </w:t>
      </w:r>
      <w:r>
        <w:rPr>
          <w:rFonts w:ascii="David" w:hAnsi="David" w:cs="David"/>
          <w:b/>
          <w:bCs/>
          <w:sz w:val="24"/>
          <w:szCs w:val="24"/>
          <w:rtl/>
        </w:rPr>
        <w:t>בית משפט השלום קבע מתחם ענישה הנע בין 12 ועד 30 חודשי מאסר בפועל.</w:t>
      </w:r>
      <w:r>
        <w:rPr>
          <w:rFonts w:ascii="David" w:hAnsi="David" w:cs="David"/>
          <w:sz w:val="24"/>
          <w:szCs w:val="24"/>
          <w:rtl/>
        </w:rPr>
        <w:t xml:space="preserve"> על המבקש, נעדר עבר פלילי שהתקשה לקחת אחריות על האירועים, הושתו 13 חודשי מאסר בפועל מאסר מותנה ופיצוי בסך 5,000 ₪ למתלוננת. המבקש ביקש לחזור בו מהודאתו ובית המשפט המחוזי דחה את ערעורו. בית המשפט העליון קבע כי "המבקש תקף את המתלוננת באופן אלים ומשפיל... ויש למצות עימו את הדין". </w:t>
      </w:r>
    </w:p>
    <w:p w14:paraId="696A46E3" w14:textId="77777777" w:rsidR="007F7F6B" w:rsidRDefault="007F7F6B" w:rsidP="007F7F6B">
      <w:pPr>
        <w:pStyle w:val="aa"/>
        <w:spacing w:line="360" w:lineRule="auto"/>
        <w:ind w:left="360"/>
        <w:jc w:val="both"/>
        <w:rPr>
          <w:rFonts w:ascii="David" w:hAnsi="David" w:cs="David"/>
          <w:sz w:val="24"/>
          <w:szCs w:val="24"/>
        </w:rPr>
      </w:pPr>
    </w:p>
    <w:p w14:paraId="2D2E6C13" w14:textId="77777777" w:rsidR="007F7F6B" w:rsidRDefault="007F7F6B" w:rsidP="007F7F6B">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במסגרת </w:t>
      </w:r>
      <w:hyperlink r:id="rId30" w:history="1">
        <w:r w:rsidR="004C5178" w:rsidRPr="004C5178">
          <w:rPr>
            <w:rFonts w:ascii="David" w:hAnsi="David" w:cs="David"/>
            <w:color w:val="0000FF"/>
            <w:sz w:val="24"/>
            <w:szCs w:val="24"/>
            <w:u w:val="single"/>
            <w:rtl/>
          </w:rPr>
          <w:t>רע"פ 8576/22</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(15.12.2022) נדחתה בקשת רשות ערעור אשר הגיש המבקש שהורשע בעבירות איומים, תקיפה הגורמת חבלה של ממש כלפי בת זוג והפרת הוראה חוקית בכך שתקף את המתלוננת במספר מועדים, איים על חייה, ופגש בה למרות שהוצא כנגדו צו שיפוטי האוסר עליו להטרידה, ירק עליה, צבט אותה, הכה אותה בפניה ואיים כי יהרוג אותה. </w:t>
      </w:r>
      <w:r>
        <w:rPr>
          <w:rFonts w:ascii="David" w:hAnsi="David" w:cs="David"/>
          <w:b/>
          <w:bCs/>
          <w:sz w:val="24"/>
          <w:szCs w:val="24"/>
          <w:rtl/>
        </w:rPr>
        <w:t>בית משפט השלום קבע מתחם ענישה הנע בין מספר חודשי מאסר בפועל ועד 18 חודשי מאסר בפועל</w:t>
      </w:r>
      <w:r>
        <w:rPr>
          <w:rFonts w:ascii="David" w:hAnsi="David" w:cs="David"/>
          <w:sz w:val="24"/>
          <w:szCs w:val="24"/>
          <w:rtl/>
        </w:rPr>
        <w:t xml:space="preserve"> והשית על הנאשם 9 חודשי מאסר בפועל וענישה נלווית, וכן הפעיל מאסר מותנה כך שרכיב המאסר בפועל עמד על 13 חודשי מאסר.  המשיבה ערערה על גזר הדין ובית המשפט המחוזי קבע מתחם ענישה הנע בין 18 ועד 36 חודשי מאסר בפועל, והשית על הנאשם 18 חודשי מאסר בפועל ללא שינוי ביתר רכיבי הענישה על כנם (כך שבפועל ירצה המבקש 22 חודשי מאסר). בית המשפט העליון קבע כי: "העונש שהושת על המבקש הוא אכן על הצד המקל ולא על הצד המחמיר", ודחה, כאמור, את בקשתו. </w:t>
      </w:r>
    </w:p>
    <w:p w14:paraId="68F4E72C" w14:textId="77777777" w:rsidR="007F7F6B" w:rsidRDefault="007F7F6B" w:rsidP="007F7F6B">
      <w:pPr>
        <w:pStyle w:val="aa"/>
        <w:rPr>
          <w:rFonts w:ascii="David" w:hAnsi="David" w:cs="David"/>
          <w:sz w:val="24"/>
          <w:szCs w:val="24"/>
        </w:rPr>
      </w:pPr>
    </w:p>
    <w:p w14:paraId="16556DC3" w14:textId="77777777" w:rsidR="007F7F6B" w:rsidRDefault="007F7F6B" w:rsidP="007F7F6B">
      <w:pPr>
        <w:pStyle w:val="aa"/>
        <w:numPr>
          <w:ilvl w:val="0"/>
          <w:numId w:val="2"/>
        </w:numPr>
        <w:spacing w:line="360" w:lineRule="auto"/>
        <w:jc w:val="both"/>
        <w:rPr>
          <w:rFonts w:ascii="David" w:hAnsi="David" w:cs="David"/>
          <w:sz w:val="24"/>
          <w:szCs w:val="24"/>
          <w:rtl/>
        </w:rPr>
      </w:pPr>
      <w:r>
        <w:rPr>
          <w:rFonts w:ascii="David" w:hAnsi="David" w:cs="David"/>
          <w:sz w:val="24"/>
          <w:szCs w:val="24"/>
          <w:rtl/>
        </w:rPr>
        <w:t xml:space="preserve">במסגרת </w:t>
      </w:r>
      <w:hyperlink r:id="rId31" w:history="1">
        <w:r w:rsidR="004C5178" w:rsidRPr="004C5178">
          <w:rPr>
            <w:rFonts w:ascii="David" w:hAnsi="David" w:cs="David"/>
            <w:color w:val="0000FF"/>
            <w:sz w:val="24"/>
            <w:szCs w:val="24"/>
            <w:u w:val="single"/>
            <w:rtl/>
          </w:rPr>
          <w:t>ת"פ (אי') 897-06-22</w:t>
        </w:r>
      </w:hyperlink>
      <w:r>
        <w:rPr>
          <w:rFonts w:ascii="David" w:hAnsi="David" w:cs="David"/>
          <w:sz w:val="24"/>
          <w:szCs w:val="24"/>
          <w:rtl/>
        </w:rPr>
        <w:t xml:space="preserve"> </w:t>
      </w:r>
      <w:r>
        <w:rPr>
          <w:rFonts w:ascii="David" w:hAnsi="David" w:cs="David"/>
          <w:b/>
          <w:bCs/>
          <w:sz w:val="24"/>
          <w:szCs w:val="24"/>
          <w:rtl/>
        </w:rPr>
        <w:t>מדינת ישראל נ' ישכנוב</w:t>
      </w:r>
      <w:r>
        <w:rPr>
          <w:rFonts w:ascii="David" w:hAnsi="David" w:cs="David"/>
          <w:sz w:val="24"/>
          <w:szCs w:val="24"/>
          <w:rtl/>
        </w:rPr>
        <w:t xml:space="preserve"> (21.9.2023) הורשע הנאשם בעבירות של איומים, ותקיפה הגורמת חבלת של ממש כלפי בת זוג בכך שהיכה את המתלוננת בפניה וגרם לה להמטומה בעין ימין, ואמר לחברתה כי ירצח את המתלוננת. </w:t>
      </w:r>
      <w:r>
        <w:rPr>
          <w:rFonts w:ascii="David" w:hAnsi="David" w:cs="David"/>
          <w:b/>
          <w:bCs/>
          <w:sz w:val="24"/>
          <w:szCs w:val="24"/>
          <w:rtl/>
        </w:rPr>
        <w:t>נקבע מתחם ענישה הנע בין 6 ועד 12 חודשי מאסר בפועל.</w:t>
      </w:r>
      <w:r>
        <w:rPr>
          <w:rFonts w:ascii="David" w:hAnsi="David" w:cs="David"/>
          <w:sz w:val="24"/>
          <w:szCs w:val="24"/>
          <w:rtl/>
        </w:rPr>
        <w:t xml:space="preserve"> בית המשפט (מותב זה) סטה לקולא מהמתחם משיקולי שיקום, והשית על הנאשם, אשר עבר הליך טיפול וסובל מאתגרים בריאותיים, צו מבחן למשך שנה, צו של"צ בהיקף שך 100 שעות, מאסר מותנה והתחייבות להימנע מעבירה בסך 4,000 ₪. </w:t>
      </w:r>
    </w:p>
    <w:p w14:paraId="66607F18" w14:textId="77777777" w:rsidR="007F7F6B" w:rsidRDefault="007F7F6B" w:rsidP="007F7F6B">
      <w:pPr>
        <w:pStyle w:val="aa"/>
        <w:rPr>
          <w:rFonts w:ascii="David" w:hAnsi="David" w:cs="David"/>
          <w:sz w:val="24"/>
          <w:szCs w:val="24"/>
        </w:rPr>
      </w:pPr>
    </w:p>
    <w:p w14:paraId="1EF8B0D6" w14:textId="77777777" w:rsidR="007F7F6B" w:rsidRDefault="007F7F6B" w:rsidP="007F7F6B">
      <w:pPr>
        <w:pStyle w:val="aa"/>
        <w:rPr>
          <w:rFonts w:ascii="David" w:hAnsi="David" w:cs="David"/>
          <w:color w:val="FF0000"/>
          <w:sz w:val="24"/>
          <w:szCs w:val="24"/>
          <w:rtl/>
        </w:rPr>
      </w:pPr>
    </w:p>
    <w:p w14:paraId="45A4B18C" w14:textId="77777777" w:rsidR="007F7F6B" w:rsidRDefault="007F7F6B" w:rsidP="007F7F6B">
      <w:pPr>
        <w:pStyle w:val="aa"/>
        <w:rPr>
          <w:rFonts w:ascii="David" w:hAnsi="David" w:cs="David"/>
          <w:sz w:val="24"/>
          <w:szCs w:val="24"/>
          <w:rtl/>
        </w:rPr>
      </w:pPr>
    </w:p>
    <w:p w14:paraId="5A3C1D5A" w14:textId="77777777" w:rsidR="007F7F6B" w:rsidRDefault="007F7F6B" w:rsidP="007F7F6B">
      <w:pPr>
        <w:pStyle w:val="aa"/>
        <w:numPr>
          <w:ilvl w:val="0"/>
          <w:numId w:val="2"/>
        </w:numPr>
        <w:spacing w:line="360" w:lineRule="auto"/>
        <w:jc w:val="both"/>
        <w:rPr>
          <w:rFonts w:ascii="David" w:hAnsi="David" w:cs="David"/>
          <w:sz w:val="24"/>
          <w:szCs w:val="24"/>
          <w:rtl/>
        </w:rPr>
      </w:pPr>
      <w:r>
        <w:rPr>
          <w:rFonts w:ascii="David" w:hAnsi="David" w:cs="David"/>
          <w:sz w:val="24"/>
          <w:szCs w:val="24"/>
          <w:rtl/>
        </w:rPr>
        <w:t xml:space="preserve">במסגרת </w:t>
      </w:r>
      <w:hyperlink r:id="rId32" w:history="1">
        <w:r w:rsidR="004C5178" w:rsidRPr="004C5178">
          <w:rPr>
            <w:rFonts w:ascii="David" w:hAnsi="David" w:cs="David"/>
            <w:color w:val="0000FF"/>
            <w:sz w:val="24"/>
            <w:szCs w:val="24"/>
            <w:u w:val="single"/>
            <w:rtl/>
          </w:rPr>
          <w:t>ת"פ (פ"ת) 19392-05-19</w:t>
        </w:r>
      </w:hyperlink>
      <w:r>
        <w:rPr>
          <w:rFonts w:ascii="David" w:hAnsi="David" w:cs="David"/>
          <w:sz w:val="24"/>
          <w:szCs w:val="24"/>
          <w:rtl/>
        </w:rPr>
        <w:t xml:space="preserve"> </w:t>
      </w:r>
      <w:r>
        <w:rPr>
          <w:rFonts w:ascii="David" w:hAnsi="David" w:cs="David"/>
          <w:b/>
          <w:bCs/>
          <w:sz w:val="24"/>
          <w:szCs w:val="24"/>
          <w:rtl/>
        </w:rPr>
        <w:t>מדינת ישראל נ' ש.ה.</w:t>
      </w:r>
      <w:r>
        <w:rPr>
          <w:rFonts w:ascii="David" w:hAnsi="David" w:cs="David"/>
          <w:sz w:val="24"/>
          <w:szCs w:val="24"/>
          <w:rtl/>
        </w:rPr>
        <w:t xml:space="preserve"> (16.2.2020) הורשע הנאשם בעבירות של תקיפה הגורמת חבלה של ממש כלפי בת זוג ותקיפה סתם כלפי בת זוג בכך שהכה בידה של המתלוננת באגרוף וגרם לנפיחות ושטף דם, באירוע אחר, קרע את כל בגדיה של המתלוננת מגופה. </w:t>
      </w:r>
      <w:r>
        <w:rPr>
          <w:rFonts w:ascii="David" w:hAnsi="David" w:cs="David"/>
          <w:b/>
          <w:bCs/>
          <w:sz w:val="24"/>
          <w:szCs w:val="24"/>
          <w:rtl/>
        </w:rPr>
        <w:t>נקבע מתחם ענישה הנע בין מאסר מותנה עד 12 חודשי מאסר בפועל לצד ענישה נלווית</w:t>
      </w:r>
      <w:r>
        <w:rPr>
          <w:rFonts w:ascii="David" w:hAnsi="David" w:cs="David"/>
          <w:sz w:val="24"/>
          <w:szCs w:val="24"/>
          <w:rtl/>
        </w:rPr>
        <w:t xml:space="preserve">. על הנאשם, אשר עבר הליך שיקומי, הושת מאסר מותנה והתחייבות להימנע מעבירה בסך 2,000 ₪. </w:t>
      </w:r>
    </w:p>
    <w:p w14:paraId="4F3EE933" w14:textId="77777777" w:rsidR="007F7F6B" w:rsidRDefault="007F7F6B" w:rsidP="007F7F6B">
      <w:pPr>
        <w:pStyle w:val="aa"/>
        <w:rPr>
          <w:rFonts w:ascii="David" w:hAnsi="David" w:cs="David"/>
          <w:sz w:val="24"/>
          <w:szCs w:val="24"/>
        </w:rPr>
      </w:pPr>
    </w:p>
    <w:p w14:paraId="3B852BC2" w14:textId="77777777" w:rsidR="007F7F6B" w:rsidRDefault="007F7F6B" w:rsidP="007F7F6B">
      <w:pPr>
        <w:pStyle w:val="aa"/>
        <w:numPr>
          <w:ilvl w:val="0"/>
          <w:numId w:val="2"/>
        </w:numPr>
        <w:spacing w:line="360" w:lineRule="auto"/>
        <w:jc w:val="both"/>
        <w:rPr>
          <w:rFonts w:ascii="David" w:hAnsi="David" w:cs="David"/>
          <w:color w:val="FF0000"/>
          <w:sz w:val="24"/>
          <w:szCs w:val="24"/>
          <w:rtl/>
        </w:rPr>
      </w:pPr>
      <w:r>
        <w:rPr>
          <w:rFonts w:ascii="David" w:hAnsi="David" w:cs="David"/>
          <w:sz w:val="24"/>
          <w:szCs w:val="24"/>
          <w:rtl/>
        </w:rPr>
        <w:t xml:space="preserve">במסגרת </w:t>
      </w:r>
      <w:hyperlink r:id="rId33" w:history="1">
        <w:r w:rsidR="004C5178" w:rsidRPr="004C5178">
          <w:rPr>
            <w:rFonts w:ascii="David" w:hAnsi="David" w:cs="David"/>
            <w:color w:val="0000FF"/>
            <w:sz w:val="24"/>
            <w:szCs w:val="24"/>
            <w:u w:val="single"/>
            <w:rtl/>
          </w:rPr>
          <w:t>ת"פ (ת"א) 7097-02-17</w:t>
        </w:r>
      </w:hyperlink>
      <w:r>
        <w:rPr>
          <w:rFonts w:ascii="David" w:hAnsi="David" w:cs="David"/>
          <w:sz w:val="24"/>
          <w:szCs w:val="24"/>
          <w:rtl/>
        </w:rPr>
        <w:t xml:space="preserve"> </w:t>
      </w:r>
      <w:r>
        <w:rPr>
          <w:rFonts w:ascii="David" w:hAnsi="David" w:cs="David"/>
          <w:b/>
          <w:bCs/>
          <w:sz w:val="24"/>
          <w:szCs w:val="24"/>
          <w:rtl/>
        </w:rPr>
        <w:t>מדינת ישראל נ' י.ג.</w:t>
      </w:r>
      <w:r>
        <w:rPr>
          <w:rFonts w:ascii="David" w:hAnsi="David" w:cs="David"/>
          <w:sz w:val="24"/>
          <w:szCs w:val="24"/>
          <w:rtl/>
        </w:rPr>
        <w:t xml:space="preserve"> (21.11.2017) הורשע הנאשם בעבירה של תקיפה הגורמת חבלה כלפי בת זוג בכך שסתר למתלוננת, חבט בידה, היכה אותה באגרופיו, הצמיד את גופה לקיר, חנק את צווארה ובעט בה וגרם לה לחבלות בדמות שפה נפוחה, שפשוף בפניה וברגליה, וכאבים בלסת. עתירת ההגנה לביטול הרשעה, נדחתה. </w:t>
      </w:r>
      <w:r>
        <w:rPr>
          <w:rFonts w:ascii="David" w:hAnsi="David" w:cs="David"/>
          <w:b/>
          <w:bCs/>
          <w:sz w:val="24"/>
          <w:szCs w:val="24"/>
          <w:rtl/>
        </w:rPr>
        <w:t>נקבע מתחם ענישה הנע בין מאסר מותנה לצד ענישה נלווית עד 12 חודשי מאסר בפועל.</w:t>
      </w:r>
      <w:r>
        <w:rPr>
          <w:rFonts w:ascii="David" w:hAnsi="David" w:cs="David"/>
          <w:sz w:val="24"/>
          <w:szCs w:val="24"/>
          <w:rtl/>
        </w:rPr>
        <w:t xml:space="preserve"> על הנאשם, ללא עבר פלילי, הושתו מאסר מותנה, קנס בסך 2,000 ₪, התחייבות להימנע מעבירה בסך 2,000 ₪ ופיצוי למתלוננת בסך 3,000 ₪. </w:t>
      </w:r>
    </w:p>
    <w:p w14:paraId="7EEC9055" w14:textId="77777777" w:rsidR="007F7F6B" w:rsidRDefault="007F7F6B" w:rsidP="007F7F6B">
      <w:pPr>
        <w:pStyle w:val="aa"/>
        <w:rPr>
          <w:rFonts w:ascii="David" w:hAnsi="David" w:cs="David"/>
          <w:color w:val="FF0000"/>
          <w:sz w:val="24"/>
          <w:szCs w:val="24"/>
        </w:rPr>
      </w:pPr>
    </w:p>
    <w:p w14:paraId="546A0B6F" w14:textId="77777777" w:rsidR="007F7F6B" w:rsidRDefault="007F7F6B" w:rsidP="007F7F6B">
      <w:pPr>
        <w:pStyle w:val="aa"/>
        <w:numPr>
          <w:ilvl w:val="0"/>
          <w:numId w:val="2"/>
        </w:numPr>
        <w:spacing w:line="360" w:lineRule="auto"/>
        <w:jc w:val="both"/>
        <w:rPr>
          <w:rFonts w:ascii="David" w:hAnsi="David" w:cs="David"/>
          <w:color w:val="FF0000"/>
          <w:sz w:val="24"/>
          <w:szCs w:val="24"/>
          <w:rtl/>
        </w:rPr>
      </w:pPr>
      <w:r>
        <w:rPr>
          <w:rFonts w:ascii="David" w:hAnsi="David" w:cs="David"/>
          <w:sz w:val="24"/>
          <w:szCs w:val="24"/>
          <w:rtl/>
        </w:rPr>
        <w:t xml:space="preserve">במסגרת </w:t>
      </w:r>
      <w:hyperlink r:id="rId34" w:history="1">
        <w:r w:rsidR="004C5178" w:rsidRPr="004C5178">
          <w:rPr>
            <w:rFonts w:ascii="David" w:hAnsi="David" w:cs="David"/>
            <w:color w:val="0000FF"/>
            <w:sz w:val="24"/>
            <w:szCs w:val="24"/>
            <w:u w:val="single"/>
            <w:rtl/>
          </w:rPr>
          <w:t>ת"פ (ת"א) 53151-11-16</w:t>
        </w:r>
      </w:hyperlink>
      <w:r>
        <w:rPr>
          <w:rFonts w:ascii="David" w:hAnsi="David" w:cs="David"/>
          <w:sz w:val="24"/>
          <w:szCs w:val="24"/>
          <w:rtl/>
        </w:rPr>
        <w:t xml:space="preserve"> </w:t>
      </w:r>
      <w:r>
        <w:rPr>
          <w:rFonts w:ascii="David" w:hAnsi="David" w:cs="David"/>
          <w:b/>
          <w:bCs/>
          <w:sz w:val="24"/>
          <w:szCs w:val="24"/>
          <w:rtl/>
        </w:rPr>
        <w:t>מדינת ישראל נ' ט.מ.</w:t>
      </w:r>
      <w:r>
        <w:rPr>
          <w:rFonts w:ascii="David" w:hAnsi="David" w:cs="David"/>
          <w:sz w:val="24"/>
          <w:szCs w:val="24"/>
          <w:rtl/>
        </w:rPr>
        <w:t xml:space="preserve"> (11.12.2017) הורשע הנאשם בעבירות של תקיפה בנסיבות מחמירות כלפי בת זוג וריבוי עבירות של תקיפה בנסיבות מחמירות כלפי קטין ואיומים בכך שתפס בצווארה של המתלוננת, ניסה לחנוק אותה, דחף אותה והפילה ארצה ואיים עליה. כמה ימים לאחר מכן היכה באמצעות כבל של טלפון נייד את שני בניו הקטינים באזור הצוואר העורף והרגליים וגרם לאחד הקטינים חבלה בצווארו. </w:t>
      </w:r>
      <w:r>
        <w:rPr>
          <w:rFonts w:ascii="David" w:hAnsi="David" w:cs="David"/>
          <w:b/>
          <w:bCs/>
          <w:sz w:val="24"/>
          <w:szCs w:val="24"/>
          <w:rtl/>
        </w:rPr>
        <w:t xml:space="preserve">נקבע מתחם ענישה הנע ממספר חודשי מאסר ועד 14 חודשי מאסר בפועל. </w:t>
      </w:r>
      <w:r>
        <w:rPr>
          <w:rFonts w:ascii="David" w:hAnsi="David" w:cs="David"/>
          <w:sz w:val="24"/>
          <w:szCs w:val="24"/>
          <w:rtl/>
        </w:rPr>
        <w:t xml:space="preserve">בית המשפט סטה לקולא מהמתחם משיקולי שיקום והשית על הנאשם, נעדר עבר פלילי, צו מבחן בהיקף של שנה וחצי, מאסר מותנה והתחייבות להימנע מעבירה בסך 5,000 ₪. </w:t>
      </w:r>
    </w:p>
    <w:p w14:paraId="0345733A" w14:textId="77777777" w:rsidR="007F7F6B" w:rsidRDefault="007F7F6B" w:rsidP="007F7F6B">
      <w:pPr>
        <w:pStyle w:val="aa"/>
        <w:rPr>
          <w:rFonts w:ascii="David" w:hAnsi="David" w:cs="David"/>
          <w:color w:val="FF0000"/>
          <w:sz w:val="24"/>
          <w:szCs w:val="24"/>
        </w:rPr>
      </w:pPr>
    </w:p>
    <w:p w14:paraId="1A6219A4" w14:textId="77777777" w:rsidR="007F7F6B" w:rsidRDefault="007F7F6B" w:rsidP="007F7F6B">
      <w:pPr>
        <w:pStyle w:val="aa"/>
        <w:numPr>
          <w:ilvl w:val="0"/>
          <w:numId w:val="2"/>
        </w:numPr>
        <w:spacing w:line="360" w:lineRule="auto"/>
        <w:jc w:val="both"/>
        <w:rPr>
          <w:rFonts w:ascii="David" w:hAnsi="David" w:cs="David"/>
          <w:sz w:val="24"/>
          <w:szCs w:val="24"/>
          <w:rtl/>
        </w:rPr>
      </w:pPr>
      <w:r>
        <w:rPr>
          <w:rFonts w:ascii="David" w:hAnsi="David" w:cs="David"/>
          <w:sz w:val="24"/>
          <w:szCs w:val="24"/>
          <w:rtl/>
        </w:rPr>
        <w:t xml:space="preserve">במסגרת </w:t>
      </w:r>
      <w:hyperlink r:id="rId35" w:history="1">
        <w:r w:rsidR="004C5178" w:rsidRPr="004C5178">
          <w:rPr>
            <w:rFonts w:ascii="David" w:hAnsi="David" w:cs="David"/>
            <w:color w:val="0000FF"/>
            <w:sz w:val="24"/>
            <w:szCs w:val="24"/>
            <w:u w:val="single"/>
            <w:rtl/>
          </w:rPr>
          <w:t>ת"פ (רח') 3446-10-16</w:t>
        </w:r>
      </w:hyperlink>
      <w:r>
        <w:rPr>
          <w:rFonts w:ascii="David" w:hAnsi="David" w:cs="David"/>
          <w:sz w:val="24"/>
          <w:szCs w:val="24"/>
          <w:rtl/>
        </w:rPr>
        <w:t xml:space="preserve"> </w:t>
      </w:r>
      <w:r>
        <w:rPr>
          <w:rFonts w:ascii="David" w:hAnsi="David" w:cs="David"/>
          <w:b/>
          <w:bCs/>
          <w:sz w:val="24"/>
          <w:szCs w:val="24"/>
          <w:rtl/>
        </w:rPr>
        <w:t>מדינת ישראל נ' א.ב</w:t>
      </w:r>
      <w:r>
        <w:rPr>
          <w:rFonts w:ascii="David" w:hAnsi="David" w:cs="David"/>
          <w:sz w:val="24"/>
          <w:szCs w:val="24"/>
          <w:rtl/>
        </w:rPr>
        <w:t xml:space="preserve"> (25.10.2017) הורשע הנאשם בעבירות של כליאת שווא ותקיפה הגורמת חבלה של ממש כלפי בת זוג בכך שסרב לפתוח את דלת מפעל לאפשר למתלוננת לשוב לביתה, קילל אותה והשליך צלחה לכוונה שפגעה בה וגרמה לפציעתה. </w:t>
      </w:r>
      <w:r>
        <w:rPr>
          <w:rFonts w:ascii="David" w:hAnsi="David" w:cs="David"/>
          <w:b/>
          <w:bCs/>
          <w:sz w:val="24"/>
          <w:szCs w:val="24"/>
          <w:rtl/>
        </w:rPr>
        <w:t>נקבע מתחם ענישה הנע בין מאסר מותנה ועד 8 חודשי מאסר בפועל.</w:t>
      </w:r>
      <w:r>
        <w:rPr>
          <w:rFonts w:ascii="David" w:hAnsi="David" w:cs="David"/>
          <w:sz w:val="24"/>
          <w:szCs w:val="24"/>
          <w:rtl/>
        </w:rPr>
        <w:t xml:space="preserve"> על הנאשם, נעדר עבר פלילי הושתו מאסר מותנה, צו של"צ בהיקף של 200 שעות ופיצוי למתלוננת בסך של 2,000 ₪. </w:t>
      </w:r>
    </w:p>
    <w:p w14:paraId="407E6A71" w14:textId="77777777" w:rsidR="007F7F6B" w:rsidRDefault="007F7F6B" w:rsidP="007F7F6B">
      <w:pPr>
        <w:pStyle w:val="aa"/>
        <w:rPr>
          <w:rFonts w:ascii="David" w:hAnsi="David" w:cs="David"/>
          <w:sz w:val="24"/>
          <w:szCs w:val="24"/>
        </w:rPr>
      </w:pPr>
    </w:p>
    <w:p w14:paraId="4CC654EE" w14:textId="77777777" w:rsidR="007F7F6B" w:rsidRDefault="007F7F6B" w:rsidP="007F7F6B">
      <w:pPr>
        <w:pStyle w:val="aa"/>
        <w:numPr>
          <w:ilvl w:val="0"/>
          <w:numId w:val="2"/>
        </w:numPr>
        <w:spacing w:line="360" w:lineRule="auto"/>
        <w:jc w:val="both"/>
        <w:rPr>
          <w:rFonts w:ascii="David" w:hAnsi="David" w:cs="David"/>
          <w:sz w:val="24"/>
          <w:szCs w:val="24"/>
          <w:rtl/>
        </w:rPr>
      </w:pPr>
      <w:r>
        <w:rPr>
          <w:rFonts w:ascii="David" w:hAnsi="David" w:cs="David"/>
          <w:sz w:val="24"/>
          <w:szCs w:val="24"/>
          <w:rtl/>
        </w:rPr>
        <w:t xml:space="preserve">במסגרת </w:t>
      </w:r>
      <w:hyperlink r:id="rId36" w:history="1">
        <w:r w:rsidR="004C5178" w:rsidRPr="004C5178">
          <w:rPr>
            <w:rFonts w:ascii="David" w:hAnsi="David" w:cs="David"/>
            <w:color w:val="0000FF"/>
            <w:sz w:val="24"/>
            <w:szCs w:val="24"/>
            <w:u w:val="single"/>
            <w:rtl/>
          </w:rPr>
          <w:t>ת"פ (ת"א) 25865-04-16</w:t>
        </w:r>
      </w:hyperlink>
      <w:r>
        <w:rPr>
          <w:rFonts w:ascii="David" w:hAnsi="David" w:cs="David"/>
          <w:sz w:val="24"/>
          <w:szCs w:val="24"/>
          <w:rtl/>
        </w:rPr>
        <w:t xml:space="preserve"> </w:t>
      </w:r>
      <w:r>
        <w:rPr>
          <w:rFonts w:ascii="David" w:hAnsi="David" w:cs="David"/>
          <w:b/>
          <w:bCs/>
          <w:sz w:val="24"/>
          <w:szCs w:val="24"/>
          <w:rtl/>
        </w:rPr>
        <w:t>מדינת ישראל נ' ע.א.</w:t>
      </w:r>
      <w:r>
        <w:rPr>
          <w:rFonts w:ascii="David" w:hAnsi="David" w:cs="David"/>
          <w:sz w:val="24"/>
          <w:szCs w:val="24"/>
          <w:rtl/>
        </w:rPr>
        <w:t xml:space="preserve"> (22.5.2019) הורשע הנאשם בשלוש עבירות איומים, עבירה של תקיפה הגורמת חבלה ממש כלפי בת זוג ובשתי עבירות של תקיפה סתם כלפי בת זוג בכך שבמספר אירועים סביב סיום הקשר עם המתלוננת, דחף את המתלוננת בראשה באמצעות ידו, צעק עליה, תפס את ידה, איים שירצח אותה, חבט בראשה בידו חנק אותה, המשיך להכותה, אחז במכשיר הנייד שלה בכוח, משך בשערותיה, הפילה לרצפה, הניח את ברכו על פניה, משך בבגדיה, עד שיצא שכן לשמע צעקותיה של המתלוננת, ואז איים הנאשם על השכן, תוך שהוא אוחז ומושך בשערותיה של המתלוננת. </w:t>
      </w:r>
      <w:r>
        <w:rPr>
          <w:rFonts w:ascii="David" w:hAnsi="David" w:cs="David"/>
          <w:b/>
          <w:bCs/>
          <w:sz w:val="24"/>
          <w:szCs w:val="24"/>
          <w:rtl/>
        </w:rPr>
        <w:t>נקבע מתחם ענישה הנע בין מספר חודשי מאסר לריצוי בדרך של עבודות שירות עד 18 חודשי מאסר לצד ענישה נלווית.</w:t>
      </w:r>
      <w:r>
        <w:rPr>
          <w:rFonts w:ascii="David" w:hAnsi="David" w:cs="David"/>
          <w:sz w:val="24"/>
          <w:szCs w:val="24"/>
          <w:rtl/>
        </w:rPr>
        <w:t xml:space="preserve"> </w:t>
      </w:r>
      <w:r>
        <w:rPr>
          <w:rFonts w:ascii="David" w:hAnsi="David" w:cs="David"/>
          <w:b/>
          <w:bCs/>
          <w:sz w:val="24"/>
          <w:szCs w:val="24"/>
          <w:rtl/>
        </w:rPr>
        <w:t xml:space="preserve">בית המשפט חרג לקולא מהמתחם, והשית על הנאשם, אשר עבר דרך שיקומית וסובל מאתגרים בריאותיים, </w:t>
      </w:r>
      <w:r>
        <w:rPr>
          <w:rFonts w:ascii="David" w:hAnsi="David" w:cs="David"/>
          <w:sz w:val="24"/>
          <w:szCs w:val="24"/>
          <w:rtl/>
        </w:rPr>
        <w:t xml:space="preserve">והורה על חידוש מאסר מותנה, פיצוי בסך 7,000 ₪ למתלוננת, צו של"צ בהיקף של 180 שעות וצו מבחן בהיקף של 18 חודשים. </w:t>
      </w:r>
    </w:p>
    <w:p w14:paraId="6FB50D2B" w14:textId="77777777" w:rsidR="007F7F6B" w:rsidRDefault="007F7F6B" w:rsidP="007F7F6B">
      <w:pPr>
        <w:pStyle w:val="aa"/>
        <w:rPr>
          <w:rFonts w:ascii="David" w:hAnsi="David" w:cs="David"/>
          <w:color w:val="FF0000"/>
          <w:sz w:val="24"/>
          <w:szCs w:val="24"/>
          <w:rtl/>
        </w:rPr>
      </w:pPr>
    </w:p>
    <w:p w14:paraId="0FC71B3E" w14:textId="77777777" w:rsidR="007F7F6B" w:rsidRDefault="007F7F6B" w:rsidP="007F7F6B">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במסגרת </w:t>
      </w:r>
      <w:hyperlink r:id="rId37" w:history="1">
        <w:r w:rsidR="004C5178" w:rsidRPr="004C5178">
          <w:rPr>
            <w:rFonts w:ascii="David" w:hAnsi="David" w:cs="David"/>
            <w:color w:val="0000FF"/>
            <w:sz w:val="24"/>
            <w:szCs w:val="24"/>
            <w:u w:val="single"/>
            <w:rtl/>
          </w:rPr>
          <w:t>רע"פ 2486/19</w:t>
        </w:r>
      </w:hyperlink>
      <w:r>
        <w:rPr>
          <w:rFonts w:ascii="David" w:hAnsi="David" w:cs="David"/>
          <w:sz w:val="24"/>
          <w:szCs w:val="24"/>
          <w:rtl/>
        </w:rPr>
        <w:t xml:space="preserve"> </w:t>
      </w:r>
      <w:r>
        <w:rPr>
          <w:rFonts w:ascii="David" w:hAnsi="David" w:cs="David"/>
          <w:b/>
          <w:bCs/>
          <w:sz w:val="24"/>
          <w:szCs w:val="24"/>
          <w:rtl/>
        </w:rPr>
        <w:t>נאטור נ' מדינת ישראל</w:t>
      </w:r>
      <w:r>
        <w:rPr>
          <w:rFonts w:ascii="David" w:hAnsi="David" w:cs="David"/>
          <w:sz w:val="24"/>
          <w:szCs w:val="24"/>
          <w:rtl/>
        </w:rPr>
        <w:t xml:space="preserve"> (11.4.2019) נדחתה בקשת המבקש אשר הורשע בבית משפט שלום בעבירות של  תקיפה הגורמת חבלה ממש כלפי בן זוג; תקיפה כלפי בן זוג; ואיומים בכך שתקף את בת זוגו בארבע הזדמנויות שונות  - היכה אותה, סטר לה, בעט בה, משך בשערה וחנק אותה באמצעות כבל חשמל ואיים להרוג אותה. </w:t>
      </w:r>
      <w:r>
        <w:rPr>
          <w:rFonts w:ascii="David" w:hAnsi="David" w:cs="David"/>
          <w:b/>
          <w:bCs/>
          <w:sz w:val="24"/>
          <w:szCs w:val="24"/>
          <w:rtl/>
        </w:rPr>
        <w:t>בית משפט השלום קבע מתחם הנע בין מספר חודשי מאסר ועד 24 חודשי מאסר בפועל</w:t>
      </w:r>
      <w:r>
        <w:rPr>
          <w:rFonts w:ascii="David" w:hAnsi="David" w:cs="David"/>
          <w:sz w:val="24"/>
          <w:szCs w:val="24"/>
          <w:rtl/>
        </w:rPr>
        <w:t xml:space="preserve"> וגזר על הנאשם אשר עבר הליך שיקום, 6 חודשי מאסר לריצוי בדרך של עבודות שירות, צו מבחן למשך שנה, קנס בסך 1,500 ₪ ומאסר מותנה. ערעור המדינה על קולת העונש אשר הוגש לבית המשפט המחוזי התקבל - צו המבחן בוטל, ועל המבקש נגזרו 12 חודשי מאסר בפועל בניכוי ימי מעצרו. המבקש טען כי שגה בית המשפט המחוזי שהטיל עליו מאסר בפועל נוכח "שיקומו החריג". בית המשפט העליון דחה הבקשה וקבע כי : "לא זו בלבד שהעונש שהושת על המבקש אינו חורג ממדיניות הענישה הנוהגת – הוא אף מקל עמו. תקיפותיו הברוטליות של המבקש את בת זוגו, תוך שהוא גורם לה נזקים וחבלות, מצדיקות עונש מאסר בפועל ההולם את חומרת מעשיו".</w:t>
      </w:r>
    </w:p>
    <w:p w14:paraId="646CCD4C" w14:textId="77777777" w:rsidR="007F7F6B" w:rsidRDefault="007F7F6B" w:rsidP="007F7F6B">
      <w:pPr>
        <w:pStyle w:val="aa"/>
        <w:rPr>
          <w:rFonts w:ascii="David" w:hAnsi="David" w:cs="David"/>
          <w:sz w:val="24"/>
          <w:szCs w:val="24"/>
          <w:rtl/>
        </w:rPr>
      </w:pPr>
    </w:p>
    <w:p w14:paraId="3D0CCA28" w14:textId="77777777" w:rsidR="007F7F6B" w:rsidRDefault="007F7F6B" w:rsidP="007F7F6B">
      <w:pPr>
        <w:pStyle w:val="aa"/>
        <w:numPr>
          <w:ilvl w:val="0"/>
          <w:numId w:val="3"/>
        </w:numPr>
        <w:spacing w:line="360" w:lineRule="auto"/>
        <w:jc w:val="both"/>
        <w:rPr>
          <w:rFonts w:ascii="David" w:hAnsi="David" w:cs="David"/>
          <w:sz w:val="24"/>
          <w:szCs w:val="24"/>
        </w:rPr>
      </w:pPr>
      <w:r>
        <w:rPr>
          <w:rFonts w:ascii="David" w:hAnsi="David" w:cs="David"/>
          <w:sz w:val="24"/>
          <w:szCs w:val="24"/>
          <w:rtl/>
        </w:rPr>
        <w:t xml:space="preserve">במסגרת </w:t>
      </w:r>
      <w:hyperlink r:id="rId38" w:history="1">
        <w:r w:rsidR="004C5178" w:rsidRPr="004C5178">
          <w:rPr>
            <w:rFonts w:ascii="David" w:hAnsi="David" w:cs="David"/>
            <w:color w:val="0000FF"/>
            <w:sz w:val="24"/>
            <w:szCs w:val="24"/>
            <w:u w:val="single"/>
            <w:rtl/>
          </w:rPr>
          <w:t>רע"פ 1884/19</w:t>
        </w:r>
      </w:hyperlink>
      <w:r>
        <w:rPr>
          <w:rFonts w:ascii="David" w:hAnsi="David" w:cs="David"/>
          <w:sz w:val="24"/>
          <w:szCs w:val="24"/>
          <w:rtl/>
        </w:rPr>
        <w:t xml:space="preserve"> </w:t>
      </w:r>
      <w:r>
        <w:rPr>
          <w:rFonts w:ascii="David" w:hAnsi="David" w:cs="David"/>
          <w:b/>
          <w:bCs/>
          <w:sz w:val="24"/>
          <w:szCs w:val="24"/>
          <w:rtl/>
        </w:rPr>
        <w:t xml:space="preserve">פלוני נ' מדינת ישראל </w:t>
      </w:r>
      <w:r>
        <w:rPr>
          <w:rFonts w:ascii="David" w:hAnsi="David" w:cs="David"/>
          <w:sz w:val="24"/>
          <w:szCs w:val="24"/>
          <w:rtl/>
        </w:rPr>
        <w:t xml:space="preserve">(14.3.2019) נדחתה בקשה לרשות ערעור על פסק דינו של בית המשפט המחוזי, אשר דחה את הערעור על הכרעת דינו של בית משפט השלום, וזאת בשל העובדה כי הבקשה אינה עומדת בקריטריונים לקבלת רשות ערעור. המבקש הורשע לאחר ניהול הוכחות בביצוע שלוש עברות של תקיפה סתם נגד בן זוג, ובעבירה של תקיפה הגורמת חבלה של ממש נגד בן זוג, וזוכה מיתר העבירות שיוחסו לו. נקבע כי המבקש תקף את המתלוננת בארבעה אירועים שונים  בכך שהיכה בה באגרופיו, אחז בגרונה וחנק אותה, סטר לה משך בשערותיה וגרם לחניקתה באמצעות שרשרת על צווארה. </w:t>
      </w:r>
      <w:r>
        <w:rPr>
          <w:rFonts w:ascii="David" w:hAnsi="David" w:cs="David"/>
          <w:b/>
          <w:bCs/>
          <w:sz w:val="24"/>
          <w:szCs w:val="24"/>
          <w:rtl/>
        </w:rPr>
        <w:t>בית משפט השלום קבע כי מתחם הענישה נע בין מספר חודשי מאסר, שניתן לרצותם בדרך של עבודות שירות, ועד 12 חודשי מאסר בפועל.</w:t>
      </w:r>
      <w:r>
        <w:rPr>
          <w:rFonts w:ascii="David" w:hAnsi="David" w:cs="David"/>
          <w:sz w:val="24"/>
          <w:szCs w:val="24"/>
          <w:rtl/>
        </w:rPr>
        <w:t xml:space="preserve"> על המבקש הוטלו 4 חודשי מאסר בפועל בהתחשב בנסיבותיו האישות ומצבו הרפואי. בית המשפט העליון בהחלטתו ציין כי "לאור מדיניות הענישה המחמירה הראויה בעבירות מסוג זה שהורשע בהן המבקש, דומה כי בית משפט השלום הקל עם המבקש בגין נסיבותיו הרפואיות – ואין כל הצדקה להקלה נוספת בעונשו". </w:t>
      </w:r>
    </w:p>
    <w:p w14:paraId="2EB42970" w14:textId="77777777" w:rsidR="007F7F6B" w:rsidRDefault="007F7F6B" w:rsidP="007F7F6B">
      <w:pPr>
        <w:pStyle w:val="aa"/>
        <w:spacing w:line="360" w:lineRule="auto"/>
        <w:ind w:left="360"/>
        <w:jc w:val="both"/>
        <w:rPr>
          <w:rFonts w:ascii="David" w:hAnsi="David" w:cs="David"/>
          <w:sz w:val="24"/>
          <w:szCs w:val="24"/>
        </w:rPr>
      </w:pPr>
    </w:p>
    <w:p w14:paraId="50A67D69" w14:textId="77777777" w:rsidR="007F7F6B" w:rsidRDefault="007F7F6B" w:rsidP="007F7F6B">
      <w:pPr>
        <w:pStyle w:val="aa"/>
        <w:numPr>
          <w:ilvl w:val="0"/>
          <w:numId w:val="3"/>
        </w:numPr>
        <w:spacing w:line="360" w:lineRule="auto"/>
        <w:jc w:val="both"/>
        <w:rPr>
          <w:rFonts w:ascii="David" w:hAnsi="David" w:cs="David"/>
          <w:color w:val="FF0000"/>
          <w:sz w:val="24"/>
          <w:szCs w:val="24"/>
        </w:rPr>
      </w:pPr>
      <w:r>
        <w:rPr>
          <w:rFonts w:ascii="David" w:hAnsi="David" w:cs="David"/>
          <w:sz w:val="24"/>
          <w:szCs w:val="24"/>
          <w:rtl/>
        </w:rPr>
        <w:t xml:space="preserve">במסגרת </w:t>
      </w:r>
      <w:hyperlink r:id="rId39" w:history="1">
        <w:r w:rsidR="004C5178" w:rsidRPr="004C5178">
          <w:rPr>
            <w:rFonts w:ascii="David" w:hAnsi="David" w:cs="David"/>
            <w:color w:val="0000FF"/>
            <w:sz w:val="24"/>
            <w:szCs w:val="24"/>
            <w:u w:val="single"/>
            <w:rtl/>
          </w:rPr>
          <w:t>רע"פ 5434/17</w:t>
        </w:r>
      </w:hyperlink>
      <w:r>
        <w:rPr>
          <w:rFonts w:ascii="David" w:hAnsi="David" w:cs="David"/>
          <w:sz w:val="24"/>
          <w:szCs w:val="24"/>
          <w:rtl/>
        </w:rPr>
        <w:t xml:space="preserve"> </w:t>
      </w:r>
      <w:r>
        <w:rPr>
          <w:rFonts w:ascii="David" w:hAnsi="David" w:cs="David"/>
          <w:b/>
          <w:bCs/>
          <w:sz w:val="24"/>
          <w:szCs w:val="24"/>
          <w:rtl/>
        </w:rPr>
        <w:t>דמוך נגד מדינת ישראל</w:t>
      </w:r>
      <w:r>
        <w:rPr>
          <w:rFonts w:ascii="David" w:hAnsi="David" w:cs="David"/>
          <w:sz w:val="24"/>
          <w:szCs w:val="24"/>
          <w:rtl/>
        </w:rPr>
        <w:t xml:space="preserve"> (29.11.2017), נדון עניינו של נאשם שהורשע, לאחר שמיעת הוכחות, בשני אירועים של תקיפת בת זוג ואיומים, בכך שאיים על בת זוגו שיפגע בה ושהיא תסבול וכן תקיפה שכללה דחיפה ומשיכה בתנוך אוזנה של המתלוננת שעה שהייתה בהריון מתקדם. </w:t>
      </w:r>
      <w:r>
        <w:rPr>
          <w:rFonts w:ascii="David" w:hAnsi="David" w:cs="David"/>
          <w:b/>
          <w:bCs/>
          <w:sz w:val="24"/>
          <w:szCs w:val="24"/>
          <w:rtl/>
        </w:rPr>
        <w:t>בית משפט השלום קבע מתחם ענישה הנע בין מספר חודשי מאסר לריצוי בדרך של עבודות שירות ועד ל- 18 חודשי מאסר</w:t>
      </w:r>
      <w:r>
        <w:rPr>
          <w:rFonts w:ascii="David" w:hAnsi="David" w:cs="David"/>
          <w:sz w:val="24"/>
          <w:szCs w:val="24"/>
          <w:rtl/>
        </w:rPr>
        <w:t xml:space="preserve">,  הנאשם, נעדר עבר פלילי, נדון ל- 10 חודשי מאסר בפועל, מאסר מותנה, קנס בסך 5,000 ₪ ופיצוי בסך 5,000 ₪. בית המשפט המחוזי דחה את ערעורו של המבקש על חומרת עונשו וכך קבע גם בית המשפט העליון: " העונש שהושת על המבקש הינו ראוי ומאוזן, ולא מצאתי כי יש בסיס להתערבותו של בית משפט זה ב"גלגול שלישי"". </w:t>
      </w:r>
    </w:p>
    <w:p w14:paraId="1E26092D" w14:textId="77777777" w:rsidR="007F7F6B" w:rsidRDefault="007F7F6B" w:rsidP="007F7F6B">
      <w:pPr>
        <w:pStyle w:val="aa"/>
        <w:spacing w:line="360" w:lineRule="auto"/>
        <w:ind w:left="360"/>
        <w:jc w:val="both"/>
        <w:rPr>
          <w:rFonts w:ascii="David" w:hAnsi="David" w:cs="David"/>
          <w:sz w:val="24"/>
          <w:szCs w:val="24"/>
          <w:rtl/>
        </w:rPr>
      </w:pPr>
    </w:p>
    <w:p w14:paraId="343AC9A2" w14:textId="77777777" w:rsidR="007F7F6B" w:rsidRDefault="007F7F6B" w:rsidP="007F7F6B">
      <w:pPr>
        <w:pStyle w:val="aa"/>
        <w:numPr>
          <w:ilvl w:val="0"/>
          <w:numId w:val="1"/>
        </w:numPr>
        <w:spacing w:line="360" w:lineRule="auto"/>
        <w:jc w:val="both"/>
        <w:rPr>
          <w:rFonts w:ascii="David" w:hAnsi="David" w:cs="David"/>
          <w:b/>
          <w:bCs/>
          <w:sz w:val="24"/>
          <w:szCs w:val="24"/>
          <w:rtl/>
        </w:rPr>
      </w:pPr>
      <w:r>
        <w:rPr>
          <w:rFonts w:ascii="David" w:hAnsi="David" w:cs="David"/>
          <w:sz w:val="24"/>
          <w:szCs w:val="24"/>
          <w:rtl/>
        </w:rPr>
        <w:t xml:space="preserve">אשר על כן, נוכח מידת הפגיעה בערכים המגונים, נסיבות ביצוע העבירה ומדיניות הענישה הנהוגה, אני קובע כי </w:t>
      </w:r>
      <w:r>
        <w:rPr>
          <w:rFonts w:ascii="David" w:hAnsi="David" w:cs="David"/>
          <w:b/>
          <w:bCs/>
          <w:sz w:val="24"/>
          <w:szCs w:val="24"/>
          <w:rtl/>
        </w:rPr>
        <w:t xml:space="preserve">מתחם העונש ההולם במקרה דנא נע בין 9 חודשי מאסר שניתן  לרצותם בדרך של עבודות שירות, ועד 18 חודשי מאסר בפועל.  </w:t>
      </w:r>
    </w:p>
    <w:p w14:paraId="4E560DDD" w14:textId="77777777" w:rsidR="007F7F6B" w:rsidRPr="007F7F6B" w:rsidRDefault="007F7F6B" w:rsidP="007F7F6B">
      <w:pPr>
        <w:spacing w:after="160" w:line="360" w:lineRule="auto"/>
        <w:jc w:val="both"/>
        <w:rPr>
          <w:rFonts w:ascii="David" w:eastAsia="Calibri" w:hAnsi="David"/>
        </w:rPr>
      </w:pPr>
      <w:r w:rsidRPr="007F7F6B">
        <w:rPr>
          <w:rFonts w:ascii="David" w:eastAsia="Calibri" w:hAnsi="David"/>
          <w:u w:val="single"/>
          <w:rtl/>
        </w:rPr>
        <w:t xml:space="preserve">העונש המתאים לנאשם – חריגה לקולא ממתחם העונש ההולם </w:t>
      </w:r>
    </w:p>
    <w:p w14:paraId="565EB219" w14:textId="77777777" w:rsidR="007F7F6B" w:rsidRPr="007F7F6B" w:rsidRDefault="007F7F6B" w:rsidP="007F7F6B">
      <w:pPr>
        <w:spacing w:after="160" w:line="360" w:lineRule="auto"/>
        <w:ind w:left="360"/>
        <w:contextualSpacing/>
        <w:jc w:val="both"/>
        <w:rPr>
          <w:rFonts w:ascii="David" w:eastAsia="Calibri" w:hAnsi="David"/>
          <w:rtl/>
        </w:rPr>
      </w:pPr>
    </w:p>
    <w:p w14:paraId="09E3489F" w14:textId="77777777" w:rsidR="007F7F6B" w:rsidRPr="007F7F6B" w:rsidRDefault="007F7F6B" w:rsidP="007F7F6B">
      <w:pPr>
        <w:numPr>
          <w:ilvl w:val="0"/>
          <w:numId w:val="1"/>
        </w:numPr>
        <w:spacing w:after="160" w:line="360" w:lineRule="auto"/>
        <w:contextualSpacing/>
        <w:jc w:val="both"/>
        <w:rPr>
          <w:rFonts w:ascii="David" w:eastAsia="Calibri" w:hAnsi="David"/>
        </w:rPr>
      </w:pPr>
      <w:r w:rsidRPr="007F7F6B">
        <w:rPr>
          <w:rFonts w:ascii="David" w:eastAsia="Calibri" w:hAnsi="David"/>
          <w:rtl/>
        </w:rPr>
        <w:t xml:space="preserve">על פי </w:t>
      </w:r>
      <w:hyperlink r:id="rId40" w:history="1">
        <w:r w:rsidR="00650987" w:rsidRPr="00650987">
          <w:rPr>
            <w:rStyle w:val="Hyperlink"/>
            <w:rFonts w:ascii="David" w:eastAsia="Calibri" w:hAnsi="David"/>
            <w:rtl/>
          </w:rPr>
          <w:t>סעיף 40ד</w:t>
        </w:r>
      </w:hyperlink>
      <w:r w:rsidRPr="007F7F6B">
        <w:rPr>
          <w:rFonts w:ascii="David" w:eastAsia="Calibri" w:hAnsi="David"/>
          <w:rtl/>
        </w:rPr>
        <w:t xml:space="preserve"> ל</w:t>
      </w:r>
      <w:hyperlink r:id="rId41" w:history="1">
        <w:r w:rsidR="004C5178" w:rsidRPr="004C5178">
          <w:rPr>
            <w:rFonts w:ascii="David" w:eastAsia="Calibri" w:hAnsi="David"/>
            <w:color w:val="0000FF"/>
            <w:u w:val="single"/>
            <w:rtl/>
          </w:rPr>
          <w:t>חוק העונשין</w:t>
        </w:r>
      </w:hyperlink>
      <w:r w:rsidRPr="007F7F6B">
        <w:rPr>
          <w:rFonts w:ascii="David" w:eastAsia="Calibri" w:hAnsi="David"/>
          <w:rtl/>
        </w:rPr>
        <w:t xml:space="preserve">, בית המשפט רשאי לחרוג לקולא ממתחם העונש ההולם, לאור שיקולי שיקום הנאשם. זאת, אם הנאשם השתקם, או יש סיכוי של ממש שהוא ישתקם. </w:t>
      </w:r>
    </w:p>
    <w:p w14:paraId="6F659F93" w14:textId="77777777" w:rsidR="007F7F6B" w:rsidRPr="007F7F6B" w:rsidRDefault="007F7F6B" w:rsidP="007F7F6B">
      <w:pPr>
        <w:spacing w:after="160" w:line="360" w:lineRule="auto"/>
        <w:ind w:left="360"/>
        <w:contextualSpacing/>
        <w:jc w:val="both"/>
        <w:rPr>
          <w:rFonts w:ascii="David" w:eastAsia="Calibri" w:hAnsi="David"/>
        </w:rPr>
      </w:pPr>
    </w:p>
    <w:p w14:paraId="28A7C3DD" w14:textId="77777777" w:rsidR="007F7F6B" w:rsidRPr="007F7F6B" w:rsidRDefault="007F7F6B" w:rsidP="007F7F6B">
      <w:pPr>
        <w:spacing w:after="160" w:line="360" w:lineRule="auto"/>
        <w:ind w:left="360"/>
        <w:contextualSpacing/>
        <w:jc w:val="both"/>
        <w:rPr>
          <w:rFonts w:ascii="David" w:eastAsia="Calibri" w:hAnsi="David"/>
          <w:color w:val="000000"/>
        </w:rPr>
      </w:pPr>
      <w:r w:rsidRPr="007F7F6B">
        <w:rPr>
          <w:rFonts w:ascii="David" w:eastAsia="Calibri" w:hAnsi="David"/>
          <w:rtl/>
        </w:rPr>
        <w:t>במסגרת</w:t>
      </w:r>
      <w:r w:rsidR="004C5178">
        <w:rPr>
          <w:rFonts w:ascii="David" w:eastAsia="Calibri" w:hAnsi="David"/>
          <w:rtl/>
        </w:rPr>
        <w:t xml:space="preserve"> </w:t>
      </w:r>
      <w:hyperlink r:id="rId42" w:history="1">
        <w:r w:rsidR="004C5178" w:rsidRPr="004C5178">
          <w:rPr>
            <w:rFonts w:ascii="David" w:eastAsia="Calibri" w:hAnsi="David"/>
            <w:color w:val="0000FF"/>
            <w:u w:val="single"/>
            <w:rtl/>
          </w:rPr>
          <w:t>ע"פ 6637/17</w:t>
        </w:r>
      </w:hyperlink>
      <w:r w:rsidR="004C5178">
        <w:rPr>
          <w:rFonts w:ascii="David" w:eastAsia="Calibri" w:hAnsi="David"/>
        </w:rPr>
        <w:t xml:space="preserve"> </w:t>
      </w:r>
      <w:r w:rsidRPr="007F7F6B">
        <w:rPr>
          <w:rFonts w:ascii="David" w:eastAsia="Calibri" w:hAnsi="David"/>
          <w:b/>
          <w:bCs/>
          <w:rtl/>
        </w:rPr>
        <w:t>קרנדל נ' מדינת ישראל</w:t>
      </w:r>
      <w:r w:rsidR="004C5178">
        <w:rPr>
          <w:rFonts w:ascii="David" w:eastAsia="Calibri" w:hAnsi="David"/>
          <w:rtl/>
        </w:rPr>
        <w:t xml:space="preserve"> </w:t>
      </w:r>
      <w:r w:rsidRPr="007F7F6B">
        <w:rPr>
          <w:rFonts w:ascii="David" w:eastAsia="Calibri" w:hAnsi="David"/>
          <w:rtl/>
        </w:rPr>
        <w:t xml:space="preserve">(18.4.2018)  קבע בית המשפט העליון כי את התשתית העובדתית להוכחת סיכויי השיקום ניתן לגבש באמצעים ראייתיים שונים, ובראשם תסקיר שירות המבחן; </w:t>
      </w:r>
      <w:r w:rsidRPr="007F7F6B">
        <w:rPr>
          <w:rFonts w:ascii="David" w:eastAsia="Calibri" w:hAnsi="David"/>
          <w:color w:val="000000"/>
          <w:rtl/>
        </w:rPr>
        <w:t>בית המשפט קבע, ביחס לשיקולים המנחים בהערכת שיקומו של הנאשם, בין היתר, כך:</w:t>
      </w:r>
    </w:p>
    <w:p w14:paraId="4711B9B2" w14:textId="77777777" w:rsidR="007F7F6B" w:rsidRPr="007F7F6B" w:rsidRDefault="007F7F6B" w:rsidP="007F7F6B">
      <w:pPr>
        <w:spacing w:after="160" w:line="360" w:lineRule="auto"/>
        <w:ind w:left="360"/>
        <w:contextualSpacing/>
        <w:jc w:val="both"/>
        <w:rPr>
          <w:rFonts w:ascii="David" w:eastAsia="Calibri" w:hAnsi="David"/>
          <w:color w:val="000000"/>
          <w:rtl/>
        </w:rPr>
      </w:pPr>
    </w:p>
    <w:p w14:paraId="0E0DB54A" w14:textId="77777777" w:rsidR="007F7F6B" w:rsidRPr="007F7F6B" w:rsidRDefault="007F7F6B" w:rsidP="007F7F6B">
      <w:pPr>
        <w:spacing w:after="160" w:line="360" w:lineRule="auto"/>
        <w:ind w:left="360"/>
        <w:contextualSpacing/>
        <w:jc w:val="both"/>
        <w:rPr>
          <w:rFonts w:ascii="David" w:eastAsia="Calibri" w:hAnsi="David"/>
          <w:color w:val="000000"/>
          <w:rtl/>
        </w:rPr>
      </w:pPr>
      <w:r w:rsidRPr="007F7F6B">
        <w:rPr>
          <w:rFonts w:ascii="David" w:eastAsia="Calibri" w:hAnsi="David"/>
          <w:color w:val="000000"/>
          <w:rtl/>
        </w:rPr>
        <w:t>"...בקווים כלליים ניתן להצביע על כך ש</w:t>
      </w:r>
      <w:r w:rsidRPr="007F7F6B">
        <w:rPr>
          <w:rFonts w:ascii="David" w:eastAsia="Calibri" w:hAnsi="David"/>
          <w:b/>
          <w:bCs/>
          <w:color w:val="000000"/>
          <w:rtl/>
        </w:rPr>
        <w:t xml:space="preserve">הפעלת הסמכות בסעיף 40ד אינה מוגבלת לעבירות קלות בלבד </w:t>
      </w:r>
      <w:r w:rsidRPr="007F7F6B">
        <w:rPr>
          <w:rFonts w:ascii="David" w:eastAsia="Calibri" w:hAnsi="David"/>
          <w:color w:val="000000"/>
          <w:rtl/>
        </w:rPr>
        <w:t xml:space="preserve">(ראו למשל: </w:t>
      </w:r>
      <w:hyperlink r:id="rId43" w:history="1">
        <w:r w:rsidR="004C5178" w:rsidRPr="004C5178">
          <w:rPr>
            <w:rFonts w:ascii="David" w:eastAsia="Calibri" w:hAnsi="David"/>
            <w:color w:val="0000FF"/>
            <w:u w:val="single"/>
            <w:rtl/>
          </w:rPr>
          <w:t>ע"פ 779/15</w:t>
        </w:r>
      </w:hyperlink>
      <w:r w:rsidRPr="007F7F6B">
        <w:rPr>
          <w:rFonts w:ascii="David" w:eastAsia="Calibri" w:hAnsi="David"/>
          <w:color w:val="000000"/>
          <w:rtl/>
        </w:rPr>
        <w:t xml:space="preserve"> פלוני נ' מדינת ישראל [פורסם בנבו] (12.4.2015) (להלן: </w:t>
      </w:r>
      <w:hyperlink r:id="rId44" w:history="1">
        <w:r w:rsidR="004C5178" w:rsidRPr="004C5178">
          <w:rPr>
            <w:rFonts w:ascii="David" w:eastAsia="Calibri" w:hAnsi="David"/>
            <w:color w:val="0000FF"/>
            <w:u w:val="single"/>
            <w:rtl/>
          </w:rPr>
          <w:t>ע"פ 779/15</w:t>
        </w:r>
      </w:hyperlink>
      <w:r w:rsidRPr="007F7F6B">
        <w:rPr>
          <w:rFonts w:ascii="David" w:eastAsia="Calibri" w:hAnsi="David"/>
          <w:color w:val="000000"/>
          <w:rtl/>
        </w:rPr>
        <w:t xml:space="preserve">); </w:t>
      </w:r>
      <w:hyperlink r:id="rId45" w:history="1">
        <w:r w:rsidR="004C5178" w:rsidRPr="004C5178">
          <w:rPr>
            <w:rFonts w:ascii="David" w:eastAsia="Calibri" w:hAnsi="David"/>
            <w:color w:val="0000FF"/>
            <w:u w:val="single"/>
            <w:rtl/>
          </w:rPr>
          <w:t>ע"פ 3381/16</w:t>
        </w:r>
      </w:hyperlink>
      <w:r w:rsidRPr="007F7F6B">
        <w:rPr>
          <w:rFonts w:ascii="David" w:eastAsia="Calibri" w:hAnsi="David"/>
          <w:color w:val="000000"/>
          <w:rtl/>
        </w:rPr>
        <w:t xml:space="preserve"> אלקרינאוי נ' מדינת ישראל [פורסם בנבו] (10.7.2016) (להלן: עניין אלקרינאוי); </w:t>
      </w:r>
      <w:hyperlink r:id="rId46" w:history="1">
        <w:r w:rsidR="004C5178" w:rsidRPr="004C5178">
          <w:rPr>
            <w:rFonts w:ascii="David" w:eastAsia="Calibri" w:hAnsi="David"/>
            <w:color w:val="0000FF"/>
            <w:u w:val="single"/>
            <w:rtl/>
          </w:rPr>
          <w:t>ע"פ 5611/16</w:t>
        </w:r>
      </w:hyperlink>
      <w:r w:rsidRPr="007F7F6B">
        <w:rPr>
          <w:rFonts w:ascii="David" w:eastAsia="Calibri" w:hAnsi="David"/>
          <w:color w:val="000000"/>
          <w:rtl/>
        </w:rPr>
        <w:t xml:space="preserve"> סלב נ' מדינת ישראל [פורסם בנבו] (14.9.2017) (להלן: עניין סלב); </w:t>
      </w:r>
      <w:hyperlink r:id="rId47" w:history="1">
        <w:r w:rsidR="004C5178" w:rsidRPr="004C5178">
          <w:rPr>
            <w:rFonts w:ascii="David" w:eastAsia="Calibri" w:hAnsi="David"/>
            <w:color w:val="0000FF"/>
            <w:u w:val="single"/>
            <w:rtl/>
          </w:rPr>
          <w:t>ע"פ 1288/17</w:t>
        </w:r>
      </w:hyperlink>
      <w:r w:rsidRPr="007F7F6B">
        <w:rPr>
          <w:rFonts w:ascii="David" w:eastAsia="Calibri" w:hAnsi="David"/>
          <w:color w:val="000000"/>
          <w:rtl/>
        </w:rPr>
        <w:t xml:space="preserve"> מדינת ישראל נ' שנהר [פורסם בנבו] (3.10.2017) (להלן: עניין שנהר)). במקרים קודמים שבהם נדרש בית המשפט להעריך את סיכויי השיקום במסגרת </w:t>
      </w:r>
      <w:hyperlink r:id="rId48" w:history="1">
        <w:r w:rsidR="00650987" w:rsidRPr="00650987">
          <w:rPr>
            <w:rStyle w:val="Hyperlink"/>
            <w:rFonts w:ascii="David" w:eastAsia="Calibri" w:hAnsi="David"/>
            <w:rtl/>
          </w:rPr>
          <w:t>סעיף 40ד</w:t>
        </w:r>
      </w:hyperlink>
      <w:r w:rsidRPr="007F7F6B">
        <w:rPr>
          <w:rFonts w:ascii="David" w:eastAsia="Calibri" w:hAnsi="David"/>
          <w:color w:val="000000"/>
          <w:rtl/>
        </w:rPr>
        <w:t xml:space="preserve"> ל</w:t>
      </w:r>
      <w:hyperlink r:id="rId49" w:history="1">
        <w:r w:rsidR="004C5178" w:rsidRPr="004C5178">
          <w:rPr>
            <w:rFonts w:ascii="David" w:eastAsia="Calibri" w:hAnsi="David"/>
            <w:color w:val="0000FF"/>
            <w:u w:val="single"/>
            <w:rtl/>
          </w:rPr>
          <w:t>חוק העונשין</w:t>
        </w:r>
      </w:hyperlink>
      <w:r w:rsidRPr="007F7F6B">
        <w:rPr>
          <w:rFonts w:ascii="David" w:eastAsia="Calibri" w:hAnsi="David"/>
          <w:color w:val="000000"/>
          <w:rtl/>
        </w:rPr>
        <w:t xml:space="preserve"> הובאו בחשבון, בין היתר, השיקולים המרכזיים הבאים: 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w:t>
      </w:r>
      <w:hyperlink r:id="rId50" w:history="1">
        <w:r w:rsidR="004C5178" w:rsidRPr="004C5178">
          <w:rPr>
            <w:rFonts w:ascii="David" w:eastAsia="Calibri" w:hAnsi="David"/>
            <w:color w:val="0000FF"/>
            <w:u w:val="single"/>
            <w:rtl/>
          </w:rPr>
          <w:t>ע"פ 7459/12</w:t>
        </w:r>
      </w:hyperlink>
      <w:r w:rsidRPr="007F7F6B">
        <w:rPr>
          <w:rFonts w:ascii="David" w:eastAsia="Calibri" w:hAnsi="David"/>
          <w:color w:val="000000"/>
          <w:rtl/>
        </w:rPr>
        <w:t xml:space="preserve"> שיבר נ' מדינת ישראל, [פורסם בנבו] פסקה 6 (20.6.2013); </w:t>
      </w:r>
      <w:hyperlink r:id="rId51" w:history="1">
        <w:r w:rsidR="004C5178" w:rsidRPr="004C5178">
          <w:rPr>
            <w:rFonts w:ascii="David" w:eastAsia="Calibri" w:hAnsi="David"/>
            <w:color w:val="0000FF"/>
            <w:u w:val="single"/>
            <w:rtl/>
          </w:rPr>
          <w:t>ע"פ 779/15</w:t>
        </w:r>
      </w:hyperlink>
      <w:r w:rsidRPr="007F7F6B">
        <w:rPr>
          <w:rFonts w:ascii="David" w:eastAsia="Calibri" w:hAnsi="David"/>
          <w:color w:val="000000"/>
          <w:rtl/>
        </w:rPr>
        <w:t>, בפסקה 11; עניין אלקרינאוי, בפסקה 12; עניין סלב, בפסקאות 17-16; עניין שנהר, בפסקה 24).</w:t>
      </w:r>
    </w:p>
    <w:p w14:paraId="3EF08045" w14:textId="77777777" w:rsidR="007F7F6B" w:rsidRPr="007F7F6B" w:rsidRDefault="007F7F6B" w:rsidP="007F7F6B">
      <w:pPr>
        <w:spacing w:after="160" w:line="360" w:lineRule="auto"/>
        <w:ind w:left="360"/>
        <w:contextualSpacing/>
        <w:jc w:val="both"/>
        <w:rPr>
          <w:rFonts w:ascii="David" w:eastAsia="Calibri" w:hAnsi="David"/>
          <w:color w:val="000000"/>
          <w:rtl/>
        </w:rPr>
      </w:pPr>
    </w:p>
    <w:p w14:paraId="2B75AD3C" w14:textId="77777777" w:rsidR="007F7F6B" w:rsidRPr="007F7F6B" w:rsidRDefault="007F7F6B" w:rsidP="007F7F6B">
      <w:pPr>
        <w:spacing w:after="160" w:line="360" w:lineRule="auto"/>
        <w:ind w:left="360"/>
        <w:contextualSpacing/>
        <w:jc w:val="both"/>
        <w:rPr>
          <w:rFonts w:ascii="David" w:eastAsia="Calibri" w:hAnsi="David"/>
          <w:color w:val="000000"/>
          <w:rtl/>
        </w:rPr>
      </w:pPr>
      <w:r w:rsidRPr="007F7F6B">
        <w:rPr>
          <w:rFonts w:ascii="David" w:eastAsia="Calibri" w:hAnsi="David"/>
          <w:color w:val="000000"/>
          <w:rtl/>
        </w:rPr>
        <w:t xml:space="preserve">חשוב להבהיר: אין מדובר ברשימה ממצה של שיקולים, והתקיימותו של שיקול זה או אחר אינה מצדיקה בהכרח חריגה ממתחם העונש משיקולי שיקום. טעם עיקרי לכך הוא שחלק מהשיקולים שהוזכרו לעיל מובאים ברגיל בחשבון במסגרת קביעת העונש בתוך המתחם (ראו: </w:t>
      </w:r>
      <w:hyperlink r:id="rId52" w:history="1">
        <w:r w:rsidR="00650987" w:rsidRPr="00650987">
          <w:rPr>
            <w:rStyle w:val="Hyperlink"/>
            <w:rFonts w:ascii="David" w:eastAsia="Calibri" w:hAnsi="David"/>
            <w:rtl/>
          </w:rPr>
          <w:t>סעיף 40יא</w:t>
        </w:r>
      </w:hyperlink>
      <w:r w:rsidRPr="007F7F6B">
        <w:rPr>
          <w:rFonts w:ascii="David" w:eastAsia="Calibri" w:hAnsi="David"/>
          <w:color w:val="000000"/>
          <w:rtl/>
        </w:rPr>
        <w:t xml:space="preserve"> ל</w:t>
      </w:r>
      <w:hyperlink r:id="rId53" w:history="1">
        <w:r w:rsidR="004C5178" w:rsidRPr="004C5178">
          <w:rPr>
            <w:rFonts w:ascii="David" w:eastAsia="Calibri" w:hAnsi="David"/>
            <w:color w:val="0000FF"/>
            <w:u w:val="single"/>
            <w:rtl/>
          </w:rPr>
          <w:t>חוק העונשין</w:t>
        </w:r>
      </w:hyperlink>
      <w:r w:rsidRPr="007F7F6B">
        <w:rPr>
          <w:rFonts w:ascii="David" w:eastAsia="Calibri" w:hAnsi="David"/>
          <w:color w:val="000000"/>
          <w:rtl/>
        </w:rPr>
        <w:t xml:space="preserve">). עם זאת, ומבלי לקבוע מסמרות, ניתן לציין </w:t>
      </w:r>
      <w:r w:rsidRPr="007F7F6B">
        <w:rPr>
          <w:rFonts w:ascii="David" w:eastAsia="Calibri" w:hAnsi="David"/>
          <w:b/>
          <w:bCs/>
          <w:color w:val="000000"/>
          <w:rtl/>
        </w:rPr>
        <w:t xml:space="preserve">ששילוב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 להצביע על "סיכוי של ממש לשיקום" כלשונו של </w:t>
      </w:r>
      <w:hyperlink r:id="rId54" w:history="1">
        <w:r w:rsidR="00650987" w:rsidRPr="00650987">
          <w:rPr>
            <w:rStyle w:val="Hyperlink"/>
            <w:rFonts w:ascii="David" w:eastAsia="Calibri" w:hAnsi="David"/>
            <w:b/>
            <w:bCs/>
            <w:rtl/>
          </w:rPr>
          <w:t>סעיף 40ד(א).</w:t>
        </w:r>
      </w:hyperlink>
      <w:r w:rsidRPr="007F7F6B">
        <w:rPr>
          <w:rFonts w:ascii="David" w:eastAsia="Calibri" w:hAnsi="David"/>
          <w:color w:val="000000"/>
          <w:rtl/>
        </w:rPr>
        <w:t xml:space="preserve"> דברים אלה זוכים למשנה חיזוק מקום בו מדובר באדם צעיר נעדר עבר פלילי (עניין סלב, בפסקה 16)".</w:t>
      </w:r>
    </w:p>
    <w:p w14:paraId="5C83AC4A" w14:textId="77777777" w:rsidR="007F7F6B" w:rsidRPr="007F7F6B" w:rsidRDefault="007F7F6B" w:rsidP="007F7F6B">
      <w:pPr>
        <w:spacing w:after="160" w:line="360" w:lineRule="auto"/>
        <w:ind w:left="360"/>
        <w:contextualSpacing/>
        <w:jc w:val="both"/>
        <w:rPr>
          <w:rFonts w:ascii="David" w:eastAsia="Calibri" w:hAnsi="David"/>
          <w:color w:val="000000"/>
          <w:rtl/>
        </w:rPr>
      </w:pPr>
    </w:p>
    <w:p w14:paraId="42757663" w14:textId="77777777" w:rsidR="007F7F6B" w:rsidRPr="007F7F6B" w:rsidRDefault="007F7F6B" w:rsidP="007F7F6B">
      <w:pPr>
        <w:numPr>
          <w:ilvl w:val="0"/>
          <w:numId w:val="1"/>
        </w:numPr>
        <w:spacing w:after="160" w:line="360" w:lineRule="auto"/>
        <w:contextualSpacing/>
        <w:jc w:val="both"/>
        <w:rPr>
          <w:rFonts w:ascii="David" w:eastAsia="Calibri" w:hAnsi="David"/>
          <w:color w:val="000000"/>
          <w:rtl/>
        </w:rPr>
      </w:pPr>
      <w:r w:rsidRPr="007F7F6B">
        <w:rPr>
          <w:rFonts w:ascii="David" w:eastAsia="Calibri" w:hAnsi="David"/>
          <w:color w:val="000000"/>
          <w:rtl/>
        </w:rPr>
        <w:t xml:space="preserve">במקרה דנא, שוכנעתי כי הנאשם – השתקם, או למצער קיים סיכוי של ממש שהוא ישתקם ועל כן יש להשית עליו עונש החורג לקולא ממתחם הענישה שנקבע לעיל, על אף חומרת העבירות בהן הורשע. </w:t>
      </w:r>
    </w:p>
    <w:p w14:paraId="2F4B9632" w14:textId="77777777" w:rsidR="007F7F6B" w:rsidRPr="007F7F6B" w:rsidRDefault="007F7F6B" w:rsidP="007F7F6B">
      <w:pPr>
        <w:spacing w:after="160" w:line="360" w:lineRule="auto"/>
        <w:ind w:left="360"/>
        <w:contextualSpacing/>
        <w:jc w:val="both"/>
        <w:rPr>
          <w:rFonts w:ascii="David" w:eastAsia="Calibri" w:hAnsi="David"/>
          <w:color w:val="000000"/>
        </w:rPr>
      </w:pPr>
    </w:p>
    <w:p w14:paraId="01CDDB07" w14:textId="77777777" w:rsidR="007F7F6B" w:rsidRPr="007F7F6B" w:rsidRDefault="007F7F6B" w:rsidP="007F7F6B">
      <w:pPr>
        <w:numPr>
          <w:ilvl w:val="0"/>
          <w:numId w:val="1"/>
        </w:numPr>
        <w:spacing w:after="160" w:line="360" w:lineRule="auto"/>
        <w:contextualSpacing/>
        <w:jc w:val="both"/>
        <w:rPr>
          <w:rFonts w:ascii="David" w:eastAsia="Calibri" w:hAnsi="David"/>
          <w:color w:val="000000"/>
        </w:rPr>
      </w:pPr>
      <w:r w:rsidRPr="007F7F6B">
        <w:rPr>
          <w:rFonts w:ascii="David" w:eastAsia="Calibri" w:hAnsi="David"/>
          <w:color w:val="000000"/>
          <w:rtl/>
        </w:rPr>
        <w:t xml:space="preserve">הנאשם, כבן 36, נעדר הרשעות קודמות, ועובד כשכיר במפעל אלומיניום בבעלות משפחתית. </w:t>
      </w:r>
    </w:p>
    <w:p w14:paraId="51584D5F" w14:textId="77777777" w:rsidR="007F7F6B" w:rsidRPr="007F7F6B" w:rsidRDefault="007F7F6B" w:rsidP="007F7F6B">
      <w:pPr>
        <w:spacing w:after="160" w:line="256" w:lineRule="auto"/>
        <w:ind w:left="720"/>
        <w:contextualSpacing/>
        <w:rPr>
          <w:rFonts w:ascii="David" w:eastAsia="Calibri" w:hAnsi="David"/>
          <w:color w:val="000000"/>
        </w:rPr>
      </w:pPr>
    </w:p>
    <w:p w14:paraId="439D0756" w14:textId="77777777" w:rsidR="007F7F6B" w:rsidRPr="007F7F6B" w:rsidRDefault="007F7F6B" w:rsidP="00650987">
      <w:pPr>
        <w:numPr>
          <w:ilvl w:val="0"/>
          <w:numId w:val="1"/>
        </w:numPr>
        <w:spacing w:after="160" w:line="360" w:lineRule="auto"/>
        <w:contextualSpacing/>
        <w:jc w:val="both"/>
        <w:rPr>
          <w:rFonts w:ascii="David" w:eastAsia="Calibri" w:hAnsi="David"/>
          <w:color w:val="000000"/>
          <w:rtl/>
        </w:rPr>
      </w:pPr>
      <w:r w:rsidRPr="007F7F6B">
        <w:rPr>
          <w:rFonts w:ascii="David" w:eastAsia="Calibri" w:hAnsi="David"/>
          <w:color w:val="000000"/>
          <w:rtl/>
        </w:rPr>
        <w:t xml:space="preserve">מתסקירי שירות המבחן עלה כי  הנאשם שולב בקבוצה טיפולית לגברים שנהגו באלימות זוגית. קצינת המבחן בתסקיר השני ציינה: "במפגשים אלו שיתף בתכנים ובהתמודדויותיו בעבר במערכת יחסיו הזוגית עם גרושתו אשר באה לידי ביטוי בהתנהלות אשר אופיינה בריכוז עצמי וקושי לראות את צרכיה של בת זוגתו. לדבריו, מבין כיום את כשליו ביחסים עם גרושתו וכיצד התנהלותו הובילה לפגיעה במערכת יחסיהם הזוגית ולפרידתם". בשיחה עמו כיום, </w:t>
      </w:r>
      <w:r w:rsidR="00650987">
        <w:rPr>
          <w:rFonts w:ascii="David" w:eastAsia="Calibri" w:hAnsi="David" w:hint="cs"/>
          <w:color w:val="000000"/>
          <w:rtl/>
        </w:rPr>
        <w:t>פלוני</w:t>
      </w:r>
      <w:r w:rsidRPr="007F7F6B">
        <w:rPr>
          <w:rFonts w:ascii="David" w:eastAsia="Calibri" w:hAnsi="David"/>
          <w:color w:val="000000"/>
          <w:rtl/>
        </w:rPr>
        <w:t xml:space="preserve"> הביע שביעות רצון מהשתתפותו בקבוצה. לדבריו, הקבוצה מסייעת לו בעריכת התבוננות פנימית ובשינוי והתנהלותו הן במערכות יחסים בין אישיות והן במערכות יחסים בעבודה."</w:t>
      </w:r>
    </w:p>
    <w:p w14:paraId="7A2F4634" w14:textId="77777777" w:rsidR="007F7F6B" w:rsidRPr="007F7F6B" w:rsidRDefault="007F7F6B" w:rsidP="007F7F6B">
      <w:pPr>
        <w:spacing w:after="160" w:line="360" w:lineRule="auto"/>
        <w:contextualSpacing/>
        <w:jc w:val="both"/>
        <w:rPr>
          <w:rFonts w:ascii="David" w:eastAsia="Calibri" w:hAnsi="David"/>
          <w:color w:val="000000"/>
        </w:rPr>
      </w:pPr>
    </w:p>
    <w:p w14:paraId="02A5428A" w14:textId="77777777" w:rsidR="007F7F6B" w:rsidRPr="007F7F6B" w:rsidRDefault="007F7F6B" w:rsidP="007F7F6B">
      <w:pPr>
        <w:spacing w:after="160" w:line="360" w:lineRule="auto"/>
        <w:ind w:left="360"/>
        <w:contextualSpacing/>
        <w:jc w:val="both"/>
        <w:rPr>
          <w:rFonts w:ascii="David" w:eastAsia="Calibri" w:hAnsi="David"/>
          <w:color w:val="000000"/>
          <w:rtl/>
        </w:rPr>
      </w:pPr>
      <w:r w:rsidRPr="007F7F6B">
        <w:rPr>
          <w:rFonts w:ascii="David" w:eastAsia="Calibri" w:hAnsi="David"/>
          <w:color w:val="000000"/>
          <w:rtl/>
        </w:rPr>
        <w:t xml:space="preserve">עוד צוין בתסקיר השני, כי הנאשם הביע מוטיבציה ורצון בהמשך שילובו בקבוצה, ותאר קשר קרוב וחזק עם בתו עמה מקפיד להתראות במסגרת הסדרי הראיה, ואף מעבר לכך. </w:t>
      </w:r>
    </w:p>
    <w:p w14:paraId="18F64F2C" w14:textId="77777777" w:rsidR="007F7F6B" w:rsidRPr="007F7F6B" w:rsidRDefault="007F7F6B" w:rsidP="007F7F6B">
      <w:pPr>
        <w:spacing w:after="160" w:line="360" w:lineRule="auto"/>
        <w:ind w:left="360"/>
        <w:contextualSpacing/>
        <w:jc w:val="both"/>
        <w:rPr>
          <w:rFonts w:ascii="David" w:eastAsia="Calibri" w:hAnsi="David"/>
          <w:color w:val="000000"/>
          <w:rtl/>
        </w:rPr>
      </w:pPr>
    </w:p>
    <w:p w14:paraId="3C4816D1" w14:textId="77777777" w:rsidR="007F7F6B" w:rsidRPr="007F7F6B" w:rsidRDefault="007F7F6B" w:rsidP="007F7F6B">
      <w:pPr>
        <w:spacing w:after="160" w:line="360" w:lineRule="auto"/>
        <w:ind w:left="360"/>
        <w:contextualSpacing/>
        <w:jc w:val="both"/>
        <w:rPr>
          <w:rFonts w:ascii="David" w:eastAsia="Calibri" w:hAnsi="David"/>
          <w:color w:val="000000"/>
          <w:rtl/>
        </w:rPr>
      </w:pPr>
      <w:r w:rsidRPr="007F7F6B">
        <w:rPr>
          <w:rFonts w:ascii="David" w:eastAsia="Calibri" w:hAnsi="David"/>
          <w:color w:val="000000"/>
          <w:rtl/>
        </w:rPr>
        <w:t xml:space="preserve">שיחה של קצינת המבחן עם המתלוננת העלתה כי הנאשם מקפיד על הסדרי הראיה וכי בין השניים מתנהל שיח מכבד המתמקד בטובתה של בתם המשותפת. אף כשהתגלעו מחלוקות מסוימות ביניהם, הללו נפתרו באופן מכבד ומקדם. </w:t>
      </w:r>
    </w:p>
    <w:p w14:paraId="34A01383" w14:textId="77777777" w:rsidR="007F7F6B" w:rsidRPr="007F7F6B" w:rsidRDefault="007F7F6B" w:rsidP="007F7F6B">
      <w:pPr>
        <w:spacing w:after="160" w:line="360" w:lineRule="auto"/>
        <w:ind w:left="360"/>
        <w:contextualSpacing/>
        <w:jc w:val="both"/>
        <w:rPr>
          <w:rFonts w:ascii="David" w:eastAsia="Calibri" w:hAnsi="David"/>
          <w:color w:val="000000"/>
          <w:rtl/>
        </w:rPr>
      </w:pPr>
    </w:p>
    <w:p w14:paraId="7C195C48" w14:textId="77777777" w:rsidR="007F7F6B" w:rsidRPr="007F7F6B" w:rsidRDefault="007F7F6B" w:rsidP="007F7F6B">
      <w:pPr>
        <w:spacing w:after="160" w:line="360" w:lineRule="auto"/>
        <w:ind w:left="360"/>
        <w:contextualSpacing/>
        <w:jc w:val="both"/>
        <w:rPr>
          <w:rFonts w:ascii="David" w:eastAsia="Calibri" w:hAnsi="David"/>
          <w:color w:val="000000"/>
          <w:rtl/>
        </w:rPr>
      </w:pPr>
      <w:r w:rsidRPr="007F7F6B">
        <w:rPr>
          <w:rFonts w:ascii="David" w:eastAsia="Calibri" w:hAnsi="David"/>
          <w:color w:val="000000"/>
          <w:rtl/>
        </w:rPr>
        <w:t xml:space="preserve">עוד עלה מהתסקיר כי הנאשם מסר בדיקות שתן אשר נמצאו נקיות משרידי סמים. </w:t>
      </w:r>
    </w:p>
    <w:p w14:paraId="73F6323C" w14:textId="77777777" w:rsidR="007F7F6B" w:rsidRPr="007F7F6B" w:rsidRDefault="007F7F6B" w:rsidP="007F7F6B">
      <w:pPr>
        <w:spacing w:after="160" w:line="360" w:lineRule="auto"/>
        <w:ind w:left="360"/>
        <w:contextualSpacing/>
        <w:jc w:val="both"/>
        <w:rPr>
          <w:rFonts w:ascii="David" w:eastAsia="Calibri" w:hAnsi="David"/>
          <w:color w:val="000000"/>
          <w:rtl/>
        </w:rPr>
      </w:pPr>
    </w:p>
    <w:p w14:paraId="46F22035" w14:textId="77777777" w:rsidR="007F7F6B" w:rsidRPr="007F7F6B" w:rsidRDefault="007F7F6B" w:rsidP="007F7F6B">
      <w:pPr>
        <w:spacing w:after="160" w:line="360" w:lineRule="auto"/>
        <w:ind w:left="360"/>
        <w:contextualSpacing/>
        <w:jc w:val="both"/>
        <w:rPr>
          <w:rFonts w:ascii="David" w:eastAsia="Calibri" w:hAnsi="David"/>
          <w:color w:val="000000"/>
          <w:rtl/>
        </w:rPr>
      </w:pPr>
      <w:r w:rsidRPr="007F7F6B">
        <w:rPr>
          <w:rFonts w:ascii="David" w:eastAsia="Calibri" w:hAnsi="David"/>
          <w:color w:val="000000"/>
          <w:rtl/>
        </w:rPr>
        <w:t>התסקיר השני בא בהמלצה טיפולית שיקומית לפיה יוטל על הנאשם צו מבחן למשך חצי שנה ובצידו צו של"צ בהיקף 80 שעות וכן ענישה צופה עתיד. קצינת המבחן סכמה כך:</w:t>
      </w:r>
    </w:p>
    <w:p w14:paraId="51CA6732" w14:textId="77777777" w:rsidR="007F7F6B" w:rsidRPr="007F7F6B" w:rsidRDefault="007F7F6B" w:rsidP="007F7F6B">
      <w:pPr>
        <w:spacing w:after="160" w:line="360" w:lineRule="auto"/>
        <w:ind w:left="360"/>
        <w:contextualSpacing/>
        <w:jc w:val="both"/>
        <w:rPr>
          <w:rFonts w:ascii="David" w:eastAsia="Calibri" w:hAnsi="David"/>
          <w:color w:val="000000"/>
          <w:rtl/>
        </w:rPr>
      </w:pPr>
    </w:p>
    <w:p w14:paraId="5CE5D01D" w14:textId="77777777" w:rsidR="007F7F6B" w:rsidRPr="007F7F6B" w:rsidRDefault="007F7F6B" w:rsidP="00650987">
      <w:pPr>
        <w:spacing w:after="160" w:line="360" w:lineRule="auto"/>
        <w:ind w:left="360"/>
        <w:contextualSpacing/>
        <w:jc w:val="both"/>
        <w:rPr>
          <w:rFonts w:ascii="David" w:eastAsia="Calibri" w:hAnsi="David"/>
          <w:color w:val="000000"/>
          <w:rtl/>
        </w:rPr>
      </w:pPr>
      <w:r w:rsidRPr="007F7F6B">
        <w:rPr>
          <w:rFonts w:ascii="David" w:eastAsia="Calibri" w:hAnsi="David"/>
          <w:color w:val="000000"/>
          <w:rtl/>
        </w:rPr>
        <w:t xml:space="preserve">"...הערכתנו כי </w:t>
      </w:r>
      <w:r w:rsidR="00650987">
        <w:rPr>
          <w:rFonts w:ascii="David" w:eastAsia="Calibri" w:hAnsi="David" w:hint="cs"/>
          <w:color w:val="000000"/>
          <w:rtl/>
        </w:rPr>
        <w:t>פלוני</w:t>
      </w:r>
      <w:r w:rsidRPr="007F7F6B">
        <w:rPr>
          <w:rFonts w:ascii="David" w:eastAsia="Calibri" w:hAnsi="David"/>
          <w:color w:val="000000"/>
          <w:rtl/>
        </w:rPr>
        <w:t xml:space="preserve"> לוקח אחריות על התנהגותו ומבין כיום את ביצוע העבירות והשלכותיהן, לאור הערכתנו מסיכון נמוך מאד לביצוע עבירה נוספת בתחום האלימות הזוגית, לאור שיתוף הפעולה החיובי עם שרותינו והשתלבותו בתהליך טיפולי מאז חודש מרץ 2023, לאור העובדה כי מאז העבירה האחרונה ולמעלה משלוש שנים לא נפתחו תיקים חדשים, ומבלי להתעלם מחומרת העברות שביצע נמליץ לנקוט בעניינו בגישה השיקומית...".</w:t>
      </w:r>
    </w:p>
    <w:p w14:paraId="776DD866" w14:textId="77777777" w:rsidR="007F7F6B" w:rsidRPr="007F7F6B" w:rsidRDefault="007F7F6B" w:rsidP="007F7F6B">
      <w:pPr>
        <w:spacing w:after="160" w:line="360" w:lineRule="auto"/>
        <w:ind w:left="360"/>
        <w:contextualSpacing/>
        <w:jc w:val="both"/>
        <w:rPr>
          <w:rFonts w:ascii="David" w:eastAsia="Calibri" w:hAnsi="David"/>
          <w:color w:val="000000"/>
          <w:rtl/>
        </w:rPr>
      </w:pPr>
    </w:p>
    <w:p w14:paraId="4C13C886" w14:textId="77777777" w:rsidR="007F7F6B" w:rsidRPr="007F7F6B" w:rsidRDefault="007F7F6B" w:rsidP="007F7F6B">
      <w:pPr>
        <w:numPr>
          <w:ilvl w:val="0"/>
          <w:numId w:val="1"/>
        </w:numPr>
        <w:spacing w:after="160" w:line="360" w:lineRule="auto"/>
        <w:contextualSpacing/>
        <w:jc w:val="both"/>
        <w:rPr>
          <w:rFonts w:ascii="David" w:eastAsia="Calibri" w:hAnsi="David"/>
          <w:color w:val="000000"/>
          <w:rtl/>
        </w:rPr>
      </w:pPr>
      <w:r w:rsidRPr="007F7F6B">
        <w:rPr>
          <w:rFonts w:ascii="David" w:eastAsia="Calibri" w:hAnsi="David"/>
          <w:color w:val="000000"/>
          <w:rtl/>
        </w:rPr>
        <w:t xml:space="preserve">חרף התסקיר החיובי שבא כאמור בהמלצה שיקומית, בדיון שהתקיים ביום 17.3.2024 מצאתי לדחות את הטיעונים לעונש לפרק זמן נוסף וקבעתי:  "סברתי, בשים לב לעמדת המאשימה, כי בטרם טיעונים לעונש ראוי שיונח בפניי תסקיר עדכני אשר ימשיך ויעקוב אחר הקשר של שירות המבחן עם הנאשם, מערכת היחסים בינו לבין המתלוננת, וכן כל עדכון רלוונטי לצורך העניין". </w:t>
      </w:r>
    </w:p>
    <w:p w14:paraId="2E00A61B" w14:textId="77777777" w:rsidR="007F7F6B" w:rsidRPr="007F7F6B" w:rsidRDefault="007F7F6B" w:rsidP="007F7F6B">
      <w:pPr>
        <w:spacing w:after="160" w:line="360" w:lineRule="auto"/>
        <w:ind w:left="360"/>
        <w:contextualSpacing/>
        <w:jc w:val="both"/>
        <w:rPr>
          <w:rFonts w:ascii="David" w:eastAsia="Calibri" w:hAnsi="David"/>
          <w:color w:val="000000"/>
        </w:rPr>
      </w:pPr>
    </w:p>
    <w:p w14:paraId="69F12316" w14:textId="77777777" w:rsidR="007F7F6B" w:rsidRPr="007F7F6B" w:rsidRDefault="007F7F6B" w:rsidP="007F7F6B">
      <w:pPr>
        <w:numPr>
          <w:ilvl w:val="0"/>
          <w:numId w:val="1"/>
        </w:numPr>
        <w:spacing w:after="160" w:line="360" w:lineRule="auto"/>
        <w:contextualSpacing/>
        <w:jc w:val="both"/>
        <w:rPr>
          <w:rFonts w:ascii="David" w:eastAsia="Calibri" w:hAnsi="David"/>
          <w:color w:val="000000"/>
        </w:rPr>
      </w:pPr>
      <w:r w:rsidRPr="007F7F6B">
        <w:rPr>
          <w:rFonts w:ascii="David" w:eastAsia="Calibri" w:hAnsi="David"/>
          <w:color w:val="000000"/>
          <w:rtl/>
        </w:rPr>
        <w:t xml:space="preserve">בתסקיר המשלים שהתקבל ביום 13.6.2024 עלה כי הנאשם המשיך את השתתפותו בקבוצה הטיפולית עד אשר הטיפול נגדע בתחילת חודש אוקטובר 2023 בשל מלחמת "חרבות ברזל". עם זאת, גם לאחר היערכות מחודשת, לא מצא שירות המבחן לשלב את הנאשם להמשך טיפול וזאת נוכח ההיכרות הממושכת עמו. הקשר עם הנאשם המשיך ברמה הפרטנית. </w:t>
      </w:r>
    </w:p>
    <w:p w14:paraId="62DBF58E" w14:textId="77777777" w:rsidR="007F7F6B" w:rsidRPr="007F7F6B" w:rsidRDefault="007F7F6B" w:rsidP="007F7F6B">
      <w:pPr>
        <w:spacing w:after="160" w:line="256" w:lineRule="auto"/>
        <w:ind w:left="720"/>
        <w:contextualSpacing/>
        <w:rPr>
          <w:rFonts w:ascii="David" w:eastAsia="Calibri" w:hAnsi="David"/>
          <w:color w:val="000000"/>
        </w:rPr>
      </w:pPr>
    </w:p>
    <w:p w14:paraId="2B683E60" w14:textId="77777777" w:rsidR="007F7F6B" w:rsidRPr="007F7F6B" w:rsidRDefault="007F7F6B" w:rsidP="00650987">
      <w:pPr>
        <w:spacing w:after="160" w:line="360" w:lineRule="auto"/>
        <w:ind w:left="360"/>
        <w:contextualSpacing/>
        <w:jc w:val="both"/>
        <w:rPr>
          <w:rFonts w:ascii="David" w:eastAsia="Calibri" w:hAnsi="David"/>
          <w:color w:val="000000"/>
          <w:rtl/>
        </w:rPr>
      </w:pPr>
      <w:r w:rsidRPr="007F7F6B">
        <w:rPr>
          <w:rFonts w:ascii="David" w:eastAsia="Calibri" w:hAnsi="David"/>
          <w:color w:val="000000"/>
          <w:rtl/>
        </w:rPr>
        <w:t xml:space="preserve">כך בתסקיר: "בתקופת הדחיה הנוכחית, </w:t>
      </w:r>
      <w:r w:rsidR="00650987">
        <w:rPr>
          <w:rFonts w:ascii="David" w:eastAsia="Calibri" w:hAnsi="David" w:hint="cs"/>
          <w:color w:val="000000"/>
          <w:rtl/>
        </w:rPr>
        <w:t>פלוני</w:t>
      </w:r>
      <w:r w:rsidRPr="007F7F6B">
        <w:rPr>
          <w:rFonts w:ascii="David" w:eastAsia="Calibri" w:hAnsi="David"/>
          <w:color w:val="000000"/>
          <w:rtl/>
        </w:rPr>
        <w:t xml:space="preserve"> שמר עמנו על קשר רציף, תוך שגילה אחריות ומחויבות לשיתוף הפעולה עמנו. במסגרת פגישותינו עמו הוא שיתפנו בהתמודדותו עם קשיים הנובעים מהמרחק הגיאוגרפי של מגורי בתו ממנו. לצד זאת, תיאר בפנינו שיפור ניכר בתקשורת עם אמה של בתו, המתלוננת בתיק, הבאים לידי ביטוי ביכולת לנהל תקשורת מיטיבה ומגבה הדדית סביב צרכיה של בתו. מדבריו עלה כי כיום, חש כי הוא וגרושתו הצליחו להתאושש מהתהליך הארוך של הגירושין והשלכות האירועים הנדונים אשר באים לידי ביטוי בהשפעה לטובה על בתו ועל ההורות המשותפת. נציין כי בשיחותינו עמו, לא פעם, הצר על התנהגותו באירועים הנדונים ואף הביע בפנינו תחושת בושה. נציין כי בדיקות לגילוי שרידי סם שערך בשירותינו נמצאו שליליות". </w:t>
      </w:r>
    </w:p>
    <w:p w14:paraId="592DB108" w14:textId="77777777" w:rsidR="007F7F6B" w:rsidRPr="007F7F6B" w:rsidRDefault="007F7F6B" w:rsidP="007F7F6B">
      <w:pPr>
        <w:spacing w:after="160" w:line="360" w:lineRule="auto"/>
        <w:ind w:left="360"/>
        <w:contextualSpacing/>
        <w:jc w:val="both"/>
        <w:rPr>
          <w:rFonts w:ascii="David" w:eastAsia="Calibri" w:hAnsi="David"/>
          <w:color w:val="000000"/>
          <w:rtl/>
        </w:rPr>
      </w:pPr>
    </w:p>
    <w:p w14:paraId="48ED56AC" w14:textId="77777777" w:rsidR="007F7F6B" w:rsidRPr="007F7F6B" w:rsidRDefault="007F7F6B" w:rsidP="007F7F6B">
      <w:pPr>
        <w:spacing w:after="160" w:line="360" w:lineRule="auto"/>
        <w:ind w:left="360"/>
        <w:contextualSpacing/>
        <w:jc w:val="both"/>
        <w:rPr>
          <w:rFonts w:ascii="David" w:eastAsia="Calibri" w:hAnsi="David"/>
          <w:color w:val="000000"/>
          <w:rtl/>
        </w:rPr>
      </w:pPr>
      <w:r w:rsidRPr="007F7F6B">
        <w:rPr>
          <w:rFonts w:ascii="David" w:eastAsia="Calibri" w:hAnsi="David"/>
          <w:color w:val="000000"/>
          <w:rtl/>
        </w:rPr>
        <w:t>...</w:t>
      </w:r>
    </w:p>
    <w:p w14:paraId="5422EB5C" w14:textId="77777777" w:rsidR="007F7F6B" w:rsidRPr="007F7F6B" w:rsidRDefault="007F7F6B" w:rsidP="007F7F6B">
      <w:pPr>
        <w:spacing w:after="160" w:line="360" w:lineRule="auto"/>
        <w:ind w:left="360"/>
        <w:contextualSpacing/>
        <w:jc w:val="both"/>
        <w:rPr>
          <w:rFonts w:ascii="David" w:eastAsia="Calibri" w:hAnsi="David"/>
          <w:color w:val="000000"/>
          <w:rtl/>
        </w:rPr>
      </w:pPr>
    </w:p>
    <w:p w14:paraId="5AAC1152" w14:textId="77777777" w:rsidR="007F7F6B" w:rsidRPr="007F7F6B" w:rsidRDefault="007F7F6B" w:rsidP="00650987">
      <w:pPr>
        <w:spacing w:after="160" w:line="360" w:lineRule="auto"/>
        <w:ind w:left="360"/>
        <w:contextualSpacing/>
        <w:jc w:val="both"/>
        <w:rPr>
          <w:rFonts w:ascii="David" w:eastAsia="Calibri" w:hAnsi="David"/>
          <w:color w:val="000000"/>
          <w:rtl/>
        </w:rPr>
      </w:pPr>
      <w:r w:rsidRPr="007F7F6B">
        <w:rPr>
          <w:rFonts w:ascii="David" w:eastAsia="Calibri" w:hAnsi="David"/>
          <w:color w:val="000000"/>
          <w:rtl/>
        </w:rPr>
        <w:t xml:space="preserve">"משיחה טלפונית שנערכה עם זוגתו דאז, המתלוננת בתיק, בסמוך לכתיבת שורות אלו, תיארה כי ההליך בו משולב </w:t>
      </w:r>
      <w:r w:rsidR="00650987">
        <w:rPr>
          <w:rFonts w:ascii="David" w:eastAsia="Calibri" w:hAnsi="David" w:hint="cs"/>
          <w:color w:val="000000"/>
          <w:rtl/>
        </w:rPr>
        <w:t>פלוני</w:t>
      </w:r>
      <w:r w:rsidRPr="007F7F6B">
        <w:rPr>
          <w:rFonts w:ascii="David" w:eastAsia="Calibri" w:hAnsi="David"/>
          <w:color w:val="000000"/>
          <w:rtl/>
        </w:rPr>
        <w:t xml:space="preserve"> הוביל לשינוי ושיפור בתקשורת בין השניים וכן בהתנהלותו של </w:t>
      </w:r>
      <w:r w:rsidR="00650987">
        <w:rPr>
          <w:rFonts w:ascii="David" w:eastAsia="Calibri" w:hAnsi="David" w:hint="cs"/>
          <w:color w:val="000000"/>
          <w:rtl/>
        </w:rPr>
        <w:t>פלוני</w:t>
      </w:r>
      <w:r w:rsidRPr="007F7F6B">
        <w:rPr>
          <w:rFonts w:ascii="David" w:eastAsia="Calibri" w:hAnsi="David"/>
          <w:color w:val="000000"/>
          <w:rtl/>
        </w:rPr>
        <w:t xml:space="preserve"> מולה, אשר באים לידי ביטוי בניהול שיח מכבד ובהבנה והכלה בעיקר סביב צרכיה של בתם. עוד תארה כי </w:t>
      </w:r>
      <w:r w:rsidR="00650987">
        <w:rPr>
          <w:rFonts w:ascii="David" w:eastAsia="Calibri" w:hAnsi="David" w:hint="cs"/>
          <w:color w:val="000000"/>
          <w:rtl/>
        </w:rPr>
        <w:t>פלוני</w:t>
      </w:r>
      <w:r w:rsidRPr="007F7F6B">
        <w:rPr>
          <w:rFonts w:ascii="David" w:eastAsia="Calibri" w:hAnsi="David"/>
          <w:color w:val="000000"/>
          <w:rtl/>
        </w:rPr>
        <w:t xml:space="preserve"> מקפיד על תשלומי המזונות ועמידה בזמני השהות עם בתו תוך הקפדה יתרה." </w:t>
      </w:r>
    </w:p>
    <w:p w14:paraId="16215C05" w14:textId="77777777" w:rsidR="007F7F6B" w:rsidRPr="007F7F6B" w:rsidRDefault="007F7F6B" w:rsidP="007F7F6B">
      <w:pPr>
        <w:spacing w:after="160" w:line="360" w:lineRule="auto"/>
        <w:ind w:left="360"/>
        <w:contextualSpacing/>
        <w:jc w:val="both"/>
        <w:rPr>
          <w:rFonts w:ascii="David" w:eastAsia="Calibri" w:hAnsi="David"/>
          <w:color w:val="000000"/>
          <w:rtl/>
        </w:rPr>
      </w:pPr>
    </w:p>
    <w:p w14:paraId="18D3EE81" w14:textId="77777777" w:rsidR="007F7F6B" w:rsidRPr="007F7F6B" w:rsidRDefault="007F7F6B" w:rsidP="007F7F6B">
      <w:pPr>
        <w:spacing w:after="160" w:line="360" w:lineRule="auto"/>
        <w:ind w:left="360"/>
        <w:contextualSpacing/>
        <w:jc w:val="both"/>
        <w:rPr>
          <w:rFonts w:ascii="David" w:eastAsia="Calibri" w:hAnsi="David"/>
          <w:color w:val="000000"/>
          <w:rtl/>
        </w:rPr>
      </w:pPr>
      <w:r w:rsidRPr="007F7F6B">
        <w:rPr>
          <w:rFonts w:ascii="David" w:eastAsia="Calibri" w:hAnsi="David"/>
          <w:color w:val="000000"/>
          <w:rtl/>
        </w:rPr>
        <w:t xml:space="preserve">קצינת המבחן בתסקיר המשלים התרשמה כי הנאשם עבר כברת דרך לאורך תקופה של כשנה ומחצה, בה היה נתון תחת פיקוח שירות המבחן וכי עבר תהליך של הפקת לקחים בעקבות ההליך המשפטי והשלכותיו. משכך, מצא שירות המבחן לקבוע כי הסיכון להישנות התנהגות אלימה, מצד הנאשם כלפי המתלוננת, "הצטמצם באופן משמעותי". </w:t>
      </w:r>
    </w:p>
    <w:p w14:paraId="157197AB" w14:textId="77777777" w:rsidR="007F7F6B" w:rsidRPr="007F7F6B" w:rsidRDefault="007F7F6B" w:rsidP="007F7F6B">
      <w:pPr>
        <w:spacing w:after="160" w:line="360" w:lineRule="auto"/>
        <w:ind w:left="360"/>
        <w:contextualSpacing/>
        <w:jc w:val="both"/>
        <w:rPr>
          <w:rFonts w:ascii="David" w:eastAsia="Calibri" w:hAnsi="David"/>
          <w:color w:val="000000"/>
          <w:rtl/>
        </w:rPr>
      </w:pPr>
    </w:p>
    <w:p w14:paraId="41D43591" w14:textId="77777777" w:rsidR="007F7F6B" w:rsidRPr="007F7F6B" w:rsidRDefault="007F7F6B" w:rsidP="007F7F6B">
      <w:pPr>
        <w:spacing w:after="160" w:line="360" w:lineRule="auto"/>
        <w:ind w:left="360"/>
        <w:contextualSpacing/>
        <w:jc w:val="both"/>
        <w:rPr>
          <w:rFonts w:ascii="David" w:eastAsia="Calibri" w:hAnsi="David"/>
          <w:color w:val="000000"/>
          <w:rtl/>
        </w:rPr>
      </w:pPr>
      <w:r w:rsidRPr="007F7F6B">
        <w:rPr>
          <w:rFonts w:ascii="David" w:eastAsia="Calibri" w:hAnsi="David"/>
          <w:color w:val="000000"/>
          <w:rtl/>
        </w:rPr>
        <w:t xml:space="preserve">משכך, בבואה לגבש המלצה טיפולית, חזרה בה קצינת המבחן מהמלצתה להטלת צו מבחן (כאמור בתסקיר הקודם) וסברה כי יש מקום להסתפק בהטלת צו של"צ בהיקף של 80 שעות בצד ענישה צופה פני עתיד, שתהווה עונש מרתיע ומציב גבולות בעתיד. </w:t>
      </w:r>
    </w:p>
    <w:p w14:paraId="0517C93B" w14:textId="77777777" w:rsidR="007F7F6B" w:rsidRPr="007F7F6B" w:rsidRDefault="007F7F6B" w:rsidP="007F7F6B">
      <w:pPr>
        <w:spacing w:after="160" w:line="360" w:lineRule="auto"/>
        <w:ind w:left="360"/>
        <w:contextualSpacing/>
        <w:jc w:val="both"/>
        <w:rPr>
          <w:rFonts w:ascii="David" w:eastAsia="Calibri" w:hAnsi="David"/>
          <w:color w:val="000000"/>
          <w:rtl/>
        </w:rPr>
      </w:pPr>
    </w:p>
    <w:p w14:paraId="7C8F8FD5" w14:textId="77777777" w:rsidR="007F7F6B" w:rsidRPr="007F7F6B" w:rsidRDefault="007F7F6B" w:rsidP="007F7F6B">
      <w:pPr>
        <w:numPr>
          <w:ilvl w:val="0"/>
          <w:numId w:val="1"/>
        </w:numPr>
        <w:spacing w:after="160" w:line="360" w:lineRule="auto"/>
        <w:contextualSpacing/>
        <w:jc w:val="both"/>
        <w:rPr>
          <w:rFonts w:ascii="David" w:eastAsia="Calibri" w:hAnsi="David"/>
          <w:rtl/>
        </w:rPr>
      </w:pPr>
      <w:r w:rsidRPr="007F7F6B">
        <w:rPr>
          <w:rFonts w:ascii="David" w:eastAsia="Calibri" w:hAnsi="David"/>
          <w:rtl/>
        </w:rPr>
        <w:t xml:space="preserve">לא התעלמתי מהעבירות אותן ביצע הנאשם ומנסיבותיהן החמורות, בעיקר כלפי המתלוננת, עת התנהל הנאשם באופן אלים מילולית ופיזית ופעל בכוחניות ובשליטה. אלמלא נטילת האחריות, הבעת החרטה מצידו וההליך השיקומי המשמעותי אותו עבר הנאשם, אשר אף נשא פרי, לא הייתי מהסס לנקוט כלפיו בענישה משמעותית ומרתיעה.  עם זאת, דומני כי הנאשם עצמו, אשר הביע לא פעם חרטה על מעשיו, מבין כעת כי שילם מחיר כבד בשל התנהלותו, בין היתר בפירוק התא המשפחתי. על פי האמור בתסקיר,  אף הסיק את המסקנות הראויות והנדרשות בכל הנוגע להתנהלות במצבי קונפליקט כתוצאה מההליך הטיפולי. </w:t>
      </w:r>
    </w:p>
    <w:p w14:paraId="2A8DCF73" w14:textId="77777777" w:rsidR="007F7F6B" w:rsidRPr="007F7F6B" w:rsidRDefault="007F7F6B" w:rsidP="007F7F6B">
      <w:pPr>
        <w:spacing w:after="160" w:line="360" w:lineRule="auto"/>
        <w:ind w:left="360"/>
        <w:contextualSpacing/>
        <w:jc w:val="both"/>
        <w:rPr>
          <w:rFonts w:ascii="David" w:eastAsia="Calibri" w:hAnsi="David"/>
        </w:rPr>
      </w:pPr>
    </w:p>
    <w:p w14:paraId="1D5C2600" w14:textId="77777777" w:rsidR="007F7F6B" w:rsidRPr="007F7F6B" w:rsidRDefault="007F7F6B" w:rsidP="007F7F6B">
      <w:pPr>
        <w:spacing w:after="160" w:line="360" w:lineRule="auto"/>
        <w:ind w:left="360"/>
        <w:contextualSpacing/>
        <w:jc w:val="both"/>
        <w:rPr>
          <w:rFonts w:ascii="David" w:eastAsia="Calibri" w:hAnsi="David"/>
        </w:rPr>
      </w:pPr>
      <w:r w:rsidRPr="007F7F6B">
        <w:rPr>
          <w:rFonts w:ascii="David" w:eastAsia="Calibri" w:hAnsi="David"/>
          <w:rtl/>
        </w:rPr>
        <w:t>לא ניתן להתעלם מן העובדה כי מאז ביצוע העבירות חלפו כ 4 שנים (בחלק מהעבירות חלף אף פרק זמן ארוך יותר), במהלכן לא נפתחו נגד הנאשם תיקים חדשים. כן הבאתי בחשבון את העובדה כי על אף שהחלו להישמע הראיות בתיק, הודה הנאשם במיוחס לו טרם נאלצה המתלוננת לעמוד על דוכן העדים ואף להיחקר נגדית,  ובכך נחסך ממנה קושי נוסף.</w:t>
      </w:r>
    </w:p>
    <w:p w14:paraId="732AA2D1" w14:textId="77777777" w:rsidR="007F7F6B" w:rsidRPr="007F7F6B" w:rsidRDefault="007F7F6B" w:rsidP="007F7F6B">
      <w:pPr>
        <w:spacing w:after="160" w:line="360" w:lineRule="auto"/>
        <w:ind w:left="360"/>
        <w:contextualSpacing/>
        <w:jc w:val="both"/>
        <w:rPr>
          <w:rFonts w:ascii="David" w:eastAsia="Calibri" w:hAnsi="David"/>
          <w:color w:val="000000"/>
        </w:rPr>
      </w:pPr>
    </w:p>
    <w:p w14:paraId="45B51D71" w14:textId="77777777" w:rsidR="007F7F6B" w:rsidRPr="007F7F6B" w:rsidRDefault="007F7F6B" w:rsidP="007F7F6B">
      <w:pPr>
        <w:numPr>
          <w:ilvl w:val="0"/>
          <w:numId w:val="1"/>
        </w:numPr>
        <w:spacing w:after="160" w:line="360" w:lineRule="auto"/>
        <w:contextualSpacing/>
        <w:jc w:val="both"/>
        <w:rPr>
          <w:rFonts w:ascii="David" w:eastAsia="Calibri" w:hAnsi="David"/>
          <w:color w:val="000000"/>
          <w:rtl/>
        </w:rPr>
      </w:pPr>
      <w:r w:rsidRPr="007F7F6B">
        <w:rPr>
          <w:rFonts w:ascii="David" w:eastAsia="Calibri" w:hAnsi="David"/>
          <w:color w:val="000000"/>
          <w:rtl/>
        </w:rPr>
        <w:t xml:space="preserve">בנסיבות אלה, שוכנעתי גם אני, כמו שירות המבחן, כי יש להשית על הנאשם ענישה שיקומית, החורגת לקולא ממתחם העונש ההולם, ועניינו הולם את תנאי </w:t>
      </w:r>
      <w:hyperlink r:id="rId55" w:history="1">
        <w:r w:rsidR="00650987" w:rsidRPr="00650987">
          <w:rPr>
            <w:rStyle w:val="Hyperlink"/>
            <w:rFonts w:ascii="David" w:eastAsia="Calibri" w:hAnsi="David"/>
            <w:rtl/>
          </w:rPr>
          <w:t>סעיף 40ד</w:t>
        </w:r>
      </w:hyperlink>
      <w:r w:rsidRPr="007F7F6B">
        <w:rPr>
          <w:rFonts w:ascii="David" w:eastAsia="Calibri" w:hAnsi="David"/>
          <w:color w:val="000000"/>
          <w:rtl/>
        </w:rPr>
        <w:t xml:space="preserve"> ל</w:t>
      </w:r>
      <w:hyperlink r:id="rId56" w:history="1">
        <w:r w:rsidR="004C5178" w:rsidRPr="004C5178">
          <w:rPr>
            <w:rFonts w:ascii="David" w:eastAsia="Calibri" w:hAnsi="David"/>
            <w:color w:val="0000FF"/>
            <w:u w:val="single"/>
            <w:rtl/>
          </w:rPr>
          <w:t>חוק העונשין</w:t>
        </w:r>
      </w:hyperlink>
      <w:r w:rsidRPr="007F7F6B">
        <w:rPr>
          <w:rFonts w:ascii="David" w:eastAsia="Calibri" w:hAnsi="David"/>
          <w:color w:val="000000"/>
          <w:rtl/>
        </w:rPr>
        <w:t xml:space="preserve">. השילוב בין הבעת החרטה הכנה של הנאשם בגין מעשיו, חלוף תקופה ארוכה במהלכה שהה הנאשם בתנאים מגבילים, לאחר ששוחרר ממעצר בן 20 ימים,  השתלבותו בטיפול הקבוצתי בהצלחה והמוטיבציה שלו להמשיך בטיפול, תוך הפנמת נורמות התנהגות ראויה במצבי קונפליקט, הם שהיוו בסיס מסקנתי זו. מסקנתי אף נתמכת בעמדת המתלוננת, כפי שבאה לביטוי בתסקירי שירות המבחן. נראה כי האינטרס הציבורי עולה בקנה אחד עם שימור מערכת היחסים התקינה והמכבדת הקיימת כיום בין הנאשם למתלוננת אשר במרכזה מטרה אחת – רווחת וטובת בתם. </w:t>
      </w:r>
    </w:p>
    <w:p w14:paraId="50375915" w14:textId="77777777" w:rsidR="007F7F6B" w:rsidRPr="007F7F6B" w:rsidRDefault="007F7F6B" w:rsidP="007F7F6B">
      <w:pPr>
        <w:spacing w:after="160" w:line="256" w:lineRule="auto"/>
        <w:ind w:left="720"/>
        <w:contextualSpacing/>
        <w:rPr>
          <w:rFonts w:ascii="David" w:eastAsia="Calibri" w:hAnsi="David"/>
          <w:color w:val="000000"/>
        </w:rPr>
      </w:pPr>
    </w:p>
    <w:p w14:paraId="76615D15" w14:textId="77777777" w:rsidR="007F7F6B" w:rsidRPr="007F7F6B" w:rsidRDefault="007F7F6B" w:rsidP="007F7F6B">
      <w:pPr>
        <w:spacing w:after="160" w:line="256" w:lineRule="auto"/>
        <w:ind w:left="720"/>
        <w:contextualSpacing/>
        <w:rPr>
          <w:rFonts w:ascii="David" w:eastAsia="Calibri" w:hAnsi="David"/>
          <w:color w:val="000000"/>
          <w:rtl/>
        </w:rPr>
      </w:pPr>
    </w:p>
    <w:p w14:paraId="103CE265" w14:textId="77777777" w:rsidR="007F7F6B" w:rsidRPr="007F7F6B" w:rsidRDefault="007F7F6B" w:rsidP="007F7F6B">
      <w:pPr>
        <w:numPr>
          <w:ilvl w:val="0"/>
          <w:numId w:val="1"/>
        </w:numPr>
        <w:spacing w:after="160" w:line="360" w:lineRule="auto"/>
        <w:contextualSpacing/>
        <w:jc w:val="both"/>
        <w:rPr>
          <w:rFonts w:ascii="David" w:eastAsia="Calibri" w:hAnsi="David"/>
          <w:color w:val="000000"/>
          <w:rtl/>
        </w:rPr>
      </w:pPr>
      <w:r w:rsidRPr="007F7F6B">
        <w:rPr>
          <w:rFonts w:ascii="David" w:eastAsia="Calibri" w:hAnsi="David"/>
          <w:color w:val="000000"/>
          <w:rtl/>
        </w:rPr>
        <w:t xml:space="preserve">עם זאת, לאור חומרתן ונפיצותן של עבירות האלימות במשפחה, ונוכח העובדה כי הנאשם הורשע בהפרת תנאים מגבילים, על אף המלצת שירות המבחן בתסקירו האחרון להימנע מהטלת צו פיקוח והטלת צו של"צ מוגבל בן 80 שעות, אני סבור כי יש מקום להורות על צו של"צ מורחב, בן 200 שעות,  אשר יהא בו אף כדי להעביר מסר ברור כי לא ניתן לוותר על ענישה קונקרטית בעבירות בהן הורשע הנאשם, אף אם מדובר בענישה חינוכית שיקומית במהותה. </w:t>
      </w:r>
    </w:p>
    <w:p w14:paraId="0AC60899" w14:textId="77777777" w:rsidR="007F7F6B" w:rsidRDefault="007F7F6B" w:rsidP="007F7F6B">
      <w:pPr>
        <w:spacing w:after="160" w:line="252" w:lineRule="auto"/>
        <w:ind w:left="720"/>
        <w:contextualSpacing/>
        <w:jc w:val="both"/>
        <w:rPr>
          <w:rFonts w:ascii="David" w:eastAsia="Calibri" w:hAnsi="David"/>
        </w:rPr>
      </w:pPr>
    </w:p>
    <w:p w14:paraId="6A448921" w14:textId="77777777" w:rsidR="007F7F6B" w:rsidRDefault="007F7F6B" w:rsidP="007F7F6B">
      <w:pPr>
        <w:spacing w:after="160" w:line="252" w:lineRule="auto"/>
        <w:ind w:left="720"/>
        <w:contextualSpacing/>
        <w:rPr>
          <w:rFonts w:ascii="David" w:eastAsia="Calibri" w:hAnsi="David"/>
          <w:color w:val="FF0000"/>
        </w:rPr>
      </w:pPr>
    </w:p>
    <w:p w14:paraId="624DB5FD" w14:textId="77777777" w:rsidR="007F7F6B" w:rsidRDefault="007F7F6B" w:rsidP="007F7F6B">
      <w:pPr>
        <w:numPr>
          <w:ilvl w:val="0"/>
          <w:numId w:val="1"/>
        </w:numPr>
        <w:spacing w:after="160" w:line="252" w:lineRule="auto"/>
        <w:contextualSpacing/>
        <w:jc w:val="both"/>
        <w:rPr>
          <w:rFonts w:ascii="David" w:eastAsia="Calibri" w:hAnsi="David"/>
          <w:color w:val="FF0000"/>
        </w:rPr>
      </w:pPr>
      <w:r>
        <w:rPr>
          <w:rFonts w:ascii="David" w:eastAsia="Calibri" w:hAnsi="David"/>
          <w:rtl/>
        </w:rPr>
        <w:t xml:space="preserve">אשר על כן, אני משית על הנאשם את העונשים הבאים: </w:t>
      </w:r>
    </w:p>
    <w:p w14:paraId="5A4BA68A" w14:textId="77777777" w:rsidR="007F7F6B" w:rsidRDefault="007F7F6B" w:rsidP="007F7F6B">
      <w:pPr>
        <w:spacing w:line="360" w:lineRule="auto"/>
        <w:ind w:left="360"/>
        <w:contextualSpacing/>
        <w:jc w:val="both"/>
        <w:rPr>
          <w:rFonts w:ascii="David" w:hAnsi="David"/>
        </w:rPr>
      </w:pPr>
    </w:p>
    <w:p w14:paraId="2340F119" w14:textId="77777777" w:rsidR="007F7F6B" w:rsidRDefault="007F7F6B" w:rsidP="007F7F6B">
      <w:pPr>
        <w:numPr>
          <w:ilvl w:val="0"/>
          <w:numId w:val="4"/>
        </w:numPr>
        <w:spacing w:after="160" w:line="360" w:lineRule="auto"/>
        <w:contextualSpacing/>
        <w:jc w:val="both"/>
        <w:rPr>
          <w:rFonts w:ascii="David" w:hAnsi="David"/>
        </w:rPr>
      </w:pPr>
      <w:r>
        <w:rPr>
          <w:rFonts w:ascii="David" w:hAnsi="David"/>
          <w:b/>
          <w:bCs/>
          <w:rtl/>
        </w:rPr>
        <w:t xml:space="preserve">צו של"צ </w:t>
      </w:r>
      <w:r>
        <w:rPr>
          <w:rFonts w:ascii="David" w:hAnsi="David"/>
          <w:rtl/>
        </w:rPr>
        <w:t xml:space="preserve">– בהסכמת הנאשם מטיל על הנאשם צו לריצוי של"צ בהיקף של 200 שעות. הצו ירוצה בתוך שנה בהתאם להנחיות והוראות שירות המבחן. לא יבצע הנאשם את הצו במלואו יכול ויתקיים דיון מחודש בשאלת העונש שיוטל עליו. שירות המבחן מתבקש להכין תכנית של"צ מתאימה ולהעבירה לאישור בית המשפט בתוך 14 יום. </w:t>
      </w:r>
    </w:p>
    <w:p w14:paraId="0D6E1451" w14:textId="77777777" w:rsidR="007F7F6B" w:rsidRDefault="007F7F6B" w:rsidP="007F7F6B">
      <w:pPr>
        <w:spacing w:after="160" w:line="256" w:lineRule="auto"/>
        <w:ind w:left="720"/>
        <w:contextualSpacing/>
        <w:rPr>
          <w:rFonts w:ascii="David" w:hAnsi="David"/>
        </w:rPr>
      </w:pPr>
    </w:p>
    <w:p w14:paraId="530E1ECC" w14:textId="77777777" w:rsidR="007F7F6B" w:rsidRDefault="007F7F6B" w:rsidP="007F7F6B">
      <w:pPr>
        <w:numPr>
          <w:ilvl w:val="0"/>
          <w:numId w:val="4"/>
        </w:numPr>
        <w:spacing w:after="160" w:line="360" w:lineRule="auto"/>
        <w:contextualSpacing/>
        <w:jc w:val="both"/>
        <w:rPr>
          <w:rFonts w:ascii="David" w:hAnsi="David"/>
          <w:rtl/>
        </w:rPr>
      </w:pPr>
      <w:r>
        <w:rPr>
          <w:rFonts w:ascii="David" w:hAnsi="David"/>
          <w:b/>
          <w:bCs/>
          <w:rtl/>
        </w:rPr>
        <w:t xml:space="preserve">מאסר על תנאי </w:t>
      </w:r>
      <w:r>
        <w:rPr>
          <w:rFonts w:ascii="David" w:hAnsi="David"/>
          <w:rtl/>
        </w:rPr>
        <w:t>- מאסר למשך 7 חודשים, ואולם הנאשם לא יישא בעונש זה אלא אם יעבור עבירות אלימות מסוג פשע, ואלימות כלפי בת זוג,  בתוך 3 שנים מהיום.</w:t>
      </w:r>
    </w:p>
    <w:p w14:paraId="5FC05ADD" w14:textId="77777777" w:rsidR="007F7F6B" w:rsidRDefault="007F7F6B" w:rsidP="007F7F6B">
      <w:pPr>
        <w:pStyle w:val="aa"/>
        <w:numPr>
          <w:ilvl w:val="0"/>
          <w:numId w:val="4"/>
        </w:numPr>
        <w:jc w:val="both"/>
        <w:rPr>
          <w:rFonts w:ascii="David" w:hAnsi="David" w:cs="David"/>
          <w:sz w:val="24"/>
          <w:szCs w:val="24"/>
          <w:rtl/>
        </w:rPr>
      </w:pPr>
      <w:r>
        <w:rPr>
          <w:rFonts w:ascii="David" w:hAnsi="David" w:cs="David"/>
          <w:b/>
          <w:bCs/>
          <w:sz w:val="24"/>
          <w:szCs w:val="24"/>
          <w:rtl/>
        </w:rPr>
        <w:t>מאסר על תנאי</w:t>
      </w:r>
      <w:r>
        <w:rPr>
          <w:rFonts w:ascii="David" w:hAnsi="David" w:cs="David"/>
          <w:sz w:val="24"/>
          <w:szCs w:val="24"/>
          <w:rtl/>
        </w:rPr>
        <w:t xml:space="preserve"> - מאסר למשך 4 חודשים, ואולם הנאשם לא יישא בעונש זה אלא אם יעבור עבירות אלימות מסוג עוון, עבירה של הפרת הוראה חוקית וכן עבירת החזקת סם לצריכה עצמית, בתוך 3 שנים מהיום.</w:t>
      </w:r>
    </w:p>
    <w:p w14:paraId="716AB98F" w14:textId="77777777" w:rsidR="007F7F6B" w:rsidRDefault="007F7F6B" w:rsidP="007F7F6B">
      <w:pPr>
        <w:pStyle w:val="aa"/>
        <w:ind w:left="360"/>
        <w:jc w:val="both"/>
        <w:rPr>
          <w:rFonts w:ascii="David" w:hAnsi="David" w:cs="David"/>
          <w:sz w:val="24"/>
          <w:szCs w:val="24"/>
        </w:rPr>
      </w:pPr>
    </w:p>
    <w:p w14:paraId="265D84A8" w14:textId="77777777" w:rsidR="007F7F6B" w:rsidRDefault="007F7F6B" w:rsidP="007F7F6B">
      <w:pPr>
        <w:numPr>
          <w:ilvl w:val="0"/>
          <w:numId w:val="4"/>
        </w:numPr>
        <w:spacing w:after="160" w:line="360" w:lineRule="auto"/>
        <w:contextualSpacing/>
        <w:jc w:val="both"/>
        <w:rPr>
          <w:rFonts w:ascii="David" w:hAnsi="David"/>
          <w:rtl/>
        </w:rPr>
      </w:pPr>
      <w:r>
        <w:rPr>
          <w:rFonts w:ascii="David" w:hAnsi="David"/>
          <w:b/>
          <w:bCs/>
          <w:rtl/>
        </w:rPr>
        <w:t>פיצוי</w:t>
      </w:r>
      <w:r>
        <w:rPr>
          <w:rFonts w:ascii="David" w:hAnsi="David"/>
          <w:rtl/>
        </w:rPr>
        <w:t xml:space="preserve"> – הנאשם ישלם פיצוי בסך 5,000 ₪ לקורבן העבירה, ע"ת 3 לכתב האישום המתוקן. הפיצוי </w:t>
      </w:r>
      <w:r>
        <w:rPr>
          <w:rFonts w:ascii="David" w:hAnsi="David" w:hint="cs"/>
          <w:rtl/>
        </w:rPr>
        <w:t xml:space="preserve">יקוזז מסכום ההפקדה שהופקד במסגרת </w:t>
      </w:r>
      <w:hyperlink r:id="rId57" w:history="1">
        <w:r w:rsidR="004C5178" w:rsidRPr="004C5178">
          <w:rPr>
            <w:rFonts w:ascii="David" w:hAnsi="David"/>
            <w:color w:val="0000FF"/>
            <w:u w:val="single"/>
            <w:rtl/>
          </w:rPr>
          <w:t>מ"ת 27334-07-20</w:t>
        </w:r>
      </w:hyperlink>
      <w:r>
        <w:rPr>
          <w:rFonts w:ascii="David" w:hAnsi="David" w:hint="cs"/>
          <w:rtl/>
        </w:rPr>
        <w:t xml:space="preserve"> או לחילופין </w:t>
      </w:r>
      <w:hyperlink r:id="rId58" w:history="1">
        <w:r w:rsidR="004C5178" w:rsidRPr="004C5178">
          <w:rPr>
            <w:rFonts w:ascii="David" w:hAnsi="David"/>
            <w:color w:val="0000FF"/>
            <w:u w:val="single"/>
            <w:rtl/>
          </w:rPr>
          <w:t>עמ"ת 47103-07-20</w:t>
        </w:r>
      </w:hyperlink>
      <w:r>
        <w:rPr>
          <w:rFonts w:ascii="David" w:hAnsi="David" w:hint="cs"/>
          <w:rtl/>
        </w:rPr>
        <w:t xml:space="preserve">. ככל ולא ניתן לקזז הסכום, </w:t>
      </w:r>
      <w:r>
        <w:rPr>
          <w:rFonts w:ascii="David" w:hAnsi="David"/>
          <w:rtl/>
        </w:rPr>
        <w:t xml:space="preserve">יופקד לקופת בית המשפט </w:t>
      </w:r>
      <w:r>
        <w:rPr>
          <w:rFonts w:ascii="David" w:hAnsi="David" w:hint="cs"/>
          <w:rtl/>
        </w:rPr>
        <w:t xml:space="preserve">תוך 30 יום </w:t>
      </w:r>
      <w:r>
        <w:rPr>
          <w:rFonts w:ascii="David" w:hAnsi="David"/>
          <w:rtl/>
        </w:rPr>
        <w:t xml:space="preserve">ויועבר למתלוננת. המאשימה תגיש לתיק בית המשפט טופס פרטי ניזוק בתוך 14 יום. </w:t>
      </w:r>
    </w:p>
    <w:p w14:paraId="6CB6F579" w14:textId="77777777" w:rsidR="007F7F6B" w:rsidRDefault="007F7F6B" w:rsidP="007F7F6B">
      <w:pPr>
        <w:spacing w:after="160" w:line="360" w:lineRule="auto"/>
        <w:ind w:left="502"/>
        <w:contextualSpacing/>
        <w:jc w:val="both"/>
        <w:rPr>
          <w:rFonts w:ascii="David" w:hAnsi="David"/>
        </w:rPr>
      </w:pPr>
    </w:p>
    <w:p w14:paraId="41F417FF" w14:textId="77777777" w:rsidR="007F7F6B" w:rsidRDefault="007F7F6B" w:rsidP="007F7F6B">
      <w:pPr>
        <w:numPr>
          <w:ilvl w:val="0"/>
          <w:numId w:val="4"/>
        </w:numPr>
        <w:spacing w:after="160" w:line="360" w:lineRule="auto"/>
        <w:contextualSpacing/>
        <w:jc w:val="both"/>
        <w:rPr>
          <w:rFonts w:cs="Times New Roman"/>
          <w:sz w:val="20"/>
          <w:szCs w:val="20"/>
          <w:lang w:eastAsia="he-IL"/>
        </w:rPr>
      </w:pPr>
      <w:r>
        <w:rPr>
          <w:rFonts w:ascii="David" w:hAnsi="David"/>
          <w:b/>
          <w:bCs/>
          <w:rtl/>
          <w:lang w:eastAsia="he-IL"/>
        </w:rPr>
        <w:t xml:space="preserve">התחייבות </w:t>
      </w:r>
      <w:r>
        <w:rPr>
          <w:rFonts w:ascii="David" w:hAnsi="David"/>
          <w:rtl/>
          <w:lang w:eastAsia="he-IL"/>
        </w:rPr>
        <w:t xml:space="preserve">– הנאשם יחתום על התחייבות בסך 3,000 ש"ח להימנע משך 3 שנים מביצוע עבירות אלימות כלפי בת זוג. </w:t>
      </w:r>
    </w:p>
    <w:p w14:paraId="4C4960FC" w14:textId="77777777" w:rsidR="007F7F6B" w:rsidRDefault="007F7F6B" w:rsidP="007F7F6B">
      <w:pPr>
        <w:spacing w:line="360" w:lineRule="auto"/>
        <w:ind w:firstLine="360"/>
        <w:jc w:val="both"/>
        <w:rPr>
          <w:b/>
          <w:bCs/>
          <w:rtl/>
          <w:lang w:eastAsia="he-IL"/>
        </w:rPr>
      </w:pPr>
    </w:p>
    <w:p w14:paraId="361A8B19" w14:textId="77777777" w:rsidR="007F7F6B" w:rsidRDefault="007F7F6B" w:rsidP="007F7F6B">
      <w:pPr>
        <w:spacing w:line="360" w:lineRule="auto"/>
        <w:ind w:firstLine="360"/>
        <w:jc w:val="both"/>
        <w:rPr>
          <w:rtl/>
          <w:lang w:eastAsia="he-IL"/>
        </w:rPr>
      </w:pPr>
      <w:r>
        <w:rPr>
          <w:b/>
          <w:bCs/>
          <w:rtl/>
          <w:lang w:eastAsia="he-IL"/>
        </w:rPr>
        <w:t xml:space="preserve">מוצגים – </w:t>
      </w:r>
      <w:r>
        <w:rPr>
          <w:rtl/>
          <w:lang w:eastAsia="he-IL"/>
        </w:rPr>
        <w:t xml:space="preserve">כל המוצגים יושמדו/יחולטו/יושבו, לשיקול דעת המאשימה. </w:t>
      </w:r>
    </w:p>
    <w:p w14:paraId="335718F9" w14:textId="77777777" w:rsidR="007F7F6B" w:rsidRDefault="007F7F6B" w:rsidP="007F7F6B">
      <w:pPr>
        <w:spacing w:line="360" w:lineRule="auto"/>
        <w:ind w:firstLine="360"/>
        <w:jc w:val="both"/>
        <w:rPr>
          <w:rtl/>
          <w:lang w:eastAsia="he-IL"/>
        </w:rPr>
      </w:pPr>
    </w:p>
    <w:p w14:paraId="2F65C899" w14:textId="77777777" w:rsidR="007F7F6B" w:rsidRDefault="007F7F6B" w:rsidP="007F7F6B">
      <w:pPr>
        <w:spacing w:line="360" w:lineRule="auto"/>
        <w:jc w:val="both"/>
        <w:rPr>
          <w:rFonts w:ascii="David" w:hAnsi="David"/>
          <w:b/>
          <w:bCs/>
          <w:rtl/>
        </w:rPr>
      </w:pPr>
    </w:p>
    <w:p w14:paraId="6ECD5BA3" w14:textId="77777777" w:rsidR="007F7F6B" w:rsidRDefault="007F7F6B" w:rsidP="007F7F6B">
      <w:pPr>
        <w:spacing w:line="360" w:lineRule="auto"/>
        <w:ind w:left="510"/>
        <w:jc w:val="both"/>
        <w:rPr>
          <w:rFonts w:ascii="David" w:hAnsi="David"/>
          <w:b/>
          <w:bCs/>
        </w:rPr>
      </w:pPr>
      <w:r>
        <w:rPr>
          <w:rFonts w:ascii="David" w:hAnsi="David"/>
          <w:b/>
          <w:bCs/>
          <w:rtl/>
        </w:rPr>
        <w:t xml:space="preserve">זכות ערעור לבית המשפט המחוזי בבאר שבע תוך 45 ימים. </w:t>
      </w:r>
    </w:p>
    <w:p w14:paraId="5741760C" w14:textId="77777777" w:rsidR="007F7F6B" w:rsidRPr="004C5178" w:rsidRDefault="004C5178" w:rsidP="007F7F6B">
      <w:pPr>
        <w:rPr>
          <w:rFonts w:ascii="Arial" w:hAnsi="Arial"/>
          <w:b/>
          <w:bCs/>
          <w:color w:val="FFFFFF"/>
          <w:sz w:val="2"/>
          <w:szCs w:val="2"/>
          <w:rtl/>
        </w:rPr>
      </w:pPr>
      <w:r w:rsidRPr="004C5178">
        <w:rPr>
          <w:rFonts w:ascii="Arial" w:hAnsi="Arial"/>
          <w:b/>
          <w:bCs/>
          <w:color w:val="FFFFFF"/>
          <w:sz w:val="2"/>
          <w:szCs w:val="2"/>
          <w:rtl/>
        </w:rPr>
        <w:t>5129371</w:t>
      </w:r>
    </w:p>
    <w:p w14:paraId="055A91B0" w14:textId="77777777" w:rsidR="007F7F6B" w:rsidRPr="004C5178" w:rsidRDefault="004C5178" w:rsidP="007F7F6B">
      <w:pPr>
        <w:rPr>
          <w:rFonts w:ascii="Arial" w:hAnsi="Arial"/>
          <w:b/>
          <w:bCs/>
          <w:color w:val="FFFFFF"/>
          <w:sz w:val="2"/>
          <w:szCs w:val="2"/>
          <w:rtl/>
        </w:rPr>
      </w:pPr>
      <w:r w:rsidRPr="004C5178">
        <w:rPr>
          <w:rFonts w:ascii="Arial" w:hAnsi="Arial"/>
          <w:b/>
          <w:bCs/>
          <w:color w:val="FFFFFF"/>
          <w:sz w:val="2"/>
          <w:szCs w:val="2"/>
          <w:rtl/>
        </w:rPr>
        <w:t>54678313</w:t>
      </w:r>
    </w:p>
    <w:p w14:paraId="7E93D2EB" w14:textId="77777777" w:rsidR="007F7F6B" w:rsidRPr="000F2247" w:rsidRDefault="007F7F6B" w:rsidP="007F7F6B">
      <w:pPr>
        <w:rPr>
          <w:rFonts w:ascii="Arial" w:hAnsi="Arial"/>
          <w:b/>
          <w:bCs/>
          <w:sz w:val="26"/>
          <w:szCs w:val="26"/>
          <w:rtl/>
        </w:rPr>
      </w:pPr>
    </w:p>
    <w:p w14:paraId="080F743D" w14:textId="77777777" w:rsidR="007F7F6B" w:rsidRPr="000F2247" w:rsidRDefault="004C5178" w:rsidP="007F7F6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י"ג אלול תשפ"ד, 16 ספטמבר 2024, בנוכחות הצדדים. </w:t>
      </w:r>
      <w:bookmarkEnd w:id="8"/>
      <w:r w:rsidR="007F7F6B">
        <w:rPr>
          <w:rFonts w:ascii="Arial" w:hAnsi="Arial"/>
          <w:b/>
          <w:bCs/>
          <w:sz w:val="26"/>
          <w:szCs w:val="26"/>
          <w:rtl/>
        </w:rPr>
        <w:tab/>
      </w:r>
      <w:r w:rsidR="007F7F6B">
        <w:rPr>
          <w:rFonts w:ascii="Arial" w:hAnsi="Arial"/>
          <w:b/>
          <w:bCs/>
          <w:sz w:val="26"/>
          <w:szCs w:val="26"/>
          <w:rtl/>
        </w:rPr>
        <w:tab/>
      </w:r>
      <w:r w:rsidR="007F7F6B">
        <w:rPr>
          <w:rFonts w:ascii="Arial" w:hAnsi="Arial"/>
          <w:b/>
          <w:bCs/>
          <w:sz w:val="26"/>
          <w:szCs w:val="26"/>
          <w:rtl/>
        </w:rPr>
        <w:tab/>
      </w:r>
      <w:r w:rsidR="007F7F6B">
        <w:rPr>
          <w:rFonts w:ascii="Arial" w:hAnsi="Arial"/>
          <w:b/>
          <w:bCs/>
          <w:sz w:val="26"/>
          <w:szCs w:val="26"/>
          <w:rtl/>
        </w:rPr>
        <w:tab/>
      </w:r>
      <w:r w:rsidR="007F7F6B">
        <w:rPr>
          <w:rFonts w:ascii="Arial" w:hAnsi="Arial"/>
          <w:b/>
          <w:bCs/>
          <w:sz w:val="26"/>
          <w:szCs w:val="26"/>
          <w:rtl/>
        </w:rPr>
        <w:tab/>
      </w:r>
      <w:r w:rsidR="007F7F6B">
        <w:rPr>
          <w:rFonts w:ascii="Arial" w:hAnsi="Arial"/>
          <w:b/>
          <w:bCs/>
          <w:sz w:val="26"/>
          <w:szCs w:val="26"/>
          <w:rtl/>
        </w:rPr>
        <w:tab/>
      </w:r>
      <w:r w:rsidR="007F7F6B">
        <w:rPr>
          <w:rFonts w:ascii="Arial" w:hAnsi="Arial"/>
          <w:b/>
          <w:bCs/>
          <w:sz w:val="26"/>
          <w:szCs w:val="26"/>
          <w:rtl/>
        </w:rPr>
        <w:tab/>
      </w:r>
      <w:r w:rsidR="007F7F6B">
        <w:rPr>
          <w:rFonts w:ascii="Arial" w:hAnsi="Arial" w:hint="cs"/>
          <w:b/>
          <w:bCs/>
          <w:sz w:val="26"/>
          <w:szCs w:val="26"/>
          <w:rtl/>
        </w:rPr>
        <w:t xml:space="preserve">         </w:t>
      </w:r>
    </w:p>
    <w:p w14:paraId="53EB0D2B" w14:textId="77777777" w:rsidR="004C5178" w:rsidRDefault="004C5178" w:rsidP="004C5178">
      <w:pPr>
        <w:rPr>
          <w:rtl/>
        </w:rPr>
      </w:pPr>
    </w:p>
    <w:p w14:paraId="7B650F9F" w14:textId="77777777" w:rsidR="004C5178" w:rsidRDefault="004C5178" w:rsidP="004C5178">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p>
    <w:p w14:paraId="6F154144" w14:textId="77777777" w:rsidR="00650987" w:rsidRPr="00650987" w:rsidRDefault="00650987" w:rsidP="00650987">
      <w:pPr>
        <w:keepNext/>
        <w:rPr>
          <w:rFonts w:ascii="David" w:hAnsi="David"/>
          <w:color w:val="000000"/>
          <w:sz w:val="22"/>
          <w:szCs w:val="22"/>
          <w:rtl/>
        </w:rPr>
      </w:pPr>
    </w:p>
    <w:p w14:paraId="1D75CD4F" w14:textId="77777777" w:rsidR="00650987" w:rsidRPr="00650987" w:rsidRDefault="00650987" w:rsidP="00650987">
      <w:pPr>
        <w:keepNext/>
        <w:rPr>
          <w:rFonts w:ascii="David" w:hAnsi="David"/>
          <w:color w:val="000000"/>
          <w:sz w:val="22"/>
          <w:szCs w:val="22"/>
          <w:rtl/>
        </w:rPr>
      </w:pPr>
      <w:r w:rsidRPr="00650987">
        <w:rPr>
          <w:rFonts w:ascii="David" w:hAnsi="David"/>
          <w:color w:val="000000"/>
          <w:sz w:val="22"/>
          <w:szCs w:val="22"/>
          <w:rtl/>
        </w:rPr>
        <w:t>גיל אדלמן 54678313-/</w:t>
      </w:r>
    </w:p>
    <w:p w14:paraId="4B521010" w14:textId="77777777" w:rsidR="004C5178" w:rsidRPr="004C5178" w:rsidRDefault="00650987" w:rsidP="00650987">
      <w:pPr>
        <w:rPr>
          <w:color w:val="0000FF"/>
          <w:u w:val="single"/>
        </w:rPr>
      </w:pPr>
      <w:r w:rsidRPr="00650987">
        <w:rPr>
          <w:color w:val="000000"/>
          <w:u w:val="single"/>
          <w:rtl/>
        </w:rPr>
        <w:t>נוסח מסמך זה כפוף לשינויי ניסוח ועריכה</w:t>
      </w:r>
    </w:p>
    <w:sectPr w:rsidR="004C5178" w:rsidRPr="004C5178" w:rsidSect="00650987">
      <w:headerReference w:type="even" r:id="rId60"/>
      <w:headerReference w:type="default" r:id="rId61"/>
      <w:footerReference w:type="even" r:id="rId62"/>
      <w:footerReference w:type="default" r:id="rId6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C0235" w14:textId="77777777" w:rsidR="00FF2FEE" w:rsidRDefault="00FF2FEE" w:rsidP="00CC671F">
      <w:r>
        <w:separator/>
      </w:r>
    </w:p>
  </w:endnote>
  <w:endnote w:type="continuationSeparator" w:id="0">
    <w:p w14:paraId="6B5C20F3" w14:textId="77777777" w:rsidR="00FF2FEE" w:rsidRDefault="00FF2FEE" w:rsidP="00CC6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AF759" w14:textId="77777777" w:rsidR="00650987" w:rsidRDefault="00650987" w:rsidP="0065098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0A0052D" w14:textId="77777777" w:rsidR="00A04569" w:rsidRPr="00650987" w:rsidRDefault="00650987" w:rsidP="00650987">
    <w:pPr>
      <w:pStyle w:val="a5"/>
      <w:pBdr>
        <w:top w:val="single" w:sz="4" w:space="1" w:color="auto"/>
        <w:between w:val="single" w:sz="4" w:space="0" w:color="auto"/>
      </w:pBdr>
      <w:spacing w:after="60"/>
      <w:jc w:val="center"/>
      <w:rPr>
        <w:rFonts w:ascii="FrankRuehl" w:hAnsi="FrankRuehl" w:cs="FrankRuehl"/>
        <w:color w:val="000000"/>
      </w:rPr>
    </w:pPr>
    <w:r w:rsidRPr="0065098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EF63A" w14:textId="77777777" w:rsidR="00650987" w:rsidRDefault="00650987" w:rsidP="0065098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7316E">
      <w:rPr>
        <w:rFonts w:ascii="FrankRuehl" w:hAnsi="FrankRuehl" w:cs="FrankRuehl"/>
        <w:noProof/>
        <w:rtl/>
      </w:rPr>
      <w:t>1</w:t>
    </w:r>
    <w:r>
      <w:rPr>
        <w:rFonts w:ascii="FrankRuehl" w:hAnsi="FrankRuehl" w:cs="FrankRuehl"/>
        <w:rtl/>
      </w:rPr>
      <w:fldChar w:fldCharType="end"/>
    </w:r>
  </w:p>
  <w:p w14:paraId="0348C91B" w14:textId="77777777" w:rsidR="00A04569" w:rsidRPr="00650987" w:rsidRDefault="00650987" w:rsidP="00650987">
    <w:pPr>
      <w:pStyle w:val="a5"/>
      <w:pBdr>
        <w:top w:val="single" w:sz="4" w:space="1" w:color="auto"/>
        <w:between w:val="single" w:sz="4" w:space="0" w:color="auto"/>
      </w:pBdr>
      <w:spacing w:after="60"/>
      <w:jc w:val="center"/>
      <w:rPr>
        <w:rFonts w:ascii="FrankRuehl" w:hAnsi="FrankRuehl" w:cs="FrankRuehl"/>
        <w:color w:val="000000"/>
      </w:rPr>
    </w:pPr>
    <w:r w:rsidRPr="00650987">
      <w:rPr>
        <w:rFonts w:ascii="FrankRuehl" w:hAnsi="FrankRuehl" w:cs="FrankRuehl"/>
        <w:color w:val="000000"/>
      </w:rPr>
      <w:pict w14:anchorId="088FE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36966" w14:textId="77777777" w:rsidR="00FF2FEE" w:rsidRDefault="00FF2FEE" w:rsidP="00CC671F">
      <w:r>
        <w:separator/>
      </w:r>
    </w:p>
  </w:footnote>
  <w:footnote w:type="continuationSeparator" w:id="0">
    <w:p w14:paraId="45C0B4E7" w14:textId="77777777" w:rsidR="00FF2FEE" w:rsidRDefault="00FF2FEE" w:rsidP="00CC67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21C7F" w14:textId="77777777" w:rsidR="004C5178" w:rsidRPr="00650987" w:rsidRDefault="00650987" w:rsidP="0065098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27373-07-20</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D632D" w14:textId="77777777" w:rsidR="004C5178" w:rsidRPr="00650987" w:rsidRDefault="00650987" w:rsidP="0065098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27373-07-20</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E5FFA"/>
    <w:multiLevelType w:val="hybridMultilevel"/>
    <w:tmpl w:val="A2AC53C2"/>
    <w:lvl w:ilvl="0" w:tplc="C414DE44">
      <w:start w:val="1"/>
      <w:numFmt w:val="decimal"/>
      <w:lvlText w:val="%1."/>
      <w:lvlJc w:val="left"/>
      <w:pPr>
        <w:ind w:left="360" w:hanging="360"/>
      </w:pPr>
      <w:rPr>
        <w:rFonts w:ascii="David" w:hAnsi="David" w:cs="David" w:hint="default"/>
        <w:b w:val="0"/>
        <w:bCs w:val="0"/>
        <w:color w:val="auto"/>
        <w:sz w:val="24"/>
        <w:szCs w:val="24"/>
      </w:rPr>
    </w:lvl>
    <w:lvl w:ilvl="1" w:tplc="8FAE7726">
      <w:start w:val="1"/>
      <w:numFmt w:val="hebrew1"/>
      <w:lvlText w:val="%2."/>
      <w:lvlJc w:val="center"/>
      <w:pPr>
        <w:ind w:left="1080" w:hanging="360"/>
      </w:pPr>
    </w:lvl>
    <w:lvl w:ilvl="2" w:tplc="58842AB0">
      <w:start w:val="1"/>
      <w:numFmt w:val="lowerRoman"/>
      <w:lvlText w:val="%3."/>
      <w:lvlJc w:val="right"/>
      <w:pPr>
        <w:ind w:left="1800" w:hanging="180"/>
      </w:pPr>
    </w:lvl>
    <w:lvl w:ilvl="3" w:tplc="2698E380">
      <w:start w:val="1"/>
      <w:numFmt w:val="decimal"/>
      <w:lvlText w:val="%4."/>
      <w:lvlJc w:val="left"/>
      <w:pPr>
        <w:ind w:left="2520" w:hanging="360"/>
      </w:pPr>
    </w:lvl>
    <w:lvl w:ilvl="4" w:tplc="402C3F90">
      <w:start w:val="1"/>
      <w:numFmt w:val="lowerLetter"/>
      <w:lvlText w:val="%5."/>
      <w:lvlJc w:val="left"/>
      <w:pPr>
        <w:ind w:left="3240" w:hanging="360"/>
      </w:pPr>
    </w:lvl>
    <w:lvl w:ilvl="5" w:tplc="DE482F34">
      <w:start w:val="1"/>
      <w:numFmt w:val="lowerRoman"/>
      <w:lvlText w:val="%6."/>
      <w:lvlJc w:val="right"/>
      <w:pPr>
        <w:ind w:left="3960" w:hanging="180"/>
      </w:pPr>
    </w:lvl>
    <w:lvl w:ilvl="6" w:tplc="650A924E">
      <w:start w:val="1"/>
      <w:numFmt w:val="decimal"/>
      <w:lvlText w:val="%7."/>
      <w:lvlJc w:val="left"/>
      <w:pPr>
        <w:ind w:left="4680" w:hanging="360"/>
      </w:pPr>
    </w:lvl>
    <w:lvl w:ilvl="7" w:tplc="5C64F936">
      <w:start w:val="1"/>
      <w:numFmt w:val="lowerLetter"/>
      <w:lvlText w:val="%8."/>
      <w:lvlJc w:val="left"/>
      <w:pPr>
        <w:ind w:left="5400" w:hanging="360"/>
      </w:pPr>
    </w:lvl>
    <w:lvl w:ilvl="8" w:tplc="4A4CD1CE">
      <w:start w:val="1"/>
      <w:numFmt w:val="lowerRoman"/>
      <w:lvlText w:val="%9."/>
      <w:lvlJc w:val="right"/>
      <w:pPr>
        <w:ind w:left="6120" w:hanging="180"/>
      </w:pPr>
    </w:lvl>
  </w:abstractNum>
  <w:abstractNum w:abstractNumId="1" w15:restartNumberingAfterBreak="0">
    <w:nsid w:val="43195ECA"/>
    <w:multiLevelType w:val="hybridMultilevel"/>
    <w:tmpl w:val="71F8A674"/>
    <w:lvl w:ilvl="0" w:tplc="3E6049FA">
      <w:start w:val="1"/>
      <w:numFmt w:val="bullet"/>
      <w:lvlText w:val=""/>
      <w:lvlJc w:val="left"/>
      <w:pPr>
        <w:ind w:left="360" w:hanging="360"/>
      </w:pPr>
      <w:rPr>
        <w:rFonts w:ascii="Wingdings" w:hAnsi="Wingdings" w:hint="default"/>
        <w:color w:val="auto"/>
      </w:rPr>
    </w:lvl>
    <w:lvl w:ilvl="1" w:tplc="DF5C6FB0">
      <w:start w:val="1"/>
      <w:numFmt w:val="bullet"/>
      <w:lvlText w:val="o"/>
      <w:lvlJc w:val="left"/>
      <w:pPr>
        <w:ind w:left="1080" w:hanging="360"/>
      </w:pPr>
      <w:rPr>
        <w:rFonts w:ascii="Courier New" w:hAnsi="Courier New" w:cs="Courier New" w:hint="default"/>
      </w:rPr>
    </w:lvl>
    <w:lvl w:ilvl="2" w:tplc="2674A198">
      <w:start w:val="1"/>
      <w:numFmt w:val="bullet"/>
      <w:lvlText w:val=""/>
      <w:lvlJc w:val="left"/>
      <w:pPr>
        <w:ind w:left="1800" w:hanging="360"/>
      </w:pPr>
      <w:rPr>
        <w:rFonts w:ascii="Wingdings" w:hAnsi="Wingdings" w:hint="default"/>
      </w:rPr>
    </w:lvl>
    <w:lvl w:ilvl="3" w:tplc="D88E7A84">
      <w:start w:val="1"/>
      <w:numFmt w:val="bullet"/>
      <w:lvlText w:val=""/>
      <w:lvlJc w:val="left"/>
      <w:pPr>
        <w:ind w:left="2520" w:hanging="360"/>
      </w:pPr>
      <w:rPr>
        <w:rFonts w:ascii="Symbol" w:hAnsi="Symbol" w:hint="default"/>
      </w:rPr>
    </w:lvl>
    <w:lvl w:ilvl="4" w:tplc="BCEE8608">
      <w:start w:val="1"/>
      <w:numFmt w:val="bullet"/>
      <w:lvlText w:val="o"/>
      <w:lvlJc w:val="left"/>
      <w:pPr>
        <w:ind w:left="3240" w:hanging="360"/>
      </w:pPr>
      <w:rPr>
        <w:rFonts w:ascii="Courier New" w:hAnsi="Courier New" w:cs="Courier New" w:hint="default"/>
      </w:rPr>
    </w:lvl>
    <w:lvl w:ilvl="5" w:tplc="474C8F24">
      <w:start w:val="1"/>
      <w:numFmt w:val="bullet"/>
      <w:lvlText w:val=""/>
      <w:lvlJc w:val="left"/>
      <w:pPr>
        <w:ind w:left="3960" w:hanging="360"/>
      </w:pPr>
      <w:rPr>
        <w:rFonts w:ascii="Wingdings" w:hAnsi="Wingdings" w:hint="default"/>
      </w:rPr>
    </w:lvl>
    <w:lvl w:ilvl="6" w:tplc="03A6776A">
      <w:start w:val="1"/>
      <w:numFmt w:val="bullet"/>
      <w:lvlText w:val=""/>
      <w:lvlJc w:val="left"/>
      <w:pPr>
        <w:ind w:left="4680" w:hanging="360"/>
      </w:pPr>
      <w:rPr>
        <w:rFonts w:ascii="Symbol" w:hAnsi="Symbol" w:hint="default"/>
      </w:rPr>
    </w:lvl>
    <w:lvl w:ilvl="7" w:tplc="974CDD28">
      <w:start w:val="1"/>
      <w:numFmt w:val="bullet"/>
      <w:lvlText w:val="o"/>
      <w:lvlJc w:val="left"/>
      <w:pPr>
        <w:ind w:left="5400" w:hanging="360"/>
      </w:pPr>
      <w:rPr>
        <w:rFonts w:ascii="Courier New" w:hAnsi="Courier New" w:cs="Courier New" w:hint="default"/>
      </w:rPr>
    </w:lvl>
    <w:lvl w:ilvl="8" w:tplc="D076BB66">
      <w:start w:val="1"/>
      <w:numFmt w:val="bullet"/>
      <w:lvlText w:val=""/>
      <w:lvlJc w:val="left"/>
      <w:pPr>
        <w:ind w:left="6120" w:hanging="360"/>
      </w:pPr>
      <w:rPr>
        <w:rFonts w:ascii="Wingdings" w:hAnsi="Wingdings" w:hint="default"/>
      </w:rPr>
    </w:lvl>
  </w:abstractNum>
  <w:abstractNum w:abstractNumId="2" w15:restartNumberingAfterBreak="0">
    <w:nsid w:val="558D5CDA"/>
    <w:multiLevelType w:val="hybridMultilevel"/>
    <w:tmpl w:val="64F45056"/>
    <w:lvl w:ilvl="0" w:tplc="7E1C689E">
      <w:start w:val="1"/>
      <w:numFmt w:val="hebrew1"/>
      <w:lvlText w:val="%1."/>
      <w:lvlJc w:val="left"/>
      <w:pPr>
        <w:ind w:left="360" w:hanging="360"/>
      </w:pPr>
      <w:rPr>
        <w:rFonts w:ascii="David" w:hAnsi="David" w:cs="David" w:hint="default"/>
        <w:b/>
        <w:sz w:val="24"/>
        <w:szCs w:val="24"/>
      </w:rPr>
    </w:lvl>
    <w:lvl w:ilvl="1" w:tplc="140A2240">
      <w:start w:val="1"/>
      <w:numFmt w:val="lowerLetter"/>
      <w:lvlText w:val="%2."/>
      <w:lvlJc w:val="left"/>
      <w:pPr>
        <w:ind w:left="1080" w:hanging="360"/>
      </w:pPr>
    </w:lvl>
    <w:lvl w:ilvl="2" w:tplc="636CA908">
      <w:start w:val="1"/>
      <w:numFmt w:val="lowerRoman"/>
      <w:lvlText w:val="%3."/>
      <w:lvlJc w:val="right"/>
      <w:pPr>
        <w:ind w:left="1800" w:hanging="180"/>
      </w:pPr>
    </w:lvl>
    <w:lvl w:ilvl="3" w:tplc="213655DA">
      <w:start w:val="1"/>
      <w:numFmt w:val="decimal"/>
      <w:lvlText w:val="%4."/>
      <w:lvlJc w:val="left"/>
      <w:pPr>
        <w:ind w:left="2520" w:hanging="360"/>
      </w:pPr>
    </w:lvl>
    <w:lvl w:ilvl="4" w:tplc="F32EBF64">
      <w:start w:val="1"/>
      <w:numFmt w:val="lowerLetter"/>
      <w:lvlText w:val="%5."/>
      <w:lvlJc w:val="left"/>
      <w:pPr>
        <w:ind w:left="3240" w:hanging="360"/>
      </w:pPr>
    </w:lvl>
    <w:lvl w:ilvl="5" w:tplc="D51AD948">
      <w:start w:val="1"/>
      <w:numFmt w:val="lowerRoman"/>
      <w:lvlText w:val="%6."/>
      <w:lvlJc w:val="right"/>
      <w:pPr>
        <w:ind w:left="3960" w:hanging="180"/>
      </w:pPr>
    </w:lvl>
    <w:lvl w:ilvl="6" w:tplc="2E9EF2BA">
      <w:start w:val="1"/>
      <w:numFmt w:val="decimal"/>
      <w:lvlText w:val="%7."/>
      <w:lvlJc w:val="left"/>
      <w:pPr>
        <w:ind w:left="4680" w:hanging="360"/>
      </w:pPr>
    </w:lvl>
    <w:lvl w:ilvl="7" w:tplc="9312BF38">
      <w:start w:val="1"/>
      <w:numFmt w:val="lowerLetter"/>
      <w:lvlText w:val="%8."/>
      <w:lvlJc w:val="left"/>
      <w:pPr>
        <w:ind w:left="5400" w:hanging="360"/>
      </w:pPr>
    </w:lvl>
    <w:lvl w:ilvl="8" w:tplc="53B0E3FA">
      <w:start w:val="1"/>
      <w:numFmt w:val="lowerRoman"/>
      <w:lvlText w:val="%9."/>
      <w:lvlJc w:val="right"/>
      <w:pPr>
        <w:ind w:left="6120" w:hanging="180"/>
      </w:pPr>
    </w:lvl>
  </w:abstractNum>
  <w:abstractNum w:abstractNumId="3" w15:restartNumberingAfterBreak="0">
    <w:nsid w:val="5D124CDA"/>
    <w:multiLevelType w:val="hybridMultilevel"/>
    <w:tmpl w:val="67466C26"/>
    <w:lvl w:ilvl="0" w:tplc="1068BCE6">
      <w:start w:val="1"/>
      <w:numFmt w:val="bullet"/>
      <w:lvlText w:val=""/>
      <w:lvlJc w:val="left"/>
      <w:pPr>
        <w:ind w:left="360" w:hanging="360"/>
      </w:pPr>
      <w:rPr>
        <w:rFonts w:ascii="Wingdings" w:hAnsi="Wingdings" w:hint="default"/>
        <w:color w:val="auto"/>
      </w:rPr>
    </w:lvl>
    <w:lvl w:ilvl="1" w:tplc="40C4EEC4">
      <w:start w:val="1"/>
      <w:numFmt w:val="bullet"/>
      <w:lvlText w:val="o"/>
      <w:lvlJc w:val="left"/>
      <w:pPr>
        <w:ind w:left="1080" w:hanging="360"/>
      </w:pPr>
      <w:rPr>
        <w:rFonts w:ascii="Courier New" w:hAnsi="Courier New" w:cs="Courier New" w:hint="default"/>
      </w:rPr>
    </w:lvl>
    <w:lvl w:ilvl="2" w:tplc="80BAE856">
      <w:start w:val="1"/>
      <w:numFmt w:val="bullet"/>
      <w:lvlText w:val=""/>
      <w:lvlJc w:val="left"/>
      <w:pPr>
        <w:ind w:left="1800" w:hanging="360"/>
      </w:pPr>
      <w:rPr>
        <w:rFonts w:ascii="Wingdings" w:hAnsi="Wingdings" w:hint="default"/>
      </w:rPr>
    </w:lvl>
    <w:lvl w:ilvl="3" w:tplc="C49AE768">
      <w:start w:val="1"/>
      <w:numFmt w:val="bullet"/>
      <w:lvlText w:val=""/>
      <w:lvlJc w:val="left"/>
      <w:pPr>
        <w:ind w:left="2520" w:hanging="360"/>
      </w:pPr>
      <w:rPr>
        <w:rFonts w:ascii="Symbol" w:hAnsi="Symbol" w:hint="default"/>
      </w:rPr>
    </w:lvl>
    <w:lvl w:ilvl="4" w:tplc="4496BCFC">
      <w:start w:val="1"/>
      <w:numFmt w:val="bullet"/>
      <w:lvlText w:val="o"/>
      <w:lvlJc w:val="left"/>
      <w:pPr>
        <w:ind w:left="3240" w:hanging="360"/>
      </w:pPr>
      <w:rPr>
        <w:rFonts w:ascii="Courier New" w:hAnsi="Courier New" w:cs="Courier New" w:hint="default"/>
      </w:rPr>
    </w:lvl>
    <w:lvl w:ilvl="5" w:tplc="C3FE5F52">
      <w:start w:val="1"/>
      <w:numFmt w:val="bullet"/>
      <w:lvlText w:val=""/>
      <w:lvlJc w:val="left"/>
      <w:pPr>
        <w:ind w:left="3960" w:hanging="360"/>
      </w:pPr>
      <w:rPr>
        <w:rFonts w:ascii="Wingdings" w:hAnsi="Wingdings" w:hint="default"/>
      </w:rPr>
    </w:lvl>
    <w:lvl w:ilvl="6" w:tplc="4C64FB24">
      <w:start w:val="1"/>
      <w:numFmt w:val="bullet"/>
      <w:lvlText w:val=""/>
      <w:lvlJc w:val="left"/>
      <w:pPr>
        <w:ind w:left="4680" w:hanging="360"/>
      </w:pPr>
      <w:rPr>
        <w:rFonts w:ascii="Symbol" w:hAnsi="Symbol" w:hint="default"/>
      </w:rPr>
    </w:lvl>
    <w:lvl w:ilvl="7" w:tplc="55A64C1E">
      <w:start w:val="1"/>
      <w:numFmt w:val="bullet"/>
      <w:lvlText w:val="o"/>
      <w:lvlJc w:val="left"/>
      <w:pPr>
        <w:ind w:left="5400" w:hanging="360"/>
      </w:pPr>
      <w:rPr>
        <w:rFonts w:ascii="Courier New" w:hAnsi="Courier New" w:cs="Courier New" w:hint="default"/>
      </w:rPr>
    </w:lvl>
    <w:lvl w:ilvl="8" w:tplc="6CF450BE">
      <w:start w:val="1"/>
      <w:numFmt w:val="bullet"/>
      <w:lvlText w:val=""/>
      <w:lvlJc w:val="left"/>
      <w:pPr>
        <w:ind w:left="6120" w:hanging="360"/>
      </w:pPr>
      <w:rPr>
        <w:rFonts w:ascii="Wingdings" w:hAnsi="Wingdings" w:hint="default"/>
      </w:rPr>
    </w:lvl>
  </w:abstractNum>
  <w:num w:numId="1" w16cid:durableId="8652914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0083463">
    <w:abstractNumId w:val="3"/>
  </w:num>
  <w:num w:numId="3" w16cid:durableId="2051831899">
    <w:abstractNumId w:val="1"/>
  </w:num>
  <w:num w:numId="4" w16cid:durableId="215150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F7F6B"/>
    <w:rsid w:val="000D7DAC"/>
    <w:rsid w:val="001B5A3B"/>
    <w:rsid w:val="00241E7A"/>
    <w:rsid w:val="004C5178"/>
    <w:rsid w:val="00524EA1"/>
    <w:rsid w:val="005C252F"/>
    <w:rsid w:val="00650987"/>
    <w:rsid w:val="00727B3E"/>
    <w:rsid w:val="00731B62"/>
    <w:rsid w:val="007F7F6B"/>
    <w:rsid w:val="00A04569"/>
    <w:rsid w:val="00CC671F"/>
    <w:rsid w:val="00D7316E"/>
    <w:rsid w:val="00D95857"/>
    <w:rsid w:val="00DF2EAE"/>
    <w:rsid w:val="00DF6CD4"/>
    <w:rsid w:val="00FF2F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23BB5D"/>
  <w15:chartTrackingRefBased/>
  <w15:docId w15:val="{04A6F78F-A404-4A2B-A403-9A0ACF0F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F7F6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F7F6B"/>
    <w:pPr>
      <w:tabs>
        <w:tab w:val="center" w:pos="4153"/>
        <w:tab w:val="right" w:pos="8306"/>
      </w:tabs>
    </w:pPr>
  </w:style>
  <w:style w:type="character" w:customStyle="1" w:styleId="a4">
    <w:name w:val="כותרת עליונה תו"/>
    <w:link w:val="a3"/>
    <w:rsid w:val="007F7F6B"/>
    <w:rPr>
      <w:rFonts w:ascii="Times New Roman" w:eastAsia="Times New Roman" w:hAnsi="Times New Roman" w:cs="David"/>
      <w:sz w:val="24"/>
      <w:szCs w:val="24"/>
    </w:rPr>
  </w:style>
  <w:style w:type="paragraph" w:styleId="a5">
    <w:name w:val="footer"/>
    <w:basedOn w:val="a"/>
    <w:link w:val="a6"/>
    <w:rsid w:val="007F7F6B"/>
    <w:pPr>
      <w:tabs>
        <w:tab w:val="center" w:pos="4153"/>
        <w:tab w:val="right" w:pos="8306"/>
      </w:tabs>
    </w:pPr>
  </w:style>
  <w:style w:type="character" w:customStyle="1" w:styleId="a6">
    <w:name w:val="כותרת תחתונה תו"/>
    <w:link w:val="a5"/>
    <w:rsid w:val="007F7F6B"/>
    <w:rPr>
      <w:rFonts w:ascii="Times New Roman" w:eastAsia="Times New Roman" w:hAnsi="Times New Roman" w:cs="David"/>
      <w:sz w:val="24"/>
      <w:szCs w:val="24"/>
    </w:rPr>
  </w:style>
  <w:style w:type="table" w:styleId="a7">
    <w:name w:val="Table Grid"/>
    <w:basedOn w:val="a1"/>
    <w:rsid w:val="007F7F6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F7F6B"/>
  </w:style>
  <w:style w:type="character" w:customStyle="1" w:styleId="a9">
    <w:name w:val="פיסקת רשימה תו"/>
    <w:link w:val="aa"/>
    <w:locked/>
    <w:rsid w:val="007F7F6B"/>
  </w:style>
  <w:style w:type="paragraph" w:styleId="aa">
    <w:name w:val="List Paragraph"/>
    <w:basedOn w:val="a"/>
    <w:link w:val="a9"/>
    <w:qFormat/>
    <w:rsid w:val="007F7F6B"/>
    <w:pPr>
      <w:spacing w:after="160" w:line="252" w:lineRule="auto"/>
      <w:ind w:left="720"/>
      <w:contextualSpacing/>
    </w:pPr>
    <w:rPr>
      <w:rFonts w:ascii="Calibri" w:eastAsia="Calibri" w:hAnsi="Calibri" w:cs="Arial"/>
      <w:sz w:val="22"/>
      <w:szCs w:val="22"/>
    </w:rPr>
  </w:style>
  <w:style w:type="paragraph" w:customStyle="1" w:styleId="David">
    <w:name w:val="סגנון (עברית ושפות אחרות) David מיושר לשני הצדדים מרווח בין שורות..."/>
    <w:basedOn w:val="a"/>
    <w:rsid w:val="007F7F6B"/>
    <w:pPr>
      <w:spacing w:line="360" w:lineRule="auto"/>
      <w:jc w:val="both"/>
    </w:pPr>
  </w:style>
  <w:style w:type="character" w:customStyle="1" w:styleId="ListParagraphChar">
    <w:name w:val="List Paragraph Char"/>
    <w:link w:val="1"/>
    <w:locked/>
    <w:rsid w:val="007F7F6B"/>
    <w:rPr>
      <w:rFonts w:ascii="David" w:hAnsi="David" w:cs="David"/>
      <w:sz w:val="24"/>
    </w:rPr>
  </w:style>
  <w:style w:type="paragraph" w:customStyle="1" w:styleId="1">
    <w:name w:val="פיסקת רשימה1"/>
    <w:basedOn w:val="a"/>
    <w:link w:val="ListParagraphChar"/>
    <w:rsid w:val="007F7F6B"/>
    <w:pPr>
      <w:spacing w:after="160" w:line="360" w:lineRule="auto"/>
      <w:ind w:left="720" w:hanging="357"/>
      <w:contextualSpacing/>
      <w:jc w:val="both"/>
    </w:pPr>
    <w:rPr>
      <w:rFonts w:ascii="David" w:eastAsia="Calibri" w:hAnsi="David"/>
      <w:szCs w:val="22"/>
    </w:rPr>
  </w:style>
  <w:style w:type="character" w:styleId="Hyperlink">
    <w:name w:val="Hyperlink"/>
    <w:rsid w:val="004C51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3093721" TargetMode="External"/><Relationship Id="rId21" Type="http://schemas.openxmlformats.org/officeDocument/2006/relationships/hyperlink" Target="http://www.nevo.co.il/law/4216/7.a" TargetMode="External"/><Relationship Id="rId34" Type="http://schemas.openxmlformats.org/officeDocument/2006/relationships/hyperlink" Target="http://www.nevo.co.il/case/21666049" TargetMode="External"/><Relationship Id="rId42" Type="http://schemas.openxmlformats.org/officeDocument/2006/relationships/hyperlink" Target="http://www.nevo.co.il/case/22938500" TargetMode="External"/><Relationship Id="rId47" Type="http://schemas.openxmlformats.org/officeDocument/2006/relationships/hyperlink" Target="http://www.nevo.co.il/case/23129184" TargetMode="External"/><Relationship Id="rId50" Type="http://schemas.openxmlformats.org/officeDocument/2006/relationships/hyperlink" Target="http://www.nevo.co.il/case/5601394" TargetMode="External"/><Relationship Id="rId55" Type="http://schemas.openxmlformats.org/officeDocument/2006/relationships/hyperlink" Target="http://www.nevo.co.il/law/70301/40d" TargetMode="External"/><Relationship Id="rId63"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case/29090120" TargetMode="External"/><Relationship Id="rId11" Type="http://schemas.openxmlformats.org/officeDocument/2006/relationships/hyperlink" Target="http://www.nevo.co.il/law/70301/382.b" TargetMode="External"/><Relationship Id="rId24" Type="http://schemas.openxmlformats.org/officeDocument/2006/relationships/hyperlink" Target="http://www.nevo.co.il/law/70301/287.a" TargetMode="External"/><Relationship Id="rId32" Type="http://schemas.openxmlformats.org/officeDocument/2006/relationships/hyperlink" Target="http://www.nevo.co.il/case/25677440" TargetMode="External"/><Relationship Id="rId37" Type="http://schemas.openxmlformats.org/officeDocument/2006/relationships/hyperlink" Target="http://www.nevo.co.il/case/25604295" TargetMode="External"/><Relationship Id="rId40" Type="http://schemas.openxmlformats.org/officeDocument/2006/relationships/hyperlink" Target="http://www.nevo.co.il/law/70301/40d" TargetMode="External"/><Relationship Id="rId45" Type="http://schemas.openxmlformats.org/officeDocument/2006/relationships/hyperlink" Target="http://www.nevo.co.il/case/21473565"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26862540"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70301/382.b"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7.c" TargetMode="External"/><Relationship Id="rId27" Type="http://schemas.openxmlformats.org/officeDocument/2006/relationships/hyperlink" Target="http://www.nevo.co.il/case/27330910" TargetMode="External"/><Relationship Id="rId30" Type="http://schemas.openxmlformats.org/officeDocument/2006/relationships/hyperlink" Target="http://www.nevo.co.il/case/29220070" TargetMode="External"/><Relationship Id="rId35" Type="http://schemas.openxmlformats.org/officeDocument/2006/relationships/hyperlink" Target="http://www.nevo.co.il/case/21483050" TargetMode="External"/><Relationship Id="rId43" Type="http://schemas.openxmlformats.org/officeDocument/2006/relationships/hyperlink" Target="http://www.nevo.co.il/case/20009419" TargetMode="External"/><Relationship Id="rId48" Type="http://schemas.openxmlformats.org/officeDocument/2006/relationships/hyperlink" Target="http://www.nevo.co.il/law/70301/40d" TargetMode="External"/><Relationship Id="rId56" Type="http://schemas.openxmlformats.org/officeDocument/2006/relationships/hyperlink" Target="http://www.nevo.co.il/law/70301" TargetMode="External"/><Relationship Id="rId64" Type="http://schemas.openxmlformats.org/officeDocument/2006/relationships/fontTable" Target="fontTable.xml"/><Relationship Id="rId8" Type="http://schemas.openxmlformats.org/officeDocument/2006/relationships/hyperlink" Target="http://www.nevo.co.il/law/70301/40d" TargetMode="External"/><Relationship Id="rId51" Type="http://schemas.openxmlformats.org/officeDocument/2006/relationships/hyperlink" Target="http://www.nevo.co.il/case/20009419" TargetMode="External"/><Relationship Id="rId3" Type="http://schemas.openxmlformats.org/officeDocument/2006/relationships/settings" Target="settings.xml"/><Relationship Id="rId12" Type="http://schemas.openxmlformats.org/officeDocument/2006/relationships/hyperlink" Target="http://www.nevo.co.il/law/70301/382.c" TargetMode="External"/><Relationship Id="rId17" Type="http://schemas.openxmlformats.org/officeDocument/2006/relationships/hyperlink" Target="http://www.nevo.co.il/law/70301/382.c" TargetMode="External"/><Relationship Id="rId25" Type="http://schemas.openxmlformats.org/officeDocument/2006/relationships/hyperlink" Target="http://www.nevo.co.il/case/26862540" TargetMode="External"/><Relationship Id="rId33" Type="http://schemas.openxmlformats.org/officeDocument/2006/relationships/hyperlink" Target="http://www.nevo.co.il/case/22219604" TargetMode="External"/><Relationship Id="rId38" Type="http://schemas.openxmlformats.org/officeDocument/2006/relationships/hyperlink" Target="http://www.nevo.co.il/case/25535279" TargetMode="External"/><Relationship Id="rId46" Type="http://schemas.openxmlformats.org/officeDocument/2006/relationships/hyperlink" Target="http://www.nevo.co.il/case/21476337"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case/28621331"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40d.a"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law/4216" TargetMode="External"/><Relationship Id="rId28" Type="http://schemas.openxmlformats.org/officeDocument/2006/relationships/hyperlink" Target="http://www.nevo.co.il/case/25535279" TargetMode="External"/><Relationship Id="rId36" Type="http://schemas.openxmlformats.org/officeDocument/2006/relationships/hyperlink" Target="http://www.nevo.co.il/case/21297999"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26839760" TargetMode="External"/><Relationship Id="rId10" Type="http://schemas.openxmlformats.org/officeDocument/2006/relationships/hyperlink" Target="http://www.nevo.co.il/law/70301/287.a" TargetMode="External"/><Relationship Id="rId31" Type="http://schemas.openxmlformats.org/officeDocument/2006/relationships/hyperlink" Target="http://www.nevo.co.il/case/28654399" TargetMode="External"/><Relationship Id="rId44" Type="http://schemas.openxmlformats.org/officeDocument/2006/relationships/hyperlink" Target="http://www.nevo.co.il/case/20009419" TargetMode="External"/><Relationship Id="rId52" Type="http://schemas.openxmlformats.org/officeDocument/2006/relationships/hyperlink" Target="http://www.nevo.co.il/law/70301/40ja"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d.a"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39" Type="http://schemas.openxmlformats.org/officeDocument/2006/relationships/hyperlink" Target="http://www.nevo.co.il/case/2281225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4987</Words>
  <Characters>24936</Characters>
  <Application>Microsoft Office Word</Application>
  <DocSecurity>0</DocSecurity>
  <Lines>207</Lines>
  <Paragraphs>59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29864</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3932273</vt:i4>
      </vt:variant>
      <vt:variant>
        <vt:i4>153</vt:i4>
      </vt:variant>
      <vt:variant>
        <vt:i4>0</vt:i4>
      </vt:variant>
      <vt:variant>
        <vt:i4>5</vt:i4>
      </vt:variant>
      <vt:variant>
        <vt:lpwstr>http://www.nevo.co.il/case/26862540</vt:lpwstr>
      </vt:variant>
      <vt:variant>
        <vt:lpwstr/>
      </vt:variant>
      <vt:variant>
        <vt:i4>3473526</vt:i4>
      </vt:variant>
      <vt:variant>
        <vt:i4>150</vt:i4>
      </vt:variant>
      <vt:variant>
        <vt:i4>0</vt:i4>
      </vt:variant>
      <vt:variant>
        <vt:i4>5</vt:i4>
      </vt:variant>
      <vt:variant>
        <vt:lpwstr>http://www.nevo.co.il/case/26839760</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6619233</vt:i4>
      </vt:variant>
      <vt:variant>
        <vt:i4>144</vt:i4>
      </vt:variant>
      <vt:variant>
        <vt:i4>0</vt:i4>
      </vt:variant>
      <vt:variant>
        <vt:i4>5</vt:i4>
      </vt:variant>
      <vt:variant>
        <vt:lpwstr>http://www.nevo.co.il/law/70301/40d</vt:lpwstr>
      </vt:variant>
      <vt:variant>
        <vt:lpwstr/>
      </vt:variant>
      <vt:variant>
        <vt:i4>4915205</vt:i4>
      </vt:variant>
      <vt:variant>
        <vt:i4>141</vt:i4>
      </vt:variant>
      <vt:variant>
        <vt:i4>0</vt:i4>
      </vt:variant>
      <vt:variant>
        <vt:i4>5</vt:i4>
      </vt:variant>
      <vt:variant>
        <vt:lpwstr>http://www.nevo.co.il/law/70301/40d.a</vt:lpwstr>
      </vt:variant>
      <vt:variant>
        <vt:lpwstr/>
      </vt:variant>
      <vt:variant>
        <vt:i4>7995492</vt:i4>
      </vt:variant>
      <vt:variant>
        <vt:i4>138</vt:i4>
      </vt:variant>
      <vt:variant>
        <vt:i4>0</vt:i4>
      </vt:variant>
      <vt:variant>
        <vt:i4>5</vt:i4>
      </vt:variant>
      <vt:variant>
        <vt:lpwstr>http://www.nevo.co.il/law/70301</vt:lpwstr>
      </vt:variant>
      <vt:variant>
        <vt:lpwstr/>
      </vt:variant>
      <vt:variant>
        <vt:i4>262155</vt:i4>
      </vt:variant>
      <vt:variant>
        <vt:i4>135</vt:i4>
      </vt:variant>
      <vt:variant>
        <vt:i4>0</vt:i4>
      </vt:variant>
      <vt:variant>
        <vt:i4>5</vt:i4>
      </vt:variant>
      <vt:variant>
        <vt:lpwstr>http://www.nevo.co.il/law/70301/40ja</vt:lpwstr>
      </vt:variant>
      <vt:variant>
        <vt:lpwstr/>
      </vt:variant>
      <vt:variant>
        <vt:i4>3801200</vt:i4>
      </vt:variant>
      <vt:variant>
        <vt:i4>132</vt:i4>
      </vt:variant>
      <vt:variant>
        <vt:i4>0</vt:i4>
      </vt:variant>
      <vt:variant>
        <vt:i4>5</vt:i4>
      </vt:variant>
      <vt:variant>
        <vt:lpwstr>http://www.nevo.co.il/case/20009419</vt:lpwstr>
      </vt:variant>
      <vt:variant>
        <vt:lpwstr/>
      </vt:variant>
      <vt:variant>
        <vt:i4>3276922</vt:i4>
      </vt:variant>
      <vt:variant>
        <vt:i4>129</vt:i4>
      </vt:variant>
      <vt:variant>
        <vt:i4>0</vt:i4>
      </vt:variant>
      <vt:variant>
        <vt:i4>5</vt:i4>
      </vt:variant>
      <vt:variant>
        <vt:lpwstr>http://www.nevo.co.il/case/5601394</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6619233</vt:i4>
      </vt:variant>
      <vt:variant>
        <vt:i4>123</vt:i4>
      </vt:variant>
      <vt:variant>
        <vt:i4>0</vt:i4>
      </vt:variant>
      <vt:variant>
        <vt:i4>5</vt:i4>
      </vt:variant>
      <vt:variant>
        <vt:lpwstr>http://www.nevo.co.il/law/70301/40d</vt:lpwstr>
      </vt:variant>
      <vt:variant>
        <vt:lpwstr/>
      </vt:variant>
      <vt:variant>
        <vt:i4>3276916</vt:i4>
      </vt:variant>
      <vt:variant>
        <vt:i4>120</vt:i4>
      </vt:variant>
      <vt:variant>
        <vt:i4>0</vt:i4>
      </vt:variant>
      <vt:variant>
        <vt:i4>5</vt:i4>
      </vt:variant>
      <vt:variant>
        <vt:lpwstr>http://www.nevo.co.il/case/23129184</vt:lpwstr>
      </vt:variant>
      <vt:variant>
        <vt:lpwstr/>
      </vt:variant>
      <vt:variant>
        <vt:i4>3342449</vt:i4>
      </vt:variant>
      <vt:variant>
        <vt:i4>117</vt:i4>
      </vt:variant>
      <vt:variant>
        <vt:i4>0</vt:i4>
      </vt:variant>
      <vt:variant>
        <vt:i4>5</vt:i4>
      </vt:variant>
      <vt:variant>
        <vt:lpwstr>http://www.nevo.co.il/case/21476337</vt:lpwstr>
      </vt:variant>
      <vt:variant>
        <vt:lpwstr/>
      </vt:variant>
      <vt:variant>
        <vt:i4>3342455</vt:i4>
      </vt:variant>
      <vt:variant>
        <vt:i4>114</vt:i4>
      </vt:variant>
      <vt:variant>
        <vt:i4>0</vt:i4>
      </vt:variant>
      <vt:variant>
        <vt:i4>5</vt:i4>
      </vt:variant>
      <vt:variant>
        <vt:lpwstr>http://www.nevo.co.il/case/21473565</vt:lpwstr>
      </vt:variant>
      <vt:variant>
        <vt:lpwstr/>
      </vt:variant>
      <vt:variant>
        <vt:i4>3801200</vt:i4>
      </vt:variant>
      <vt:variant>
        <vt:i4>111</vt:i4>
      </vt:variant>
      <vt:variant>
        <vt:i4>0</vt:i4>
      </vt:variant>
      <vt:variant>
        <vt:i4>5</vt:i4>
      </vt:variant>
      <vt:variant>
        <vt:lpwstr>http://www.nevo.co.il/case/20009419</vt:lpwstr>
      </vt:variant>
      <vt:variant>
        <vt:lpwstr/>
      </vt:variant>
      <vt:variant>
        <vt:i4>3801200</vt:i4>
      </vt:variant>
      <vt:variant>
        <vt:i4>108</vt:i4>
      </vt:variant>
      <vt:variant>
        <vt:i4>0</vt:i4>
      </vt:variant>
      <vt:variant>
        <vt:i4>5</vt:i4>
      </vt:variant>
      <vt:variant>
        <vt:lpwstr>http://www.nevo.co.il/case/20009419</vt:lpwstr>
      </vt:variant>
      <vt:variant>
        <vt:lpwstr/>
      </vt:variant>
      <vt:variant>
        <vt:i4>3342448</vt:i4>
      </vt:variant>
      <vt:variant>
        <vt:i4>105</vt:i4>
      </vt:variant>
      <vt:variant>
        <vt:i4>0</vt:i4>
      </vt:variant>
      <vt:variant>
        <vt:i4>5</vt:i4>
      </vt:variant>
      <vt:variant>
        <vt:lpwstr>http://www.nevo.co.il/case/22938500</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http://www.nevo.co.il/law/70301/40d</vt:lpwstr>
      </vt:variant>
      <vt:variant>
        <vt:lpwstr/>
      </vt:variant>
      <vt:variant>
        <vt:i4>3997813</vt:i4>
      </vt:variant>
      <vt:variant>
        <vt:i4>96</vt:i4>
      </vt:variant>
      <vt:variant>
        <vt:i4>0</vt:i4>
      </vt:variant>
      <vt:variant>
        <vt:i4>5</vt:i4>
      </vt:variant>
      <vt:variant>
        <vt:lpwstr>http://www.nevo.co.il/case/22812253</vt:lpwstr>
      </vt:variant>
      <vt:variant>
        <vt:lpwstr/>
      </vt:variant>
      <vt:variant>
        <vt:i4>3473520</vt:i4>
      </vt:variant>
      <vt:variant>
        <vt:i4>93</vt:i4>
      </vt:variant>
      <vt:variant>
        <vt:i4>0</vt:i4>
      </vt:variant>
      <vt:variant>
        <vt:i4>5</vt:i4>
      </vt:variant>
      <vt:variant>
        <vt:lpwstr>http://www.nevo.co.il/case/25535279</vt:lpwstr>
      </vt:variant>
      <vt:variant>
        <vt:lpwstr/>
      </vt:variant>
      <vt:variant>
        <vt:i4>3735667</vt:i4>
      </vt:variant>
      <vt:variant>
        <vt:i4>90</vt:i4>
      </vt:variant>
      <vt:variant>
        <vt:i4>0</vt:i4>
      </vt:variant>
      <vt:variant>
        <vt:i4>5</vt:i4>
      </vt:variant>
      <vt:variant>
        <vt:lpwstr>http://www.nevo.co.il/case/25604295</vt:lpwstr>
      </vt:variant>
      <vt:variant>
        <vt:lpwstr/>
      </vt:variant>
      <vt:variant>
        <vt:i4>4063349</vt:i4>
      </vt:variant>
      <vt:variant>
        <vt:i4>87</vt:i4>
      </vt:variant>
      <vt:variant>
        <vt:i4>0</vt:i4>
      </vt:variant>
      <vt:variant>
        <vt:i4>5</vt:i4>
      </vt:variant>
      <vt:variant>
        <vt:lpwstr>http://www.nevo.co.il/case/21297999</vt:lpwstr>
      </vt:variant>
      <vt:variant>
        <vt:lpwstr/>
      </vt:variant>
      <vt:variant>
        <vt:i4>3145853</vt:i4>
      </vt:variant>
      <vt:variant>
        <vt:i4>84</vt:i4>
      </vt:variant>
      <vt:variant>
        <vt:i4>0</vt:i4>
      </vt:variant>
      <vt:variant>
        <vt:i4>5</vt:i4>
      </vt:variant>
      <vt:variant>
        <vt:lpwstr>http://www.nevo.co.il/case/21483050</vt:lpwstr>
      </vt:variant>
      <vt:variant>
        <vt:lpwstr/>
      </vt:variant>
      <vt:variant>
        <vt:i4>3539059</vt:i4>
      </vt:variant>
      <vt:variant>
        <vt:i4>81</vt:i4>
      </vt:variant>
      <vt:variant>
        <vt:i4>0</vt:i4>
      </vt:variant>
      <vt:variant>
        <vt:i4>5</vt:i4>
      </vt:variant>
      <vt:variant>
        <vt:lpwstr>http://www.nevo.co.il/case/21666049</vt:lpwstr>
      </vt:variant>
      <vt:variant>
        <vt:lpwstr/>
      </vt:variant>
      <vt:variant>
        <vt:i4>3735665</vt:i4>
      </vt:variant>
      <vt:variant>
        <vt:i4>78</vt:i4>
      </vt:variant>
      <vt:variant>
        <vt:i4>0</vt:i4>
      </vt:variant>
      <vt:variant>
        <vt:i4>5</vt:i4>
      </vt:variant>
      <vt:variant>
        <vt:lpwstr>http://www.nevo.co.il/case/22219604</vt:lpwstr>
      </vt:variant>
      <vt:variant>
        <vt:lpwstr/>
      </vt:variant>
      <vt:variant>
        <vt:i4>3604594</vt:i4>
      </vt:variant>
      <vt:variant>
        <vt:i4>75</vt:i4>
      </vt:variant>
      <vt:variant>
        <vt:i4>0</vt:i4>
      </vt:variant>
      <vt:variant>
        <vt:i4>5</vt:i4>
      </vt:variant>
      <vt:variant>
        <vt:lpwstr>http://www.nevo.co.il/case/25677440</vt:lpwstr>
      </vt:variant>
      <vt:variant>
        <vt:lpwstr/>
      </vt:variant>
      <vt:variant>
        <vt:i4>3735674</vt:i4>
      </vt:variant>
      <vt:variant>
        <vt:i4>72</vt:i4>
      </vt:variant>
      <vt:variant>
        <vt:i4>0</vt:i4>
      </vt:variant>
      <vt:variant>
        <vt:i4>5</vt:i4>
      </vt:variant>
      <vt:variant>
        <vt:lpwstr>http://www.nevo.co.il/case/28654399</vt:lpwstr>
      </vt:variant>
      <vt:variant>
        <vt:lpwstr/>
      </vt:variant>
      <vt:variant>
        <vt:i4>3604607</vt:i4>
      </vt:variant>
      <vt:variant>
        <vt:i4>69</vt:i4>
      </vt:variant>
      <vt:variant>
        <vt:i4>0</vt:i4>
      </vt:variant>
      <vt:variant>
        <vt:i4>5</vt:i4>
      </vt:variant>
      <vt:variant>
        <vt:lpwstr>http://www.nevo.co.il/case/29220070</vt:lpwstr>
      </vt:variant>
      <vt:variant>
        <vt:lpwstr/>
      </vt:variant>
      <vt:variant>
        <vt:i4>3145845</vt:i4>
      </vt:variant>
      <vt:variant>
        <vt:i4>66</vt:i4>
      </vt:variant>
      <vt:variant>
        <vt:i4>0</vt:i4>
      </vt:variant>
      <vt:variant>
        <vt:i4>5</vt:i4>
      </vt:variant>
      <vt:variant>
        <vt:lpwstr>http://www.nevo.co.il/case/29090120</vt:lpwstr>
      </vt:variant>
      <vt:variant>
        <vt:lpwstr/>
      </vt:variant>
      <vt:variant>
        <vt:i4>3473520</vt:i4>
      </vt:variant>
      <vt:variant>
        <vt:i4>63</vt:i4>
      </vt:variant>
      <vt:variant>
        <vt:i4>0</vt:i4>
      </vt:variant>
      <vt:variant>
        <vt:i4>5</vt:i4>
      </vt:variant>
      <vt:variant>
        <vt:lpwstr>http://www.nevo.co.il/case/25535279</vt:lpwstr>
      </vt:variant>
      <vt:variant>
        <vt:lpwstr/>
      </vt:variant>
      <vt:variant>
        <vt:i4>3145849</vt:i4>
      </vt:variant>
      <vt:variant>
        <vt:i4>60</vt:i4>
      </vt:variant>
      <vt:variant>
        <vt:i4>0</vt:i4>
      </vt:variant>
      <vt:variant>
        <vt:i4>5</vt:i4>
      </vt:variant>
      <vt:variant>
        <vt:lpwstr>http://www.nevo.co.il/case/27330910</vt:lpwstr>
      </vt:variant>
      <vt:variant>
        <vt:lpwstr/>
      </vt:variant>
      <vt:variant>
        <vt:i4>3145849</vt:i4>
      </vt:variant>
      <vt:variant>
        <vt:i4>57</vt:i4>
      </vt:variant>
      <vt:variant>
        <vt:i4>0</vt:i4>
      </vt:variant>
      <vt:variant>
        <vt:i4>5</vt:i4>
      </vt:variant>
      <vt:variant>
        <vt:lpwstr>http://www.nevo.co.il/case/13093721</vt:lpwstr>
      </vt:variant>
      <vt:variant>
        <vt:lpwstr/>
      </vt:variant>
      <vt:variant>
        <vt:i4>3932273</vt:i4>
      </vt:variant>
      <vt:variant>
        <vt:i4>54</vt:i4>
      </vt:variant>
      <vt:variant>
        <vt:i4>0</vt:i4>
      </vt:variant>
      <vt:variant>
        <vt:i4>5</vt:i4>
      </vt:variant>
      <vt:variant>
        <vt:lpwstr>http://www.nevo.co.il/case/26862540</vt:lpwstr>
      </vt:variant>
      <vt:variant>
        <vt:lpwstr/>
      </vt:variant>
      <vt:variant>
        <vt:i4>4390992</vt:i4>
      </vt:variant>
      <vt:variant>
        <vt:i4>51</vt:i4>
      </vt:variant>
      <vt:variant>
        <vt:i4>0</vt:i4>
      </vt:variant>
      <vt:variant>
        <vt:i4>5</vt:i4>
      </vt:variant>
      <vt:variant>
        <vt:lpwstr>http://www.nevo.co.il/law/70301/287.a</vt:lpwstr>
      </vt:variant>
      <vt:variant>
        <vt:lpwstr/>
      </vt:variant>
      <vt:variant>
        <vt:i4>8257637</vt:i4>
      </vt:variant>
      <vt:variant>
        <vt:i4>48</vt:i4>
      </vt:variant>
      <vt:variant>
        <vt:i4>0</vt:i4>
      </vt:variant>
      <vt:variant>
        <vt:i4>5</vt:i4>
      </vt:variant>
      <vt:variant>
        <vt:lpwstr>http://www.nevo.co.il/law/4216</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3539069</vt:i4>
      </vt:variant>
      <vt:variant>
        <vt:i4>39</vt:i4>
      </vt:variant>
      <vt:variant>
        <vt:i4>0</vt:i4>
      </vt:variant>
      <vt:variant>
        <vt:i4>5</vt:i4>
      </vt:variant>
      <vt:variant>
        <vt:lpwstr>http://www.nevo.co.il/case/28621331</vt:lpwstr>
      </vt:variant>
      <vt:variant>
        <vt:lpwstr/>
      </vt:variant>
      <vt:variant>
        <vt:i4>4390996</vt:i4>
      </vt:variant>
      <vt:variant>
        <vt:i4>36</vt:i4>
      </vt:variant>
      <vt:variant>
        <vt:i4>0</vt:i4>
      </vt:variant>
      <vt:variant>
        <vt:i4>5</vt:i4>
      </vt:variant>
      <vt:variant>
        <vt:lpwstr>http://www.nevo.co.il/law/70301/382.b</vt:lpwstr>
      </vt:variant>
      <vt:variant>
        <vt:lpwstr/>
      </vt:variant>
      <vt:variant>
        <vt:i4>7995492</vt:i4>
      </vt:variant>
      <vt:variant>
        <vt:i4>33</vt:i4>
      </vt:variant>
      <vt:variant>
        <vt:i4>0</vt:i4>
      </vt:variant>
      <vt:variant>
        <vt:i4>5</vt:i4>
      </vt:variant>
      <vt:variant>
        <vt:lpwstr>http://www.nevo.co.il/law/70301</vt:lpwstr>
      </vt:variant>
      <vt:variant>
        <vt:lpwstr/>
      </vt:variant>
      <vt:variant>
        <vt:i4>4390996</vt:i4>
      </vt:variant>
      <vt:variant>
        <vt:i4>30</vt:i4>
      </vt:variant>
      <vt:variant>
        <vt:i4>0</vt:i4>
      </vt:variant>
      <vt:variant>
        <vt:i4>5</vt:i4>
      </vt:variant>
      <vt:variant>
        <vt:lpwstr>http://www.nevo.co.il/law/70301/382.c</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4390996</vt:i4>
      </vt:variant>
      <vt:variant>
        <vt:i4>15</vt:i4>
      </vt:variant>
      <vt:variant>
        <vt:i4>0</vt:i4>
      </vt:variant>
      <vt:variant>
        <vt:i4>5</vt:i4>
      </vt:variant>
      <vt:variant>
        <vt:lpwstr>http://www.nevo.co.il/law/70301/382.c</vt:lpwstr>
      </vt:variant>
      <vt:variant>
        <vt:lpwstr/>
      </vt:variant>
      <vt:variant>
        <vt:i4>4390996</vt:i4>
      </vt:variant>
      <vt:variant>
        <vt:i4>12</vt:i4>
      </vt:variant>
      <vt:variant>
        <vt:i4>0</vt:i4>
      </vt:variant>
      <vt:variant>
        <vt:i4>5</vt:i4>
      </vt:variant>
      <vt:variant>
        <vt:lpwstr>http://www.nevo.co.il/law/70301/382.b</vt:lpwstr>
      </vt:variant>
      <vt:variant>
        <vt:lpwstr/>
      </vt:variant>
      <vt:variant>
        <vt:i4>4390992</vt:i4>
      </vt:variant>
      <vt:variant>
        <vt:i4>9</vt:i4>
      </vt:variant>
      <vt:variant>
        <vt:i4>0</vt:i4>
      </vt:variant>
      <vt:variant>
        <vt:i4>5</vt:i4>
      </vt:variant>
      <vt:variant>
        <vt:lpwstr>http://www.nevo.co.il/law/70301/287.a</vt:lpwstr>
      </vt:variant>
      <vt:variant>
        <vt:lpwstr/>
      </vt:variant>
      <vt:variant>
        <vt:i4>4915205</vt:i4>
      </vt:variant>
      <vt:variant>
        <vt:i4>6</vt:i4>
      </vt:variant>
      <vt:variant>
        <vt:i4>0</vt:i4>
      </vt:variant>
      <vt:variant>
        <vt:i4>5</vt:i4>
      </vt:variant>
      <vt:variant>
        <vt:lpwstr>http://www.nevo.co.il/law/70301/40d.a</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2025-04-23T00:40:00Z</dcterms:created>
  <dcterms:modified xsi:type="dcterms:W3CDTF">2025-04-23T00:40:00Z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27373</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שירלי הדר;יצחק כהן</vt:lpwstr>
  </property>
  <property fmtid="{D5CDD505-2E9C-101B-9397-08002B2CF9AE}" pid="11" name="JUDGE">
    <vt:lpwstr>גיל אדלמן</vt:lpwstr>
  </property>
  <property fmtid="{D5CDD505-2E9C-101B-9397-08002B2CF9AE}" pid="12" name="CITY">
    <vt:lpwstr>אי'</vt:lpwstr>
  </property>
  <property fmtid="{D5CDD505-2E9C-101B-9397-08002B2CF9AE}" pid="13" name="DATE">
    <vt:lpwstr>20240916</vt:lpwstr>
  </property>
  <property fmtid="{D5CDD505-2E9C-101B-9397-08002B2CF9AE}" pid="14" name="TYPE_N_DATE">
    <vt:lpwstr>38020240916</vt:lpwstr>
  </property>
  <property fmtid="{D5CDD505-2E9C-101B-9397-08002B2CF9AE}" pid="15" name="WORDNUMPAGES">
    <vt:lpwstr>14</vt:lpwstr>
  </property>
  <property fmtid="{D5CDD505-2E9C-101B-9397-08002B2CF9AE}" pid="16" name="TYPE_ABS_DATE">
    <vt:lpwstr>380020240916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28621331;26862540:2;13093721;27330910;25535279:2;29090120;29220070;28654399;25677440;22219604;21666049;21483050;21297999;25604295;22812253;22938500;20009419:3;21473565;21476337;23129184;5601394;26839760</vt:lpwstr>
  </property>
  <property fmtid="{D5CDD505-2E9C-101B-9397-08002B2CF9AE}" pid="36" name="LAWLISTTMP1">
    <vt:lpwstr>70301/382.c;382.b;287.a;040d:3;40ja;040d.a</vt:lpwstr>
  </property>
  <property fmtid="{D5CDD505-2E9C-101B-9397-08002B2CF9AE}" pid="37" name="LAWLISTTMP2">
    <vt:lpwstr>4216/007.a;007.c</vt:lpwstr>
  </property>
</Properties>
</file>