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70A7E" w:rsidRPr="005A2AC4" w14:paraId="02C6E33B" w14:textId="77777777" w:rsidTr="00767A9D">
        <w:trPr>
          <w:gridAfter w:val="1"/>
          <w:wAfter w:w="99" w:type="dxa"/>
          <w:trHeight w:hRule="exact" w:val="418"/>
          <w:jc w:val="center"/>
        </w:trPr>
        <w:tc>
          <w:tcPr>
            <w:tcW w:w="8721" w:type="dxa"/>
            <w:gridSpan w:val="4"/>
          </w:tcPr>
          <w:p w14:paraId="26FAE8EF" w14:textId="77777777" w:rsidR="00970A7E" w:rsidRPr="005A2AC4" w:rsidRDefault="00970A7E" w:rsidP="00864F72">
            <w:pPr>
              <w:pStyle w:val="a3"/>
              <w:jc w:val="center"/>
              <w:rPr>
                <w:rFonts w:ascii="Tahoma" w:hAnsi="Tahoma" w:cs="Tahoma"/>
                <w:color w:val="000080"/>
                <w:rtl/>
              </w:rPr>
            </w:pPr>
            <w:bookmarkStart w:id="0" w:name="LastJudge"/>
            <w:r w:rsidRPr="005A2AC4">
              <w:rPr>
                <w:rFonts w:ascii="Tahoma" w:hAnsi="Tahoma" w:cs="Tahoma"/>
                <w:b/>
                <w:bCs/>
                <w:color w:val="000080"/>
                <w:rtl/>
              </w:rPr>
              <w:t>בית משפט השלום בקריות</w:t>
            </w:r>
          </w:p>
        </w:tc>
      </w:tr>
      <w:tr w:rsidR="00970A7E" w:rsidRPr="005A2AC4" w14:paraId="38A7FBC6" w14:textId="77777777" w:rsidTr="00767A9D">
        <w:trPr>
          <w:gridAfter w:val="1"/>
          <w:wAfter w:w="99" w:type="dxa"/>
          <w:trHeight w:val="337"/>
          <w:jc w:val="center"/>
        </w:trPr>
        <w:tc>
          <w:tcPr>
            <w:tcW w:w="5054" w:type="dxa"/>
            <w:gridSpan w:val="3"/>
          </w:tcPr>
          <w:p w14:paraId="23081013" w14:textId="77777777" w:rsidR="00970A7E" w:rsidRPr="005A2AC4" w:rsidRDefault="00970A7E" w:rsidP="00864F72">
            <w:pPr>
              <w:rPr>
                <w:rFonts w:cs="FrankRuehl"/>
                <w:sz w:val="28"/>
                <w:szCs w:val="28"/>
                <w:rtl/>
              </w:rPr>
            </w:pPr>
            <w:r w:rsidRPr="005A2AC4">
              <w:rPr>
                <w:rFonts w:cs="FrankRuehl"/>
                <w:sz w:val="28"/>
                <w:szCs w:val="28"/>
                <w:rtl/>
              </w:rPr>
              <w:t>ת"פ</w:t>
            </w:r>
            <w:r w:rsidRPr="005A2AC4">
              <w:rPr>
                <w:rFonts w:cs="FrankRuehl" w:hint="cs"/>
                <w:sz w:val="28"/>
                <w:szCs w:val="28"/>
                <w:rtl/>
              </w:rPr>
              <w:t xml:space="preserve"> </w:t>
            </w:r>
            <w:r w:rsidRPr="005A2AC4">
              <w:rPr>
                <w:rFonts w:cs="FrankRuehl"/>
                <w:sz w:val="28"/>
                <w:szCs w:val="28"/>
                <w:rtl/>
              </w:rPr>
              <w:t>30702-07-20</w:t>
            </w:r>
            <w:r w:rsidRPr="005A2AC4">
              <w:rPr>
                <w:rFonts w:cs="FrankRuehl" w:hint="cs"/>
                <w:sz w:val="28"/>
                <w:szCs w:val="28"/>
                <w:rtl/>
              </w:rPr>
              <w:t xml:space="preserve"> </w:t>
            </w:r>
            <w:r w:rsidRPr="005A2AC4">
              <w:rPr>
                <w:rFonts w:cs="FrankRuehl"/>
                <w:sz w:val="28"/>
                <w:szCs w:val="28"/>
                <w:rtl/>
              </w:rPr>
              <w:t>מדינת ישראל נ' בריוטי</w:t>
            </w:r>
          </w:p>
          <w:p w14:paraId="075D60E1" w14:textId="77777777" w:rsidR="00970A7E" w:rsidRPr="005A2AC4" w:rsidRDefault="00970A7E" w:rsidP="00864F72">
            <w:pPr>
              <w:pStyle w:val="a3"/>
              <w:rPr>
                <w:rFonts w:cs="FrankRuehl"/>
                <w:sz w:val="28"/>
                <w:szCs w:val="28"/>
                <w:rtl/>
              </w:rPr>
            </w:pPr>
          </w:p>
        </w:tc>
        <w:tc>
          <w:tcPr>
            <w:tcW w:w="3667" w:type="dxa"/>
          </w:tcPr>
          <w:p w14:paraId="245A5628" w14:textId="77777777" w:rsidR="00970A7E" w:rsidRPr="005A2AC4" w:rsidRDefault="00970A7E" w:rsidP="00864F72">
            <w:pPr>
              <w:pStyle w:val="a3"/>
              <w:jc w:val="right"/>
              <w:rPr>
                <w:rFonts w:cs="FrankRuehl"/>
                <w:sz w:val="28"/>
                <w:szCs w:val="28"/>
                <w:rtl/>
              </w:rPr>
            </w:pPr>
          </w:p>
        </w:tc>
      </w:tr>
      <w:tr w:rsidR="00970A7E" w:rsidRPr="005A2AC4" w14:paraId="2F29A72B" w14:textId="77777777" w:rsidTr="00767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F729A19" w14:textId="77777777" w:rsidR="00970A7E" w:rsidRPr="005A2AC4" w:rsidRDefault="00970A7E" w:rsidP="00970A7E">
            <w:pPr>
              <w:jc w:val="both"/>
              <w:rPr>
                <w:rFonts w:ascii="David" w:hAnsi="David"/>
                <w:sz w:val="26"/>
                <w:szCs w:val="26"/>
              </w:rPr>
            </w:pPr>
            <w:r w:rsidRPr="005A2AC4">
              <w:rPr>
                <w:rFonts w:hint="cs"/>
                <w:rtl/>
              </w:rPr>
              <w:t xml:space="preserve"> </w:t>
            </w:r>
            <w:r w:rsidRPr="005A2AC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A8E6948" w14:textId="77777777" w:rsidR="00970A7E" w:rsidRPr="005A2AC4" w:rsidRDefault="00970A7E" w:rsidP="00864F72">
            <w:pPr>
              <w:rPr>
                <w:rFonts w:ascii="David" w:hAnsi="David"/>
                <w:b/>
                <w:bCs/>
                <w:sz w:val="26"/>
                <w:szCs w:val="26"/>
                <w:rtl/>
              </w:rPr>
            </w:pPr>
            <w:r w:rsidRPr="005A2AC4">
              <w:rPr>
                <w:rFonts w:ascii="David" w:hAnsi="David"/>
                <w:b/>
                <w:bCs/>
                <w:sz w:val="26"/>
                <w:szCs w:val="26"/>
                <w:rtl/>
              </w:rPr>
              <w:t>כבוד השופטת  סימי פלג קימלוב</w:t>
            </w:r>
          </w:p>
          <w:p w14:paraId="1469AB7A" w14:textId="77777777" w:rsidR="00970A7E" w:rsidRPr="005A2AC4" w:rsidRDefault="00970A7E" w:rsidP="00864F72">
            <w:pPr>
              <w:rPr>
                <w:rFonts w:ascii="David" w:hAnsi="David"/>
                <w:sz w:val="26"/>
                <w:szCs w:val="26"/>
                <w:rtl/>
              </w:rPr>
            </w:pPr>
          </w:p>
          <w:p w14:paraId="34E42344" w14:textId="77777777" w:rsidR="00970A7E" w:rsidRPr="005A2AC4" w:rsidRDefault="00970A7E" w:rsidP="00970A7E">
            <w:pPr>
              <w:jc w:val="both"/>
              <w:rPr>
                <w:rFonts w:ascii="David" w:hAnsi="David"/>
                <w:sz w:val="26"/>
                <w:szCs w:val="26"/>
              </w:rPr>
            </w:pPr>
          </w:p>
        </w:tc>
      </w:tr>
      <w:tr w:rsidR="00970A7E" w:rsidRPr="005A2AC4" w14:paraId="4C22F8A7" w14:textId="77777777" w:rsidTr="00767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FEF0B0" w14:textId="77777777" w:rsidR="00970A7E" w:rsidRPr="005A2AC4" w:rsidRDefault="00970A7E" w:rsidP="00970A7E">
            <w:pPr>
              <w:jc w:val="both"/>
              <w:rPr>
                <w:rFonts w:ascii="David" w:hAnsi="David"/>
                <w:sz w:val="26"/>
                <w:szCs w:val="26"/>
              </w:rPr>
            </w:pPr>
            <w:bookmarkStart w:id="1" w:name="FirstAppellant"/>
            <w:r w:rsidRPr="005A2AC4">
              <w:rPr>
                <w:rFonts w:ascii="David" w:hAnsi="David"/>
                <w:sz w:val="26"/>
                <w:szCs w:val="26"/>
                <w:rtl/>
              </w:rPr>
              <w:t>בעניין:</w:t>
            </w:r>
          </w:p>
        </w:tc>
        <w:tc>
          <w:tcPr>
            <w:tcW w:w="3219" w:type="dxa"/>
            <w:tcBorders>
              <w:top w:val="nil"/>
              <w:left w:val="nil"/>
              <w:bottom w:val="nil"/>
              <w:right w:val="nil"/>
            </w:tcBorders>
            <w:shd w:val="clear" w:color="auto" w:fill="auto"/>
          </w:tcPr>
          <w:p w14:paraId="2E648880" w14:textId="77777777" w:rsidR="00970A7E" w:rsidRPr="005A2AC4" w:rsidRDefault="00970A7E" w:rsidP="00970A7E">
            <w:pPr>
              <w:suppressLineNumbers/>
            </w:pPr>
            <w:r w:rsidRPr="005A2AC4">
              <w:rPr>
                <w:rFonts w:ascii="Arial" w:hAnsi="Arial" w:hint="cs"/>
                <w:b/>
                <w:bCs/>
                <w:sz w:val="26"/>
                <w:szCs w:val="26"/>
                <w:rtl/>
              </w:rPr>
              <w:t>ה</w:t>
            </w:r>
            <w:r w:rsidRPr="005A2AC4">
              <w:rPr>
                <w:rFonts w:ascii="Arial" w:hAnsi="Arial"/>
                <w:b/>
                <w:bCs/>
                <w:sz w:val="26"/>
                <w:szCs w:val="26"/>
                <w:rtl/>
              </w:rPr>
              <w:t>מאשימה</w:t>
            </w:r>
          </w:p>
          <w:p w14:paraId="61D55404" w14:textId="77777777" w:rsidR="00970A7E" w:rsidRPr="005A2AC4" w:rsidRDefault="00970A7E" w:rsidP="00864F7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004FC29" w14:textId="77777777" w:rsidR="00970A7E" w:rsidRPr="005A2AC4" w:rsidRDefault="00970A7E" w:rsidP="00970A7E">
            <w:pPr>
              <w:suppressLineNumbers/>
            </w:pPr>
            <w:r w:rsidRPr="005A2AC4">
              <w:rPr>
                <w:rFonts w:ascii="Arial" w:hAnsi="Arial"/>
                <w:b/>
                <w:bCs/>
                <w:sz w:val="26"/>
                <w:szCs w:val="26"/>
                <w:rtl/>
              </w:rPr>
              <w:t>מדינת ישראל</w:t>
            </w:r>
          </w:p>
          <w:p w14:paraId="6A4AA182" w14:textId="77777777" w:rsidR="00970A7E" w:rsidRPr="005A2AC4" w:rsidRDefault="00970A7E" w:rsidP="00864F72">
            <w:pPr>
              <w:rPr>
                <w:rFonts w:ascii="David" w:hAnsi="David"/>
                <w:sz w:val="26"/>
                <w:szCs w:val="26"/>
              </w:rPr>
            </w:pPr>
          </w:p>
        </w:tc>
      </w:tr>
      <w:bookmarkEnd w:id="1"/>
      <w:tr w:rsidR="00970A7E" w:rsidRPr="005A2AC4" w14:paraId="2A238390" w14:textId="77777777" w:rsidTr="00767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AA053E" w14:textId="77777777" w:rsidR="00970A7E" w:rsidRPr="005A2AC4" w:rsidRDefault="00970A7E" w:rsidP="00970A7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9980EEA" w14:textId="77777777" w:rsidR="00970A7E" w:rsidRPr="005A2AC4" w:rsidRDefault="00970A7E" w:rsidP="00970A7E">
            <w:pPr>
              <w:jc w:val="center"/>
              <w:rPr>
                <w:rFonts w:ascii="David" w:hAnsi="David"/>
                <w:b/>
                <w:bCs/>
                <w:sz w:val="26"/>
                <w:szCs w:val="26"/>
                <w:rtl/>
              </w:rPr>
            </w:pPr>
          </w:p>
          <w:p w14:paraId="1980F65C" w14:textId="77777777" w:rsidR="00970A7E" w:rsidRPr="005A2AC4" w:rsidRDefault="00970A7E" w:rsidP="00970A7E">
            <w:pPr>
              <w:jc w:val="center"/>
              <w:rPr>
                <w:rFonts w:ascii="David" w:hAnsi="David"/>
                <w:b/>
                <w:bCs/>
                <w:sz w:val="26"/>
                <w:szCs w:val="26"/>
                <w:rtl/>
              </w:rPr>
            </w:pPr>
            <w:r w:rsidRPr="005A2AC4">
              <w:rPr>
                <w:rFonts w:ascii="David" w:hAnsi="David"/>
                <w:b/>
                <w:bCs/>
                <w:sz w:val="26"/>
                <w:szCs w:val="26"/>
                <w:rtl/>
              </w:rPr>
              <w:t>נגד</w:t>
            </w:r>
          </w:p>
          <w:p w14:paraId="0377E89D" w14:textId="77777777" w:rsidR="00970A7E" w:rsidRPr="005A2AC4" w:rsidRDefault="00970A7E" w:rsidP="00970A7E">
            <w:pPr>
              <w:jc w:val="both"/>
              <w:rPr>
                <w:rFonts w:ascii="David" w:hAnsi="David"/>
                <w:sz w:val="26"/>
                <w:szCs w:val="26"/>
              </w:rPr>
            </w:pPr>
          </w:p>
        </w:tc>
      </w:tr>
      <w:tr w:rsidR="00970A7E" w:rsidRPr="005A2AC4" w14:paraId="61B5A4F8" w14:textId="77777777" w:rsidTr="00767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7AEB74" w14:textId="77777777" w:rsidR="00970A7E" w:rsidRPr="005A2AC4" w:rsidRDefault="00970A7E" w:rsidP="00864F72">
            <w:pPr>
              <w:rPr>
                <w:rFonts w:ascii="David" w:hAnsi="David"/>
                <w:sz w:val="26"/>
                <w:szCs w:val="26"/>
                <w:rtl/>
              </w:rPr>
            </w:pPr>
          </w:p>
        </w:tc>
        <w:tc>
          <w:tcPr>
            <w:tcW w:w="3219" w:type="dxa"/>
            <w:tcBorders>
              <w:top w:val="nil"/>
              <w:left w:val="nil"/>
              <w:bottom w:val="nil"/>
              <w:right w:val="nil"/>
            </w:tcBorders>
            <w:shd w:val="clear" w:color="auto" w:fill="auto"/>
          </w:tcPr>
          <w:p w14:paraId="19A78734" w14:textId="77777777" w:rsidR="00970A7E" w:rsidRPr="005A2AC4" w:rsidRDefault="00970A7E" w:rsidP="00864F72">
            <w:pPr>
              <w:rPr>
                <w:rFonts w:ascii="Arial" w:hAnsi="Arial"/>
                <w:b/>
                <w:bCs/>
                <w:sz w:val="26"/>
                <w:szCs w:val="26"/>
                <w:rtl/>
              </w:rPr>
            </w:pPr>
            <w:r w:rsidRPr="005A2AC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AFA82FF" w14:textId="77777777" w:rsidR="00970A7E" w:rsidRPr="005A2AC4" w:rsidRDefault="00970A7E" w:rsidP="00970A7E">
            <w:pPr>
              <w:suppressLineNumbers/>
            </w:pPr>
            <w:r w:rsidRPr="005A2AC4">
              <w:rPr>
                <w:rFonts w:ascii="Arial" w:hAnsi="Arial"/>
                <w:b/>
                <w:bCs/>
                <w:sz w:val="26"/>
                <w:szCs w:val="26"/>
                <w:rtl/>
              </w:rPr>
              <w:t>יעקב בריוטי</w:t>
            </w:r>
            <w:r w:rsidRPr="005A2AC4">
              <w:rPr>
                <w:rFonts w:ascii="Arial" w:hAnsi="Arial" w:hint="cs"/>
                <w:b/>
                <w:bCs/>
                <w:sz w:val="26"/>
                <w:szCs w:val="26"/>
                <w:rtl/>
              </w:rPr>
              <w:t xml:space="preserve"> </w:t>
            </w:r>
          </w:p>
          <w:p w14:paraId="078057D1" w14:textId="77777777" w:rsidR="00970A7E" w:rsidRPr="005A2AC4" w:rsidRDefault="00970A7E" w:rsidP="00864F72">
            <w:pPr>
              <w:rPr>
                <w:rFonts w:ascii="David" w:hAnsi="David"/>
                <w:sz w:val="26"/>
                <w:szCs w:val="26"/>
              </w:rPr>
            </w:pPr>
          </w:p>
        </w:tc>
      </w:tr>
    </w:tbl>
    <w:p w14:paraId="1086B934" w14:textId="77777777" w:rsidR="00767A9D" w:rsidRDefault="00767A9D" w:rsidP="005A2AC4">
      <w:pPr>
        <w:rPr>
          <w:sz w:val="26"/>
          <w:szCs w:val="26"/>
          <w:rtl/>
        </w:rPr>
      </w:pPr>
    </w:p>
    <w:p w14:paraId="1B7BC414" w14:textId="77777777" w:rsidR="00767A9D" w:rsidRPr="00767A9D" w:rsidRDefault="00767A9D" w:rsidP="00767A9D">
      <w:pPr>
        <w:spacing w:after="120" w:line="240" w:lineRule="exact"/>
        <w:ind w:left="283" w:hanging="283"/>
        <w:jc w:val="both"/>
        <w:rPr>
          <w:rFonts w:ascii="FrankRuehl" w:hAnsi="FrankRuehl" w:cs="FrankRuehl"/>
          <w:rtl/>
        </w:rPr>
      </w:pPr>
    </w:p>
    <w:p w14:paraId="761DF1FA" w14:textId="77777777" w:rsidR="00AB47D8" w:rsidRPr="00AB47D8" w:rsidRDefault="00AB47D8" w:rsidP="00AB47D8">
      <w:pPr>
        <w:spacing w:before="120" w:after="120" w:line="240" w:lineRule="exact"/>
        <w:ind w:left="283" w:hanging="283"/>
        <w:jc w:val="both"/>
        <w:rPr>
          <w:rFonts w:ascii="FrankRuehl" w:hAnsi="FrankRuehl" w:cs="FrankRuehl"/>
          <w:rtl/>
        </w:rPr>
      </w:pPr>
    </w:p>
    <w:p w14:paraId="75D9054B" w14:textId="77777777" w:rsidR="001C646F" w:rsidRDefault="001C646F" w:rsidP="001C646F">
      <w:pPr>
        <w:rPr>
          <w:sz w:val="26"/>
          <w:szCs w:val="26"/>
          <w:rtl/>
        </w:rPr>
      </w:pPr>
      <w:bookmarkStart w:id="2" w:name="LawTable"/>
      <w:bookmarkEnd w:id="2"/>
    </w:p>
    <w:p w14:paraId="21AD09A8" w14:textId="77777777" w:rsidR="001C646F" w:rsidRPr="001C646F" w:rsidRDefault="001C646F" w:rsidP="001C646F">
      <w:pPr>
        <w:spacing w:before="120" w:after="120" w:line="240" w:lineRule="exact"/>
        <w:ind w:left="283" w:hanging="283"/>
        <w:jc w:val="both"/>
        <w:rPr>
          <w:rFonts w:ascii="FrankRuehl" w:hAnsi="FrankRuehl" w:cs="FrankRuehl"/>
          <w:rtl/>
        </w:rPr>
      </w:pPr>
    </w:p>
    <w:p w14:paraId="06582BCE" w14:textId="77777777" w:rsidR="001C646F" w:rsidRPr="001C646F" w:rsidRDefault="001C646F" w:rsidP="001C646F">
      <w:pPr>
        <w:spacing w:before="120" w:after="120" w:line="240" w:lineRule="exact"/>
        <w:ind w:left="283" w:hanging="283"/>
        <w:jc w:val="both"/>
        <w:rPr>
          <w:rFonts w:ascii="FrankRuehl" w:hAnsi="FrankRuehl" w:cs="FrankRuehl"/>
          <w:rtl/>
        </w:rPr>
      </w:pPr>
    </w:p>
    <w:p w14:paraId="7F953308" w14:textId="77777777" w:rsidR="001C646F" w:rsidRPr="001C646F" w:rsidRDefault="001C646F" w:rsidP="001C646F">
      <w:pPr>
        <w:spacing w:before="120" w:after="120" w:line="240" w:lineRule="exact"/>
        <w:ind w:left="283" w:hanging="283"/>
        <w:jc w:val="both"/>
        <w:rPr>
          <w:rFonts w:ascii="FrankRuehl" w:hAnsi="FrankRuehl" w:cs="FrankRuehl"/>
          <w:rtl/>
        </w:rPr>
      </w:pPr>
      <w:r w:rsidRPr="001C646F">
        <w:rPr>
          <w:rFonts w:ascii="FrankRuehl" w:hAnsi="FrankRuehl" w:cs="FrankRuehl"/>
          <w:rtl/>
        </w:rPr>
        <w:t xml:space="preserve">חקיקה שאוזכרה: </w:t>
      </w:r>
    </w:p>
    <w:p w14:paraId="19D3B8C3" w14:textId="77777777" w:rsidR="001C646F" w:rsidRPr="001C646F" w:rsidRDefault="001C646F" w:rsidP="001C646F">
      <w:pPr>
        <w:spacing w:before="120" w:after="120" w:line="240" w:lineRule="exact"/>
        <w:ind w:left="283" w:hanging="283"/>
        <w:jc w:val="both"/>
        <w:rPr>
          <w:rFonts w:ascii="FrankRuehl" w:hAnsi="FrankRuehl" w:cs="FrankRuehl"/>
          <w:rtl/>
        </w:rPr>
      </w:pPr>
      <w:hyperlink r:id="rId7" w:history="1">
        <w:r w:rsidRPr="001C646F">
          <w:rPr>
            <w:rFonts w:ascii="FrankRuehl" w:hAnsi="FrankRuehl" w:cs="FrankRuehl"/>
            <w:color w:val="0000FF"/>
            <w:rtl/>
          </w:rPr>
          <w:t>פקודת הסמים המסוכנים [נוסח חדש], תשל"ג-1973</w:t>
        </w:r>
      </w:hyperlink>
      <w:r w:rsidRPr="001C646F">
        <w:rPr>
          <w:rFonts w:ascii="FrankRuehl" w:hAnsi="FrankRuehl" w:cs="FrankRuehl"/>
          <w:rtl/>
        </w:rPr>
        <w:t xml:space="preserve">: סע'  </w:t>
      </w:r>
      <w:hyperlink r:id="rId8" w:history="1">
        <w:r w:rsidRPr="001C646F">
          <w:rPr>
            <w:rFonts w:ascii="FrankRuehl" w:hAnsi="FrankRuehl" w:cs="FrankRuehl"/>
            <w:color w:val="0000FF"/>
            <w:rtl/>
          </w:rPr>
          <w:t>7(א)</w:t>
        </w:r>
      </w:hyperlink>
      <w:r w:rsidRPr="001C646F">
        <w:rPr>
          <w:rFonts w:ascii="FrankRuehl" w:hAnsi="FrankRuehl" w:cs="FrankRuehl"/>
          <w:rtl/>
        </w:rPr>
        <w:t xml:space="preserve">, </w:t>
      </w:r>
      <w:hyperlink r:id="rId9" w:history="1">
        <w:r w:rsidRPr="001C646F">
          <w:rPr>
            <w:rFonts w:ascii="FrankRuehl" w:hAnsi="FrankRuehl" w:cs="FrankRuehl"/>
            <w:color w:val="0000FF"/>
            <w:rtl/>
          </w:rPr>
          <w:t>7(ג)</w:t>
        </w:r>
      </w:hyperlink>
    </w:p>
    <w:p w14:paraId="6A63D83F" w14:textId="77777777" w:rsidR="001C646F" w:rsidRPr="001C646F" w:rsidRDefault="001C646F" w:rsidP="001C646F">
      <w:pPr>
        <w:spacing w:before="120" w:after="120" w:line="240" w:lineRule="exact"/>
        <w:ind w:left="283" w:hanging="283"/>
        <w:jc w:val="both"/>
        <w:rPr>
          <w:rFonts w:ascii="FrankRuehl" w:hAnsi="FrankRuehl" w:cs="FrankRuehl"/>
          <w:rtl/>
        </w:rPr>
      </w:pPr>
      <w:hyperlink r:id="rId10" w:history="1">
        <w:r w:rsidRPr="001C646F">
          <w:rPr>
            <w:rFonts w:ascii="FrankRuehl" w:hAnsi="FrankRuehl" w:cs="FrankRuehl"/>
            <w:color w:val="0000FF"/>
            <w:rtl/>
          </w:rPr>
          <w:t>חוק העונשין, תשל"ז-1977</w:t>
        </w:r>
      </w:hyperlink>
      <w:r w:rsidRPr="001C646F">
        <w:rPr>
          <w:rFonts w:ascii="FrankRuehl" w:hAnsi="FrankRuehl" w:cs="FrankRuehl"/>
          <w:rtl/>
        </w:rPr>
        <w:t xml:space="preserve">: סע'  </w:t>
      </w:r>
      <w:hyperlink r:id="rId11" w:history="1">
        <w:r w:rsidRPr="001C646F">
          <w:rPr>
            <w:rFonts w:ascii="FrankRuehl" w:hAnsi="FrankRuehl" w:cs="FrankRuehl"/>
            <w:color w:val="0000FF"/>
            <w:rtl/>
          </w:rPr>
          <w:t>40ג(א)</w:t>
        </w:r>
      </w:hyperlink>
      <w:r w:rsidRPr="001C646F">
        <w:rPr>
          <w:rFonts w:ascii="FrankRuehl" w:hAnsi="FrankRuehl" w:cs="FrankRuehl"/>
          <w:rtl/>
        </w:rPr>
        <w:t xml:space="preserve">, </w:t>
      </w:r>
      <w:hyperlink r:id="rId12" w:history="1">
        <w:r w:rsidRPr="001C646F">
          <w:rPr>
            <w:rFonts w:ascii="FrankRuehl" w:hAnsi="FrankRuehl" w:cs="FrankRuehl"/>
            <w:color w:val="0000FF"/>
            <w:rtl/>
          </w:rPr>
          <w:t>40ד.</w:t>
        </w:r>
      </w:hyperlink>
    </w:p>
    <w:p w14:paraId="136BC6B3" w14:textId="77777777" w:rsidR="001C646F" w:rsidRPr="001C646F" w:rsidRDefault="001C646F" w:rsidP="001C646F">
      <w:pPr>
        <w:rPr>
          <w:sz w:val="26"/>
          <w:szCs w:val="26"/>
          <w:rtl/>
        </w:rPr>
      </w:pPr>
      <w:bookmarkStart w:id="3" w:name="LawTable_End"/>
      <w:bookmarkEnd w:id="3"/>
    </w:p>
    <w:p w14:paraId="28B28464" w14:textId="77777777" w:rsidR="00970A7E" w:rsidRPr="00AB47D8" w:rsidRDefault="00970A7E" w:rsidP="00AB47D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0A7E" w14:paraId="5A33B51B" w14:textId="77777777" w:rsidTr="00970A7E">
        <w:trPr>
          <w:trHeight w:val="355"/>
          <w:jc w:val="center"/>
        </w:trPr>
        <w:tc>
          <w:tcPr>
            <w:tcW w:w="8820" w:type="dxa"/>
            <w:tcBorders>
              <w:top w:val="nil"/>
              <w:left w:val="nil"/>
              <w:bottom w:val="nil"/>
              <w:right w:val="nil"/>
            </w:tcBorders>
            <w:shd w:val="clear" w:color="auto" w:fill="auto"/>
          </w:tcPr>
          <w:p w14:paraId="638DAF1E" w14:textId="77777777" w:rsidR="005A2AC4" w:rsidRPr="005A2AC4" w:rsidRDefault="005A2AC4" w:rsidP="005A2AC4">
            <w:pPr>
              <w:jc w:val="center"/>
              <w:rPr>
                <w:rFonts w:ascii="David" w:hAnsi="David"/>
                <w:b/>
                <w:bCs/>
                <w:sz w:val="32"/>
                <w:szCs w:val="32"/>
                <w:u w:val="single"/>
                <w:rtl/>
              </w:rPr>
            </w:pPr>
            <w:bookmarkStart w:id="4" w:name="PsakDin" w:colFirst="0" w:colLast="0"/>
            <w:bookmarkEnd w:id="0"/>
            <w:r w:rsidRPr="005A2AC4">
              <w:rPr>
                <w:rFonts w:ascii="David" w:hAnsi="David"/>
                <w:b/>
                <w:bCs/>
                <w:sz w:val="32"/>
                <w:szCs w:val="32"/>
                <w:u w:val="single"/>
                <w:rtl/>
              </w:rPr>
              <w:t>גזר דין</w:t>
            </w:r>
          </w:p>
          <w:p w14:paraId="4D83F3FB" w14:textId="77777777" w:rsidR="00970A7E" w:rsidRPr="005A2AC4" w:rsidRDefault="00970A7E" w:rsidP="005A2AC4">
            <w:pPr>
              <w:jc w:val="center"/>
              <w:rPr>
                <w:rFonts w:ascii="David" w:hAnsi="David"/>
                <w:bCs/>
                <w:sz w:val="32"/>
                <w:szCs w:val="32"/>
                <w:u w:val="single"/>
                <w:rtl/>
              </w:rPr>
            </w:pPr>
          </w:p>
        </w:tc>
      </w:tr>
      <w:bookmarkEnd w:id="4"/>
    </w:tbl>
    <w:p w14:paraId="0CB7AD3F" w14:textId="77777777" w:rsidR="00970A7E" w:rsidRPr="000F2247" w:rsidRDefault="00970A7E" w:rsidP="00970A7E">
      <w:pPr>
        <w:rPr>
          <w:rFonts w:ascii="Arial" w:hAnsi="Arial"/>
          <w:b/>
          <w:bCs/>
          <w:sz w:val="26"/>
          <w:szCs w:val="26"/>
          <w:rtl/>
        </w:rPr>
      </w:pPr>
    </w:p>
    <w:p w14:paraId="7D7DF498" w14:textId="77777777" w:rsidR="00970A7E" w:rsidRDefault="00970A7E" w:rsidP="00970A7E">
      <w:pPr>
        <w:spacing w:line="360" w:lineRule="auto"/>
        <w:jc w:val="both"/>
        <w:rPr>
          <w:rFonts w:ascii="Arial" w:hAnsi="Arial"/>
          <w:b/>
          <w:bCs/>
          <w:u w:val="single"/>
          <w:rtl/>
        </w:rPr>
      </w:pPr>
      <w:r>
        <w:rPr>
          <w:rFonts w:ascii="Arial" w:hAnsi="Arial"/>
          <w:b/>
          <w:bCs/>
          <w:sz w:val="26"/>
          <w:szCs w:val="26"/>
          <w:rtl/>
        </w:rPr>
        <w:tab/>
      </w:r>
      <w:r w:rsidRPr="00BB552D">
        <w:rPr>
          <w:rFonts w:ascii="Arial" w:hAnsi="Arial" w:hint="cs"/>
          <w:b/>
          <w:bCs/>
          <w:u w:val="single"/>
          <w:rtl/>
        </w:rPr>
        <w:t xml:space="preserve">כתב האישום </w:t>
      </w:r>
    </w:p>
    <w:p w14:paraId="641D5996" w14:textId="77777777" w:rsidR="00970A7E" w:rsidRDefault="00970A7E" w:rsidP="00970A7E">
      <w:pPr>
        <w:pStyle w:val="a9"/>
        <w:numPr>
          <w:ilvl w:val="0"/>
          <w:numId w:val="1"/>
        </w:numPr>
        <w:spacing w:line="360" w:lineRule="auto"/>
        <w:jc w:val="both"/>
        <w:rPr>
          <w:rFonts w:ascii="Arial" w:hAnsi="Arial"/>
          <w:b/>
          <w:bCs/>
        </w:rPr>
      </w:pPr>
      <w:bookmarkStart w:id="5" w:name="ABSTRACT_START"/>
      <w:bookmarkEnd w:id="5"/>
      <w:r>
        <w:rPr>
          <w:rFonts w:ascii="Arial" w:hAnsi="Arial" w:hint="cs"/>
          <w:rtl/>
        </w:rPr>
        <w:t xml:space="preserve">הנאשם הורשע על פי הודאתו בעובדות כתב  האישום בעבירה של החזקת סמים שלא לצריכה עצמית </w:t>
      </w:r>
      <w:r>
        <w:rPr>
          <w:rFonts w:ascii="Arial" w:hAnsi="Arial"/>
          <w:rtl/>
        </w:rPr>
        <w:t>–</w:t>
      </w:r>
      <w:r>
        <w:rPr>
          <w:rFonts w:ascii="Arial" w:hAnsi="Arial" w:hint="cs"/>
          <w:rtl/>
        </w:rPr>
        <w:t xml:space="preserve"> עבירה לפי </w:t>
      </w:r>
      <w:hyperlink r:id="rId13" w:history="1">
        <w:r w:rsidR="00767A9D" w:rsidRPr="00767A9D">
          <w:rPr>
            <w:rStyle w:val="Hyperlink"/>
            <w:rFonts w:ascii="Arial" w:hAnsi="Arial" w:hint="eastAsia"/>
            <w:rtl/>
          </w:rPr>
          <w:t>סעיף</w:t>
        </w:r>
        <w:r w:rsidR="00767A9D" w:rsidRPr="00767A9D">
          <w:rPr>
            <w:rStyle w:val="Hyperlink"/>
            <w:rFonts w:ascii="Arial" w:hAnsi="Arial"/>
            <w:rtl/>
          </w:rPr>
          <w:t xml:space="preserve"> 7(א)</w:t>
        </w:r>
      </w:hyperlink>
      <w:r>
        <w:rPr>
          <w:rFonts w:ascii="Arial" w:hAnsi="Arial" w:hint="cs"/>
          <w:rtl/>
        </w:rPr>
        <w:t xml:space="preserve"> + </w:t>
      </w:r>
      <w:hyperlink r:id="rId14" w:history="1">
        <w:r w:rsidR="00767A9D" w:rsidRPr="00767A9D">
          <w:rPr>
            <w:rStyle w:val="Hyperlink"/>
            <w:rFonts w:ascii="Arial" w:hAnsi="Arial"/>
            <w:rtl/>
          </w:rPr>
          <w:t>7(ג)</w:t>
        </w:r>
      </w:hyperlink>
      <w:r>
        <w:rPr>
          <w:rFonts w:ascii="Arial" w:hAnsi="Arial" w:hint="cs"/>
          <w:rtl/>
        </w:rPr>
        <w:t xml:space="preserve"> רישא ל</w:t>
      </w:r>
      <w:hyperlink r:id="rId15" w:history="1">
        <w:r w:rsidR="005A2AC4" w:rsidRPr="005A2AC4">
          <w:rPr>
            <w:rFonts w:ascii="Arial" w:hAnsi="Arial"/>
            <w:color w:val="0000FF"/>
            <w:u w:val="single"/>
            <w:rtl/>
          </w:rPr>
          <w:t>פקודת הסמים המסוכנים</w:t>
        </w:r>
      </w:hyperlink>
      <w:r>
        <w:rPr>
          <w:rFonts w:ascii="Arial" w:hAnsi="Arial" w:hint="cs"/>
          <w:rtl/>
        </w:rPr>
        <w:t xml:space="preserve"> ( נוסח חדש), תשל"ג </w:t>
      </w:r>
      <w:r>
        <w:rPr>
          <w:rFonts w:ascii="Arial" w:hAnsi="Arial"/>
          <w:rtl/>
        </w:rPr>
        <w:t>–</w:t>
      </w:r>
      <w:r>
        <w:rPr>
          <w:rFonts w:ascii="Arial" w:hAnsi="Arial" w:hint="cs"/>
          <w:rtl/>
        </w:rPr>
        <w:t xml:space="preserve"> 1973 (</w:t>
      </w:r>
      <w:r w:rsidRPr="00BB552D">
        <w:rPr>
          <w:rFonts w:ascii="Arial" w:hAnsi="Arial" w:hint="cs"/>
          <w:b/>
          <w:bCs/>
          <w:rtl/>
        </w:rPr>
        <w:t xml:space="preserve">להלן: "פקודת הסמים"). </w:t>
      </w:r>
    </w:p>
    <w:p w14:paraId="5502BEC2" w14:textId="77777777" w:rsidR="00970A7E" w:rsidRDefault="00970A7E" w:rsidP="00970A7E">
      <w:pPr>
        <w:pStyle w:val="a9"/>
        <w:spacing w:line="360" w:lineRule="auto"/>
        <w:jc w:val="both"/>
        <w:rPr>
          <w:rFonts w:ascii="Arial" w:hAnsi="Arial"/>
          <w:b/>
          <w:bCs/>
        </w:rPr>
      </w:pPr>
    </w:p>
    <w:p w14:paraId="655D0E90" w14:textId="77777777" w:rsidR="00970A7E" w:rsidRDefault="00970A7E" w:rsidP="00970A7E">
      <w:pPr>
        <w:pStyle w:val="a9"/>
        <w:numPr>
          <w:ilvl w:val="0"/>
          <w:numId w:val="1"/>
        </w:numPr>
        <w:spacing w:line="360" w:lineRule="auto"/>
        <w:jc w:val="both"/>
        <w:rPr>
          <w:rFonts w:ascii="Arial" w:hAnsi="Arial"/>
          <w:b/>
          <w:bCs/>
        </w:rPr>
      </w:pPr>
      <w:bookmarkStart w:id="6" w:name="ABSTRACT_END"/>
      <w:bookmarkEnd w:id="6"/>
      <w:r w:rsidRPr="00BB552D">
        <w:rPr>
          <w:rFonts w:ascii="Arial" w:hAnsi="Arial" w:hint="cs"/>
          <w:rtl/>
        </w:rPr>
        <w:t xml:space="preserve">על פי עובדות כתב האישום, בתאריך 20.10.19 בסמוך לשעה 09:56 נתפס הנאשם מחזיק בחצר ביתו ברחוב שבטי ישראל 17 בקרית ביאליק, סם מסוכן מסוג קריסטל במשקלים: 1.4419 גרם נטו ו </w:t>
      </w:r>
      <w:r w:rsidRPr="00BB552D">
        <w:rPr>
          <w:rFonts w:ascii="Arial" w:hAnsi="Arial"/>
          <w:rtl/>
        </w:rPr>
        <w:t>–</w:t>
      </w:r>
      <w:r w:rsidRPr="00BB552D">
        <w:rPr>
          <w:rFonts w:ascii="Arial" w:hAnsi="Arial" w:hint="cs"/>
          <w:rtl/>
        </w:rPr>
        <w:t xml:space="preserve"> 5.0828 גרם נטו. באותן נסיבות נתפס הנאשם מחזיק משקל אלקטרוני</w:t>
      </w:r>
      <w:r>
        <w:rPr>
          <w:rFonts w:ascii="Arial" w:hAnsi="Arial" w:hint="cs"/>
          <w:b/>
          <w:bCs/>
          <w:rtl/>
        </w:rPr>
        <w:t xml:space="preserve">. </w:t>
      </w:r>
    </w:p>
    <w:p w14:paraId="3E048E58" w14:textId="77777777" w:rsidR="00970A7E" w:rsidRPr="001E2C6B" w:rsidRDefault="00970A7E" w:rsidP="00970A7E">
      <w:pPr>
        <w:pStyle w:val="a9"/>
        <w:rPr>
          <w:rFonts w:ascii="Arial" w:hAnsi="Arial"/>
          <w:b/>
          <w:bCs/>
          <w:rtl/>
        </w:rPr>
      </w:pPr>
    </w:p>
    <w:p w14:paraId="4FD58C40"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הנאשם הורשע על פי הודאתו ובהסכמת המאשימה הופנה לקבלת תסקיר של שירות המבחן כאשר על פי הסכמות הצדדים, ככל שהתסקיר יהיה חיובי כך שהסיכון להישנות עבירות בעתיד יהיה </w:t>
      </w:r>
      <w:r w:rsidRPr="001E2C6B">
        <w:rPr>
          <w:rFonts w:ascii="Arial" w:hAnsi="Arial" w:hint="cs"/>
          <w:rtl/>
        </w:rPr>
        <w:t xml:space="preserve">נמוך וימליץ על שיקום הנאשם תטען המאשימה לעונש של 6 חודשי מאסר </w:t>
      </w:r>
      <w:r w:rsidRPr="001E2C6B">
        <w:rPr>
          <w:rFonts w:ascii="Arial" w:hAnsi="Arial" w:hint="cs"/>
          <w:rtl/>
        </w:rPr>
        <w:lastRenderedPageBreak/>
        <w:t xml:space="preserve">בדרך של עבודות שירות בצירוף ענישה נלווית וכי ככל שהתסקיר יהיה שלישי הצדדים יטענו באופן חופשי ובכל מקרה ההגנה תטען באופן חופשי. </w:t>
      </w:r>
    </w:p>
    <w:p w14:paraId="4E725BA0" w14:textId="77777777" w:rsidR="00970A7E" w:rsidRPr="001E2C6B" w:rsidRDefault="00970A7E" w:rsidP="00970A7E">
      <w:pPr>
        <w:pStyle w:val="a9"/>
        <w:rPr>
          <w:rFonts w:ascii="Arial" w:hAnsi="Arial"/>
          <w:rtl/>
        </w:rPr>
      </w:pPr>
    </w:p>
    <w:p w14:paraId="1431E3F1" w14:textId="77777777" w:rsidR="00970A7E" w:rsidRPr="00087052" w:rsidRDefault="00970A7E" w:rsidP="00970A7E">
      <w:pPr>
        <w:pStyle w:val="a9"/>
        <w:spacing w:line="360" w:lineRule="auto"/>
        <w:jc w:val="both"/>
        <w:rPr>
          <w:rFonts w:ascii="Arial" w:hAnsi="Arial"/>
          <w:b/>
          <w:bCs/>
          <w:u w:val="single"/>
        </w:rPr>
      </w:pPr>
      <w:r w:rsidRPr="00087052">
        <w:rPr>
          <w:rFonts w:ascii="Arial" w:hAnsi="Arial" w:hint="cs"/>
          <w:b/>
          <w:bCs/>
          <w:u w:val="single"/>
          <w:rtl/>
        </w:rPr>
        <w:t xml:space="preserve">תסקירי שירות המבחן </w:t>
      </w:r>
    </w:p>
    <w:p w14:paraId="59024DB8"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ביום 8.12.21 הוגש תסקיר ראשון של שירות המבחן. בתסקיר סקר שירות המבחן את הרקע האישי והמשפחתי של הנאשם, בן 41 נשוי ואב לארבעה ילדים. לטענת הנאשם למעלה מעשור בעל עסק משותף עם אשתו לתיקון ומכירת טלפונים סלולאריים  וארבעה חודשים עובר לתסקיר הקימו שני דוכנים למכירת מזון על מנת להגדיל את הכנסותיהם . עיון בגיליון עברו הפלילי של הנאשם מלמד כי לחובתו שבע הרשעות קודמות במגוון עבירות. הנאשם כך צוין על ידי שירות המבחן לקח אחריות מלאה על מעשיו והביע צער וחרטה על מעורבותו בעבירה הנוכחית. הנאשם תיאר כי מצבו היה קשה באותה עת לאחר שעבר תאונת דרכים ונזקק לשיקום ארוך. שירות המבחן מציין בתסקיר זה כי הנאשם בעל דפוס התנהגות הסתרתי וכי הוא מתקשה לשתף מעולמו. להערכתו של שירות המבחן ביטויי המוטיבציה אותם מגלה הנאשם לעריכת שינוי בחייו נעוצים בהליכים המשפטיים המתקיימים כנגדו ולא מתוך הבנה אמתית ביחס לחומרת התנהלות פורצת הגבול והשפעת מעשיו על סביבתו. בשקלול גורמי הסיכון אל מול גורמי הסיכוי מעריך שירות המבחן כי לא ניתן לשלול התנהגות פורצת גבול מצד הנאשם בעתיד. שירות המבחן ציין בתסקיר זה שהנאשם אינו בשל להשתלב בהליך טיפולי, זאת לצד פרוגנוזה שלילית בעניינו ועל כן נמנע מהמלצה טיפולית. </w:t>
      </w:r>
    </w:p>
    <w:p w14:paraId="486C7C63" w14:textId="77777777" w:rsidR="00970A7E" w:rsidRDefault="00970A7E" w:rsidP="00970A7E">
      <w:pPr>
        <w:pStyle w:val="a9"/>
        <w:spacing w:line="360" w:lineRule="auto"/>
        <w:jc w:val="both"/>
        <w:rPr>
          <w:rFonts w:ascii="Arial" w:hAnsi="Arial"/>
        </w:rPr>
      </w:pPr>
    </w:p>
    <w:p w14:paraId="04ECB510"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ביום 21.2.22 הוגש תסקיר נוסף, לאחר שהתבקשה על ידי ההגנה הפניית הנאשם פעם נוספת. בתסקיר זה ציין שירות המבחן שבתקופת הדחייה פעל שירות המבחן להזמין את הנאשם לפגישה ובשיחה עמו חש מתוסכל שלא הובן כראוי. הנאשם ציין בשיחה כי הוא מונע ממוטיבציה פנימית להתחייבות להליך טיפולי במסגרת שירות המבחן אך תיאר כי אינו חש נזקקות בהיבט התמכרותי לסמים וכי הוא מעוניין להשתלב בהליך טיפולי שיסייע לו בבחינת הכשלים בהתנהגותו לאורך חייו. שירות המבחן התרשם שהנאשם מבטא מוטיבציה גבוהה להשתלב בהליך טיפולי . עוד התרשם שירות המבחן כי הנאשם עדיין מתקשה להבין מודעות ראשונית לחלקים לא מתפקדים בחייו אך שירות המבחן זיהה נכונות ראשונית מצדו לבחינה מעמיקה למען עריכת שינוי משמעותי בחייו. לפיכך, שירות המבחן ביקש דחיית הדיון בעניינו של הנאשם במסגרתה יפעל שירות המבחן לעקוב אחר השתלבותו של הנאשם במערך הטיפול. </w:t>
      </w:r>
    </w:p>
    <w:p w14:paraId="07EAEB27" w14:textId="77777777" w:rsidR="00970A7E" w:rsidRPr="00CB3C8D" w:rsidRDefault="00970A7E" w:rsidP="00970A7E">
      <w:pPr>
        <w:pStyle w:val="a9"/>
        <w:rPr>
          <w:rFonts w:ascii="Arial" w:hAnsi="Arial"/>
          <w:rtl/>
        </w:rPr>
      </w:pPr>
    </w:p>
    <w:p w14:paraId="5A4BDD74"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ביום 9.5.22 הוגש תסקיר נוסף של שירות המבחן . בתסקיר ציין שירות המבחן שפעל בתקופת הדחיה לשלב את הנאשם בקבוצה טיפולית בעיר עכו. צוין כי הנאשם נכח בכל המפגשים למעט אחד ממנו נעדר באישור. הנאשם מסר בתקופת הדחייה בדיקות שתן נקיות משרידי סם. שירות המבחן ציין בתסקיר שיש בהשתלבות הנאשם בהליך טיפולי </w:t>
      </w:r>
      <w:r>
        <w:rPr>
          <w:rFonts w:ascii="Arial" w:hAnsi="Arial" w:hint="cs"/>
          <w:rtl/>
        </w:rPr>
        <w:lastRenderedPageBreak/>
        <w:t xml:space="preserve">ארוך טווח כדי לצמצם את הסיכון להישנות עבירות דומות בעתיד. לפיכך, המליץ שירות המבחן על הטלת צו מבחן בהיקף של 12 חודשים וצו של"צ בהיקף של 140 שעות. </w:t>
      </w:r>
    </w:p>
    <w:p w14:paraId="2B7BA460" w14:textId="77777777" w:rsidR="00970A7E" w:rsidRPr="00B12875" w:rsidRDefault="00970A7E" w:rsidP="00970A7E">
      <w:pPr>
        <w:pStyle w:val="a9"/>
        <w:rPr>
          <w:rFonts w:ascii="Arial" w:hAnsi="Arial"/>
          <w:rtl/>
        </w:rPr>
      </w:pPr>
    </w:p>
    <w:p w14:paraId="415DCCAB"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ביום 20.9.22 הוגש תסקיר אחרון בעניינו של הנאשם וזאת לצורך מעקב. בתסקיר זה ציין שירות המבחן כי בתקופת הדחיה המשיך שירות המבחן לעקוב אחר שילובו של הנאשם בהליך הטיפולי. הנאשם מבטא מוטיבציה פנימית להמשך השתתפותו בקבוצה הטיפולית ולעריכת שינוי בחייו, מתמיד בהגעה. שירות המבחן התרשם מרצינותו של הנאשם ולפיכך המליץ על הטלת צו מבחן למשך תקופה של 12 חודשים לצד צו של"צ בהיקף של 140 שעות שיסייע לו להפנים את חומרת מעשיו לצד המשך פניותו לטיפול בבתו ובפרנסת משפחתו. </w:t>
      </w:r>
    </w:p>
    <w:p w14:paraId="46819523" w14:textId="77777777" w:rsidR="00970A7E" w:rsidRPr="00E177EA" w:rsidRDefault="00970A7E" w:rsidP="00970A7E">
      <w:pPr>
        <w:pStyle w:val="a9"/>
        <w:rPr>
          <w:rFonts w:ascii="Arial" w:hAnsi="Arial"/>
          <w:rtl/>
        </w:rPr>
      </w:pPr>
    </w:p>
    <w:p w14:paraId="74433175" w14:textId="77777777" w:rsidR="00970A7E" w:rsidRDefault="00970A7E" w:rsidP="00970A7E">
      <w:pPr>
        <w:pStyle w:val="a9"/>
        <w:spacing w:line="360" w:lineRule="auto"/>
        <w:jc w:val="both"/>
        <w:rPr>
          <w:rFonts w:ascii="Arial" w:hAnsi="Arial"/>
          <w:rtl/>
        </w:rPr>
      </w:pPr>
    </w:p>
    <w:p w14:paraId="50CD5C39" w14:textId="77777777" w:rsidR="00970A7E" w:rsidRDefault="00970A7E" w:rsidP="00970A7E">
      <w:pPr>
        <w:pStyle w:val="a9"/>
        <w:spacing w:line="360" w:lineRule="auto"/>
        <w:jc w:val="both"/>
        <w:rPr>
          <w:rFonts w:ascii="Arial" w:hAnsi="Arial"/>
          <w:rtl/>
        </w:rPr>
      </w:pPr>
    </w:p>
    <w:p w14:paraId="7157E752" w14:textId="77777777" w:rsidR="00970A7E" w:rsidRPr="00E177EA" w:rsidRDefault="00970A7E" w:rsidP="00970A7E">
      <w:pPr>
        <w:pStyle w:val="a9"/>
        <w:spacing w:line="360" w:lineRule="auto"/>
        <w:jc w:val="both"/>
        <w:rPr>
          <w:rFonts w:ascii="Arial" w:hAnsi="Arial"/>
          <w:b/>
          <w:bCs/>
          <w:u w:val="single"/>
        </w:rPr>
      </w:pPr>
      <w:r>
        <w:rPr>
          <w:rFonts w:ascii="Arial" w:hAnsi="Arial" w:hint="cs"/>
          <w:b/>
          <w:bCs/>
          <w:u w:val="single"/>
          <w:rtl/>
        </w:rPr>
        <w:t xml:space="preserve">תמצית </w:t>
      </w:r>
      <w:r w:rsidRPr="00E177EA">
        <w:rPr>
          <w:rFonts w:ascii="Arial" w:hAnsi="Arial" w:hint="cs"/>
          <w:b/>
          <w:bCs/>
          <w:u w:val="single"/>
          <w:rtl/>
        </w:rPr>
        <w:t xml:space="preserve">טיעוני הצדדים לעונש </w:t>
      </w:r>
    </w:p>
    <w:p w14:paraId="54523537"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ב"כ המאשימה הפנתה לעובדות כתב האישום ונסיבות ביצוע העבירה וציינה את הפגיעה בערכים חברתיים מוגנים כתוצאה ממעשיו של הנאשם והפנתה לפסיקה רלוונטית באשר לערכים חברתיים בעבירות סמים ולמתחם ענישה  כאשר עסקינן בסם מסוג קריסטל. המאשימה עתרה למתחם עונש שנע בין עונש של 8 חודשי מאסר בפועל ועד לעונש של 18  חודשי מאסר בפועל ברף העליון. ביחס לעונשו של הנאשם בתוך מתחם העונש ההולם טענה המאשימה כי לחובת הנאשם שבע הרשעות קומות הכוללות גם עבירות בתחום הסמים.  התסקיר בעניינו של הנאשם חיובי ועל כן וברוח ההסדר בין הצדדים עתרה המאשימה לענישה ראויה של 6 חודשי מאסר בדרך של עבודות שירות תוך חריגה ממתחם העונש ההולם, מאסר על תנאי ארוך ומרתיע, פסילת רישיון נהיגה של הנאשם בפועל ועל תנאי והשתת קנס כספי משמעותי. </w:t>
      </w:r>
    </w:p>
    <w:p w14:paraId="70D065B4" w14:textId="77777777" w:rsidR="00970A7E" w:rsidRDefault="00970A7E" w:rsidP="00970A7E">
      <w:pPr>
        <w:pStyle w:val="a9"/>
        <w:spacing w:line="360" w:lineRule="auto"/>
        <w:jc w:val="both"/>
        <w:rPr>
          <w:rFonts w:ascii="Arial" w:hAnsi="Arial"/>
        </w:rPr>
      </w:pPr>
    </w:p>
    <w:p w14:paraId="05DAABB9"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ב"כ הנאשם טען כנגד פסילת רישיון נהיגה של הנאשם וטען עוד כי אין מדובר ברכיב שבמסגרת ההסדר בין הצדדים. זאת ועוד, טען ב"כ הנאשם שהטלת פסילת רישיון הנהיגה של הנאשם יש בה כדי לפגוע בנאשם וביקש להסתפק בפסילה על תנאי. הנאשם כך נטען נקי מסמים תקופה ממושכת והוכיח עצמו ועל כן אין כל תועלת לציבור מפסילת רישיון הנהיגה. ב"כ הנאשם הפנה להמלצות התסקיר החיובי ולהתמדה של הנאשם בהליך הטיפולי. כמו כן טען ב"כ הנאשם שעונש של עבודות שירות יש בו כדי לפגוע בפרנסתו של הנאשם המנהל עסק עצמאי עם אשתו. ב"כ הנאשם טען שאמנם לנאשם עבר פלילי אך מדובר בעבר ישן מתקופות אחרות ומקומות אחרים בחייו של הנאשם. ב"כ הנאשם טען שיש מקום לחרוג ממתחם העונש ההולם ולאמץ את המלצות שירות המבחן. </w:t>
      </w:r>
    </w:p>
    <w:p w14:paraId="30FA791A" w14:textId="77777777" w:rsidR="00970A7E" w:rsidRPr="00C05C8D" w:rsidRDefault="00970A7E" w:rsidP="00970A7E">
      <w:pPr>
        <w:pStyle w:val="a9"/>
        <w:rPr>
          <w:rFonts w:ascii="Arial" w:hAnsi="Arial"/>
          <w:rtl/>
        </w:rPr>
      </w:pPr>
    </w:p>
    <w:p w14:paraId="1404AA52"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 xml:space="preserve">הנאשם בדברו תיאר את נסיבותיו הרפואיות וטען כי הוא מטפל בעצמו היום באמצעות שירות המבחן והתוצאות מעידות על כך. </w:t>
      </w:r>
    </w:p>
    <w:p w14:paraId="1206D765" w14:textId="77777777" w:rsidR="00970A7E" w:rsidRDefault="00970A7E" w:rsidP="00970A7E">
      <w:pPr>
        <w:spacing w:line="360" w:lineRule="auto"/>
        <w:jc w:val="both"/>
        <w:rPr>
          <w:rFonts w:ascii="Arial" w:hAnsi="Arial"/>
          <w:rtl/>
        </w:rPr>
      </w:pPr>
    </w:p>
    <w:p w14:paraId="2B81FBBC" w14:textId="77777777" w:rsidR="00970A7E" w:rsidRPr="00D03741" w:rsidRDefault="00970A7E" w:rsidP="00970A7E">
      <w:pPr>
        <w:spacing w:line="360" w:lineRule="auto"/>
        <w:ind w:left="720"/>
        <w:jc w:val="both"/>
        <w:rPr>
          <w:rFonts w:ascii="Arial" w:hAnsi="Arial"/>
          <w:b/>
          <w:bCs/>
          <w:u w:val="single"/>
          <w:rtl/>
        </w:rPr>
      </w:pPr>
      <w:r w:rsidRPr="00D03741">
        <w:rPr>
          <w:rFonts w:ascii="Arial" w:hAnsi="Arial" w:hint="cs"/>
          <w:b/>
          <w:bCs/>
          <w:u w:val="single"/>
          <w:rtl/>
        </w:rPr>
        <w:t xml:space="preserve">דיון והכרעה </w:t>
      </w:r>
    </w:p>
    <w:p w14:paraId="34A31E0F" w14:textId="77777777" w:rsidR="00970A7E" w:rsidRPr="00D03741" w:rsidRDefault="00970A7E" w:rsidP="00970A7E">
      <w:pPr>
        <w:pStyle w:val="1"/>
        <w:spacing w:before="0" w:line="360" w:lineRule="auto"/>
        <w:ind w:firstLine="720"/>
        <w:rPr>
          <w:rFonts w:ascii="David" w:eastAsia="David" w:hAnsi="David" w:cs="David"/>
          <w:sz w:val="24"/>
          <w:szCs w:val="24"/>
          <w:u w:val="single"/>
        </w:rPr>
      </w:pPr>
      <w:r w:rsidRPr="00D03741">
        <w:rPr>
          <w:rFonts w:ascii="David" w:eastAsia="David" w:hAnsi="David" w:cs="David"/>
          <w:b w:val="0"/>
          <w:sz w:val="24"/>
          <w:szCs w:val="24"/>
          <w:u w:val="single"/>
          <w:rtl/>
        </w:rPr>
        <w:t>קביעת מתחם העונש ההולם</w:t>
      </w:r>
      <w:r w:rsidRPr="00D03741">
        <w:rPr>
          <w:rFonts w:ascii="David" w:eastAsia="David" w:hAnsi="David" w:cs="David"/>
          <w:sz w:val="24"/>
          <w:szCs w:val="24"/>
          <w:u w:val="single"/>
          <w:rtl/>
        </w:rPr>
        <w:t xml:space="preserve"> </w:t>
      </w:r>
    </w:p>
    <w:p w14:paraId="70C4F937" w14:textId="77777777" w:rsidR="00970A7E" w:rsidRDefault="00970A7E" w:rsidP="00970A7E">
      <w:pPr>
        <w:pStyle w:val="a9"/>
        <w:numPr>
          <w:ilvl w:val="0"/>
          <w:numId w:val="1"/>
        </w:numPr>
        <w:spacing w:line="360" w:lineRule="auto"/>
        <w:jc w:val="both"/>
        <w:rPr>
          <w:rFonts w:ascii="David" w:eastAsia="David" w:hAnsi="David"/>
          <w:rtl/>
        </w:rPr>
      </w:pPr>
      <w:r>
        <w:rPr>
          <w:rFonts w:hint="cs"/>
          <w:rtl/>
        </w:rPr>
        <w:t xml:space="preserve">כאמור </w:t>
      </w:r>
      <w:hyperlink r:id="rId16" w:history="1">
        <w:r w:rsidR="00767A9D" w:rsidRPr="00767A9D">
          <w:rPr>
            <w:rStyle w:val="Hyperlink"/>
            <w:rFonts w:hint="eastAsia"/>
            <w:rtl/>
          </w:rPr>
          <w:t>בסעיף</w:t>
        </w:r>
        <w:r w:rsidR="00767A9D" w:rsidRPr="00767A9D">
          <w:rPr>
            <w:rStyle w:val="Hyperlink"/>
            <w:rtl/>
          </w:rPr>
          <w:t xml:space="preserve"> 40ג(א)</w:t>
        </w:r>
      </w:hyperlink>
      <w:r>
        <w:rPr>
          <w:rFonts w:hint="cs"/>
          <w:u w:val="single"/>
          <w:rtl/>
        </w:rPr>
        <w:t xml:space="preserve"> ל</w:t>
      </w:r>
      <w:hyperlink r:id="rId17" w:history="1">
        <w:r w:rsidR="005A2AC4" w:rsidRPr="005A2AC4">
          <w:rPr>
            <w:color w:val="0000FF"/>
            <w:u w:val="single"/>
            <w:rtl/>
          </w:rPr>
          <w:t>חוק העונשין</w:t>
        </w:r>
      </w:hyperlink>
      <w:r>
        <w:rPr>
          <w:rFonts w:hint="cs"/>
          <w:u w:val="single"/>
          <w:rtl/>
        </w:rPr>
        <w:t xml:space="preserve">, </w:t>
      </w:r>
      <w:r>
        <w:rPr>
          <w:rFonts w:hint="cs"/>
          <w:rtl/>
        </w:rPr>
        <w:t>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4F99B608" w14:textId="77777777" w:rsidR="00970A7E" w:rsidRDefault="00970A7E" w:rsidP="00970A7E">
      <w:pPr>
        <w:pStyle w:val="a9"/>
        <w:spacing w:line="360" w:lineRule="auto"/>
        <w:jc w:val="both"/>
      </w:pPr>
    </w:p>
    <w:p w14:paraId="56E91EE8" w14:textId="77777777" w:rsidR="00970A7E" w:rsidRDefault="00970A7E" w:rsidP="00970A7E">
      <w:pPr>
        <w:pStyle w:val="a9"/>
        <w:numPr>
          <w:ilvl w:val="0"/>
          <w:numId w:val="1"/>
        </w:numPr>
        <w:spacing w:line="360" w:lineRule="auto"/>
        <w:jc w:val="both"/>
        <w:rPr>
          <w:rFonts w:ascii="David" w:eastAsia="David" w:hAnsi="David"/>
        </w:rPr>
      </w:pPr>
      <w:r>
        <w:rPr>
          <w:rFonts w:hint="cs"/>
          <w:rtl/>
        </w:rPr>
        <w:t>בכל הנוגע</w:t>
      </w:r>
      <w:r>
        <w:rPr>
          <w:rFonts w:hint="cs"/>
          <w:b/>
          <w:bCs/>
          <w:rtl/>
        </w:rPr>
        <w:t xml:space="preserve"> לערכים החברתיים המוגנים</w:t>
      </w:r>
      <w:r>
        <w:rPr>
          <w:rFonts w:hint="cs"/>
          <w:rtl/>
        </w:rPr>
        <w:t xml:space="preserve"> אשר נפגעו כתוצאה ממעשיו של הנאשם, הרי שאין צורך להכביר מילים על אודות החומרה הרבה הכרוכה בעבירות הסמים. </w:t>
      </w:r>
      <w:hyperlink r:id="rId18" w:history="1">
        <w:r w:rsidR="005A2AC4" w:rsidRPr="005A2AC4">
          <w:rPr>
            <w:color w:val="0000FF"/>
            <w:u w:val="single"/>
            <w:rtl/>
          </w:rPr>
          <w:t>פקודת הסמים המסוכנים</w:t>
        </w:r>
      </w:hyperlink>
      <w:r>
        <w:rPr>
          <w:rFonts w:hint="cs"/>
          <w:rtl/>
        </w:rPr>
        <w:t xml:space="preserve"> נחקקה על מנת להגן על ערכים חברתיים מרכזיים ובראשם החובה להגן על שלומו של הציבור, בריאותו, ביטחונו האישי ועל רכושו.</w:t>
      </w:r>
    </w:p>
    <w:p w14:paraId="4853877E" w14:textId="77777777" w:rsidR="00970A7E" w:rsidRDefault="00970A7E" w:rsidP="00970A7E">
      <w:pPr>
        <w:pStyle w:val="a9"/>
        <w:rPr>
          <w:rtl/>
        </w:rPr>
      </w:pPr>
    </w:p>
    <w:p w14:paraId="4781C51D" w14:textId="77777777" w:rsidR="00970A7E" w:rsidRDefault="00970A7E" w:rsidP="00970A7E">
      <w:pPr>
        <w:pStyle w:val="a9"/>
        <w:numPr>
          <w:ilvl w:val="0"/>
          <w:numId w:val="1"/>
        </w:numPr>
        <w:spacing w:line="360" w:lineRule="auto"/>
        <w:jc w:val="both"/>
      </w:pPr>
      <w:r>
        <w:rPr>
          <w:rFonts w:hint="cs"/>
          <w:rtl/>
        </w:rPr>
        <w:t xml:space="preserve">בבחינת </w:t>
      </w:r>
      <w:r>
        <w:rPr>
          <w:rFonts w:hint="cs"/>
          <w:b/>
          <w:bCs/>
          <w:rtl/>
        </w:rPr>
        <w:t xml:space="preserve">הנסיבות הקשורות בביצוע </w:t>
      </w:r>
      <w:r>
        <w:rPr>
          <w:rFonts w:hint="cs"/>
          <w:rtl/>
        </w:rPr>
        <w:t xml:space="preserve"> </w:t>
      </w:r>
      <w:r>
        <w:rPr>
          <w:rFonts w:hint="cs"/>
          <w:b/>
          <w:bCs/>
          <w:rtl/>
        </w:rPr>
        <w:t>העבירה,</w:t>
      </w:r>
      <w:r>
        <w:rPr>
          <w:rFonts w:hint="cs"/>
          <w:rtl/>
        </w:rPr>
        <w:t xml:space="preserve"> נתתי דעתי בראש ובראשונה לסוג הסם אותו החזיק הנאשם.  המדובר בסם מסוכן מסוג קריסטל  הנמנה עם "הסמים הקשים".  החזיק הנאשם בבית שבקרית ביאליק,  </w:t>
      </w:r>
      <w:r w:rsidRPr="00BB552D">
        <w:rPr>
          <w:rFonts w:ascii="Arial" w:hAnsi="Arial" w:hint="cs"/>
          <w:rtl/>
        </w:rPr>
        <w:t xml:space="preserve">במשקלים: 1.4419 גרם נטו ו </w:t>
      </w:r>
      <w:r w:rsidRPr="00BB552D">
        <w:rPr>
          <w:rFonts w:ascii="Arial" w:hAnsi="Arial"/>
          <w:rtl/>
        </w:rPr>
        <w:t>–</w:t>
      </w:r>
      <w:r w:rsidRPr="00BB552D">
        <w:rPr>
          <w:rFonts w:ascii="Arial" w:hAnsi="Arial" w:hint="cs"/>
          <w:rtl/>
        </w:rPr>
        <w:t xml:space="preserve"> 5.0828 גרם נטו. באותן נסיבות נתפס הנאשם מחזיק משקל אלקטרוני</w:t>
      </w:r>
      <w:r>
        <w:rPr>
          <w:rFonts w:ascii="Arial" w:hAnsi="Arial" w:hint="cs"/>
          <w:b/>
          <w:bCs/>
          <w:rtl/>
        </w:rPr>
        <w:t xml:space="preserve">. </w:t>
      </w:r>
    </w:p>
    <w:p w14:paraId="5873C94B" w14:textId="77777777" w:rsidR="00970A7E" w:rsidRDefault="00970A7E" w:rsidP="00970A7E">
      <w:pPr>
        <w:pStyle w:val="a9"/>
        <w:rPr>
          <w:rtl/>
        </w:rPr>
      </w:pPr>
    </w:p>
    <w:p w14:paraId="6CFE2154" w14:textId="77777777" w:rsidR="00970A7E" w:rsidRDefault="00970A7E" w:rsidP="00970A7E">
      <w:pPr>
        <w:pStyle w:val="a9"/>
        <w:numPr>
          <w:ilvl w:val="0"/>
          <w:numId w:val="1"/>
        </w:numPr>
        <w:spacing w:line="360" w:lineRule="auto"/>
        <w:jc w:val="both"/>
        <w:rPr>
          <w:b/>
          <w:bCs/>
        </w:rPr>
      </w:pPr>
      <w:r>
        <w:rPr>
          <w:rFonts w:hint="cs"/>
          <w:b/>
          <w:bCs/>
          <w:rtl/>
        </w:rPr>
        <w:t>באשר למדיניות הענישה הנהוגה בגין החזקה של סם מסוכן מסוג הרואין או קוקאין שלא לצריכה עצמית, בכמויות של עשרות גרמים, כבר קבע בית משפט העליון ב</w:t>
      </w:r>
      <w:hyperlink r:id="rId19" w:history="1">
        <w:r w:rsidR="005A2AC4" w:rsidRPr="005A2AC4">
          <w:rPr>
            <w:b/>
            <w:bCs/>
            <w:color w:val="0000FF"/>
            <w:u w:val="single"/>
            <w:rtl/>
          </w:rPr>
          <w:t>ע"פ 4592/15</w:t>
        </w:r>
      </w:hyperlink>
      <w:r>
        <w:rPr>
          <w:rFonts w:hint="cs"/>
          <w:b/>
          <w:bCs/>
          <w:rtl/>
        </w:rPr>
        <w:t xml:space="preserve"> אשר מסעוד פדידה נ' מדינת ישראל (8.2.16) כדלקמן –</w:t>
      </w:r>
    </w:p>
    <w:p w14:paraId="6C51809C" w14:textId="77777777" w:rsidR="00970A7E" w:rsidRDefault="00970A7E" w:rsidP="00970A7E">
      <w:pPr>
        <w:pStyle w:val="a9"/>
        <w:spacing w:line="360" w:lineRule="auto"/>
        <w:ind w:left="1440"/>
        <w:jc w:val="both"/>
        <w:rPr>
          <w:rFonts w:ascii="David" w:hAnsi="David"/>
        </w:rPr>
      </w:pPr>
      <w:r>
        <w:rPr>
          <w:rFonts w:ascii="Miriam" w:hAnsi="Miriam" w:cs="Miriam"/>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20" w:history="1">
        <w:r w:rsidR="005A2AC4" w:rsidRPr="005A2AC4">
          <w:rPr>
            <w:rFonts w:ascii="Miriam" w:hAnsi="Miriam" w:cs="Miriam"/>
            <w:color w:val="0000FF"/>
            <w:u w:val="single"/>
            <w:rtl/>
          </w:rPr>
          <w:t>ע"פ 8820/14</w:t>
        </w:r>
      </w:hyperlink>
      <w:r>
        <w:rPr>
          <w:rFonts w:ascii="Miriam" w:hAnsi="Miriam" w:cs="Miriam"/>
          <w:rtl/>
        </w:rPr>
        <w:t xml:space="preserve"> זהר שחר נ' מדינת ישראל [פורסם בנבו] (2015) בפסקה 12 וההפניות שם; </w:t>
      </w:r>
      <w:hyperlink r:id="rId21" w:history="1">
        <w:r w:rsidR="00AB47D8" w:rsidRPr="00AB47D8">
          <w:rPr>
            <w:rFonts w:ascii="Miriam" w:hAnsi="Miriam" w:cs="Miriam"/>
            <w:color w:val="0000FF"/>
            <w:u w:val="single"/>
            <w:rtl/>
          </w:rPr>
          <w:t xml:space="preserve">1313/14 </w:t>
        </w:r>
      </w:hyperlink>
      <w:r>
        <w:rPr>
          <w:rFonts w:ascii="Miriam" w:hAnsi="Miriam" w:cs="Miriam"/>
          <w:rtl/>
        </w:rPr>
        <w:t xml:space="preserve"> גמאל בהתימי נ' מדינת ישראל [פורסם בנבו] (2015); עניין פיצו, בפסקה 14 וההפניות שם; </w:t>
      </w:r>
      <w:hyperlink r:id="rId22" w:history="1">
        <w:r w:rsidR="005A2AC4" w:rsidRPr="005A2AC4">
          <w:rPr>
            <w:rFonts w:ascii="Miriam" w:hAnsi="Miriam" w:cs="Miriam"/>
            <w:color w:val="0000FF"/>
            <w:u w:val="single"/>
            <w:rtl/>
          </w:rPr>
          <w:t>ע"פ 5374/12</w:t>
        </w:r>
      </w:hyperlink>
      <w:r>
        <w:rPr>
          <w:rFonts w:ascii="Miriam" w:hAnsi="Miriam" w:cs="Miriam"/>
          <w:rtl/>
        </w:rPr>
        <w:t xml:space="preserve"> אברג'יל נ' מדינת ישראל [פורסם בנבו] (2013); </w:t>
      </w:r>
      <w:hyperlink r:id="rId23" w:history="1">
        <w:r w:rsidR="005A2AC4" w:rsidRPr="005A2AC4">
          <w:rPr>
            <w:rFonts w:ascii="Miriam" w:hAnsi="Miriam" w:cs="Miriam"/>
            <w:color w:val="0000FF"/>
            <w:u w:val="single"/>
            <w:rtl/>
          </w:rPr>
          <w:t>ע"פ 11469/05</w:t>
        </w:r>
      </w:hyperlink>
      <w:r>
        <w:rPr>
          <w:rFonts w:ascii="Miriam" w:hAnsi="Miriam" w:cs="Miriam"/>
          <w:rtl/>
        </w:rPr>
        <w:t xml:space="preserve"> מדינת ישראל נ' עייש [פורסם בנבו] (2006); </w:t>
      </w:r>
      <w:hyperlink r:id="rId24" w:history="1">
        <w:r w:rsidR="00AB47D8" w:rsidRPr="00AB47D8">
          <w:rPr>
            <w:rFonts w:ascii="Miriam" w:hAnsi="Miriam" w:cs="Miriam"/>
            <w:color w:val="0000FF"/>
            <w:u w:val="single"/>
            <w:rtl/>
          </w:rPr>
          <w:t xml:space="preserve">5958/13 </w:t>
        </w:r>
      </w:hyperlink>
      <w:r>
        <w:rPr>
          <w:rFonts w:ascii="Miriam" w:hAnsi="Miriam" w:cs="Miriam"/>
          <w:rtl/>
        </w:rPr>
        <w:t xml:space="preserve"> גיא שרגא סבג נ' מדינת ישראל [פורסם בנבו] (2014); </w:t>
      </w:r>
      <w:hyperlink r:id="rId25" w:history="1">
        <w:r w:rsidR="00AB47D8" w:rsidRPr="00AB47D8">
          <w:rPr>
            <w:rFonts w:ascii="Miriam" w:hAnsi="Miriam" w:cs="Miriam"/>
            <w:color w:val="0000FF"/>
            <w:u w:val="single"/>
            <w:rtl/>
          </w:rPr>
          <w:t xml:space="preserve">4203/14 </w:t>
        </w:r>
      </w:hyperlink>
      <w:r>
        <w:rPr>
          <w:rFonts w:ascii="Miriam" w:hAnsi="Miriam" w:cs="Miriam"/>
          <w:rtl/>
        </w:rPr>
        <w:t xml:space="preserve"> אליהו כהן נ' מדינת ישראל [פורסם בנבו] (2015))".</w:t>
      </w:r>
    </w:p>
    <w:p w14:paraId="0DBFCC7F" w14:textId="77777777" w:rsidR="00970A7E" w:rsidRDefault="00970A7E" w:rsidP="00970A7E">
      <w:pPr>
        <w:spacing w:line="360" w:lineRule="auto"/>
        <w:jc w:val="both"/>
      </w:pPr>
    </w:p>
    <w:p w14:paraId="1214E64D" w14:textId="77777777" w:rsidR="00970A7E" w:rsidRDefault="00970A7E" w:rsidP="00970A7E">
      <w:pPr>
        <w:pStyle w:val="a9"/>
        <w:numPr>
          <w:ilvl w:val="0"/>
          <w:numId w:val="1"/>
        </w:numPr>
        <w:spacing w:line="360" w:lineRule="auto"/>
        <w:jc w:val="both"/>
      </w:pPr>
      <w:r>
        <w:rPr>
          <w:rFonts w:hint="cs"/>
          <w:rtl/>
        </w:rPr>
        <w:t xml:space="preserve">באשר למדיניות הענישה אפנה למקרים הבאים אשר בעיקר מדובר בסמים קשים גם מסוג קקואין והרואין : </w:t>
      </w:r>
    </w:p>
    <w:p w14:paraId="46D3DA5C" w14:textId="77777777" w:rsidR="00970A7E" w:rsidRDefault="00970A7E" w:rsidP="00970A7E">
      <w:pPr>
        <w:pStyle w:val="a9"/>
        <w:spacing w:line="360" w:lineRule="auto"/>
        <w:jc w:val="both"/>
      </w:pPr>
    </w:p>
    <w:p w14:paraId="486CD2B7" w14:textId="77777777" w:rsidR="00970A7E" w:rsidRDefault="00970A7E" w:rsidP="00970A7E">
      <w:pPr>
        <w:pStyle w:val="a9"/>
        <w:spacing w:line="360" w:lineRule="auto"/>
        <w:jc w:val="both"/>
        <w:rPr>
          <w:rtl/>
        </w:rPr>
      </w:pPr>
      <w:r>
        <w:rPr>
          <w:rFonts w:hint="cs"/>
          <w:rtl/>
        </w:rPr>
        <w:t>ב</w:t>
      </w:r>
      <w:hyperlink r:id="rId26" w:history="1">
        <w:r w:rsidR="005A2AC4" w:rsidRPr="005A2AC4">
          <w:rPr>
            <w:color w:val="0000FF"/>
            <w:u w:val="single"/>
            <w:rtl/>
          </w:rPr>
          <w:t>רע"פ 1273/08</w:t>
        </w:r>
      </w:hyperlink>
      <w:r>
        <w:rPr>
          <w:rtl/>
        </w:rPr>
        <w:t xml:space="preserve"> </w:t>
      </w:r>
      <w:r>
        <w:rPr>
          <w:rFonts w:hint="cs"/>
          <w:b/>
          <w:bCs/>
          <w:rtl/>
        </w:rPr>
        <w:t>חמאמדה נ' מדינת ישראל</w:t>
      </w:r>
      <w:r>
        <w:rPr>
          <w:rFonts w:hint="cs"/>
          <w:rtl/>
        </w:rPr>
        <w:t xml:space="preserve"> (11.2.08), אישר בית המשפט העליון את פסק דינו של בית המשפט המחוזי, אשר דחה ערעור על פסק דינו של בית משפט השלום שהשית על נאשם בעל עבר מכביד, שהורשע על יסוד הודאתו בעבירה של החזקת סם שלא לצריכה עצמית (נתפס כשהוא מחזיק סם מסוכן מסוג הרואין במשקל 32.3857 גרם, סם מסוכן מסוג קוקאין במשקל 1.3588 גרם, וסם מסוכן מסוג חשיש במשקל 9.2808 גרם) וצירף תיק נוסף בו הודה בהחזקת סם מסוכן מסוג קוקאין במשקל של 2.3 גרם וסם מסוכן מסוג קנבוס במשקל 14 גרם, 12 חודשי מאסר בפועל, תוך הפעלה בחופף של מאסר על תנאי בן 8 חודשים.</w:t>
      </w:r>
    </w:p>
    <w:p w14:paraId="11DC8169" w14:textId="77777777" w:rsidR="00970A7E" w:rsidRDefault="00970A7E" w:rsidP="00970A7E">
      <w:pPr>
        <w:pStyle w:val="a9"/>
        <w:spacing w:line="360" w:lineRule="auto"/>
        <w:jc w:val="both"/>
        <w:rPr>
          <w:rFonts w:ascii="David" w:hAnsi="David"/>
        </w:rPr>
      </w:pPr>
    </w:p>
    <w:p w14:paraId="535D6532" w14:textId="77777777" w:rsidR="00970A7E" w:rsidRDefault="00970A7E" w:rsidP="00970A7E">
      <w:pPr>
        <w:spacing w:line="360" w:lineRule="auto"/>
        <w:ind w:left="720"/>
        <w:jc w:val="both"/>
      </w:pPr>
      <w:r>
        <w:rPr>
          <w:rFonts w:hint="cs"/>
          <w:rtl/>
        </w:rPr>
        <w:t>ב</w:t>
      </w:r>
      <w:hyperlink r:id="rId27" w:history="1">
        <w:r w:rsidR="005A2AC4" w:rsidRPr="005A2AC4">
          <w:rPr>
            <w:color w:val="0000FF"/>
            <w:u w:val="single"/>
            <w:rtl/>
          </w:rPr>
          <w:t>רע"פ 6374/08</w:t>
        </w:r>
      </w:hyperlink>
      <w:r>
        <w:rPr>
          <w:rtl/>
        </w:rPr>
        <w:t xml:space="preserve"> </w:t>
      </w:r>
      <w:r>
        <w:rPr>
          <w:rFonts w:hint="cs"/>
          <w:b/>
          <w:bCs/>
          <w:rtl/>
        </w:rPr>
        <w:t>גנני נ' מדינת ישראל</w:t>
      </w:r>
      <w:r>
        <w:rPr>
          <w:rFonts w:hint="cs"/>
          <w:rtl/>
        </w:rPr>
        <w:t xml:space="preserve"> (6.2.12), התקבל ערעור על גזר דינו של בית המשפט המחוזי אשר קיבל את ערעור המדינה על קולת העונש והשית על נאשם שהודה והורשע בעבירה של החזקת סם מסוג חשיש במשקל 1693.24 גרם נטו שלא לשימוש עצמי עונש של 6 חודשי מאסר לריצוי בעבודות שירות תחת 12 חודשי מאסר על תנאי שהשית בית המשפט השלום. בית המשפט העליון קבע כי ככל שהנאשם ריצה את צו השל"צ שהושת עליו, לא ניתן להטיל עליו עונש מאסר בעת הערעור.</w:t>
      </w:r>
    </w:p>
    <w:p w14:paraId="41001704" w14:textId="77777777" w:rsidR="00970A7E" w:rsidRDefault="00970A7E" w:rsidP="00970A7E">
      <w:pPr>
        <w:spacing w:line="360" w:lineRule="auto"/>
        <w:jc w:val="both"/>
        <w:rPr>
          <w:rFonts w:ascii="David" w:hAnsi="David"/>
          <w:rtl/>
        </w:rPr>
      </w:pPr>
    </w:p>
    <w:p w14:paraId="3B7FC4DA" w14:textId="77777777" w:rsidR="00970A7E" w:rsidRDefault="00970A7E" w:rsidP="00970A7E">
      <w:pPr>
        <w:spacing w:line="360" w:lineRule="auto"/>
        <w:ind w:left="720"/>
        <w:jc w:val="both"/>
      </w:pPr>
      <w:r>
        <w:rPr>
          <w:rFonts w:hint="cs"/>
          <w:rtl/>
        </w:rPr>
        <w:t>ב</w:t>
      </w:r>
      <w:hyperlink r:id="rId28" w:history="1">
        <w:r w:rsidR="005A2AC4" w:rsidRPr="005A2AC4">
          <w:rPr>
            <w:color w:val="0000FF"/>
            <w:u w:val="single"/>
            <w:rtl/>
          </w:rPr>
          <w:t>רע"פ 1273/08</w:t>
        </w:r>
      </w:hyperlink>
      <w:r>
        <w:rPr>
          <w:rtl/>
        </w:rPr>
        <w:t xml:space="preserve"> </w:t>
      </w:r>
      <w:r>
        <w:rPr>
          <w:rFonts w:hint="cs"/>
          <w:b/>
          <w:bCs/>
          <w:rtl/>
        </w:rPr>
        <w:t>חמאמדה נ' מדינת ישראל</w:t>
      </w:r>
      <w:r>
        <w:rPr>
          <w:rFonts w:hint="cs"/>
          <w:rtl/>
        </w:rPr>
        <w:t xml:space="preserve"> (11.2.08), אישר בית המשפט העליון את פסק דינו של בית המשפט המחוזי, אשר דחה ערעור על פסק דינו של בית משפט השלום שהשית על נאשם בעל עבר מכביד, שהורשע על יסוד הודאתו בעבירה של החזקת סם שלא לצריכה עצמית (נתפס כשהוא מחזיק סם מסוכן מסוג הרואין במשקל 32.3857 גרם, סם מסוכן מסוג קוקאין במשקל 1.3588 גרם, וסם מסוכן מסוג חשיש במשקל 9.2808 גרם) וצירף תיק נוסף בו הודה בהחזקת סם מסוכן מסוג קוקאין במשקל של 2.3 גרם וסם מסוכן מסוג קנבוס במשקל 14 גרם, 12 חודשי מאסר בפועל, תוך הפעלה בחופף של מאסר על תנאי בן 8 חודשים.</w:t>
      </w:r>
    </w:p>
    <w:p w14:paraId="2FAFB537" w14:textId="77777777" w:rsidR="00970A7E" w:rsidRDefault="005A2AC4" w:rsidP="00970A7E">
      <w:pPr>
        <w:spacing w:line="360" w:lineRule="auto"/>
        <w:ind w:left="720"/>
        <w:jc w:val="both"/>
        <w:rPr>
          <w:rFonts w:ascii="David" w:hAnsi="David"/>
          <w:rtl/>
        </w:rPr>
      </w:pPr>
      <w:hyperlink r:id="rId29" w:history="1">
        <w:r w:rsidRPr="005A2AC4">
          <w:rPr>
            <w:color w:val="0000FF"/>
            <w:u w:val="single"/>
            <w:rtl/>
          </w:rPr>
          <w:t>עפ"ג 7474-09-17</w:t>
        </w:r>
      </w:hyperlink>
      <w:r w:rsidR="00970A7E">
        <w:rPr>
          <w:rFonts w:hint="cs"/>
          <w:rtl/>
        </w:rPr>
        <w:t xml:space="preserve"> </w:t>
      </w:r>
      <w:r w:rsidR="00970A7E">
        <w:rPr>
          <w:rFonts w:hint="cs"/>
          <w:b/>
          <w:bCs/>
          <w:rtl/>
        </w:rPr>
        <w:t>מדינת ישראל נ' שגב</w:t>
      </w:r>
      <w:r w:rsidR="00970A7E">
        <w:rPr>
          <w:rFonts w:hint="cs"/>
          <w:rtl/>
        </w:rPr>
        <w:t xml:space="preserve"> (26.2.17) בו הורשע נאשם בעבירה של החזקת סם מסוג קוקאין במשקל של 31.37 גרם, ולאור הליך שיקום משמעותי נידון הנאשם ל-6 חודשי עבודות שירות.</w:t>
      </w:r>
    </w:p>
    <w:p w14:paraId="02C7C68B" w14:textId="77777777" w:rsidR="00970A7E" w:rsidRDefault="00970A7E" w:rsidP="00970A7E">
      <w:pPr>
        <w:spacing w:line="360" w:lineRule="auto"/>
        <w:ind w:left="720"/>
        <w:jc w:val="both"/>
      </w:pPr>
    </w:p>
    <w:p w14:paraId="45186184" w14:textId="77777777" w:rsidR="00970A7E" w:rsidRDefault="00970A7E" w:rsidP="00970A7E">
      <w:pPr>
        <w:spacing w:line="360" w:lineRule="auto"/>
        <w:ind w:left="720"/>
        <w:jc w:val="both"/>
      </w:pPr>
      <w:r>
        <w:rPr>
          <w:rFonts w:hint="cs"/>
          <w:rtl/>
        </w:rPr>
        <w:t xml:space="preserve">עפ"ג </w:t>
      </w:r>
      <w:hyperlink r:id="rId30" w:history="1">
        <w:r w:rsidR="00AB47D8" w:rsidRPr="00AB47D8">
          <w:rPr>
            <w:color w:val="0000FF"/>
            <w:u w:val="single"/>
            <w:rtl/>
          </w:rPr>
          <w:t xml:space="preserve">4757-09-12 </w:t>
        </w:r>
      </w:hyperlink>
      <w:r>
        <w:rPr>
          <w:rFonts w:hint="cs"/>
          <w:rtl/>
        </w:rPr>
        <w:t xml:space="preserve"> </w:t>
      </w:r>
      <w:r>
        <w:rPr>
          <w:rFonts w:hint="cs"/>
          <w:b/>
          <w:bCs/>
          <w:rtl/>
        </w:rPr>
        <w:t xml:space="preserve">דהן נ' מדינת ישראל </w:t>
      </w:r>
      <w:r>
        <w:rPr>
          <w:rFonts w:hint="cs"/>
          <w:rtl/>
        </w:rPr>
        <w:t>(21.3.13) נידון עניינו של נאשם שהורשע בהחזקת סם מסוג קוקאין במשקל של 17.2 גרם נטו מחולק ל-6 אריזות ונידון ל-12 חודשי מאסר בפועל.</w:t>
      </w:r>
    </w:p>
    <w:p w14:paraId="5361E670" w14:textId="77777777" w:rsidR="00970A7E" w:rsidRDefault="00970A7E" w:rsidP="00970A7E">
      <w:pPr>
        <w:spacing w:line="360" w:lineRule="auto"/>
        <w:jc w:val="both"/>
        <w:rPr>
          <w:rtl/>
        </w:rPr>
      </w:pPr>
    </w:p>
    <w:p w14:paraId="6DD22D3A" w14:textId="77777777" w:rsidR="00970A7E" w:rsidRDefault="005A2AC4" w:rsidP="00970A7E">
      <w:pPr>
        <w:pStyle w:val="a9"/>
        <w:spacing w:line="360" w:lineRule="auto"/>
        <w:jc w:val="both"/>
        <w:rPr>
          <w:rtl/>
        </w:rPr>
      </w:pPr>
      <w:hyperlink r:id="rId31" w:history="1">
        <w:r w:rsidRPr="005A2AC4">
          <w:rPr>
            <w:color w:val="0000FF"/>
            <w:u w:val="single"/>
            <w:rtl/>
          </w:rPr>
          <w:t>ת"פ 40959-05-19</w:t>
        </w:r>
      </w:hyperlink>
      <w:r w:rsidR="00970A7E">
        <w:rPr>
          <w:rFonts w:hint="cs"/>
          <w:rtl/>
        </w:rPr>
        <w:t xml:space="preserve"> </w:t>
      </w:r>
      <w:r w:rsidR="00970A7E">
        <w:rPr>
          <w:rFonts w:hint="cs"/>
          <w:b/>
          <w:bCs/>
          <w:rtl/>
        </w:rPr>
        <w:t>מדינת ישראל נ' גבאי –</w:t>
      </w:r>
      <w:r w:rsidR="00970A7E">
        <w:rPr>
          <w:rFonts w:hint="cs"/>
          <w:rtl/>
        </w:rPr>
        <w:t xml:space="preserve"> הורשע נאשם בהחזקת 20 גרם של סם מסוכן מסוג קוקאין ובנוסף הורשע בהחזקת סם מסוג קנבוס במקומות שונים בביתו ובמספרה השייכת לאביו. נקבע מתחם ענישה שבין 9 חודשי מאסר שניתן לשאת בדרך של עבודות שירות במקרים מתאימים ועד לעונש של 24 חודשי מאסר בפועל ברף העליון. על הנאשם הושת עונש של 5 חודשי מאסר בדרך של עבודות שירות בשל חריגה משיקולי שיקום. </w:t>
      </w:r>
    </w:p>
    <w:p w14:paraId="331E0268" w14:textId="77777777" w:rsidR="00970A7E" w:rsidRDefault="00970A7E" w:rsidP="00970A7E">
      <w:pPr>
        <w:pStyle w:val="a9"/>
        <w:spacing w:line="360" w:lineRule="auto"/>
        <w:jc w:val="both"/>
        <w:rPr>
          <w:rtl/>
        </w:rPr>
      </w:pPr>
    </w:p>
    <w:p w14:paraId="214F1ED5" w14:textId="77777777" w:rsidR="00970A7E" w:rsidRDefault="00970A7E" w:rsidP="00970A7E">
      <w:pPr>
        <w:pStyle w:val="a9"/>
        <w:spacing w:line="360" w:lineRule="auto"/>
        <w:jc w:val="both"/>
        <w:rPr>
          <w:b/>
          <w:bCs/>
          <w:rtl/>
        </w:rPr>
      </w:pPr>
      <w:r>
        <w:rPr>
          <w:rFonts w:hint="cs"/>
          <w:b/>
          <w:bCs/>
          <w:rtl/>
        </w:rPr>
        <w:t xml:space="preserve">לאור כל זאת, אני בדעה כי מתחם הענישה ההולם את העבירות בענייננו, תוך התחשבות בכמות הסם, ומהותו הוא 6   חודשי מאסר שניתן בנסיבות מסוימות לשאת בדרך של עבודות שירות ועד 18  חודשי  מאסר בפועל בצירוף ענישה נלווית. </w:t>
      </w:r>
    </w:p>
    <w:p w14:paraId="735E9D0E" w14:textId="77777777" w:rsidR="00970A7E" w:rsidRDefault="00970A7E" w:rsidP="00970A7E">
      <w:pPr>
        <w:pStyle w:val="a9"/>
        <w:spacing w:line="360" w:lineRule="auto"/>
        <w:jc w:val="both"/>
        <w:rPr>
          <w:b/>
          <w:bCs/>
          <w:rtl/>
        </w:rPr>
      </w:pPr>
    </w:p>
    <w:p w14:paraId="0FBC0D76" w14:textId="77777777" w:rsidR="00970A7E" w:rsidRDefault="00970A7E" w:rsidP="00970A7E">
      <w:pPr>
        <w:pStyle w:val="a9"/>
        <w:numPr>
          <w:ilvl w:val="0"/>
          <w:numId w:val="1"/>
        </w:numPr>
        <w:spacing w:line="360" w:lineRule="auto"/>
        <w:jc w:val="both"/>
      </w:pPr>
      <w:r>
        <w:rPr>
          <w:rFonts w:hint="cs"/>
          <w:rtl/>
        </w:rPr>
        <w:t xml:space="preserve">בהינתן מתחם העונש ההולם יש לבחון האם מתקיימים שיקולים לחריגה ממנו, ובעניינו של הנאשם דנן - יש לבחון התקיימותם של שיקולים המצדיקים חריגה לקולא בהתאם </w:t>
      </w:r>
      <w:hyperlink r:id="rId32" w:history="1">
        <w:r w:rsidR="00767A9D" w:rsidRPr="00767A9D">
          <w:rPr>
            <w:rStyle w:val="Hyperlink"/>
            <w:rFonts w:hint="eastAsia"/>
            <w:rtl/>
          </w:rPr>
          <w:t>לסעיף</w:t>
        </w:r>
        <w:r w:rsidR="00767A9D" w:rsidRPr="00767A9D">
          <w:rPr>
            <w:rStyle w:val="Hyperlink"/>
            <w:rtl/>
          </w:rPr>
          <w:t xml:space="preserve"> 40ד.</w:t>
        </w:r>
      </w:hyperlink>
      <w:r>
        <w:rPr>
          <w:rFonts w:hint="cs"/>
          <w:rtl/>
        </w:rPr>
        <w:t xml:space="preserve"> ל</w:t>
      </w:r>
      <w:hyperlink r:id="rId33" w:history="1">
        <w:r w:rsidR="005A2AC4" w:rsidRPr="005A2AC4">
          <w:rPr>
            <w:color w:val="0000FF"/>
            <w:u w:val="single"/>
            <w:rtl/>
          </w:rPr>
          <w:t>חוק העונשין</w:t>
        </w:r>
      </w:hyperlink>
      <w:r>
        <w:rPr>
          <w:rFonts w:hint="cs"/>
          <w:rtl/>
        </w:rPr>
        <w:t xml:space="preserve">, והכוונה היא לנתונים המלמדים על סיכוי ממשי לשיקום הנאשם. </w:t>
      </w:r>
    </w:p>
    <w:p w14:paraId="3C5D2695" w14:textId="77777777" w:rsidR="00970A7E" w:rsidRDefault="00970A7E" w:rsidP="00970A7E">
      <w:pPr>
        <w:pStyle w:val="a9"/>
        <w:rPr>
          <w:rtl/>
        </w:rPr>
      </w:pPr>
    </w:p>
    <w:p w14:paraId="5C9DFD3E" w14:textId="77777777" w:rsidR="00970A7E" w:rsidRDefault="00970A7E" w:rsidP="00970A7E">
      <w:pPr>
        <w:pStyle w:val="a9"/>
        <w:numPr>
          <w:ilvl w:val="0"/>
          <w:numId w:val="1"/>
        </w:numPr>
        <w:spacing w:line="360" w:lineRule="auto"/>
        <w:jc w:val="both"/>
        <w:rPr>
          <w:rFonts w:ascii="Arial" w:hAnsi="Arial"/>
        </w:rPr>
      </w:pPr>
      <w:r>
        <w:rPr>
          <w:rFonts w:hint="cs"/>
          <w:rtl/>
        </w:rPr>
        <w:t xml:space="preserve">אמנם דרכו הראשונית של הנאשם לוותה בקשיים לא מבוטלים בעיקר בשל עמדתו ביחס להליך הטיפולי ואולם לאחר מכן הנאשם השתלב בהליך הטיפולי והתמיד בו. </w:t>
      </w:r>
      <w:r w:rsidRPr="007564AB">
        <w:rPr>
          <w:rFonts w:ascii="Arial" w:hAnsi="Arial" w:hint="cs"/>
          <w:rtl/>
        </w:rPr>
        <w:t xml:space="preserve"> </w:t>
      </w:r>
      <w:r>
        <w:rPr>
          <w:rFonts w:ascii="Arial" w:hAnsi="Arial" w:hint="cs"/>
          <w:rtl/>
        </w:rPr>
        <w:t xml:space="preserve">מתסקיר שירות המבחן עולה שישנם סיכויי שיקום ככל שהנאשם יתמיד בהליך הטיפולי, כאלו שיצמצמו את הסיכון להישנות עבירות בצורה משמעותית. </w:t>
      </w:r>
      <w:r w:rsidRPr="007564AB">
        <w:rPr>
          <w:rFonts w:ascii="Arial" w:hAnsi="Arial" w:hint="cs"/>
          <w:rtl/>
        </w:rPr>
        <w:t xml:space="preserve">לפיכך, לאחר שאני סבורה כי הוכח סיכוי ממשי לשיקום הנאשם, שוכנעתי כי בעניינו של הנאשם יש לחרוג ממתחם העונש ההולם אותו קבעתי בשל שיקולי שיקום. </w:t>
      </w:r>
    </w:p>
    <w:p w14:paraId="34090891" w14:textId="77777777" w:rsidR="00970A7E" w:rsidRPr="00831F51" w:rsidRDefault="00970A7E" w:rsidP="00970A7E">
      <w:pPr>
        <w:pStyle w:val="a9"/>
        <w:rPr>
          <w:rFonts w:ascii="Arial" w:hAnsi="Arial"/>
          <w:rtl/>
        </w:rPr>
      </w:pPr>
    </w:p>
    <w:p w14:paraId="599A82BC" w14:textId="77777777" w:rsidR="00970A7E" w:rsidRPr="007564AB" w:rsidRDefault="00970A7E" w:rsidP="00970A7E">
      <w:pPr>
        <w:pStyle w:val="a9"/>
        <w:spacing w:line="360" w:lineRule="auto"/>
        <w:jc w:val="both"/>
        <w:rPr>
          <w:rFonts w:ascii="Arial" w:hAnsi="Arial"/>
        </w:rPr>
      </w:pPr>
    </w:p>
    <w:p w14:paraId="17963AE5" w14:textId="77777777" w:rsidR="00970A7E" w:rsidRDefault="00970A7E" w:rsidP="00970A7E">
      <w:pPr>
        <w:pStyle w:val="a9"/>
        <w:numPr>
          <w:ilvl w:val="0"/>
          <w:numId w:val="1"/>
        </w:numPr>
        <w:spacing w:line="360" w:lineRule="auto"/>
        <w:jc w:val="both"/>
        <w:rPr>
          <w:rFonts w:ascii="Arial" w:hAnsi="Arial"/>
        </w:rPr>
      </w:pPr>
      <w:r w:rsidRPr="002F3F13">
        <w:rPr>
          <w:rFonts w:ascii="Arial" w:hAnsi="Arial" w:hint="cs"/>
          <w:rtl/>
        </w:rPr>
        <w:t xml:space="preserve">אכן המלצת שירות המבחן הינה בבחינת המלצה בלבד ואין בכוחה לחייב את בית המשפט אשר מופקד על בחינת המקרה בראייה הכוללת </w:t>
      </w:r>
      <w:r>
        <w:rPr>
          <w:rFonts w:ascii="Arial" w:hAnsi="Arial" w:hint="cs"/>
          <w:rtl/>
        </w:rPr>
        <w:t xml:space="preserve">של </w:t>
      </w:r>
      <w:r w:rsidRPr="002F3F13">
        <w:rPr>
          <w:rFonts w:ascii="Arial" w:hAnsi="Arial" w:hint="cs"/>
          <w:rtl/>
        </w:rPr>
        <w:t>שיקולים נוספים על פני טובת הנאשם כגון טובת האינטרס הציבורי. שירות המבחן ממליץ להסתפק בצו שירות לתועלת הציבור. התלבטתי האם נוכח עברו הפלילי של הנאשם יש מקום שלא להסתפק בענישה הכוללת צו של"צ הגם שהנאשם הופנה לקבלת חוות דעת של הממונה על עבודות השירות</w:t>
      </w:r>
      <w:r>
        <w:rPr>
          <w:rFonts w:ascii="Arial" w:hAnsi="Arial" w:hint="cs"/>
          <w:rtl/>
        </w:rPr>
        <w:t xml:space="preserve">. </w:t>
      </w:r>
      <w:r w:rsidRPr="002F3F13">
        <w:rPr>
          <w:rFonts w:ascii="Arial" w:hAnsi="Arial" w:hint="cs"/>
          <w:rtl/>
        </w:rPr>
        <w:t xml:space="preserve"> שוכנעתי בסופו של יום שענישה הכוללת מאסר בדרך של עבודות השירות יש בה כדי לפגוע הן בנאשם והן במשפחתו</w:t>
      </w:r>
      <w:r>
        <w:rPr>
          <w:rFonts w:ascii="Arial" w:hAnsi="Arial" w:hint="cs"/>
          <w:rtl/>
        </w:rPr>
        <w:t xml:space="preserve"> </w:t>
      </w:r>
      <w:r w:rsidRPr="002F3F13">
        <w:rPr>
          <w:rFonts w:ascii="Arial" w:hAnsi="Arial" w:hint="cs"/>
          <w:rtl/>
        </w:rPr>
        <w:t xml:space="preserve"> כך שתיפגע יכולתו להתפרנס ולנהל את העסק העצמאי שלו וכן שענישה זו אינה מאפשרת לנאשם פניות לטיפול בבתו והמשך השתתפותו בצורה עקבית בהליך הטיפולי. לפיכך, הגם שאני סבורה ששיקולי הענישה אינם נסוגים, אני מכבדת את המלצות שירות המבחן באופן מלא. </w:t>
      </w:r>
    </w:p>
    <w:p w14:paraId="795E1970" w14:textId="77777777" w:rsidR="00970A7E" w:rsidRDefault="00970A7E" w:rsidP="00970A7E">
      <w:pPr>
        <w:pStyle w:val="a9"/>
        <w:spacing w:line="360" w:lineRule="auto"/>
        <w:jc w:val="both"/>
        <w:rPr>
          <w:rFonts w:ascii="Arial" w:hAnsi="Arial"/>
        </w:rPr>
      </w:pPr>
    </w:p>
    <w:p w14:paraId="2A02CB02" w14:textId="77777777" w:rsidR="00970A7E" w:rsidRPr="002F3F13" w:rsidRDefault="00970A7E" w:rsidP="00970A7E">
      <w:pPr>
        <w:pStyle w:val="a9"/>
        <w:numPr>
          <w:ilvl w:val="0"/>
          <w:numId w:val="1"/>
        </w:numPr>
        <w:spacing w:line="360" w:lineRule="auto"/>
        <w:jc w:val="both"/>
        <w:rPr>
          <w:rFonts w:ascii="Arial" w:hAnsi="Arial"/>
        </w:rPr>
      </w:pPr>
      <w:r>
        <w:rPr>
          <w:rFonts w:ascii="Arial" w:hAnsi="Arial" w:hint="cs"/>
          <w:rtl/>
        </w:rPr>
        <w:t>ב</w:t>
      </w:r>
      <w:r w:rsidRPr="002F3F13">
        <w:rPr>
          <w:rFonts w:ascii="Arial" w:hAnsi="Arial" w:hint="cs"/>
          <w:rtl/>
        </w:rPr>
        <w:t xml:space="preserve">איזון בין השיקולים השונים, אני סבורה </w:t>
      </w:r>
      <w:r>
        <w:rPr>
          <w:rFonts w:ascii="Arial" w:hAnsi="Arial" w:hint="cs"/>
          <w:rtl/>
        </w:rPr>
        <w:t xml:space="preserve">שיש מקום לחרוג ממתחם העונש ההולם ולאמץ את המלצות שירות המבחן. </w:t>
      </w:r>
      <w:r w:rsidRPr="002F3F13">
        <w:rPr>
          <w:rFonts w:ascii="Arial" w:hAnsi="Arial" w:hint="cs"/>
          <w:rtl/>
        </w:rPr>
        <w:t xml:space="preserve"> </w:t>
      </w:r>
    </w:p>
    <w:p w14:paraId="4832E62A" w14:textId="77777777" w:rsidR="00970A7E" w:rsidRDefault="00970A7E" w:rsidP="00970A7E">
      <w:pPr>
        <w:pStyle w:val="a9"/>
        <w:spacing w:line="360" w:lineRule="auto"/>
        <w:jc w:val="both"/>
        <w:rPr>
          <w:rFonts w:ascii="Arial" w:hAnsi="Arial"/>
          <w:rtl/>
        </w:rPr>
      </w:pPr>
    </w:p>
    <w:p w14:paraId="63B4BC50" w14:textId="77777777" w:rsidR="00970A7E" w:rsidRDefault="00970A7E" w:rsidP="00970A7E">
      <w:pPr>
        <w:pStyle w:val="a9"/>
        <w:numPr>
          <w:ilvl w:val="0"/>
          <w:numId w:val="1"/>
        </w:numPr>
        <w:spacing w:line="360" w:lineRule="auto"/>
        <w:jc w:val="both"/>
        <w:rPr>
          <w:rFonts w:ascii="Arial" w:hAnsi="Arial"/>
        </w:rPr>
      </w:pPr>
      <w:r>
        <w:rPr>
          <w:rFonts w:ascii="Arial" w:hAnsi="Arial" w:hint="cs"/>
          <w:rtl/>
        </w:rPr>
        <w:t>אשר על כן , אני גוזרת על הנאשם את העונשים הבאים:</w:t>
      </w:r>
    </w:p>
    <w:p w14:paraId="27A927D9" w14:textId="77777777" w:rsidR="00970A7E" w:rsidRDefault="00970A7E" w:rsidP="00970A7E">
      <w:pPr>
        <w:pStyle w:val="a9"/>
        <w:spacing w:line="360" w:lineRule="auto"/>
        <w:jc w:val="both"/>
        <w:rPr>
          <w:rFonts w:ascii="Arial" w:hAnsi="Arial"/>
        </w:rPr>
      </w:pPr>
    </w:p>
    <w:p w14:paraId="1F6A810E" w14:textId="77777777" w:rsidR="00970A7E" w:rsidRDefault="00970A7E" w:rsidP="00970A7E">
      <w:pPr>
        <w:pStyle w:val="a9"/>
        <w:spacing w:line="360" w:lineRule="auto"/>
        <w:jc w:val="both"/>
        <w:rPr>
          <w:rFonts w:ascii="Arial" w:hAnsi="Arial"/>
          <w:b/>
          <w:bCs/>
          <w:rtl/>
        </w:rPr>
      </w:pPr>
      <w:r>
        <w:rPr>
          <w:rFonts w:ascii="Arial" w:hAnsi="Arial" w:hint="cs"/>
          <w:b/>
          <w:bCs/>
          <w:rtl/>
        </w:rPr>
        <w:t xml:space="preserve">מאסר על תנאי למשך 6 חודשים והתנאי הוא שהנאשם לא יעבור במשך 3 שנים כל  עבירה  מסוג פשע על פי פקודת הסמים ויורשע בה. </w:t>
      </w:r>
    </w:p>
    <w:p w14:paraId="53E5CC07" w14:textId="77777777" w:rsidR="00970A7E" w:rsidRDefault="00970A7E" w:rsidP="00970A7E">
      <w:pPr>
        <w:pStyle w:val="a9"/>
        <w:spacing w:line="360" w:lineRule="auto"/>
        <w:jc w:val="both"/>
        <w:rPr>
          <w:rFonts w:ascii="Arial" w:hAnsi="Arial"/>
          <w:rtl/>
        </w:rPr>
      </w:pPr>
    </w:p>
    <w:p w14:paraId="31D10F7F" w14:textId="77777777" w:rsidR="00970A7E" w:rsidRDefault="00970A7E" w:rsidP="00970A7E">
      <w:pPr>
        <w:pStyle w:val="a9"/>
        <w:spacing w:line="360" w:lineRule="auto"/>
        <w:jc w:val="both"/>
        <w:rPr>
          <w:rFonts w:ascii="Arial" w:hAnsi="Arial"/>
          <w:b/>
          <w:bCs/>
          <w:rtl/>
        </w:rPr>
      </w:pPr>
      <w:r>
        <w:rPr>
          <w:rFonts w:ascii="Arial" w:hAnsi="Arial" w:hint="cs"/>
          <w:b/>
          <w:bCs/>
          <w:rtl/>
        </w:rPr>
        <w:t xml:space="preserve">אני מעמידה את הנאשם בפיקוח שירות המבחן למשך 12 חודשים. הובהר לנאשם, בלשון פשוטה, כי עליו למלא אחר הוראות שירות המבחן וכי אם לא יעשה כן ניתן יהיה להפקיע את הצו ולהטיל עליו ענישה נוספת. </w:t>
      </w:r>
    </w:p>
    <w:p w14:paraId="3C4C44A4" w14:textId="77777777" w:rsidR="00970A7E" w:rsidRDefault="00970A7E" w:rsidP="00970A7E">
      <w:pPr>
        <w:pStyle w:val="a9"/>
        <w:spacing w:line="360" w:lineRule="auto"/>
        <w:jc w:val="both"/>
        <w:rPr>
          <w:rFonts w:ascii="Arial" w:hAnsi="Arial"/>
          <w:rtl/>
        </w:rPr>
      </w:pPr>
    </w:p>
    <w:p w14:paraId="54F228AF" w14:textId="77777777" w:rsidR="00970A7E" w:rsidRPr="00F310B3" w:rsidRDefault="00970A7E" w:rsidP="00970A7E">
      <w:pPr>
        <w:pStyle w:val="a9"/>
        <w:spacing w:line="360" w:lineRule="auto"/>
        <w:jc w:val="both"/>
        <w:rPr>
          <w:rFonts w:ascii="Arial" w:hAnsi="Arial"/>
          <w:b/>
          <w:bCs/>
          <w:rtl/>
        </w:rPr>
      </w:pPr>
      <w:r w:rsidRPr="00F310B3">
        <w:rPr>
          <w:rFonts w:ascii="Arial" w:hAnsi="Arial" w:hint="cs"/>
          <w:b/>
          <w:bCs/>
          <w:rtl/>
        </w:rPr>
        <w:t xml:space="preserve">ניתן בזאת צו של"צ בהיקף של 140 שעות וזאת על פי תכנית שתוגש לאישורי על ידי שירות המבחן בתוך 45 יום. הנאשם מוזהר כי עליו למלא את צו השל"צ באופן מלא על פי הנחיות שירות המבחן ולשתף פעולה . ככל שלא יעשה כן ניתן יהיה לדון מחדש בתיק זה. </w:t>
      </w:r>
    </w:p>
    <w:p w14:paraId="690FAAFF" w14:textId="77777777" w:rsidR="00970A7E" w:rsidRDefault="00970A7E" w:rsidP="00970A7E">
      <w:pPr>
        <w:pStyle w:val="a9"/>
        <w:spacing w:line="360" w:lineRule="auto"/>
        <w:jc w:val="both"/>
        <w:rPr>
          <w:rFonts w:ascii="Arial" w:hAnsi="Arial"/>
          <w:rtl/>
        </w:rPr>
      </w:pPr>
    </w:p>
    <w:p w14:paraId="191FE848" w14:textId="77777777" w:rsidR="00970A7E" w:rsidRDefault="00970A7E" w:rsidP="00970A7E">
      <w:pPr>
        <w:pStyle w:val="a9"/>
        <w:spacing w:line="360" w:lineRule="auto"/>
        <w:jc w:val="both"/>
        <w:rPr>
          <w:rFonts w:ascii="Arial" w:hAnsi="Arial"/>
          <w:b/>
          <w:bCs/>
          <w:rtl/>
        </w:rPr>
      </w:pPr>
      <w:r>
        <w:rPr>
          <w:rFonts w:ascii="Arial" w:hAnsi="Arial" w:hint="cs"/>
          <w:b/>
          <w:bCs/>
          <w:rtl/>
        </w:rPr>
        <w:t xml:space="preserve">קנס כספי בסך של 5,000  ₪ או חודש מאסר תמורתו . הקנס ישולם ב- 8 תשלומים חודשיים רצופים ושווים החל מיום 28.2.23 . </w:t>
      </w:r>
    </w:p>
    <w:p w14:paraId="781EDE5B" w14:textId="77777777" w:rsidR="00970A7E" w:rsidRDefault="00970A7E" w:rsidP="00970A7E">
      <w:pPr>
        <w:pStyle w:val="a9"/>
        <w:spacing w:line="360" w:lineRule="auto"/>
        <w:jc w:val="both"/>
        <w:rPr>
          <w:rFonts w:ascii="Arial" w:hAnsi="Arial"/>
          <w:b/>
          <w:bCs/>
          <w:rtl/>
        </w:rPr>
      </w:pPr>
      <w:r>
        <w:rPr>
          <w:rFonts w:ascii="Arial" w:hAnsi="Arial" w:hint="cs"/>
          <w:b/>
          <w:bCs/>
          <w:rtl/>
        </w:rPr>
        <w:t xml:space="preserve">היה והקנס או חלקו לא ישולם במועד, תעמוד יתרת הקנס לתשלום מיידי. </w:t>
      </w:r>
    </w:p>
    <w:p w14:paraId="53453ED8" w14:textId="77777777" w:rsidR="00970A7E" w:rsidRDefault="00970A7E" w:rsidP="00970A7E">
      <w:pPr>
        <w:pStyle w:val="a9"/>
        <w:spacing w:line="360" w:lineRule="auto"/>
        <w:jc w:val="both"/>
        <w:rPr>
          <w:rFonts w:ascii="Arial" w:hAnsi="Arial"/>
          <w:rtl/>
        </w:rPr>
      </w:pPr>
    </w:p>
    <w:p w14:paraId="2288D2FD" w14:textId="77777777" w:rsidR="00970A7E" w:rsidRPr="002F3F13" w:rsidRDefault="00970A7E" w:rsidP="00970A7E">
      <w:pPr>
        <w:pStyle w:val="a9"/>
        <w:spacing w:line="360" w:lineRule="auto"/>
        <w:jc w:val="both"/>
        <w:rPr>
          <w:rFonts w:ascii="Arial" w:hAnsi="Arial"/>
          <w:b/>
          <w:bCs/>
          <w:rtl/>
        </w:rPr>
      </w:pPr>
      <w:r w:rsidRPr="002F3F13">
        <w:rPr>
          <w:rFonts w:ascii="Arial" w:hAnsi="Arial" w:hint="cs"/>
          <w:b/>
          <w:bCs/>
          <w:rtl/>
        </w:rPr>
        <w:t xml:space="preserve">אני פוסלת את הנאשם ולהחזיק או לנהוג על תנאי </w:t>
      </w:r>
      <w:r>
        <w:rPr>
          <w:rFonts w:ascii="Arial" w:hAnsi="Arial" w:hint="cs"/>
          <w:b/>
          <w:bCs/>
          <w:rtl/>
        </w:rPr>
        <w:t xml:space="preserve">רישיון נהיגה  </w:t>
      </w:r>
      <w:r w:rsidRPr="002F3F13">
        <w:rPr>
          <w:rFonts w:ascii="Arial" w:hAnsi="Arial" w:hint="cs"/>
          <w:b/>
          <w:bCs/>
          <w:rtl/>
        </w:rPr>
        <w:t xml:space="preserve">וזאת לתקופה של חודשיים למשך שנתיים והתנאי הוא שהנאשם לא יעבור כל עבירת סמים על פי פקודת הסמים ויורשע בה. </w:t>
      </w:r>
      <w:r>
        <w:rPr>
          <w:rFonts w:ascii="Arial" w:hAnsi="Arial" w:hint="cs"/>
          <w:b/>
          <w:bCs/>
          <w:rtl/>
        </w:rPr>
        <w:t>אציין כי החלטתי שלא להשית על הנאשם פסילה בפועל וזאת בין היתר לאור העובדה כי מתסקיר שירות המבחן עולה כי בדיקות השתן אותם מסר הנאשם מעידות על ניקיון משימוש בסמים.</w:t>
      </w:r>
    </w:p>
    <w:p w14:paraId="76130AAD" w14:textId="77777777" w:rsidR="00970A7E" w:rsidRDefault="00970A7E" w:rsidP="00970A7E">
      <w:pPr>
        <w:pStyle w:val="a9"/>
        <w:spacing w:line="360" w:lineRule="auto"/>
        <w:jc w:val="both"/>
        <w:rPr>
          <w:rFonts w:ascii="Arial" w:hAnsi="Arial"/>
          <w:rtl/>
        </w:rPr>
      </w:pPr>
    </w:p>
    <w:p w14:paraId="538D75B9" w14:textId="77777777" w:rsidR="00970A7E" w:rsidRDefault="00970A7E" w:rsidP="00970A7E">
      <w:pPr>
        <w:pStyle w:val="a9"/>
        <w:spacing w:line="360" w:lineRule="auto"/>
        <w:jc w:val="both"/>
        <w:rPr>
          <w:rFonts w:ascii="Arial" w:hAnsi="Arial"/>
          <w:b/>
          <w:bCs/>
          <w:rtl/>
        </w:rPr>
      </w:pPr>
      <w:r>
        <w:rPr>
          <w:rFonts w:ascii="Arial" w:hAnsi="Arial" w:hint="cs"/>
          <w:b/>
          <w:bCs/>
          <w:rtl/>
        </w:rPr>
        <w:t>בחלוף תקופת הערעור, ניתן להשמיד את המוצגים - הסמים והציוד הנלווה.</w:t>
      </w:r>
    </w:p>
    <w:p w14:paraId="74EA232E" w14:textId="77777777" w:rsidR="00970A7E" w:rsidRDefault="00970A7E" w:rsidP="00970A7E">
      <w:pPr>
        <w:spacing w:line="360" w:lineRule="auto"/>
        <w:ind w:firstLine="720"/>
        <w:jc w:val="both"/>
        <w:rPr>
          <w:rFonts w:ascii="Arial" w:hAnsi="Arial"/>
          <w:b/>
          <w:bCs/>
          <w:u w:val="single"/>
          <w:rtl/>
        </w:rPr>
      </w:pPr>
    </w:p>
    <w:p w14:paraId="555487E8" w14:textId="77777777" w:rsidR="00970A7E" w:rsidRDefault="00970A7E" w:rsidP="00970A7E">
      <w:pPr>
        <w:spacing w:line="360" w:lineRule="auto"/>
        <w:ind w:firstLine="720"/>
        <w:jc w:val="both"/>
        <w:rPr>
          <w:rFonts w:ascii="Arial" w:hAnsi="Arial"/>
          <w:b/>
          <w:bCs/>
          <w:u w:val="single"/>
          <w:rtl/>
        </w:rPr>
      </w:pPr>
      <w:r>
        <w:rPr>
          <w:rFonts w:ascii="Arial" w:hAnsi="Arial" w:hint="cs"/>
          <w:b/>
          <w:bCs/>
          <w:u w:val="single"/>
          <w:rtl/>
        </w:rPr>
        <w:t>זכות ערעור בתוך 45 יום.</w:t>
      </w:r>
    </w:p>
    <w:p w14:paraId="26EEB436" w14:textId="77777777" w:rsidR="00970A7E" w:rsidRDefault="00970A7E" w:rsidP="00970A7E">
      <w:pPr>
        <w:spacing w:line="360" w:lineRule="auto"/>
        <w:ind w:firstLine="720"/>
        <w:jc w:val="both"/>
        <w:rPr>
          <w:rFonts w:ascii="Arial" w:hAnsi="Arial"/>
          <w:b/>
          <w:bCs/>
          <w:u w:val="single"/>
          <w:rtl/>
        </w:rPr>
      </w:pPr>
    </w:p>
    <w:p w14:paraId="2E8448CB" w14:textId="77777777" w:rsidR="00970A7E" w:rsidRDefault="00970A7E" w:rsidP="00970A7E">
      <w:pPr>
        <w:spacing w:line="360" w:lineRule="auto"/>
        <w:ind w:left="720"/>
        <w:jc w:val="both"/>
        <w:rPr>
          <w:rFonts w:ascii="Arial" w:hAnsi="Arial"/>
          <w:b/>
          <w:bCs/>
          <w:u w:val="single"/>
          <w:rtl/>
        </w:rPr>
      </w:pPr>
      <w:r>
        <w:rPr>
          <w:rFonts w:ascii="Arial" w:hAnsi="Arial" w:hint="cs"/>
          <w:b/>
          <w:bCs/>
          <w:u w:val="single"/>
          <w:rtl/>
        </w:rPr>
        <w:t xml:space="preserve">מזכירות בימ"ש תשלח העתק מגזר הדין לשירות המבחן אשר יגיש תכנית של"צ לאישורי בתוך 45 יום וכן למשרד הרישוי. </w:t>
      </w:r>
    </w:p>
    <w:p w14:paraId="23E97109" w14:textId="77777777" w:rsidR="00970A7E" w:rsidRDefault="00970A7E" w:rsidP="00970A7E">
      <w:pPr>
        <w:pStyle w:val="David"/>
        <w:jc w:val="center"/>
        <w:rPr>
          <w:rFonts w:ascii="David" w:hAnsi="David"/>
          <w:sz w:val="6"/>
          <w:szCs w:val="6"/>
          <w:rtl/>
        </w:rPr>
      </w:pPr>
      <w:r>
        <w:rPr>
          <w:rFonts w:ascii="David" w:hAnsi="David"/>
          <w:sz w:val="6"/>
          <w:szCs w:val="6"/>
          <w:rtl/>
        </w:rPr>
        <w:t>#&gt;</w:t>
      </w:r>
    </w:p>
    <w:p w14:paraId="4DA21F37" w14:textId="77777777" w:rsidR="00970A7E" w:rsidRDefault="00970A7E" w:rsidP="00970A7E">
      <w:pPr>
        <w:rPr>
          <w:rFonts w:ascii="David" w:hAnsi="David"/>
          <w:rtl/>
        </w:rPr>
      </w:pPr>
    </w:p>
    <w:p w14:paraId="5F945C9E" w14:textId="77777777" w:rsidR="00970A7E" w:rsidRPr="005A2AC4" w:rsidRDefault="005A2AC4" w:rsidP="00970A7E">
      <w:pPr>
        <w:spacing w:line="360" w:lineRule="auto"/>
        <w:jc w:val="both"/>
        <w:rPr>
          <w:b/>
          <w:bCs/>
          <w:color w:val="FFFFFF"/>
          <w:sz w:val="2"/>
          <w:szCs w:val="2"/>
          <w:rtl/>
        </w:rPr>
      </w:pPr>
      <w:r w:rsidRPr="005A2AC4">
        <w:rPr>
          <w:b/>
          <w:bCs/>
          <w:color w:val="FFFFFF"/>
          <w:sz w:val="2"/>
          <w:szCs w:val="2"/>
          <w:rtl/>
        </w:rPr>
        <w:t>5129371</w:t>
      </w:r>
    </w:p>
    <w:p w14:paraId="59B1F8DB" w14:textId="77777777" w:rsidR="00970A7E" w:rsidRPr="005A2AC4" w:rsidRDefault="005A2AC4" w:rsidP="00970A7E">
      <w:pPr>
        <w:rPr>
          <w:rFonts w:ascii="Arial" w:hAnsi="Arial"/>
          <w:color w:val="FFFFFF"/>
          <w:sz w:val="2"/>
          <w:szCs w:val="2"/>
          <w:rtl/>
        </w:rPr>
      </w:pPr>
      <w:r w:rsidRPr="005A2AC4">
        <w:rPr>
          <w:rFonts w:ascii="Arial" w:hAnsi="Arial"/>
          <w:color w:val="FFFFFF"/>
          <w:sz w:val="2"/>
          <w:szCs w:val="2"/>
          <w:rtl/>
        </w:rPr>
        <w:t>54678313</w:t>
      </w:r>
    </w:p>
    <w:p w14:paraId="1BA4D323" w14:textId="77777777" w:rsidR="00970A7E" w:rsidRPr="000F2247" w:rsidRDefault="00970A7E" w:rsidP="00970A7E">
      <w:pPr>
        <w:rPr>
          <w:rFonts w:ascii="Arial" w:hAnsi="Arial"/>
          <w:b/>
          <w:bCs/>
          <w:sz w:val="26"/>
          <w:szCs w:val="26"/>
          <w:rtl/>
        </w:rPr>
      </w:pPr>
    </w:p>
    <w:p w14:paraId="1D449692" w14:textId="77777777" w:rsidR="00970A7E" w:rsidRPr="000F2247" w:rsidRDefault="005A2AC4" w:rsidP="00970A7E">
      <w:pPr>
        <w:rPr>
          <w:rFonts w:ascii="Arial" w:hAnsi="Arial"/>
          <w:b/>
          <w:bCs/>
          <w:sz w:val="26"/>
          <w:szCs w:val="26"/>
          <w:rtl/>
        </w:rPr>
      </w:pPr>
      <w:bookmarkStart w:id="7" w:name="Nitan"/>
      <w:r>
        <w:rPr>
          <w:rFonts w:ascii="Arial" w:hAnsi="Arial"/>
          <w:b/>
          <w:bCs/>
          <w:sz w:val="26"/>
          <w:szCs w:val="26"/>
          <w:rtl/>
        </w:rPr>
        <w:t xml:space="preserve">ניתן היום,  כ"ו טבת תשפ"ג, 19 ינואר 2023, בנוכחות הצדדים. </w:t>
      </w:r>
      <w:bookmarkEnd w:id="7"/>
    </w:p>
    <w:p w14:paraId="6B5122FF" w14:textId="77777777" w:rsidR="00970A7E" w:rsidRPr="000F2247" w:rsidRDefault="00970A7E" w:rsidP="005A2AC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2B8872D" w14:textId="77777777" w:rsidR="00970A7E" w:rsidRPr="000F2247" w:rsidRDefault="00970A7E" w:rsidP="00970A7E">
      <w:pPr>
        <w:jc w:val="center"/>
        <w:rPr>
          <w:rFonts w:ascii="Arial" w:hAnsi="Arial"/>
          <w:b/>
          <w:bCs/>
          <w:sz w:val="26"/>
          <w:szCs w:val="26"/>
          <w:rtl/>
        </w:rPr>
      </w:pPr>
    </w:p>
    <w:p w14:paraId="1C268A9D" w14:textId="77777777" w:rsidR="005F21CE" w:rsidRPr="005A2AC4" w:rsidRDefault="005F21CE" w:rsidP="005A2AC4">
      <w:pPr>
        <w:keepNext/>
        <w:rPr>
          <w:rFonts w:ascii="David" w:hAnsi="David"/>
          <w:color w:val="000000"/>
          <w:sz w:val="22"/>
          <w:szCs w:val="22"/>
          <w:rtl/>
        </w:rPr>
      </w:pPr>
    </w:p>
    <w:p w14:paraId="0DA06488" w14:textId="77777777" w:rsidR="005A2AC4" w:rsidRPr="005A2AC4" w:rsidRDefault="005A2AC4" w:rsidP="005A2AC4">
      <w:pPr>
        <w:keepNext/>
        <w:rPr>
          <w:rFonts w:ascii="David" w:hAnsi="David"/>
          <w:color w:val="000000"/>
          <w:sz w:val="22"/>
          <w:szCs w:val="22"/>
          <w:rtl/>
        </w:rPr>
      </w:pPr>
      <w:r w:rsidRPr="005A2AC4">
        <w:rPr>
          <w:rFonts w:ascii="David" w:hAnsi="David"/>
          <w:color w:val="000000"/>
          <w:sz w:val="22"/>
          <w:szCs w:val="22"/>
          <w:rtl/>
        </w:rPr>
        <w:t>סימי פלג קימלוב 54678313</w:t>
      </w:r>
    </w:p>
    <w:p w14:paraId="5D3D716C" w14:textId="77777777" w:rsidR="005A2AC4" w:rsidRDefault="005A2AC4" w:rsidP="005A2AC4">
      <w:r w:rsidRPr="005A2AC4">
        <w:rPr>
          <w:color w:val="000000"/>
          <w:rtl/>
        </w:rPr>
        <w:t>נוסח מסמך זה כפוף לשינויי ניסוח ועריכה</w:t>
      </w:r>
    </w:p>
    <w:p w14:paraId="19352908" w14:textId="77777777" w:rsidR="005A2AC4" w:rsidRDefault="005A2AC4" w:rsidP="005A2AC4">
      <w:pPr>
        <w:rPr>
          <w:rtl/>
        </w:rPr>
      </w:pPr>
    </w:p>
    <w:p w14:paraId="2773E7DB" w14:textId="77777777" w:rsidR="005A2AC4" w:rsidRDefault="005A2AC4" w:rsidP="005A2AC4">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4928F22" w14:textId="77777777" w:rsidR="005A2AC4" w:rsidRPr="005A2AC4" w:rsidRDefault="005A2AC4" w:rsidP="005A2AC4">
      <w:pPr>
        <w:jc w:val="center"/>
        <w:rPr>
          <w:color w:val="0000FF"/>
          <w:u w:val="single"/>
        </w:rPr>
      </w:pPr>
    </w:p>
    <w:sectPr w:rsidR="005A2AC4" w:rsidRPr="005A2AC4" w:rsidSect="005A2AC4">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7C93B" w14:textId="77777777" w:rsidR="008F5539" w:rsidRDefault="008F5539" w:rsidP="00B72E6A">
      <w:r>
        <w:separator/>
      </w:r>
    </w:p>
  </w:endnote>
  <w:endnote w:type="continuationSeparator" w:id="0">
    <w:p w14:paraId="08D6D07C" w14:textId="77777777" w:rsidR="008F5539" w:rsidRDefault="008F5539" w:rsidP="00B7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5AE15" w14:textId="77777777" w:rsidR="005A2AC4" w:rsidRDefault="005A2AC4" w:rsidP="005A2A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A433AC" w14:textId="77777777" w:rsidR="00864F72" w:rsidRPr="005A2AC4" w:rsidRDefault="005A2AC4" w:rsidP="005A2A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A32B7" w14:textId="77777777" w:rsidR="005A2AC4" w:rsidRDefault="005A2AC4" w:rsidP="005A2A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3BAB">
      <w:rPr>
        <w:rFonts w:ascii="FrankRuehl" w:hAnsi="FrankRuehl" w:cs="FrankRuehl"/>
        <w:noProof/>
        <w:rtl/>
      </w:rPr>
      <w:t>1</w:t>
    </w:r>
    <w:r>
      <w:rPr>
        <w:rFonts w:ascii="FrankRuehl" w:hAnsi="FrankRuehl" w:cs="FrankRuehl"/>
        <w:rtl/>
      </w:rPr>
      <w:fldChar w:fldCharType="end"/>
    </w:r>
  </w:p>
  <w:p w14:paraId="6EE88213" w14:textId="77777777" w:rsidR="00864F72" w:rsidRPr="005A2AC4" w:rsidRDefault="005A2AC4" w:rsidP="005A2A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B69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1D191" w14:textId="77777777" w:rsidR="008F5539" w:rsidRDefault="008F5539" w:rsidP="00B72E6A">
      <w:r>
        <w:separator/>
      </w:r>
    </w:p>
  </w:footnote>
  <w:footnote w:type="continuationSeparator" w:id="0">
    <w:p w14:paraId="0352872F" w14:textId="77777777" w:rsidR="008F5539" w:rsidRDefault="008F5539" w:rsidP="00B72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54153" w14:textId="77777777" w:rsidR="005A2AC4" w:rsidRPr="005A2AC4" w:rsidRDefault="005A2AC4" w:rsidP="005A2A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30702-07-20</w:t>
    </w:r>
    <w:r>
      <w:rPr>
        <w:rFonts w:ascii="David" w:hAnsi="David"/>
        <w:color w:val="000000"/>
        <w:sz w:val="22"/>
        <w:szCs w:val="22"/>
        <w:rtl/>
      </w:rPr>
      <w:tab/>
      <w:t xml:space="preserve"> מדינת ישראל נ' יעקב בריוטי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8F18E" w14:textId="77777777" w:rsidR="005A2AC4" w:rsidRPr="005A2AC4" w:rsidRDefault="005A2AC4" w:rsidP="005A2A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30702-07-20</w:t>
    </w:r>
    <w:r>
      <w:rPr>
        <w:rFonts w:ascii="David" w:hAnsi="David"/>
        <w:color w:val="000000"/>
        <w:sz w:val="22"/>
        <w:szCs w:val="22"/>
        <w:rtl/>
      </w:rPr>
      <w:tab/>
      <w:t xml:space="preserve"> מדינת ישראל נ' יעקב בריוטי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5B6793"/>
    <w:multiLevelType w:val="hybridMultilevel"/>
    <w:tmpl w:val="C94CEA04"/>
    <w:lvl w:ilvl="0" w:tplc="48B0EBD0">
      <w:start w:val="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51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0A7E"/>
    <w:rsid w:val="001B5A3B"/>
    <w:rsid w:val="001C646F"/>
    <w:rsid w:val="003E5EAF"/>
    <w:rsid w:val="003F7782"/>
    <w:rsid w:val="00533BAB"/>
    <w:rsid w:val="005A2AC4"/>
    <w:rsid w:val="005F21CE"/>
    <w:rsid w:val="00767A9D"/>
    <w:rsid w:val="00864F72"/>
    <w:rsid w:val="008F5539"/>
    <w:rsid w:val="00970A7E"/>
    <w:rsid w:val="00AB47D8"/>
    <w:rsid w:val="00B72E6A"/>
    <w:rsid w:val="00BE2909"/>
    <w:rsid w:val="00C927A2"/>
    <w:rsid w:val="00DC54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BC69F2"/>
  <w15:chartTrackingRefBased/>
  <w15:docId w15:val="{6DC723C4-A73B-40F4-BEF5-B7979562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0A7E"/>
    <w:pPr>
      <w:bidi/>
    </w:pPr>
    <w:rPr>
      <w:rFonts w:ascii="Times New Roman" w:eastAsia="Times New Roman" w:hAnsi="Times New Roman" w:cs="David"/>
      <w:sz w:val="24"/>
      <w:szCs w:val="24"/>
    </w:rPr>
  </w:style>
  <w:style w:type="paragraph" w:styleId="1">
    <w:name w:val="heading 1"/>
    <w:basedOn w:val="a"/>
    <w:next w:val="a"/>
    <w:link w:val="10"/>
    <w:qFormat/>
    <w:rsid w:val="00970A7E"/>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70A7E"/>
    <w:rPr>
      <w:rFonts w:ascii="Arial" w:eastAsia="Times New Roman" w:hAnsi="Arial" w:cs="Arial"/>
      <w:b/>
      <w:bCs/>
      <w:kern w:val="32"/>
      <w:sz w:val="32"/>
      <w:szCs w:val="32"/>
    </w:rPr>
  </w:style>
  <w:style w:type="paragraph" w:styleId="a3">
    <w:name w:val="header"/>
    <w:basedOn w:val="a"/>
    <w:link w:val="a4"/>
    <w:rsid w:val="00970A7E"/>
    <w:pPr>
      <w:tabs>
        <w:tab w:val="center" w:pos="4153"/>
        <w:tab w:val="right" w:pos="8306"/>
      </w:tabs>
    </w:pPr>
  </w:style>
  <w:style w:type="character" w:customStyle="1" w:styleId="a4">
    <w:name w:val="כותרת עליונה תו"/>
    <w:link w:val="a3"/>
    <w:rsid w:val="00970A7E"/>
    <w:rPr>
      <w:rFonts w:ascii="Times New Roman" w:eastAsia="Times New Roman" w:hAnsi="Times New Roman" w:cs="David"/>
      <w:sz w:val="24"/>
      <w:szCs w:val="24"/>
    </w:rPr>
  </w:style>
  <w:style w:type="paragraph" w:styleId="a5">
    <w:name w:val="footer"/>
    <w:basedOn w:val="a"/>
    <w:link w:val="a6"/>
    <w:rsid w:val="00970A7E"/>
    <w:pPr>
      <w:tabs>
        <w:tab w:val="center" w:pos="4153"/>
        <w:tab w:val="right" w:pos="8306"/>
      </w:tabs>
    </w:pPr>
  </w:style>
  <w:style w:type="character" w:customStyle="1" w:styleId="a6">
    <w:name w:val="כותרת תחתונה תו"/>
    <w:link w:val="a5"/>
    <w:rsid w:val="00970A7E"/>
    <w:rPr>
      <w:rFonts w:ascii="Times New Roman" w:eastAsia="Times New Roman" w:hAnsi="Times New Roman" w:cs="David"/>
      <w:sz w:val="24"/>
      <w:szCs w:val="24"/>
    </w:rPr>
  </w:style>
  <w:style w:type="table" w:styleId="a7">
    <w:name w:val="Table Grid"/>
    <w:basedOn w:val="a1"/>
    <w:rsid w:val="00970A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0A7E"/>
  </w:style>
  <w:style w:type="paragraph" w:styleId="a9">
    <w:name w:val="List Paragraph"/>
    <w:basedOn w:val="a"/>
    <w:link w:val="aa"/>
    <w:qFormat/>
    <w:rsid w:val="00970A7E"/>
    <w:pPr>
      <w:ind w:left="720"/>
      <w:contextualSpacing/>
    </w:pPr>
  </w:style>
  <w:style w:type="character" w:styleId="Hyperlink">
    <w:name w:val="Hyperlink"/>
    <w:rsid w:val="00970A7E"/>
    <w:rPr>
      <w:color w:val="0000FF"/>
      <w:u w:val="single"/>
    </w:rPr>
  </w:style>
  <w:style w:type="character" w:customStyle="1" w:styleId="aa">
    <w:name w:val="פיסקת רשימה תו"/>
    <w:link w:val="a9"/>
    <w:locked/>
    <w:rsid w:val="00970A7E"/>
    <w:rPr>
      <w:rFonts w:ascii="Times New Roman" w:eastAsia="Times New Roman" w:hAnsi="Times New Roman" w:cs="David"/>
      <w:sz w:val="24"/>
      <w:szCs w:val="24"/>
    </w:rPr>
  </w:style>
  <w:style w:type="paragraph" w:customStyle="1" w:styleId="David">
    <w:name w:val="סגנון (עברית ושפות אחרות) David מיושר לשני הצדדים מרווח בין שורות..."/>
    <w:basedOn w:val="a"/>
    <w:rsid w:val="00970A7E"/>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58255" TargetMode="External"/><Relationship Id="rId39" Type="http://schemas.openxmlformats.org/officeDocument/2006/relationships/fontTable" Target="fontTable.xml"/><Relationship Id="rId21" Type="http://schemas.openxmlformats.org/officeDocument/2006/relationships/hyperlink" Target="http://www.nevo.co.il/case/1206397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061696"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case/18753213" TargetMode="External"/><Relationship Id="rId29" Type="http://schemas.openxmlformats.org/officeDocument/2006/relationships/hyperlink" Target="http://www.nevo.co.il/case/229563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7980156" TargetMode="External"/><Relationship Id="rId32" Type="http://schemas.openxmlformats.org/officeDocument/2006/relationships/hyperlink" Target="http://www.nevo.co.il/law/70301/40d"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180833" TargetMode="External"/><Relationship Id="rId28" Type="http://schemas.openxmlformats.org/officeDocument/2006/relationships/hyperlink" Target="http://www.nevo.co.il/case/5758255"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0412551" TargetMode="External"/><Relationship Id="rId31" Type="http://schemas.openxmlformats.org/officeDocument/2006/relationships/hyperlink" Target="http://www.nevo.co.il/case/2570559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590128" TargetMode="External"/><Relationship Id="rId27" Type="http://schemas.openxmlformats.org/officeDocument/2006/relationships/hyperlink" Target="http://www.nevo.co.il/case/5576370" TargetMode="External"/><Relationship Id="rId30" Type="http://schemas.openxmlformats.org/officeDocument/2006/relationships/hyperlink" Target="http://www.nevo.co.il/case/4140033"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2312</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13848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3735668</vt:i4>
      </vt:variant>
      <vt:variant>
        <vt:i4>72</vt:i4>
      </vt:variant>
      <vt:variant>
        <vt:i4>0</vt:i4>
      </vt:variant>
      <vt:variant>
        <vt:i4>5</vt:i4>
      </vt:variant>
      <vt:variant>
        <vt:lpwstr>http://www.nevo.co.il/case/25705593</vt:lpwstr>
      </vt:variant>
      <vt:variant>
        <vt:lpwstr/>
      </vt:variant>
      <vt:variant>
        <vt:i4>3342454</vt:i4>
      </vt:variant>
      <vt:variant>
        <vt:i4>69</vt:i4>
      </vt:variant>
      <vt:variant>
        <vt:i4>0</vt:i4>
      </vt:variant>
      <vt:variant>
        <vt:i4>5</vt:i4>
      </vt:variant>
      <vt:variant>
        <vt:lpwstr>http://www.nevo.co.il/case/4140033</vt:lpwstr>
      </vt:variant>
      <vt:variant>
        <vt:lpwstr/>
      </vt:variant>
      <vt:variant>
        <vt:i4>4128880</vt:i4>
      </vt:variant>
      <vt:variant>
        <vt:i4>66</vt:i4>
      </vt:variant>
      <vt:variant>
        <vt:i4>0</vt:i4>
      </vt:variant>
      <vt:variant>
        <vt:i4>5</vt:i4>
      </vt:variant>
      <vt:variant>
        <vt:lpwstr>http://www.nevo.co.il/case/22956321</vt:lpwstr>
      </vt:variant>
      <vt:variant>
        <vt:lpwstr/>
      </vt:variant>
      <vt:variant>
        <vt:i4>3604606</vt:i4>
      </vt:variant>
      <vt:variant>
        <vt:i4>63</vt:i4>
      </vt:variant>
      <vt:variant>
        <vt:i4>0</vt:i4>
      </vt:variant>
      <vt:variant>
        <vt:i4>5</vt:i4>
      </vt:variant>
      <vt:variant>
        <vt:lpwstr>http://www.nevo.co.il/case/5758255</vt:lpwstr>
      </vt:variant>
      <vt:variant>
        <vt:lpwstr/>
      </vt:variant>
      <vt:variant>
        <vt:i4>3211376</vt:i4>
      </vt:variant>
      <vt:variant>
        <vt:i4>60</vt:i4>
      </vt:variant>
      <vt:variant>
        <vt:i4>0</vt:i4>
      </vt:variant>
      <vt:variant>
        <vt:i4>5</vt:i4>
      </vt:variant>
      <vt:variant>
        <vt:lpwstr>http://www.nevo.co.il/case/5576370</vt:lpwstr>
      </vt:variant>
      <vt:variant>
        <vt:lpwstr/>
      </vt:variant>
      <vt:variant>
        <vt:i4>3604606</vt:i4>
      </vt:variant>
      <vt:variant>
        <vt:i4>57</vt:i4>
      </vt:variant>
      <vt:variant>
        <vt:i4>0</vt:i4>
      </vt:variant>
      <vt:variant>
        <vt:i4>5</vt:i4>
      </vt:variant>
      <vt:variant>
        <vt:lpwstr>http://www.nevo.co.il/case/5758255</vt:lpwstr>
      </vt:variant>
      <vt:variant>
        <vt:lpwstr/>
      </vt:variant>
      <vt:variant>
        <vt:i4>3801204</vt:i4>
      </vt:variant>
      <vt:variant>
        <vt:i4>54</vt:i4>
      </vt:variant>
      <vt:variant>
        <vt:i4>0</vt:i4>
      </vt:variant>
      <vt:variant>
        <vt:i4>5</vt:i4>
      </vt:variant>
      <vt:variant>
        <vt:lpwstr>http://www.nevo.co.il/case/20061696</vt:lpwstr>
      </vt:variant>
      <vt:variant>
        <vt:lpwstr/>
      </vt:variant>
      <vt:variant>
        <vt:i4>3670136</vt:i4>
      </vt:variant>
      <vt:variant>
        <vt:i4>51</vt:i4>
      </vt:variant>
      <vt:variant>
        <vt:i4>0</vt:i4>
      </vt:variant>
      <vt:variant>
        <vt:i4>5</vt:i4>
      </vt:variant>
      <vt:variant>
        <vt:lpwstr>http://www.nevo.co.il/case/7980156</vt:lpwstr>
      </vt:variant>
      <vt:variant>
        <vt:lpwstr/>
      </vt:variant>
      <vt:variant>
        <vt:i4>3473526</vt:i4>
      </vt:variant>
      <vt:variant>
        <vt:i4>48</vt:i4>
      </vt:variant>
      <vt:variant>
        <vt:i4>0</vt:i4>
      </vt:variant>
      <vt:variant>
        <vt:i4>5</vt:i4>
      </vt:variant>
      <vt:variant>
        <vt:lpwstr>http://www.nevo.co.il/case/6180833</vt:lpwstr>
      </vt:variant>
      <vt:variant>
        <vt:lpwstr/>
      </vt:variant>
      <vt:variant>
        <vt:i4>3473523</vt:i4>
      </vt:variant>
      <vt:variant>
        <vt:i4>45</vt:i4>
      </vt:variant>
      <vt:variant>
        <vt:i4>0</vt:i4>
      </vt:variant>
      <vt:variant>
        <vt:i4>5</vt:i4>
      </vt:variant>
      <vt:variant>
        <vt:lpwstr>http://www.nevo.co.il/case/5590128</vt:lpwstr>
      </vt:variant>
      <vt:variant>
        <vt:lpwstr/>
      </vt:variant>
      <vt:variant>
        <vt:i4>3473529</vt:i4>
      </vt:variant>
      <vt:variant>
        <vt:i4>42</vt:i4>
      </vt:variant>
      <vt:variant>
        <vt:i4>0</vt:i4>
      </vt:variant>
      <vt:variant>
        <vt:i4>5</vt:i4>
      </vt:variant>
      <vt:variant>
        <vt:lpwstr>http://www.nevo.co.il/case/12063973</vt:lpwstr>
      </vt:variant>
      <vt:variant>
        <vt:lpwstr/>
      </vt:variant>
      <vt:variant>
        <vt:i4>3407995</vt:i4>
      </vt:variant>
      <vt:variant>
        <vt:i4>39</vt:i4>
      </vt:variant>
      <vt:variant>
        <vt:i4>0</vt:i4>
      </vt:variant>
      <vt:variant>
        <vt:i4>5</vt:i4>
      </vt:variant>
      <vt:variant>
        <vt:lpwstr>http://www.nevo.co.il/case/18753213</vt:lpwstr>
      </vt:variant>
      <vt:variant>
        <vt:lpwstr/>
      </vt:variant>
      <vt:variant>
        <vt:i4>3211376</vt:i4>
      </vt:variant>
      <vt:variant>
        <vt:i4>36</vt:i4>
      </vt:variant>
      <vt:variant>
        <vt:i4>0</vt:i4>
      </vt:variant>
      <vt:variant>
        <vt:i4>5</vt:i4>
      </vt:variant>
      <vt:variant>
        <vt:lpwstr>http://www.nevo.co.il/case/20412551</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30702</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יעקב בריוטי</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20230119</vt:lpwstr>
  </property>
  <property fmtid="{D5CDD505-2E9C-101B-9397-08002B2CF9AE}" pid="13" name="TYPE_N_DATE">
    <vt:lpwstr>38020230119</vt:lpwstr>
  </property>
  <property fmtid="{D5CDD505-2E9C-101B-9397-08002B2CF9AE}" pid="14" name="WORDNUMPAGES">
    <vt:lpwstr>7</vt:lpwstr>
  </property>
  <property fmtid="{D5CDD505-2E9C-101B-9397-08002B2CF9AE}" pid="15" name="TYPE_ABS_DATE">
    <vt:lpwstr>380020230119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20412551;18753213;12063973;5590128;6180833;7980156;20061696;5758255:2;5576370;22956321;4140033;25705593</vt:lpwstr>
  </property>
  <property fmtid="{D5CDD505-2E9C-101B-9397-08002B2CF9AE}" pid="36" name="LAWLISTTMP1">
    <vt:lpwstr>4216/007.a;007.c</vt:lpwstr>
  </property>
  <property fmtid="{D5CDD505-2E9C-101B-9397-08002B2CF9AE}" pid="37" name="LAWLISTTMP2">
    <vt:lpwstr>70301/040c.a;040d</vt:lpwstr>
  </property>
</Properties>
</file>