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4D4624" w:rsidRPr="00364132" w14:paraId="7D96168D" w14:textId="77777777" w:rsidTr="00046A91">
        <w:trPr>
          <w:trHeight w:hRule="exact" w:val="418"/>
          <w:jc w:val="center"/>
        </w:trPr>
        <w:tc>
          <w:tcPr>
            <w:tcW w:w="8721" w:type="dxa"/>
            <w:gridSpan w:val="2"/>
          </w:tcPr>
          <w:p w14:paraId="39228D5E" w14:textId="77777777" w:rsidR="004D4624" w:rsidRPr="00364132" w:rsidRDefault="004D4624" w:rsidP="00533810">
            <w:pPr>
              <w:pStyle w:val="a3"/>
              <w:jc w:val="center"/>
              <w:rPr>
                <w:rFonts w:ascii="Tahoma" w:hAnsi="Tahoma" w:cs="Tahoma"/>
                <w:color w:val="000080"/>
                <w:rtl/>
              </w:rPr>
            </w:pPr>
            <w:bookmarkStart w:id="0" w:name="FirstLawyer"/>
            <w:bookmarkStart w:id="1" w:name="LastJudge"/>
            <w:r w:rsidRPr="00364132">
              <w:rPr>
                <w:rFonts w:ascii="Tahoma" w:hAnsi="Tahoma" w:cs="Tahoma"/>
                <w:b/>
                <w:bCs/>
                <w:color w:val="000080"/>
                <w:rtl/>
              </w:rPr>
              <w:t>בית משפט השלום בירושלים</w:t>
            </w:r>
          </w:p>
        </w:tc>
      </w:tr>
      <w:tr w:rsidR="004D4624" w:rsidRPr="00364132" w14:paraId="09FAB27B" w14:textId="77777777" w:rsidTr="00046A91">
        <w:trPr>
          <w:trHeight w:val="337"/>
          <w:jc w:val="center"/>
        </w:trPr>
        <w:tc>
          <w:tcPr>
            <w:tcW w:w="5056" w:type="dxa"/>
          </w:tcPr>
          <w:p w14:paraId="01EC2366" w14:textId="77777777" w:rsidR="004D4624" w:rsidRPr="00364132" w:rsidRDefault="004D4624" w:rsidP="00533810">
            <w:pPr>
              <w:rPr>
                <w:rFonts w:cs="FrankRuehl"/>
                <w:sz w:val="28"/>
                <w:szCs w:val="28"/>
                <w:rtl/>
              </w:rPr>
            </w:pPr>
            <w:r w:rsidRPr="00364132">
              <w:rPr>
                <w:rFonts w:cs="FrankRuehl"/>
                <w:sz w:val="28"/>
                <w:szCs w:val="28"/>
                <w:rtl/>
              </w:rPr>
              <w:t>ת"פ</w:t>
            </w:r>
            <w:r w:rsidRPr="00364132">
              <w:rPr>
                <w:rFonts w:cs="FrankRuehl" w:hint="cs"/>
                <w:sz w:val="28"/>
                <w:szCs w:val="28"/>
                <w:rtl/>
              </w:rPr>
              <w:t xml:space="preserve"> </w:t>
            </w:r>
            <w:hyperlink r:id="rId7" w:history="1">
              <w:r w:rsidR="00CA385D" w:rsidRPr="00CA385D">
                <w:rPr>
                  <w:rFonts w:cs="FrankRuehl"/>
                  <w:color w:val="0000FF"/>
                  <w:sz w:val="28"/>
                  <w:szCs w:val="28"/>
                  <w:u w:val="single"/>
                  <w:rtl/>
                </w:rPr>
                <w:t xml:space="preserve">40097-07-20 </w:t>
              </w:r>
            </w:hyperlink>
            <w:r w:rsidRPr="00364132">
              <w:rPr>
                <w:rFonts w:cs="FrankRuehl" w:hint="cs"/>
                <w:sz w:val="28"/>
                <w:szCs w:val="28"/>
                <w:rtl/>
              </w:rPr>
              <w:t xml:space="preserve"> </w:t>
            </w:r>
            <w:r w:rsidRPr="00364132">
              <w:rPr>
                <w:rFonts w:cs="FrankRuehl"/>
                <w:sz w:val="28"/>
                <w:szCs w:val="28"/>
                <w:rtl/>
              </w:rPr>
              <w:t>מדינת ישראל נ' לוי(עציר)</w:t>
            </w:r>
          </w:p>
          <w:p w14:paraId="5B16C36A" w14:textId="77777777" w:rsidR="004D4624" w:rsidRPr="00364132" w:rsidRDefault="004D4624" w:rsidP="00533810">
            <w:pPr>
              <w:pStyle w:val="a3"/>
              <w:rPr>
                <w:rFonts w:cs="FrankRuehl"/>
                <w:sz w:val="28"/>
                <w:szCs w:val="28"/>
                <w:rtl/>
              </w:rPr>
            </w:pPr>
          </w:p>
        </w:tc>
        <w:tc>
          <w:tcPr>
            <w:tcW w:w="3665" w:type="dxa"/>
          </w:tcPr>
          <w:p w14:paraId="13539EAB" w14:textId="77777777" w:rsidR="004D4624" w:rsidRPr="00364132" w:rsidRDefault="004D4624" w:rsidP="00533810">
            <w:pPr>
              <w:pStyle w:val="a3"/>
              <w:jc w:val="right"/>
              <w:rPr>
                <w:rFonts w:cs="FrankRuehl"/>
                <w:sz w:val="28"/>
                <w:szCs w:val="28"/>
                <w:rtl/>
              </w:rPr>
            </w:pPr>
          </w:p>
        </w:tc>
      </w:tr>
    </w:tbl>
    <w:p w14:paraId="719DE08A" w14:textId="77777777" w:rsidR="004D4624" w:rsidRPr="00364132" w:rsidRDefault="004D4624" w:rsidP="004D4624">
      <w:pPr>
        <w:pStyle w:val="a3"/>
        <w:rPr>
          <w:rtl/>
        </w:rPr>
      </w:pPr>
      <w:r w:rsidRPr="00364132">
        <w:rPr>
          <w:rFonts w:hint="cs"/>
          <w:rtl/>
        </w:rPr>
        <w:t xml:space="preserve"> </w:t>
      </w:r>
    </w:p>
    <w:p w14:paraId="50BBEF64" w14:textId="77777777" w:rsidR="004D4624" w:rsidRPr="00364132" w:rsidRDefault="004D4624" w:rsidP="004D4624">
      <w:pPr>
        <w:rPr>
          <w:rtl/>
        </w:rPr>
      </w:pPr>
    </w:p>
    <w:p w14:paraId="54DBA079" w14:textId="77777777" w:rsidR="004D4624" w:rsidRPr="00364132" w:rsidRDefault="004D4624" w:rsidP="004D462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D4624" w:rsidRPr="00364132" w14:paraId="0AB82101" w14:textId="77777777" w:rsidTr="004D4624">
        <w:trPr>
          <w:trHeight w:val="295"/>
          <w:jc w:val="center"/>
        </w:trPr>
        <w:tc>
          <w:tcPr>
            <w:tcW w:w="923" w:type="dxa"/>
            <w:tcBorders>
              <w:top w:val="nil"/>
              <w:left w:val="nil"/>
              <w:bottom w:val="nil"/>
              <w:right w:val="nil"/>
            </w:tcBorders>
            <w:shd w:val="clear" w:color="auto" w:fill="auto"/>
          </w:tcPr>
          <w:p w14:paraId="08A8374C" w14:textId="77777777" w:rsidR="004D4624" w:rsidRPr="00364132" w:rsidRDefault="004D4624" w:rsidP="004D4624">
            <w:pPr>
              <w:jc w:val="both"/>
              <w:rPr>
                <w:rFonts w:ascii="Arial" w:hAnsi="Arial" w:cs="FrankRuehl"/>
                <w:sz w:val="28"/>
                <w:szCs w:val="28"/>
              </w:rPr>
            </w:pPr>
            <w:r w:rsidRPr="00364132">
              <w:rPr>
                <w:rFonts w:ascii="Arial" w:hAnsi="Arial" w:cs="FrankRuehl" w:hint="cs"/>
                <w:sz w:val="28"/>
                <w:szCs w:val="28"/>
                <w:rtl/>
              </w:rPr>
              <w:t>ב</w:t>
            </w:r>
            <w:r w:rsidRPr="0036413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85E2352" w14:textId="77777777" w:rsidR="004D4624" w:rsidRPr="00364132" w:rsidRDefault="004D4624" w:rsidP="004D4624">
            <w:pPr>
              <w:jc w:val="both"/>
              <w:rPr>
                <w:rFonts w:ascii="Arial" w:hAnsi="Arial" w:cs="FrankRuehl"/>
                <w:sz w:val="28"/>
                <w:szCs w:val="28"/>
                <w:rtl/>
              </w:rPr>
            </w:pPr>
            <w:r w:rsidRPr="00364132">
              <w:rPr>
                <w:rFonts w:ascii="Arial" w:hAnsi="Arial" w:cs="FrankRuehl" w:hint="cs"/>
                <w:sz w:val="28"/>
                <w:szCs w:val="28"/>
                <w:rtl/>
              </w:rPr>
              <w:t>כבוד סגן הנשיא ירון מינטקביץ</w:t>
            </w:r>
          </w:p>
          <w:p w14:paraId="0E7DC9EC" w14:textId="77777777" w:rsidR="004D4624" w:rsidRPr="00364132" w:rsidRDefault="004D4624" w:rsidP="004D4624">
            <w:pPr>
              <w:jc w:val="both"/>
              <w:rPr>
                <w:rFonts w:ascii="Arial" w:hAnsi="Arial" w:cs="FrankRuehl"/>
                <w:sz w:val="28"/>
                <w:szCs w:val="28"/>
              </w:rPr>
            </w:pPr>
          </w:p>
        </w:tc>
      </w:tr>
      <w:tr w:rsidR="004D4624" w:rsidRPr="00364132" w14:paraId="1DC74FEC" w14:textId="77777777" w:rsidTr="004D4624">
        <w:trPr>
          <w:trHeight w:val="355"/>
          <w:jc w:val="center"/>
        </w:trPr>
        <w:tc>
          <w:tcPr>
            <w:tcW w:w="923" w:type="dxa"/>
            <w:tcBorders>
              <w:top w:val="nil"/>
              <w:left w:val="nil"/>
              <w:bottom w:val="nil"/>
              <w:right w:val="nil"/>
            </w:tcBorders>
            <w:shd w:val="clear" w:color="auto" w:fill="auto"/>
          </w:tcPr>
          <w:p w14:paraId="54D6D4AA" w14:textId="77777777" w:rsidR="004D4624" w:rsidRPr="00364132" w:rsidRDefault="004D4624" w:rsidP="004D4624">
            <w:pPr>
              <w:jc w:val="both"/>
              <w:rPr>
                <w:rFonts w:ascii="Arial" w:hAnsi="Arial" w:cs="FrankRuehl"/>
                <w:sz w:val="28"/>
                <w:szCs w:val="28"/>
              </w:rPr>
            </w:pPr>
            <w:bookmarkStart w:id="2" w:name="FirstAppellant"/>
            <w:r w:rsidRPr="0036413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0A96B87" w14:textId="77777777" w:rsidR="004D4624" w:rsidRPr="00364132" w:rsidRDefault="004D4624" w:rsidP="00533810">
            <w:r w:rsidRPr="00364132">
              <w:rPr>
                <w:rFonts w:ascii="Arial" w:hAnsi="Arial" w:cs="FrankRuehl"/>
                <w:sz w:val="28"/>
                <w:szCs w:val="28"/>
                <w:rtl/>
              </w:rPr>
              <w:t>מדינת ישראל</w:t>
            </w:r>
            <w:r w:rsidRPr="00364132">
              <w:rPr>
                <w:rFonts w:ascii="Arial" w:hAnsi="Arial" w:cs="FrankRuehl"/>
                <w:sz w:val="28"/>
                <w:szCs w:val="28"/>
                <w:rtl/>
              </w:rPr>
              <w:br/>
            </w:r>
            <w:r w:rsidRPr="00364132">
              <w:rPr>
                <w:rFonts w:hint="cs"/>
                <w:rtl/>
              </w:rPr>
              <w:t>ע"י עו"ד ברכה בן אדרת</w:t>
            </w:r>
          </w:p>
        </w:tc>
        <w:tc>
          <w:tcPr>
            <w:tcW w:w="3771" w:type="dxa"/>
            <w:tcBorders>
              <w:top w:val="nil"/>
              <w:left w:val="nil"/>
              <w:bottom w:val="nil"/>
              <w:right w:val="nil"/>
            </w:tcBorders>
            <w:shd w:val="clear" w:color="auto" w:fill="auto"/>
          </w:tcPr>
          <w:p w14:paraId="0E8EF7DB" w14:textId="77777777" w:rsidR="004D4624" w:rsidRPr="00364132" w:rsidRDefault="004D4624" w:rsidP="004D4624">
            <w:pPr>
              <w:jc w:val="both"/>
              <w:rPr>
                <w:rFonts w:ascii="Arial" w:hAnsi="Arial" w:cs="FrankRuehl"/>
                <w:sz w:val="28"/>
                <w:szCs w:val="28"/>
              </w:rPr>
            </w:pPr>
          </w:p>
        </w:tc>
      </w:tr>
      <w:bookmarkEnd w:id="2"/>
      <w:tr w:rsidR="004D4624" w:rsidRPr="00364132" w14:paraId="7595A646" w14:textId="77777777" w:rsidTr="004D4624">
        <w:trPr>
          <w:trHeight w:val="355"/>
          <w:jc w:val="center"/>
        </w:trPr>
        <w:tc>
          <w:tcPr>
            <w:tcW w:w="923" w:type="dxa"/>
            <w:tcBorders>
              <w:top w:val="nil"/>
              <w:left w:val="nil"/>
              <w:bottom w:val="nil"/>
              <w:right w:val="nil"/>
            </w:tcBorders>
            <w:shd w:val="clear" w:color="auto" w:fill="auto"/>
          </w:tcPr>
          <w:p w14:paraId="0251CF87" w14:textId="77777777" w:rsidR="004D4624" w:rsidRPr="00364132" w:rsidRDefault="004D4624" w:rsidP="004D462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79329C3" w14:textId="77777777" w:rsidR="004D4624" w:rsidRPr="00364132" w:rsidRDefault="004D4624" w:rsidP="004D4624">
            <w:pPr>
              <w:jc w:val="both"/>
              <w:rPr>
                <w:rtl/>
              </w:rPr>
            </w:pPr>
          </w:p>
        </w:tc>
        <w:tc>
          <w:tcPr>
            <w:tcW w:w="3771" w:type="dxa"/>
            <w:tcBorders>
              <w:top w:val="nil"/>
              <w:left w:val="nil"/>
              <w:bottom w:val="nil"/>
              <w:right w:val="nil"/>
            </w:tcBorders>
            <w:shd w:val="clear" w:color="auto" w:fill="auto"/>
          </w:tcPr>
          <w:p w14:paraId="03B5EEC5" w14:textId="77777777" w:rsidR="004D4624" w:rsidRPr="00364132" w:rsidRDefault="004D4624" w:rsidP="004D4624">
            <w:pPr>
              <w:jc w:val="right"/>
              <w:rPr>
                <w:rFonts w:ascii="Arial" w:hAnsi="Arial" w:cs="FrankRuehl"/>
                <w:sz w:val="28"/>
                <w:szCs w:val="28"/>
                <w:rtl/>
              </w:rPr>
            </w:pPr>
            <w:r w:rsidRPr="00364132">
              <w:rPr>
                <w:rFonts w:ascii="Arial" w:hAnsi="Arial" w:cs="FrankRuehl" w:hint="cs"/>
                <w:sz w:val="28"/>
                <w:szCs w:val="28"/>
                <w:rtl/>
              </w:rPr>
              <w:t>ה</w:t>
            </w:r>
            <w:r w:rsidRPr="00364132">
              <w:rPr>
                <w:rFonts w:ascii="Arial" w:hAnsi="Arial" w:cs="FrankRuehl"/>
                <w:sz w:val="28"/>
                <w:szCs w:val="28"/>
                <w:rtl/>
              </w:rPr>
              <w:t>מאשימה</w:t>
            </w:r>
          </w:p>
        </w:tc>
      </w:tr>
      <w:tr w:rsidR="004D4624" w:rsidRPr="00364132" w14:paraId="5684D256" w14:textId="77777777" w:rsidTr="004D4624">
        <w:trPr>
          <w:trHeight w:val="355"/>
          <w:jc w:val="center"/>
        </w:trPr>
        <w:tc>
          <w:tcPr>
            <w:tcW w:w="923" w:type="dxa"/>
            <w:tcBorders>
              <w:top w:val="nil"/>
              <w:left w:val="nil"/>
              <w:bottom w:val="nil"/>
              <w:right w:val="nil"/>
            </w:tcBorders>
            <w:shd w:val="clear" w:color="auto" w:fill="auto"/>
          </w:tcPr>
          <w:p w14:paraId="0918B9CE" w14:textId="77777777" w:rsidR="004D4624" w:rsidRPr="00364132" w:rsidRDefault="004D4624" w:rsidP="004D462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49CB662" w14:textId="77777777" w:rsidR="004D4624" w:rsidRPr="00364132" w:rsidRDefault="004D4624" w:rsidP="004D4624">
            <w:pPr>
              <w:jc w:val="center"/>
              <w:rPr>
                <w:rFonts w:ascii="Arial" w:hAnsi="Arial" w:cs="FrankRuehl"/>
                <w:b/>
                <w:bCs/>
                <w:sz w:val="28"/>
                <w:szCs w:val="28"/>
                <w:rtl/>
              </w:rPr>
            </w:pPr>
          </w:p>
          <w:p w14:paraId="5B0D76F6" w14:textId="77777777" w:rsidR="004D4624" w:rsidRPr="00364132" w:rsidRDefault="004D4624" w:rsidP="004D4624">
            <w:pPr>
              <w:jc w:val="center"/>
              <w:rPr>
                <w:rFonts w:ascii="Arial" w:hAnsi="Arial" w:cs="FrankRuehl"/>
                <w:b/>
                <w:bCs/>
                <w:sz w:val="28"/>
                <w:szCs w:val="28"/>
                <w:rtl/>
              </w:rPr>
            </w:pPr>
            <w:r w:rsidRPr="00364132">
              <w:rPr>
                <w:rFonts w:ascii="Arial" w:hAnsi="Arial" w:cs="FrankRuehl"/>
                <w:b/>
                <w:bCs/>
                <w:sz w:val="28"/>
                <w:szCs w:val="28"/>
                <w:rtl/>
              </w:rPr>
              <w:t>נגד</w:t>
            </w:r>
          </w:p>
          <w:p w14:paraId="2E999F66" w14:textId="77777777" w:rsidR="004D4624" w:rsidRPr="00364132" w:rsidRDefault="004D4624" w:rsidP="004D4624">
            <w:pPr>
              <w:jc w:val="both"/>
              <w:rPr>
                <w:rFonts w:ascii="Arial" w:hAnsi="Arial" w:cs="FrankRuehl"/>
                <w:sz w:val="28"/>
                <w:szCs w:val="28"/>
              </w:rPr>
            </w:pPr>
          </w:p>
        </w:tc>
      </w:tr>
      <w:tr w:rsidR="004D4624" w:rsidRPr="00364132" w14:paraId="20778E6D" w14:textId="77777777" w:rsidTr="004D4624">
        <w:trPr>
          <w:trHeight w:val="355"/>
          <w:jc w:val="center"/>
        </w:trPr>
        <w:tc>
          <w:tcPr>
            <w:tcW w:w="923" w:type="dxa"/>
            <w:tcBorders>
              <w:top w:val="nil"/>
              <w:left w:val="nil"/>
              <w:bottom w:val="nil"/>
              <w:right w:val="nil"/>
            </w:tcBorders>
            <w:shd w:val="clear" w:color="auto" w:fill="auto"/>
          </w:tcPr>
          <w:p w14:paraId="4086159E" w14:textId="77777777" w:rsidR="004D4624" w:rsidRPr="00364132" w:rsidRDefault="004D4624" w:rsidP="00533810">
            <w:pPr>
              <w:rPr>
                <w:rFonts w:ascii="Arial" w:hAnsi="Arial" w:cs="FrankRuehl"/>
                <w:sz w:val="28"/>
                <w:szCs w:val="28"/>
                <w:rtl/>
              </w:rPr>
            </w:pPr>
          </w:p>
        </w:tc>
        <w:tc>
          <w:tcPr>
            <w:tcW w:w="4126" w:type="dxa"/>
            <w:tcBorders>
              <w:top w:val="nil"/>
              <w:left w:val="nil"/>
              <w:bottom w:val="nil"/>
              <w:right w:val="nil"/>
            </w:tcBorders>
            <w:shd w:val="clear" w:color="auto" w:fill="auto"/>
          </w:tcPr>
          <w:p w14:paraId="72F82935" w14:textId="77777777" w:rsidR="004D4624" w:rsidRPr="00364132" w:rsidRDefault="004D4624" w:rsidP="00533810">
            <w:pPr>
              <w:rPr>
                <w:rtl/>
              </w:rPr>
            </w:pPr>
            <w:r w:rsidRPr="00364132">
              <w:rPr>
                <w:rFonts w:ascii="Arial" w:hAnsi="Arial" w:cs="FrankRuehl"/>
                <w:sz w:val="28"/>
                <w:szCs w:val="28"/>
                <w:rtl/>
              </w:rPr>
              <w:t>דניאל לוי</w:t>
            </w:r>
            <w:r w:rsidRPr="00364132">
              <w:rPr>
                <w:rFonts w:ascii="Arial" w:hAnsi="Arial" w:cs="FrankRuehl"/>
                <w:sz w:val="28"/>
                <w:szCs w:val="28"/>
                <w:rtl/>
              </w:rPr>
              <w:br/>
            </w:r>
            <w:r w:rsidRPr="00364132">
              <w:rPr>
                <w:rFonts w:hint="cs"/>
                <w:rtl/>
              </w:rPr>
              <w:t>ע"י עו"ד אריאל הרמן</w:t>
            </w:r>
          </w:p>
        </w:tc>
        <w:tc>
          <w:tcPr>
            <w:tcW w:w="3771" w:type="dxa"/>
            <w:tcBorders>
              <w:top w:val="nil"/>
              <w:left w:val="nil"/>
              <w:bottom w:val="nil"/>
              <w:right w:val="nil"/>
            </w:tcBorders>
            <w:shd w:val="clear" w:color="auto" w:fill="auto"/>
          </w:tcPr>
          <w:p w14:paraId="3551DC27" w14:textId="77777777" w:rsidR="004D4624" w:rsidRPr="00364132" w:rsidRDefault="004D4624" w:rsidP="004D4624">
            <w:pPr>
              <w:jc w:val="right"/>
              <w:rPr>
                <w:rFonts w:ascii="Arial" w:hAnsi="Arial" w:cs="FrankRuehl"/>
                <w:sz w:val="28"/>
                <w:szCs w:val="28"/>
              </w:rPr>
            </w:pPr>
          </w:p>
        </w:tc>
      </w:tr>
      <w:tr w:rsidR="004D4624" w:rsidRPr="00364132" w14:paraId="51201F94" w14:textId="77777777" w:rsidTr="004D4624">
        <w:trPr>
          <w:trHeight w:val="355"/>
          <w:jc w:val="center"/>
        </w:trPr>
        <w:tc>
          <w:tcPr>
            <w:tcW w:w="923" w:type="dxa"/>
            <w:tcBorders>
              <w:top w:val="nil"/>
              <w:left w:val="nil"/>
              <w:bottom w:val="nil"/>
              <w:right w:val="nil"/>
            </w:tcBorders>
            <w:shd w:val="clear" w:color="auto" w:fill="auto"/>
          </w:tcPr>
          <w:p w14:paraId="259F9F4D" w14:textId="77777777" w:rsidR="004D4624" w:rsidRPr="00364132" w:rsidRDefault="004D4624" w:rsidP="004D462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7AF0D2F" w14:textId="77777777" w:rsidR="004D4624" w:rsidRPr="00364132" w:rsidRDefault="004D4624" w:rsidP="004D4624">
            <w:pPr>
              <w:jc w:val="both"/>
              <w:rPr>
                <w:rtl/>
              </w:rPr>
            </w:pPr>
          </w:p>
        </w:tc>
        <w:tc>
          <w:tcPr>
            <w:tcW w:w="3771" w:type="dxa"/>
            <w:tcBorders>
              <w:top w:val="nil"/>
              <w:left w:val="nil"/>
              <w:bottom w:val="nil"/>
              <w:right w:val="nil"/>
            </w:tcBorders>
            <w:shd w:val="clear" w:color="auto" w:fill="auto"/>
          </w:tcPr>
          <w:p w14:paraId="1199B778" w14:textId="77777777" w:rsidR="004D4624" w:rsidRPr="00364132" w:rsidRDefault="004D4624" w:rsidP="004D4624">
            <w:pPr>
              <w:jc w:val="right"/>
              <w:rPr>
                <w:rFonts w:ascii="Arial" w:hAnsi="Arial" w:cs="FrankRuehl"/>
                <w:sz w:val="28"/>
                <w:szCs w:val="28"/>
              </w:rPr>
            </w:pPr>
            <w:r w:rsidRPr="00364132">
              <w:rPr>
                <w:rFonts w:ascii="Arial" w:hAnsi="Arial" w:cs="FrankRuehl" w:hint="cs"/>
                <w:sz w:val="28"/>
                <w:szCs w:val="28"/>
                <w:rtl/>
              </w:rPr>
              <w:t>ה</w:t>
            </w:r>
            <w:r w:rsidRPr="00364132">
              <w:rPr>
                <w:rFonts w:ascii="Arial" w:hAnsi="Arial" w:cs="FrankRuehl"/>
                <w:sz w:val="28"/>
                <w:szCs w:val="28"/>
                <w:rtl/>
              </w:rPr>
              <w:t>נאשם</w:t>
            </w:r>
          </w:p>
        </w:tc>
      </w:tr>
    </w:tbl>
    <w:p w14:paraId="58685851" w14:textId="77777777" w:rsidR="00CA385D" w:rsidRPr="00CA385D" w:rsidRDefault="00CA385D" w:rsidP="00CA385D">
      <w:pPr>
        <w:spacing w:before="120" w:after="120" w:line="240" w:lineRule="exact"/>
        <w:ind w:left="283" w:hanging="283"/>
        <w:jc w:val="both"/>
        <w:rPr>
          <w:rFonts w:ascii="FrankRuehl" w:hAnsi="FrankRuehl" w:cs="FrankRuehl"/>
          <w:rtl/>
        </w:rPr>
      </w:pPr>
    </w:p>
    <w:p w14:paraId="3610F651" w14:textId="77777777" w:rsidR="006E600C" w:rsidRDefault="006E600C" w:rsidP="006E600C">
      <w:pPr>
        <w:spacing w:after="120" w:line="360" w:lineRule="auto"/>
        <w:jc w:val="both"/>
        <w:rPr>
          <w:rFonts w:ascii="David" w:hAnsi="David"/>
          <w:rtl/>
        </w:rPr>
      </w:pPr>
      <w:bookmarkStart w:id="3" w:name="LawTable"/>
      <w:bookmarkEnd w:id="3"/>
    </w:p>
    <w:p w14:paraId="43C64191" w14:textId="77777777" w:rsidR="006E600C" w:rsidRPr="006E600C" w:rsidRDefault="006E600C" w:rsidP="006E600C">
      <w:pPr>
        <w:spacing w:before="120" w:after="120" w:line="240" w:lineRule="exact"/>
        <w:ind w:left="283" w:hanging="283"/>
        <w:jc w:val="both"/>
        <w:rPr>
          <w:rFonts w:ascii="FrankRuehl" w:hAnsi="FrankRuehl" w:cs="FrankRuehl"/>
          <w:rtl/>
        </w:rPr>
      </w:pPr>
    </w:p>
    <w:p w14:paraId="27CE1DBC" w14:textId="77777777" w:rsidR="006E600C" w:rsidRPr="006E600C" w:rsidRDefault="006E600C" w:rsidP="006E600C">
      <w:pPr>
        <w:spacing w:before="120" w:after="120" w:line="240" w:lineRule="exact"/>
        <w:ind w:left="283" w:hanging="283"/>
        <w:jc w:val="both"/>
        <w:rPr>
          <w:rFonts w:ascii="FrankRuehl" w:hAnsi="FrankRuehl" w:cs="FrankRuehl"/>
          <w:rtl/>
        </w:rPr>
      </w:pPr>
    </w:p>
    <w:p w14:paraId="295788C5" w14:textId="77777777" w:rsidR="006E600C" w:rsidRPr="006E600C" w:rsidRDefault="006E600C" w:rsidP="006E600C">
      <w:pPr>
        <w:spacing w:before="120" w:after="120" w:line="240" w:lineRule="exact"/>
        <w:ind w:left="283" w:hanging="283"/>
        <w:jc w:val="both"/>
        <w:rPr>
          <w:rFonts w:ascii="FrankRuehl" w:hAnsi="FrankRuehl" w:cs="FrankRuehl"/>
          <w:rtl/>
        </w:rPr>
      </w:pPr>
      <w:r w:rsidRPr="006E600C">
        <w:rPr>
          <w:rFonts w:ascii="FrankRuehl" w:hAnsi="FrankRuehl" w:cs="FrankRuehl"/>
          <w:rtl/>
        </w:rPr>
        <w:t xml:space="preserve">חקיקה שאוזכרה: </w:t>
      </w:r>
    </w:p>
    <w:p w14:paraId="1E26AE62" w14:textId="77777777" w:rsidR="006E600C" w:rsidRPr="006E600C" w:rsidRDefault="006E600C" w:rsidP="006E600C">
      <w:pPr>
        <w:spacing w:before="120" w:after="120" w:line="240" w:lineRule="exact"/>
        <w:ind w:left="283" w:hanging="283"/>
        <w:jc w:val="both"/>
        <w:rPr>
          <w:rFonts w:ascii="FrankRuehl" w:hAnsi="FrankRuehl" w:cs="FrankRuehl"/>
          <w:rtl/>
        </w:rPr>
      </w:pPr>
      <w:hyperlink r:id="rId8" w:history="1">
        <w:r w:rsidRPr="006E600C">
          <w:rPr>
            <w:rFonts w:ascii="FrankRuehl" w:hAnsi="FrankRuehl" w:cs="FrankRuehl"/>
            <w:color w:val="0000FF"/>
            <w:rtl/>
          </w:rPr>
          <w:t>פקודת הסמים המסוכנים [נוסח חדש], תשל"ג-1973</w:t>
        </w:r>
      </w:hyperlink>
      <w:r w:rsidRPr="006E600C">
        <w:rPr>
          <w:rFonts w:ascii="FrankRuehl" w:hAnsi="FrankRuehl" w:cs="FrankRuehl"/>
          <w:rtl/>
        </w:rPr>
        <w:t xml:space="preserve">: סע'  </w:t>
      </w:r>
      <w:hyperlink r:id="rId9" w:history="1">
        <w:r w:rsidRPr="006E600C">
          <w:rPr>
            <w:rFonts w:ascii="FrankRuehl" w:hAnsi="FrankRuehl" w:cs="FrankRuehl"/>
            <w:color w:val="0000FF"/>
            <w:rtl/>
          </w:rPr>
          <w:t>31(6)</w:t>
        </w:r>
      </w:hyperlink>
      <w:r w:rsidRPr="006E600C">
        <w:rPr>
          <w:rFonts w:ascii="FrankRuehl" w:hAnsi="FrankRuehl" w:cs="FrankRuehl"/>
          <w:rtl/>
        </w:rPr>
        <w:t xml:space="preserve">, </w:t>
      </w:r>
      <w:hyperlink r:id="rId10" w:history="1">
        <w:r w:rsidRPr="006E600C">
          <w:rPr>
            <w:rFonts w:ascii="FrankRuehl" w:hAnsi="FrankRuehl" w:cs="FrankRuehl"/>
            <w:color w:val="0000FF"/>
            <w:rtl/>
          </w:rPr>
          <w:t>36א(ב)</w:t>
        </w:r>
      </w:hyperlink>
    </w:p>
    <w:p w14:paraId="4CFC9DA6" w14:textId="77777777" w:rsidR="006E600C" w:rsidRPr="006E600C" w:rsidRDefault="006E600C" w:rsidP="006E600C">
      <w:pPr>
        <w:spacing w:after="120" w:line="360" w:lineRule="auto"/>
        <w:jc w:val="both"/>
        <w:rPr>
          <w:rFonts w:ascii="David" w:hAnsi="David"/>
          <w:rtl/>
        </w:rPr>
      </w:pPr>
      <w:bookmarkStart w:id="4" w:name="LawTable_End"/>
      <w:bookmarkEnd w:id="4"/>
    </w:p>
    <w:p w14:paraId="1238BE0D" w14:textId="77777777" w:rsidR="004D4624" w:rsidRPr="00CA385D" w:rsidRDefault="004D4624" w:rsidP="00CA385D">
      <w:pPr>
        <w:spacing w:after="120" w:line="360" w:lineRule="auto"/>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D4624" w14:paraId="3CF7A589" w14:textId="77777777" w:rsidTr="004D4624">
        <w:trPr>
          <w:trHeight w:val="355"/>
          <w:jc w:val="center"/>
        </w:trPr>
        <w:tc>
          <w:tcPr>
            <w:tcW w:w="8820" w:type="dxa"/>
            <w:tcBorders>
              <w:top w:val="nil"/>
              <w:left w:val="nil"/>
              <w:bottom w:val="nil"/>
              <w:right w:val="nil"/>
            </w:tcBorders>
            <w:shd w:val="clear" w:color="auto" w:fill="auto"/>
          </w:tcPr>
          <w:p w14:paraId="25DFBCE9" w14:textId="77777777" w:rsidR="00364132" w:rsidRPr="00364132" w:rsidRDefault="00364132" w:rsidP="00364132">
            <w:pPr>
              <w:spacing w:after="120" w:line="360" w:lineRule="auto"/>
              <w:jc w:val="center"/>
              <w:rPr>
                <w:rFonts w:ascii="Arial" w:hAnsi="Arial" w:cs="FrankRuehl"/>
                <w:b/>
                <w:bCs/>
                <w:sz w:val="32"/>
                <w:szCs w:val="32"/>
                <w:u w:val="single"/>
                <w:rtl/>
              </w:rPr>
            </w:pPr>
            <w:bookmarkStart w:id="5" w:name="PsakDin" w:colFirst="0" w:colLast="0"/>
            <w:bookmarkEnd w:id="0"/>
            <w:bookmarkEnd w:id="1"/>
            <w:r w:rsidRPr="00364132">
              <w:rPr>
                <w:rFonts w:ascii="Arial" w:hAnsi="Arial" w:cs="FrankRuehl"/>
                <w:b/>
                <w:bCs/>
                <w:sz w:val="32"/>
                <w:szCs w:val="32"/>
                <w:u w:val="single"/>
                <w:rtl/>
              </w:rPr>
              <w:t>גזר דין</w:t>
            </w:r>
          </w:p>
          <w:p w14:paraId="135EF55D" w14:textId="77777777" w:rsidR="004D4624" w:rsidRPr="00364132" w:rsidRDefault="004D4624" w:rsidP="00364132">
            <w:pPr>
              <w:spacing w:after="120" w:line="360" w:lineRule="auto"/>
              <w:jc w:val="center"/>
              <w:rPr>
                <w:rFonts w:ascii="Arial" w:hAnsi="Arial" w:cs="FrankRuehl"/>
                <w:bCs/>
                <w:sz w:val="32"/>
                <w:szCs w:val="32"/>
                <w:u w:val="single"/>
                <w:rtl/>
              </w:rPr>
            </w:pPr>
          </w:p>
        </w:tc>
      </w:tr>
    </w:tbl>
    <w:bookmarkEnd w:id="5"/>
    <w:p w14:paraId="03964DD1" w14:textId="77777777" w:rsidR="004D4624" w:rsidRDefault="004D4624" w:rsidP="004D4624">
      <w:pPr>
        <w:spacing w:after="120" w:line="360" w:lineRule="auto"/>
        <w:jc w:val="both"/>
        <w:rPr>
          <w:rFonts w:ascii="David" w:hAnsi="David"/>
          <w:b/>
          <w:bCs/>
        </w:rPr>
      </w:pPr>
      <w:r>
        <w:rPr>
          <w:rFonts w:ascii="David" w:hAnsi="David"/>
          <w:b/>
          <w:bCs/>
          <w:rtl/>
        </w:rPr>
        <w:t>רקע</w:t>
      </w:r>
    </w:p>
    <w:p w14:paraId="3834049F" w14:textId="77777777" w:rsidR="004D4624" w:rsidRDefault="004D4624" w:rsidP="004D4624">
      <w:pPr>
        <w:spacing w:after="120" w:line="360" w:lineRule="auto"/>
        <w:jc w:val="both"/>
        <w:rPr>
          <w:rFonts w:ascii="David" w:hAnsi="David"/>
          <w:rtl/>
        </w:rPr>
      </w:pPr>
      <w:bookmarkStart w:id="6" w:name="ABSTRACT_START"/>
      <w:bookmarkEnd w:id="6"/>
      <w:r>
        <w:rPr>
          <w:rFonts w:ascii="David" w:hAnsi="David"/>
          <w:rtl/>
        </w:rPr>
        <w:t>הנאשם הורשע על פי הודאתו ב- 23 עבירות של הדחת קטין לסם מסוכן ו- 3 עבירות של סחר בסם מסוכן.</w:t>
      </w:r>
    </w:p>
    <w:p w14:paraId="3EA21C5B" w14:textId="77777777" w:rsidR="004D4624" w:rsidRDefault="004D4624" w:rsidP="004D4624">
      <w:pPr>
        <w:spacing w:after="120" w:line="360" w:lineRule="auto"/>
        <w:jc w:val="both"/>
        <w:rPr>
          <w:rFonts w:ascii="David" w:hAnsi="David"/>
          <w:rtl/>
        </w:rPr>
      </w:pPr>
      <w:r>
        <w:rPr>
          <w:rFonts w:ascii="David" w:hAnsi="David"/>
          <w:rtl/>
        </w:rPr>
        <w:t>על פי עובדות האישום, הנאשם מכר מריחואנה וחשיש לשמונה לקוחות שונים, שבעה מהם קטינים ואחד בגיר. העסקאות בוצעו בתיאום מוקדם באמצעות יישומון הטלגראם, כשקודם לביצוע העסקה ביקש הנאשם מהרוכשים לשלוח לו צילום של תעודה מזהה, ולאחר ביצוע העסקה נהג למחוק את ההתכתבויות הנוגעות לתיאום.</w:t>
      </w:r>
    </w:p>
    <w:p w14:paraId="6C26ABAB" w14:textId="77777777" w:rsidR="004D4624" w:rsidRDefault="004D4624" w:rsidP="004D4624">
      <w:pPr>
        <w:spacing w:after="120" w:line="360" w:lineRule="auto"/>
        <w:jc w:val="both"/>
        <w:rPr>
          <w:rFonts w:ascii="David" w:hAnsi="David"/>
          <w:rtl/>
        </w:rPr>
      </w:pPr>
      <w:bookmarkStart w:id="7" w:name="ABSTRACT_END"/>
      <w:bookmarkEnd w:id="7"/>
      <w:r>
        <w:rPr>
          <w:rFonts w:ascii="David" w:hAnsi="David"/>
          <w:rtl/>
        </w:rPr>
        <w:t>באופן זה ביצע הנאשם את העסקאות הבאות:</w:t>
      </w:r>
    </w:p>
    <w:p w14:paraId="2294AC72" w14:textId="77777777" w:rsidR="004D4624" w:rsidRDefault="004D4624" w:rsidP="004D4624">
      <w:pPr>
        <w:pStyle w:val="ab"/>
        <w:numPr>
          <w:ilvl w:val="0"/>
          <w:numId w:val="1"/>
        </w:numPr>
        <w:spacing w:after="120" w:line="360" w:lineRule="auto"/>
        <w:ind w:left="470" w:hanging="357"/>
        <w:jc w:val="both"/>
        <w:rPr>
          <w:rFonts w:ascii="David" w:hAnsi="David" w:cs="David"/>
          <w:sz w:val="24"/>
          <w:szCs w:val="24"/>
          <w:rtl/>
        </w:rPr>
      </w:pPr>
      <w:r>
        <w:rPr>
          <w:rFonts w:ascii="David" w:hAnsi="David" w:cs="David"/>
          <w:sz w:val="24"/>
          <w:szCs w:val="24"/>
          <w:rtl/>
        </w:rPr>
        <w:lastRenderedPageBreak/>
        <w:t>חמש מכירות של מריחואנה וחשיש לקטין בן 16 בעבור סכומים שבין 50 ל- 100 ש"ח שבוצעו בין אפריל 2020 ליוני 2020.</w:t>
      </w:r>
    </w:p>
    <w:p w14:paraId="3CA8457D" w14:textId="77777777" w:rsidR="004D4624" w:rsidRDefault="004D4624" w:rsidP="004D4624">
      <w:pPr>
        <w:pStyle w:val="ab"/>
        <w:numPr>
          <w:ilvl w:val="0"/>
          <w:numId w:val="1"/>
        </w:numPr>
        <w:spacing w:after="120" w:line="360" w:lineRule="auto"/>
        <w:ind w:left="470" w:hanging="357"/>
        <w:jc w:val="both"/>
        <w:rPr>
          <w:rFonts w:ascii="David" w:hAnsi="David" w:cs="David"/>
          <w:sz w:val="24"/>
          <w:szCs w:val="24"/>
          <w:rtl/>
        </w:rPr>
      </w:pPr>
      <w:r>
        <w:rPr>
          <w:rFonts w:ascii="David" w:hAnsi="David" w:cs="David"/>
          <w:sz w:val="24"/>
          <w:szCs w:val="24"/>
          <w:rtl/>
        </w:rPr>
        <w:t>שש מכירות של מריחואנה לקטין בן 17.5 בעבור סכומים שבין 100 ל- 200 ש"ח שבוצעו בין פברואר 2020 למרץ 2020.</w:t>
      </w:r>
    </w:p>
    <w:p w14:paraId="1E7EAF78" w14:textId="77777777" w:rsidR="004D4624" w:rsidRDefault="004D4624" w:rsidP="004D4624">
      <w:pPr>
        <w:pStyle w:val="ab"/>
        <w:numPr>
          <w:ilvl w:val="0"/>
          <w:numId w:val="1"/>
        </w:numPr>
        <w:spacing w:after="120" w:line="360" w:lineRule="auto"/>
        <w:ind w:left="470" w:hanging="357"/>
        <w:jc w:val="both"/>
        <w:rPr>
          <w:rFonts w:ascii="David" w:hAnsi="David" w:cs="David"/>
          <w:sz w:val="24"/>
          <w:szCs w:val="24"/>
          <w:rtl/>
        </w:rPr>
      </w:pPr>
      <w:r>
        <w:rPr>
          <w:rFonts w:ascii="David" w:hAnsi="David" w:cs="David"/>
          <w:sz w:val="24"/>
          <w:szCs w:val="24"/>
          <w:rtl/>
        </w:rPr>
        <w:t>שלוש מכירות של כשני גרם מריחואנה לקטין בן 17.5 בעבור 100 ש"ח בכל פעם, שבוצעו בסמוך לפברואר 2020.</w:t>
      </w:r>
    </w:p>
    <w:p w14:paraId="7D1E4703" w14:textId="77777777" w:rsidR="004D4624" w:rsidRDefault="004D4624" w:rsidP="004D4624">
      <w:pPr>
        <w:pStyle w:val="ab"/>
        <w:numPr>
          <w:ilvl w:val="0"/>
          <w:numId w:val="1"/>
        </w:numPr>
        <w:spacing w:after="120" w:line="360" w:lineRule="auto"/>
        <w:ind w:left="470" w:hanging="357"/>
        <w:jc w:val="both"/>
        <w:rPr>
          <w:rFonts w:ascii="David" w:hAnsi="David" w:cs="David"/>
          <w:sz w:val="24"/>
          <w:szCs w:val="24"/>
        </w:rPr>
      </w:pPr>
      <w:r>
        <w:rPr>
          <w:rFonts w:ascii="David" w:hAnsi="David" w:cs="David"/>
          <w:sz w:val="24"/>
          <w:szCs w:val="24"/>
          <w:rtl/>
        </w:rPr>
        <w:t>שתי מכירות של כ- 1.5 גרם חשיש לקטין (כחודש לפני יום הולדתו ה- 18) בעבור 100 ש"ח בכל פעם, שבוצעו באפריל 2020.</w:t>
      </w:r>
    </w:p>
    <w:p w14:paraId="0D9735AE" w14:textId="77777777" w:rsidR="004D4624" w:rsidRDefault="004D4624" w:rsidP="004D4624">
      <w:pPr>
        <w:pStyle w:val="ab"/>
        <w:numPr>
          <w:ilvl w:val="0"/>
          <w:numId w:val="1"/>
        </w:numPr>
        <w:spacing w:after="120" w:line="360" w:lineRule="auto"/>
        <w:ind w:left="470" w:hanging="357"/>
        <w:jc w:val="both"/>
        <w:rPr>
          <w:rFonts w:ascii="David" w:hAnsi="David" w:cs="David"/>
          <w:sz w:val="24"/>
          <w:szCs w:val="24"/>
        </w:rPr>
      </w:pPr>
      <w:r>
        <w:rPr>
          <w:rFonts w:ascii="David" w:hAnsi="David" w:cs="David"/>
          <w:sz w:val="24"/>
          <w:szCs w:val="24"/>
          <w:rtl/>
        </w:rPr>
        <w:t>שתי מכירות של כשני גרם חשיש לקטין (כשלושה חודשים לפני יום הולדתו ה- 18) בעבור 100 ש"ח בכל פעם, שבוצעו במאי 2020.</w:t>
      </w:r>
    </w:p>
    <w:p w14:paraId="7CF303C9" w14:textId="77777777" w:rsidR="004D4624" w:rsidRDefault="004D4624" w:rsidP="004D4624">
      <w:pPr>
        <w:pStyle w:val="ab"/>
        <w:numPr>
          <w:ilvl w:val="0"/>
          <w:numId w:val="1"/>
        </w:numPr>
        <w:spacing w:after="120" w:line="360" w:lineRule="auto"/>
        <w:ind w:left="470" w:hanging="357"/>
        <w:jc w:val="both"/>
        <w:rPr>
          <w:rFonts w:ascii="David" w:hAnsi="David" w:cs="David"/>
          <w:sz w:val="24"/>
          <w:szCs w:val="24"/>
        </w:rPr>
      </w:pPr>
      <w:r>
        <w:rPr>
          <w:rFonts w:ascii="David" w:hAnsi="David" w:cs="David"/>
          <w:sz w:val="24"/>
          <w:szCs w:val="24"/>
          <w:rtl/>
        </w:rPr>
        <w:t>שתי מכירות של חשיש לקטין (כחודשיים לפני יום הולדתו ה- 18), שבוצעו באפריל 2020.</w:t>
      </w:r>
    </w:p>
    <w:p w14:paraId="11E54356" w14:textId="77777777" w:rsidR="004D4624" w:rsidRDefault="004D4624" w:rsidP="004D4624">
      <w:pPr>
        <w:pStyle w:val="ab"/>
        <w:numPr>
          <w:ilvl w:val="0"/>
          <w:numId w:val="1"/>
        </w:numPr>
        <w:spacing w:after="120" w:line="360" w:lineRule="auto"/>
        <w:ind w:left="470" w:hanging="357"/>
        <w:jc w:val="both"/>
        <w:rPr>
          <w:rFonts w:ascii="David" w:hAnsi="David" w:cs="David"/>
          <w:sz w:val="24"/>
          <w:szCs w:val="24"/>
        </w:rPr>
      </w:pPr>
      <w:r>
        <w:rPr>
          <w:rFonts w:ascii="David" w:hAnsi="David" w:cs="David"/>
          <w:sz w:val="24"/>
          <w:szCs w:val="24"/>
          <w:rtl/>
        </w:rPr>
        <w:t>שלוש מכירות של כשני גרם מריחואנה לקטין בן 17.5, שבוצעו בסמוך למרץ 2020.</w:t>
      </w:r>
    </w:p>
    <w:p w14:paraId="235503E6" w14:textId="77777777" w:rsidR="004D4624" w:rsidRDefault="004D4624" w:rsidP="004D4624">
      <w:pPr>
        <w:pStyle w:val="ab"/>
        <w:numPr>
          <w:ilvl w:val="0"/>
          <w:numId w:val="1"/>
        </w:numPr>
        <w:spacing w:after="120" w:line="360" w:lineRule="auto"/>
        <w:ind w:left="470" w:hanging="357"/>
        <w:jc w:val="both"/>
        <w:rPr>
          <w:rFonts w:ascii="David" w:hAnsi="David" w:cs="David"/>
          <w:sz w:val="24"/>
          <w:szCs w:val="24"/>
        </w:rPr>
      </w:pPr>
      <w:r>
        <w:rPr>
          <w:rFonts w:ascii="David" w:hAnsi="David" w:cs="David"/>
          <w:sz w:val="24"/>
          <w:szCs w:val="24"/>
          <w:rtl/>
        </w:rPr>
        <w:t>שלוש מכירות של חשיש לקונה בגיר, בכמויות של 5, 10 ו- 30 גרם, בעבור סכום כולל של 1,650 ש"ח, שבוצעו בין אפריל 2020 ליוני 2020. הנאשם אף הציע לאותו בגיר לסייע לו למכור סמים ולאמת זהותם של אנשים הפונים אליו לצורך קניית סמים, אך ההצעה לא התממשה.</w:t>
      </w:r>
    </w:p>
    <w:p w14:paraId="0F83573D" w14:textId="77777777" w:rsidR="004D4624" w:rsidRDefault="004D4624" w:rsidP="004D4624">
      <w:pPr>
        <w:spacing w:after="120" w:line="360" w:lineRule="auto"/>
        <w:jc w:val="both"/>
        <w:rPr>
          <w:rFonts w:ascii="David" w:hAnsi="David"/>
          <w:rtl/>
        </w:rPr>
      </w:pPr>
      <w:r>
        <w:rPr>
          <w:rFonts w:ascii="David" w:hAnsi="David"/>
          <w:rtl/>
        </w:rPr>
        <w:t xml:space="preserve">לצד זאת, כתב האישום כלל בקשה להכריז על הנאשם סוחר סמים ולחלט את רכושו, ובכלל זה שני טלפונים ניידים, אופניים חשמליים ומכונית מסוג </w:t>
      </w:r>
      <w:r>
        <w:rPr>
          <w:rFonts w:ascii="David" w:hAnsi="David"/>
        </w:rPr>
        <w:t>BMW</w:t>
      </w:r>
      <w:r>
        <w:rPr>
          <w:rFonts w:ascii="David" w:hAnsi="David"/>
          <w:rtl/>
        </w:rPr>
        <w:t>.</w:t>
      </w:r>
    </w:p>
    <w:p w14:paraId="3CB679FB" w14:textId="77777777" w:rsidR="004D4624" w:rsidRDefault="004D4624" w:rsidP="004D4624">
      <w:pPr>
        <w:spacing w:after="120" w:line="360" w:lineRule="auto"/>
        <w:jc w:val="both"/>
        <w:rPr>
          <w:rFonts w:ascii="David" w:hAnsi="David"/>
          <w:rtl/>
        </w:rPr>
      </w:pPr>
      <w:r>
        <w:rPr>
          <w:rFonts w:ascii="David" w:hAnsi="David"/>
          <w:rtl/>
        </w:rPr>
        <w:t>הודאת הנאשם באה בעקבות הסדר דיוני, על פיו תוקן כתב האישום והנאשם הודה בו. אין בין הצדדים הסכמות לעניין העונש.</w:t>
      </w:r>
    </w:p>
    <w:p w14:paraId="3F725C37" w14:textId="77777777" w:rsidR="004D4624" w:rsidRDefault="004D4624" w:rsidP="004D4624">
      <w:pPr>
        <w:spacing w:after="120" w:line="360" w:lineRule="auto"/>
        <w:jc w:val="both"/>
        <w:rPr>
          <w:rFonts w:ascii="David" w:hAnsi="David"/>
          <w:b/>
          <w:bCs/>
          <w:rtl/>
        </w:rPr>
      </w:pPr>
      <w:r>
        <w:rPr>
          <w:rFonts w:ascii="David" w:hAnsi="David"/>
          <w:b/>
          <w:bCs/>
          <w:rtl/>
        </w:rPr>
        <w:t>טיעוני הצדדים</w:t>
      </w:r>
    </w:p>
    <w:p w14:paraId="21486F24" w14:textId="77777777" w:rsidR="004D4624" w:rsidRDefault="004D4624" w:rsidP="004D4624">
      <w:pPr>
        <w:spacing w:after="120" w:line="360" w:lineRule="auto"/>
        <w:jc w:val="both"/>
        <w:rPr>
          <w:rFonts w:ascii="David" w:hAnsi="David"/>
          <w:rtl/>
        </w:rPr>
      </w:pPr>
      <w:r>
        <w:rPr>
          <w:rFonts w:ascii="David" w:hAnsi="David"/>
          <w:rtl/>
        </w:rPr>
        <w:t xml:space="preserve">ב"כ המאשימה הפנתה לחומרת מעשיו של הנאשם, המתבטאת בריבוי המעשים והעובדה שרוב העסקאות היו של מכירה לקטינים, עבירה שהמחוקק קבע בצידה עונש חמור של 25 שנות מאסר. עוד התייחסה לכך שהנאשם מכר </w:t>
      </w:r>
      <w:r>
        <w:rPr>
          <w:rFonts w:ascii="David" w:hAnsi="David" w:hint="cs"/>
          <w:rtl/>
        </w:rPr>
        <w:t xml:space="preserve">את הסמים </w:t>
      </w:r>
      <w:r>
        <w:rPr>
          <w:rFonts w:ascii="David" w:hAnsi="David"/>
          <w:rtl/>
        </w:rPr>
        <w:t xml:space="preserve">באמצעות יישומון הטלגרם, נתון </w:t>
      </w:r>
      <w:r>
        <w:rPr>
          <w:rFonts w:ascii="David" w:hAnsi="David" w:hint="cs"/>
          <w:rtl/>
        </w:rPr>
        <w:t>ה</w:t>
      </w:r>
      <w:r>
        <w:rPr>
          <w:rFonts w:ascii="David" w:hAnsi="David"/>
          <w:rtl/>
        </w:rPr>
        <w:t xml:space="preserve">מהווה נסיבה מחמירה נוספת. </w:t>
      </w:r>
      <w:r>
        <w:rPr>
          <w:rFonts w:ascii="David" w:hAnsi="David" w:hint="cs"/>
          <w:rtl/>
        </w:rPr>
        <w:t>לאור אלה,</w:t>
      </w:r>
      <w:r>
        <w:rPr>
          <w:rFonts w:ascii="David" w:hAnsi="David"/>
          <w:rtl/>
        </w:rPr>
        <w:t xml:space="preserve"> ביקשה </w:t>
      </w:r>
      <w:r>
        <w:rPr>
          <w:rFonts w:ascii="David" w:hAnsi="David" w:hint="cs"/>
          <w:rtl/>
        </w:rPr>
        <w:t>ב"כ המאשימה לקבוע לכל אישום מתחם עונש נפרד, ו</w:t>
      </w:r>
      <w:r>
        <w:rPr>
          <w:rFonts w:ascii="David" w:hAnsi="David"/>
          <w:rtl/>
        </w:rPr>
        <w:t>להטיל על הנאשם עונש כולל של 30 חודשי מאסר ו</w:t>
      </w:r>
      <w:r>
        <w:rPr>
          <w:rFonts w:ascii="David" w:hAnsi="David" w:hint="cs"/>
          <w:rtl/>
        </w:rPr>
        <w:t xml:space="preserve">כן </w:t>
      </w:r>
      <w:r>
        <w:rPr>
          <w:rFonts w:ascii="David" w:hAnsi="David"/>
          <w:rtl/>
        </w:rPr>
        <w:t xml:space="preserve">להפעיל במצטבר מאסר מותנה שלחובת הנאשם. עוד ביקשה להכריז על הנאשם סוחר סמים ולחלט את רכושו: מכשירי טלפון, אופניים חשמליים (בהם השתמש לביצוע העסקאות) ומכונית מסוג </w:t>
      </w:r>
      <w:r>
        <w:rPr>
          <w:rFonts w:ascii="David" w:hAnsi="David"/>
        </w:rPr>
        <w:t>BMW</w:t>
      </w:r>
      <w:r>
        <w:rPr>
          <w:rFonts w:ascii="David" w:hAnsi="David"/>
          <w:rtl/>
        </w:rPr>
        <w:t>, מ"ר 59-578-16.</w:t>
      </w:r>
    </w:p>
    <w:p w14:paraId="72DC84A7" w14:textId="77777777" w:rsidR="004D4624" w:rsidRDefault="004D4624" w:rsidP="004D4624">
      <w:pPr>
        <w:spacing w:after="120" w:line="360" w:lineRule="auto"/>
        <w:jc w:val="both"/>
        <w:rPr>
          <w:rFonts w:ascii="David" w:hAnsi="David"/>
          <w:rtl/>
        </w:rPr>
      </w:pPr>
      <w:r>
        <w:rPr>
          <w:rFonts w:ascii="David" w:hAnsi="David"/>
          <w:rtl/>
        </w:rPr>
        <w:t>ב"כ הנאשם הפנה לכך שמלבד קטין אחד שהיה בן 16, כל יתר רוכשי הסם היו קטינים שגילם קרוב ל- 18, קרובים לגילו של הנאשם, ושאין טענה כי הנאשם הוא שחשף אותם לעולם הסמים. עוד הפנה לכך שכל העסקאות היו מכירת כמויות קטנות של מריחואנה או חשיש, שאינם סמים קשים, בעבור סכומים נמוכים. לאור אלה, ביקש לקבוע כי מתחם העונש ההולם הוא מאסר, לתקופה שבין מספר חודשים ועד 20 חודשים.</w:t>
      </w:r>
    </w:p>
    <w:p w14:paraId="10D9ECF0" w14:textId="77777777" w:rsidR="004D4624" w:rsidRDefault="004D4624" w:rsidP="004D4624">
      <w:pPr>
        <w:spacing w:after="120" w:line="360" w:lineRule="auto"/>
        <w:jc w:val="both"/>
        <w:rPr>
          <w:rFonts w:ascii="David" w:hAnsi="David"/>
          <w:rtl/>
        </w:rPr>
      </w:pPr>
      <w:r>
        <w:rPr>
          <w:rFonts w:ascii="David" w:hAnsi="David"/>
          <w:rtl/>
        </w:rPr>
        <w:lastRenderedPageBreak/>
        <w:t>לעניין נסיבותיו האישיות של הנאשם הפנה לאמור בתסקיר שירות המבחן ולכך שהנאשם סולק מהקהילה הטיפולית לאחר פרק זמן משמעותי, בגלל בעיית משמעת. עוד הפנה לכך שהנאשם אדם צעיר, שלא ריצה מאסר עד כה.</w:t>
      </w:r>
    </w:p>
    <w:p w14:paraId="136366D1" w14:textId="77777777" w:rsidR="004D4624" w:rsidRDefault="004D4624" w:rsidP="004D4624">
      <w:pPr>
        <w:spacing w:after="120" w:line="360" w:lineRule="auto"/>
        <w:jc w:val="both"/>
        <w:rPr>
          <w:rFonts w:ascii="David" w:hAnsi="David"/>
          <w:rtl/>
        </w:rPr>
      </w:pPr>
      <w:r>
        <w:rPr>
          <w:rFonts w:ascii="David" w:hAnsi="David"/>
          <w:rtl/>
        </w:rPr>
        <w:t>לאור אלה, ביקש לתת משקל למאמץ שעשה הנאשם במסגרת ההליך הטיפולי, להודאתו ונסיבות חייו, ולהשית עליו עונש שלא יעלה על עשרה חודשי מאסר.</w:t>
      </w:r>
    </w:p>
    <w:p w14:paraId="676C192B" w14:textId="77777777" w:rsidR="004D4624" w:rsidRDefault="004D4624" w:rsidP="004D4624">
      <w:pPr>
        <w:spacing w:after="120" w:line="360" w:lineRule="auto"/>
        <w:jc w:val="both"/>
        <w:rPr>
          <w:rFonts w:ascii="David" w:hAnsi="David"/>
          <w:rtl/>
        </w:rPr>
      </w:pPr>
      <w:r>
        <w:rPr>
          <w:rFonts w:ascii="David" w:hAnsi="David"/>
          <w:rtl/>
        </w:rPr>
        <w:t>ב"כ שני הצדדים הגישו פסיקה לתמיכה בעמדותיהם, וב"כ הנאשם הגיש מסמכים הנוגעים לסילוקו מהקהילה הטיפולית.</w:t>
      </w:r>
    </w:p>
    <w:p w14:paraId="390E7E22" w14:textId="77777777" w:rsidR="004D4624" w:rsidRDefault="004D4624" w:rsidP="004D4624">
      <w:pPr>
        <w:spacing w:after="120" w:line="360" w:lineRule="auto"/>
        <w:jc w:val="both"/>
        <w:rPr>
          <w:rFonts w:ascii="David" w:hAnsi="David"/>
          <w:rtl/>
        </w:rPr>
      </w:pPr>
      <w:r>
        <w:rPr>
          <w:rFonts w:ascii="David" w:hAnsi="David"/>
          <w:rtl/>
        </w:rPr>
        <w:t>הנאשם ביקש לומר את המילה האחרונה. בדבריו הביע חרטה על מעשיו ואמר, כי סולק מהקהילה רק בגלל קללה שנפלטה מפיו ומטופל אחר שמע ודיווח עליה. עוד אמר, כי כל חייו ברח מהתמודדויות, ונקלע לסחר בסמים בגלל התמכרותו לסמים, ולא התעניין כלל למי הוא מוכר סמים, כל עוד ישיג כסף לקנות לעצמו סמים. הנאשם הוסיף כי הוא עצור עם אנסים ורוצחים וביקש שלא יגזר עליו מאסר.</w:t>
      </w:r>
    </w:p>
    <w:p w14:paraId="7C09AD53" w14:textId="77777777" w:rsidR="004D4624" w:rsidRDefault="004D4624" w:rsidP="004D4624">
      <w:pPr>
        <w:spacing w:after="120" w:line="360" w:lineRule="auto"/>
        <w:jc w:val="both"/>
        <w:rPr>
          <w:rFonts w:ascii="David" w:hAnsi="David"/>
          <w:rtl/>
        </w:rPr>
      </w:pPr>
      <w:r>
        <w:rPr>
          <w:rFonts w:ascii="David" w:hAnsi="David"/>
          <w:rtl/>
        </w:rPr>
        <w:t>אמו של הנאשם אמרה, שהנאשם הדרדר לסמים בשל פגיעות שעבר בילדותו על ידי אביו וקרוב משפחה.</w:t>
      </w:r>
    </w:p>
    <w:p w14:paraId="1A4B343A" w14:textId="77777777" w:rsidR="004D4624" w:rsidRDefault="004D4624" w:rsidP="004D4624">
      <w:pPr>
        <w:spacing w:after="120" w:line="360" w:lineRule="auto"/>
        <w:jc w:val="both"/>
        <w:rPr>
          <w:rFonts w:ascii="David" w:hAnsi="David"/>
          <w:b/>
          <w:bCs/>
          <w:rtl/>
        </w:rPr>
      </w:pPr>
      <w:r>
        <w:rPr>
          <w:rFonts w:ascii="David" w:hAnsi="David"/>
          <w:b/>
          <w:bCs/>
          <w:rtl/>
        </w:rPr>
        <w:t>מתחם העונש ההולם</w:t>
      </w:r>
    </w:p>
    <w:p w14:paraId="521F5E46" w14:textId="77777777" w:rsidR="004D4624" w:rsidRDefault="004D4624" w:rsidP="004D4624">
      <w:pPr>
        <w:pStyle w:val="a7"/>
        <w:spacing w:after="120" w:line="360" w:lineRule="auto"/>
        <w:jc w:val="both"/>
        <w:rPr>
          <w:rFonts w:ascii="David" w:hAnsi="David" w:cs="David"/>
          <w:rtl/>
        </w:rPr>
      </w:pPr>
      <w:r>
        <w:rPr>
          <w:rFonts w:ascii="David" w:hAnsi="David" w:cs="David"/>
          <w:rtl/>
        </w:rPr>
        <w:t xml:space="preserve">ראשית אומר, כי התקשיתי לקבל את עמדת המאשימה, כי יש לקבוע מתחם עונש הולם נפרד לכל אחד מהאישומים, מכיוון שמדובר ברוכשי סם שונים: הנאשם הורשע </w:t>
      </w:r>
      <w:r>
        <w:rPr>
          <w:rFonts w:ascii="David" w:hAnsi="David" w:cs="David" w:hint="cs"/>
          <w:rtl/>
        </w:rPr>
        <w:t>ב</w:t>
      </w:r>
      <w:r>
        <w:rPr>
          <w:rFonts w:ascii="David" w:hAnsi="David" w:cs="David"/>
          <w:rtl/>
        </w:rPr>
        <w:t xml:space="preserve">מכירת מריחואנה וחשיש לצרכנים שונים, בתקופה התחומה בארבעה חודשים. </w:t>
      </w:r>
      <w:r>
        <w:rPr>
          <w:rFonts w:ascii="David" w:hAnsi="David" w:cs="David" w:hint="cs"/>
          <w:rtl/>
        </w:rPr>
        <w:t>באופן מובהק מדובר</w:t>
      </w:r>
      <w:r>
        <w:rPr>
          <w:rFonts w:ascii="David" w:hAnsi="David" w:cs="David"/>
          <w:rtl/>
        </w:rPr>
        <w:t xml:space="preserve"> באירוע עברייני אחד אשר יש לקבוע לגביו מתחם עונש הולם </w:t>
      </w:r>
      <w:r>
        <w:rPr>
          <w:rFonts w:ascii="David" w:hAnsi="David" w:cs="David" w:hint="cs"/>
          <w:rtl/>
        </w:rPr>
        <w:t>אחד</w:t>
      </w:r>
      <w:r>
        <w:rPr>
          <w:rFonts w:ascii="David" w:hAnsi="David" w:cs="David"/>
          <w:rtl/>
        </w:rPr>
        <w:t xml:space="preserve">. ר' למשל </w:t>
      </w:r>
      <w:hyperlink r:id="rId11" w:history="1">
        <w:r w:rsidR="00364132" w:rsidRPr="00364132">
          <w:rPr>
            <w:rFonts w:ascii="David" w:hAnsi="David" w:cs="David"/>
            <w:color w:val="0000FF"/>
            <w:u w:val="single"/>
            <w:rtl/>
          </w:rPr>
          <w:t>ע"פ 2519/14</w:t>
        </w:r>
      </w:hyperlink>
      <w:r>
        <w:rPr>
          <w:rFonts w:ascii="David" w:hAnsi="David" w:cs="David"/>
          <w:rtl/>
        </w:rPr>
        <w:t xml:space="preserve"> אבו קיעאן (29.12.14) בפס' 8 לפסק דינו של השופט פוגלמן:</w:t>
      </w:r>
    </w:p>
    <w:p w14:paraId="18708F08" w14:textId="77777777" w:rsidR="004D4624" w:rsidRDefault="004D4624" w:rsidP="004D4624">
      <w:pPr>
        <w:pStyle w:val="a7"/>
        <w:spacing w:after="120" w:line="360" w:lineRule="auto"/>
        <w:ind w:left="567" w:right="567"/>
        <w:jc w:val="both"/>
        <w:rPr>
          <w:rFonts w:ascii="David" w:hAnsi="David" w:cs="David"/>
          <w:rtl/>
        </w:rPr>
      </w:pPr>
      <w:r>
        <w:rPr>
          <w:rFonts w:ascii="David" w:hAnsi="David" w:cs="David"/>
          <w:rtl/>
        </w:rPr>
        <w:t>"</w:t>
      </w:r>
      <w:r>
        <w:rPr>
          <w:rFonts w:ascii="David" w:hAnsi="David" w:cs="David"/>
          <w:b/>
          <w:bCs/>
          <w:rtl/>
        </w:rPr>
        <w:t>התיבה 'אירוע אחד' רחבה דיה כדי לכלול גם פעולות עברייניות שבוצעו על פני רצף זמן; כללו מעשים שונים; ביחס לקורבנות שונים; ובמקומות שונים</w:t>
      </w:r>
      <w:r>
        <w:rPr>
          <w:rFonts w:ascii="David" w:hAnsi="David" w:cs="David"/>
          <w:rtl/>
        </w:rPr>
        <w:t>"</w:t>
      </w:r>
    </w:p>
    <w:p w14:paraId="312BD317" w14:textId="77777777" w:rsidR="004D4624" w:rsidRDefault="004D4624" w:rsidP="004D4624">
      <w:pPr>
        <w:spacing w:after="120" w:line="360" w:lineRule="auto"/>
        <w:jc w:val="both"/>
        <w:rPr>
          <w:rFonts w:ascii="David" w:hAnsi="David"/>
        </w:rPr>
      </w:pPr>
      <w:r>
        <w:rPr>
          <w:rFonts w:ascii="David" w:hAnsi="David"/>
          <w:rtl/>
        </w:rPr>
        <w:t>הנאשם הורשע בביצוע 26 עסקאות, בהן מכר סמים לשמונה רוכשים שונים, האחד קטין בן 16, שישה מהם קטינים לקראת גיל 18 והאחרון בגיר בן 21. מרבית העסקאות היו מכירות של גרמים בודדים בעבור סכומים שבין 50 ל- 200 ש"ח, אך אחת העסקאות היתה מכירת 30 גרם חשיש, בעבור 800 ש"ח. מעובדות האישום עולה, כי הנאשם יצר קשר עם רוכשי הסם באמצעות יישומון הטלגרם, וכי קודם לביצוע העסקאות אימת את זהותם של הקונים וביקש שיציגו לו מסמך מזה</w:t>
      </w:r>
      <w:r>
        <w:rPr>
          <w:rFonts w:ascii="David" w:hAnsi="David" w:hint="cs"/>
          <w:rtl/>
        </w:rPr>
        <w:t xml:space="preserve">. </w:t>
      </w:r>
      <w:r>
        <w:rPr>
          <w:rFonts w:ascii="David" w:hAnsi="David"/>
          <w:rtl/>
        </w:rPr>
        <w:t xml:space="preserve">במספר מקרים </w:t>
      </w:r>
      <w:r>
        <w:rPr>
          <w:rFonts w:ascii="David" w:hAnsi="David" w:hint="cs"/>
          <w:rtl/>
        </w:rPr>
        <w:t xml:space="preserve">הנאשם </w:t>
      </w:r>
      <w:r>
        <w:rPr>
          <w:rFonts w:ascii="David" w:hAnsi="David"/>
          <w:rtl/>
        </w:rPr>
        <w:t xml:space="preserve">אף וידא מראש כי יש </w:t>
      </w:r>
      <w:r>
        <w:rPr>
          <w:rFonts w:ascii="David" w:hAnsi="David" w:hint="cs"/>
          <w:rtl/>
        </w:rPr>
        <w:t>לקטינים</w:t>
      </w:r>
      <w:r>
        <w:rPr>
          <w:rFonts w:ascii="David" w:hAnsi="David"/>
          <w:rtl/>
        </w:rPr>
        <w:t xml:space="preserve"> די כסף על מנת לרכוש את הסמים. עניין זה מעיד על כך שאין מדובר במעידה, אלא ב</w:t>
      </w:r>
      <w:r>
        <w:rPr>
          <w:rFonts w:ascii="David" w:hAnsi="David" w:hint="cs"/>
          <w:rtl/>
        </w:rPr>
        <w:t xml:space="preserve">דפוס </w:t>
      </w:r>
      <w:r>
        <w:rPr>
          <w:rFonts w:ascii="David" w:hAnsi="David"/>
          <w:rtl/>
        </w:rPr>
        <w:t>פעילות מ</w:t>
      </w:r>
      <w:r>
        <w:rPr>
          <w:rFonts w:ascii="David" w:hAnsi="David" w:hint="cs"/>
          <w:rtl/>
        </w:rPr>
        <w:t>חושב</w:t>
      </w:r>
      <w:r>
        <w:rPr>
          <w:rFonts w:ascii="David" w:hAnsi="David"/>
          <w:rtl/>
        </w:rPr>
        <w:t xml:space="preserve"> ומ</w:t>
      </w:r>
      <w:r>
        <w:rPr>
          <w:rFonts w:ascii="David" w:hAnsi="David" w:hint="cs"/>
          <w:rtl/>
        </w:rPr>
        <w:t>תוכנן.</w:t>
      </w:r>
    </w:p>
    <w:p w14:paraId="794DE122" w14:textId="77777777" w:rsidR="004D4624" w:rsidRDefault="004D4624" w:rsidP="004D4624">
      <w:pPr>
        <w:spacing w:after="120" w:line="360" w:lineRule="auto"/>
        <w:jc w:val="both"/>
        <w:rPr>
          <w:rFonts w:ascii="David" w:hAnsi="David"/>
          <w:rtl/>
        </w:rPr>
      </w:pPr>
      <w:r>
        <w:rPr>
          <w:rFonts w:ascii="David" w:hAnsi="David"/>
          <w:rtl/>
        </w:rPr>
        <w:t>פסיקה עקבית דנה בחומרתן של עבירות הסמים ובצורך להשית בצדן עונשים מכבידים ומרתיעים, על מנת לצמצם את נגע הסמים ואת פגיעתו הקשה בחברה ובפרטים.</w:t>
      </w:r>
    </w:p>
    <w:p w14:paraId="3BC2D601" w14:textId="77777777" w:rsidR="004D4624" w:rsidRDefault="004D4624" w:rsidP="004D4624">
      <w:pPr>
        <w:spacing w:after="120" w:line="360" w:lineRule="auto"/>
        <w:jc w:val="both"/>
        <w:rPr>
          <w:rFonts w:ascii="David" w:hAnsi="David"/>
          <w:rtl/>
        </w:rPr>
      </w:pPr>
      <w:r>
        <w:rPr>
          <w:rFonts w:ascii="David" w:hAnsi="David"/>
          <w:rtl/>
        </w:rPr>
        <w:t xml:space="preserve">ר' למשל </w:t>
      </w:r>
      <w:hyperlink r:id="rId12" w:history="1">
        <w:r w:rsidR="00364132" w:rsidRPr="00364132">
          <w:rPr>
            <w:rFonts w:ascii="David" w:hAnsi="David"/>
            <w:color w:val="0000FF"/>
            <w:u w:val="single"/>
            <w:rtl/>
          </w:rPr>
          <w:t>ע"פ 966/94</w:t>
        </w:r>
      </w:hyperlink>
      <w:r>
        <w:rPr>
          <w:rFonts w:ascii="David" w:hAnsi="David"/>
          <w:rtl/>
        </w:rPr>
        <w:t xml:space="preserve"> אמזלג נ' מדינת ישראל:</w:t>
      </w:r>
    </w:p>
    <w:p w14:paraId="3C98B98F" w14:textId="77777777" w:rsidR="004D4624" w:rsidRDefault="004D4624" w:rsidP="004D4624">
      <w:pPr>
        <w:overflowPunct w:val="0"/>
        <w:autoSpaceDE w:val="0"/>
        <w:autoSpaceDN w:val="0"/>
        <w:spacing w:after="120" w:line="360" w:lineRule="auto"/>
        <w:ind w:left="567" w:right="567"/>
        <w:jc w:val="both"/>
        <w:rPr>
          <w:rFonts w:ascii="David" w:hAnsi="David"/>
          <w:b/>
          <w:bCs/>
        </w:rPr>
      </w:pPr>
      <w:r>
        <w:rPr>
          <w:rFonts w:ascii="David" w:hAnsi="David"/>
          <w:b/>
          <w:bCs/>
          <w:color w:val="000000"/>
          <w:rtl/>
        </w:rPr>
        <w:t>"נגע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w:t>
      </w:r>
      <w:r>
        <w:rPr>
          <w:rFonts w:ascii="David" w:hAnsi="David"/>
          <w:b/>
          <w:bCs/>
          <w:rtl/>
        </w:rPr>
        <w:t xml:space="preserve">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4A136A95" w14:textId="77777777" w:rsidR="004D4624" w:rsidRDefault="004D4624" w:rsidP="004D4624">
      <w:pPr>
        <w:tabs>
          <w:tab w:val="left" w:pos="800"/>
        </w:tabs>
        <w:overflowPunct w:val="0"/>
        <w:autoSpaceDE w:val="0"/>
        <w:autoSpaceDN w:val="0"/>
        <w:adjustRightInd w:val="0"/>
        <w:spacing w:after="120" w:line="360" w:lineRule="auto"/>
        <w:jc w:val="both"/>
        <w:rPr>
          <w:rFonts w:ascii="David" w:hAnsi="David"/>
          <w:spacing w:val="10"/>
          <w:rtl/>
        </w:rPr>
      </w:pPr>
      <w:r>
        <w:rPr>
          <w:rFonts w:ascii="David" w:hAnsi="David"/>
          <w:spacing w:val="10"/>
          <w:rtl/>
        </w:rPr>
        <w:t xml:space="preserve">ר' גם </w:t>
      </w:r>
      <w:hyperlink r:id="rId13" w:history="1">
        <w:r w:rsidR="00364132" w:rsidRPr="00364132">
          <w:rPr>
            <w:rFonts w:ascii="David" w:hAnsi="David"/>
            <w:color w:val="0000FF"/>
            <w:spacing w:val="10"/>
            <w:u w:val="single"/>
            <w:rtl/>
          </w:rPr>
          <w:t>ע"פ 211/09</w:t>
        </w:r>
      </w:hyperlink>
      <w:r>
        <w:rPr>
          <w:rFonts w:ascii="David" w:hAnsi="David"/>
          <w:spacing w:val="10"/>
          <w:rtl/>
        </w:rPr>
        <w:t xml:space="preserve"> </w:t>
      </w:r>
      <w:r>
        <w:rPr>
          <w:rFonts w:ascii="David" w:hAnsi="David" w:hint="cs"/>
          <w:rtl/>
        </w:rPr>
        <w:t>אזולאי נ' מדינת ישראל</w:t>
      </w:r>
      <w:r>
        <w:rPr>
          <w:rFonts w:ascii="David" w:hAnsi="David" w:hint="cs"/>
          <w:spacing w:val="10"/>
          <w:rtl/>
        </w:rPr>
        <w:t>:</w:t>
      </w:r>
    </w:p>
    <w:p w14:paraId="65ECA27B" w14:textId="77777777" w:rsidR="004D4624" w:rsidRDefault="004D4624" w:rsidP="004D4624">
      <w:pPr>
        <w:overflowPunct w:val="0"/>
        <w:autoSpaceDE w:val="0"/>
        <w:autoSpaceDN w:val="0"/>
        <w:spacing w:after="120" w:line="360" w:lineRule="auto"/>
        <w:ind w:left="567" w:right="567"/>
        <w:jc w:val="both"/>
        <w:rPr>
          <w:rFonts w:ascii="David" w:hAnsi="David"/>
          <w:b/>
          <w:bCs/>
          <w:color w:val="000000"/>
          <w:rtl/>
        </w:rPr>
      </w:pPr>
      <w:r>
        <w:rPr>
          <w:rFonts w:ascii="David" w:hAnsi="David"/>
          <w:b/>
          <w:bCs/>
          <w:color w:val="000000"/>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4222260B" w14:textId="77777777" w:rsidR="004D4624" w:rsidRDefault="004D4624" w:rsidP="004D4624">
      <w:pPr>
        <w:overflowPunct w:val="0"/>
        <w:autoSpaceDE w:val="0"/>
        <w:autoSpaceDN w:val="0"/>
        <w:spacing w:after="120" w:line="360" w:lineRule="auto"/>
        <w:jc w:val="both"/>
        <w:rPr>
          <w:rFonts w:ascii="David" w:hAnsi="David"/>
          <w:color w:val="000000"/>
          <w:rtl/>
        </w:rPr>
      </w:pPr>
      <w:r>
        <w:rPr>
          <w:rFonts w:ascii="David" w:hAnsi="David"/>
          <w:color w:val="000000"/>
          <w:rtl/>
        </w:rPr>
        <w:t xml:space="preserve">לעניין שימוש בפלטפורמת ה"טלגראם" לסחר והפצת סמים ר' </w:t>
      </w:r>
      <w:hyperlink r:id="rId14" w:history="1">
        <w:r w:rsidR="00364132" w:rsidRPr="00364132">
          <w:rPr>
            <w:rFonts w:ascii="David" w:hAnsi="David"/>
            <w:color w:val="0000FF"/>
            <w:u w:val="single"/>
            <w:rtl/>
          </w:rPr>
          <w:t>ע"פ 2656/18</w:t>
        </w:r>
      </w:hyperlink>
      <w:r>
        <w:rPr>
          <w:rFonts w:ascii="David" w:hAnsi="David"/>
          <w:color w:val="000000"/>
          <w:rtl/>
        </w:rPr>
        <w:t xml:space="preserve"> זנזורי (12.8.18):</w:t>
      </w:r>
    </w:p>
    <w:p w14:paraId="331A5A46" w14:textId="77777777" w:rsidR="004D4624" w:rsidRDefault="004D4624" w:rsidP="004D4624">
      <w:pPr>
        <w:overflowPunct w:val="0"/>
        <w:autoSpaceDE w:val="0"/>
        <w:autoSpaceDN w:val="0"/>
        <w:spacing w:after="120" w:line="360" w:lineRule="auto"/>
        <w:ind w:left="567" w:right="567"/>
        <w:jc w:val="both"/>
        <w:rPr>
          <w:rFonts w:ascii="David" w:hAnsi="David"/>
          <w:b/>
          <w:bCs/>
          <w:color w:val="000000"/>
          <w:rtl/>
        </w:rPr>
      </w:pPr>
      <w:r>
        <w:rPr>
          <w:rFonts w:ascii="David" w:hAnsi="David"/>
          <w:b/>
          <w:bCs/>
          <w:color w:val="000000"/>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p>
    <w:p w14:paraId="150606F3" w14:textId="77777777" w:rsidR="004D4624" w:rsidRDefault="004D4624" w:rsidP="004D4624">
      <w:pPr>
        <w:spacing w:after="120" w:line="360" w:lineRule="auto"/>
        <w:jc w:val="both"/>
        <w:rPr>
          <w:rFonts w:ascii="David" w:hAnsi="David"/>
          <w:rtl/>
        </w:rPr>
      </w:pPr>
      <w:r>
        <w:rPr>
          <w:rFonts w:ascii="David" w:hAnsi="David"/>
          <w:rtl/>
        </w:rPr>
        <w:t xml:space="preserve">לעניין רמת הענישה הנוהגת, ר' </w:t>
      </w:r>
      <w:hyperlink r:id="rId15" w:history="1">
        <w:r w:rsidR="00364132" w:rsidRPr="00364132">
          <w:rPr>
            <w:rFonts w:ascii="David" w:hAnsi="David"/>
            <w:color w:val="0000FF"/>
            <w:u w:val="single"/>
            <w:rtl/>
          </w:rPr>
          <w:t>רע"פ 5698/17</w:t>
        </w:r>
      </w:hyperlink>
      <w:r>
        <w:rPr>
          <w:rFonts w:ascii="David" w:hAnsi="David"/>
          <w:rtl/>
        </w:rPr>
        <w:t>, ליפצר, שם נדון עניינו של נאשם שהורשע בעשרות עסקאות של מכירת גרמים בודדים של מריחואנה לשמונה אנשים שונים. אותו נאשם נדון ל- 30 חודשי מאסר וערעוריו נדחו, תוך שנקבע:</w:t>
      </w:r>
    </w:p>
    <w:p w14:paraId="234551C0" w14:textId="77777777" w:rsidR="004D4624" w:rsidRDefault="004D4624" w:rsidP="004D4624">
      <w:pPr>
        <w:overflowPunct w:val="0"/>
        <w:autoSpaceDE w:val="0"/>
        <w:autoSpaceDN w:val="0"/>
        <w:spacing w:after="120" w:line="360" w:lineRule="auto"/>
        <w:ind w:left="567" w:right="567"/>
        <w:jc w:val="both"/>
        <w:rPr>
          <w:rFonts w:ascii="David" w:hAnsi="David"/>
          <w:b/>
          <w:bCs/>
          <w:color w:val="000000"/>
        </w:rPr>
      </w:pPr>
      <w:r>
        <w:rPr>
          <w:rFonts w:ascii="David" w:hAnsi="David"/>
          <w:b/>
          <w:bCs/>
          <w:color w:val="000000"/>
          <w:rtl/>
        </w:rPr>
        <w:t>"העונש שהושת על המבקש הינו ראוי ומאוזן, והוא מבטא התחשבות בכלל השיקולים הרלוונטיים לענייננו. לא נעלמו מעיני מאמציו של המבקש לשקם את עצמו ולתקן את דרכיו, כפי שעולה מהבקשה ומהעובדה כי המבקש נטל אחריות על מעשיו. יחד עם זאת, לא ניתן להקל ראש בחומרת העבירות שביצע המבקש, שעה שסחר בסמים במספר הזדמנויות, עם ציבור לקוחות לא קטן, גם אם אין מדובר בנסיבות העומדות ברף חומרה גבוה במיוחד."</w:t>
      </w:r>
    </w:p>
    <w:p w14:paraId="355DF271" w14:textId="77777777" w:rsidR="004D4624" w:rsidRDefault="004D4624" w:rsidP="004D4624">
      <w:pPr>
        <w:spacing w:after="120" w:line="360" w:lineRule="auto"/>
        <w:jc w:val="both"/>
        <w:rPr>
          <w:rFonts w:ascii="David" w:hAnsi="David"/>
        </w:rPr>
      </w:pPr>
      <w:r>
        <w:rPr>
          <w:rFonts w:ascii="David" w:hAnsi="David"/>
          <w:rtl/>
        </w:rPr>
        <w:t xml:space="preserve">ר' גם </w:t>
      </w:r>
      <w:hyperlink r:id="rId16" w:history="1">
        <w:r w:rsidR="00364132" w:rsidRPr="00364132">
          <w:rPr>
            <w:rFonts w:ascii="David" w:hAnsi="David"/>
            <w:color w:val="0000FF"/>
            <w:u w:val="single"/>
            <w:rtl/>
          </w:rPr>
          <w:t>רע"פ 6401/18</w:t>
        </w:r>
      </w:hyperlink>
      <w:r>
        <w:rPr>
          <w:rFonts w:ascii="David" w:hAnsi="David"/>
          <w:rtl/>
        </w:rPr>
        <w:t xml:space="preserve">, ספיר, שם אושר מתחם עונש הולם של מאסר לתקופה של 16-36 חודשים בעניינו של נאשם שהורשע בחמש עסקאות בהיקף של כ- 10 ג' קנבוס לעסקה וכן החזיק בביתו כ-6 ג' קנבוס וכן את </w:t>
      </w:r>
      <w:hyperlink r:id="rId17" w:history="1">
        <w:r w:rsidR="00364132" w:rsidRPr="00364132">
          <w:rPr>
            <w:rFonts w:ascii="David" w:hAnsi="David"/>
            <w:color w:val="0000FF"/>
            <w:u w:val="single"/>
            <w:rtl/>
          </w:rPr>
          <w:t>רע"פ 4687/15</w:t>
        </w:r>
      </w:hyperlink>
      <w:r>
        <w:rPr>
          <w:rFonts w:ascii="David" w:hAnsi="David"/>
          <w:rtl/>
        </w:rPr>
        <w:t>, פלג, שם אושרה קביעה כי מתחם העונש ההולם מקרה בודד של סחר בכמות של גרמים בודדים של קנבוס הוא מאסר לתקופה שבין מספר חודשים ועד 15 חודש (ובאותו מקרה היה מדובר בנאשם שהורשע בעשרות מקרים). אדגיש, כי בפסקי הדין האמורים נדונו נאשמים שמכרו סמים לבגירים. המקרה שלפני חמור יותר, שכן כמעט כל לקוחותיו של הנאשם היו קטינים.</w:t>
      </w:r>
    </w:p>
    <w:p w14:paraId="702A9BA9" w14:textId="77777777" w:rsidR="004D4624" w:rsidRDefault="004D4624" w:rsidP="004D4624">
      <w:pPr>
        <w:spacing w:after="120" w:line="360" w:lineRule="auto"/>
        <w:jc w:val="both"/>
        <w:rPr>
          <w:rFonts w:ascii="David" w:hAnsi="David"/>
          <w:rtl/>
        </w:rPr>
      </w:pPr>
      <w:r>
        <w:rPr>
          <w:rFonts w:ascii="David" w:hAnsi="David"/>
          <w:rtl/>
        </w:rPr>
        <w:t>בקביעת מתחם העונש ההולם אביא בחשבון את ריבוי הרוכשים והעסקאות ואת העובדה שהעסקאות נעשו מול מספר לקוחות מזדמנים, שכמעט כולם קטינים</w:t>
      </w:r>
      <w:r>
        <w:rPr>
          <w:rFonts w:ascii="David" w:hAnsi="David" w:hint="cs"/>
          <w:rtl/>
        </w:rPr>
        <w:t xml:space="preserve"> </w:t>
      </w:r>
      <w:r>
        <w:rPr>
          <w:rFonts w:ascii="David" w:hAnsi="David"/>
          <w:rtl/>
        </w:rPr>
        <w:t>–</w:t>
      </w:r>
      <w:r>
        <w:rPr>
          <w:rFonts w:ascii="David" w:hAnsi="David" w:hint="cs"/>
          <w:rtl/>
        </w:rPr>
        <w:t xml:space="preserve"> ועניין זה משווה חומרה יתרה למעשיו של הנאשם</w:t>
      </w:r>
      <w:r>
        <w:rPr>
          <w:rFonts w:ascii="David" w:hAnsi="David"/>
          <w:rtl/>
        </w:rPr>
        <w:t>. מנגד אביא בחשבון כי מדובר בעסקאות בהיקף כספי נמוך ואת סוג הסם וכמותו.</w:t>
      </w:r>
      <w:r>
        <w:rPr>
          <w:rFonts w:ascii="David" w:hAnsi="David" w:hint="cs"/>
          <w:rtl/>
        </w:rPr>
        <w:t xml:space="preserve"> התקשיתי לתת משקל לטענת ב"כ הנאשם, כי לא הוכח שהנאשם חשף את הקטינים לעולם הסמים: הנאשם מכר לקטינים סמים, ביודעו באופן וודאי כי מדובר בקטינים (שהרי הוא דרש הצגת תעודה מזהה כתנאי מקדים לביצוע העסקאות). העבירה של הדחת קטין אינה מחייבת שרוכש הסם יתוודע לראשונה לסם דרך המוכר, אלא די בכך שמדובר ברוכש סם קטין לשם גיבושה </w:t>
      </w:r>
      <w:r>
        <w:rPr>
          <w:rFonts w:ascii="David" w:hAnsi="David"/>
          <w:rtl/>
        </w:rPr>
        <w:t>–</w:t>
      </w:r>
      <w:r>
        <w:rPr>
          <w:rFonts w:ascii="David" w:hAnsi="David" w:hint="cs"/>
          <w:rtl/>
        </w:rPr>
        <w:t xml:space="preserve"> ולגבי רכיב זה אין כל שאלה.</w:t>
      </w:r>
    </w:p>
    <w:p w14:paraId="2DA28E98" w14:textId="77777777" w:rsidR="004D4624" w:rsidRDefault="004D4624" w:rsidP="004D4624">
      <w:pPr>
        <w:spacing w:after="120" w:line="360" w:lineRule="auto"/>
        <w:jc w:val="both"/>
        <w:rPr>
          <w:rFonts w:ascii="David" w:hAnsi="David"/>
          <w:rtl/>
        </w:rPr>
      </w:pPr>
      <w:r>
        <w:rPr>
          <w:rFonts w:ascii="David" w:hAnsi="David"/>
          <w:rtl/>
        </w:rPr>
        <w:t xml:space="preserve">לאור אלה, מתחם העונש ההולם את מכלול מעשיו של הנאשם הוא מאסר, לתקופה שבין </w:t>
      </w:r>
      <w:r>
        <w:rPr>
          <w:rFonts w:ascii="David" w:hAnsi="David" w:hint="cs"/>
          <w:rtl/>
        </w:rPr>
        <w:t>20</w:t>
      </w:r>
      <w:r>
        <w:rPr>
          <w:rFonts w:ascii="David" w:hAnsi="David"/>
          <w:rtl/>
        </w:rPr>
        <w:t xml:space="preserve"> חודשים ועד 42 חודשים ועונשים נלווים.</w:t>
      </w:r>
    </w:p>
    <w:p w14:paraId="50451BC9" w14:textId="77777777" w:rsidR="004D4624" w:rsidRDefault="004D4624" w:rsidP="004D4624">
      <w:pPr>
        <w:spacing w:after="120" w:line="360" w:lineRule="auto"/>
        <w:jc w:val="both"/>
        <w:rPr>
          <w:rFonts w:ascii="David" w:hAnsi="David"/>
          <w:b/>
          <w:bCs/>
          <w:rtl/>
        </w:rPr>
      </w:pPr>
      <w:r>
        <w:rPr>
          <w:rFonts w:ascii="David" w:hAnsi="David"/>
          <w:b/>
          <w:bCs/>
          <w:rtl/>
        </w:rPr>
        <w:t>נתונים שאינם קשורים לעבירות</w:t>
      </w:r>
    </w:p>
    <w:p w14:paraId="0647BB33" w14:textId="77777777" w:rsidR="004D4624" w:rsidRDefault="004D4624" w:rsidP="004D4624">
      <w:pPr>
        <w:spacing w:after="120" w:line="360" w:lineRule="auto"/>
        <w:jc w:val="both"/>
        <w:rPr>
          <w:rFonts w:ascii="David" w:hAnsi="David"/>
          <w:rtl/>
        </w:rPr>
      </w:pPr>
      <w:r>
        <w:rPr>
          <w:rFonts w:ascii="David" w:hAnsi="David"/>
          <w:rtl/>
        </w:rPr>
        <w:t>הנאשם יליד 1997, רווק. קודם למעצרו עבד בעבודות מזדמנות.</w:t>
      </w:r>
    </w:p>
    <w:p w14:paraId="08E54A74" w14:textId="77777777" w:rsidR="004D4624" w:rsidRDefault="004D4624" w:rsidP="004D4624">
      <w:pPr>
        <w:spacing w:after="120" w:line="360" w:lineRule="auto"/>
        <w:jc w:val="both"/>
        <w:rPr>
          <w:rFonts w:ascii="David" w:hAnsi="David"/>
          <w:rtl/>
        </w:rPr>
      </w:pPr>
      <w:r>
        <w:rPr>
          <w:rFonts w:ascii="David" w:hAnsi="David"/>
          <w:rtl/>
        </w:rPr>
        <w:t>לחובת הנאשם הרשעה קודמת בעבירות סיוע לאחר מעשה, החזקת סמים לצריכה עצמית והפרעה לשוטר, בגינן נדון לשלושה חודשי מאסר על תנאי, שהוא חב הפעלה בשל הרשעתו בהליך שלפני.</w:t>
      </w:r>
    </w:p>
    <w:p w14:paraId="5F65FD16" w14:textId="77777777" w:rsidR="004D4624" w:rsidRDefault="004D4624" w:rsidP="004D4624">
      <w:pPr>
        <w:spacing w:after="120" w:line="360" w:lineRule="auto"/>
        <w:jc w:val="both"/>
        <w:rPr>
          <w:rFonts w:ascii="David" w:hAnsi="David"/>
          <w:rtl/>
        </w:rPr>
      </w:pPr>
      <w:r>
        <w:rPr>
          <w:rFonts w:ascii="David" w:hAnsi="David"/>
          <w:rtl/>
        </w:rPr>
        <w:t>מתסקיר שירות המבחן עולה, כי הנאשם גדל ברקע משפחתי קשה וסבל מאלימות והזנחה, ונאלץ בנערותו לצאת מביתו למסגרת חיצונית, וכך נקלע לחברה שולית ולצריכת סמים, עד כדי התמכרות לסמי רחוב. הנאשם התגייס לצבא בגיל 18, אך שוחרר לאחר כחודשיים. על מנת שלא לפגוע בפרטיותו של הנאשם לא ארחיב מעבר לכך.</w:t>
      </w:r>
    </w:p>
    <w:p w14:paraId="66AB10A1" w14:textId="77777777" w:rsidR="004D4624" w:rsidRDefault="004D4624" w:rsidP="004D4624">
      <w:pPr>
        <w:spacing w:after="120" w:line="360" w:lineRule="auto"/>
        <w:jc w:val="both"/>
        <w:rPr>
          <w:rFonts w:ascii="David" w:hAnsi="David"/>
          <w:rtl/>
        </w:rPr>
      </w:pPr>
      <w:r>
        <w:rPr>
          <w:rFonts w:ascii="David" w:hAnsi="David"/>
          <w:rtl/>
        </w:rPr>
        <w:t>במסגרת הליכי המעצר בתיק זה, למרות הערכת סיכון גבוהה, שוחרר הנאשם בנובמבר 2020 לקהילה טיפולית, אך לאחר 19 יום עזב את הקהילה ונעצר מחדש. ברקע עזיבת הקהילה, מוטיבציה נמוכה של הנאשם להשתתף בהליך, חוסר מודעות להיותו מכור לסמים וקושי בקבלת מרות הצוות בקהילה ועמידה בכלליה.</w:t>
      </w:r>
    </w:p>
    <w:p w14:paraId="4BA9CFF2" w14:textId="77777777" w:rsidR="004D4624" w:rsidRDefault="004D4624" w:rsidP="004D4624">
      <w:pPr>
        <w:spacing w:after="120" w:line="360" w:lineRule="auto"/>
        <w:jc w:val="both"/>
        <w:rPr>
          <w:rFonts w:ascii="David" w:hAnsi="David"/>
          <w:rtl/>
        </w:rPr>
      </w:pPr>
      <w:r>
        <w:rPr>
          <w:rFonts w:ascii="David" w:hAnsi="David"/>
          <w:rtl/>
        </w:rPr>
        <w:t>חרף זאת, ניתנה לנאשם הזדמנות נוספת, וביום 21.1.21 הוא שוחרר פעם נוספת לקהילה ושהה בה עד יום 24.6.21, אך בעקבות שני אירועים משמעתיים הורחק שנית מהקהילה ונעצר פעם נוספת.</w:t>
      </w:r>
    </w:p>
    <w:p w14:paraId="4C9B607D" w14:textId="77777777" w:rsidR="004D4624" w:rsidRDefault="004D4624" w:rsidP="004D4624">
      <w:pPr>
        <w:spacing w:after="120" w:line="360" w:lineRule="auto"/>
        <w:jc w:val="both"/>
        <w:rPr>
          <w:rFonts w:ascii="David" w:hAnsi="David"/>
          <w:rtl/>
        </w:rPr>
      </w:pPr>
      <w:r>
        <w:rPr>
          <w:rFonts w:ascii="David" w:hAnsi="David"/>
          <w:rtl/>
        </w:rPr>
        <w:t>מהתסקיר שקדם להרחקתו של הנאשם מהקהילה עולה, כי ברקע מעשיו של הנאשם התנהלות אימפולסיבית, ללא מודעות למשמעות המעשים או פגיעתם באחרים, העדר גבולות והתמכרות לסמים. השירות העריך כי חסכים הנובעים מהרקע המשפחתי הקשה בו גדל הנאשם תרמו למצבו הנוכחי. לצד זאת, השירות העריך כי ההליך הטיפולי מתחיל לשאת פירות, ועל כן המליץ לדחות את ההליך בארבעה חודשים, על מנת לעקוב אחרי התקדמותו של הנאשם.</w:t>
      </w:r>
    </w:p>
    <w:p w14:paraId="7FD172A0" w14:textId="77777777" w:rsidR="004D4624" w:rsidRDefault="004D4624" w:rsidP="004D4624">
      <w:pPr>
        <w:spacing w:after="120" w:line="360" w:lineRule="auto"/>
        <w:jc w:val="both"/>
        <w:rPr>
          <w:rFonts w:ascii="David" w:hAnsi="David"/>
          <w:rtl/>
        </w:rPr>
      </w:pPr>
      <w:r>
        <w:rPr>
          <w:rFonts w:ascii="David" w:hAnsi="David"/>
          <w:rtl/>
        </w:rPr>
        <w:t>בדיון ביום 13.6.21 נעתרתי, לאחר לבטים, להמלצת שירות המבחן ואפשרתי לו להמשיך בהליך הטיפולי, אך לאחר כעשרה ימים הורחק הנאשם מהקהילה, בשל אירועים משמעתיים</w:t>
      </w:r>
      <w:r>
        <w:rPr>
          <w:rFonts w:ascii="David" w:hAnsi="David" w:hint="cs"/>
          <w:rtl/>
        </w:rPr>
        <w:t>, אשר אין לגביהם נתונים ברורים</w:t>
      </w:r>
      <w:r>
        <w:rPr>
          <w:rFonts w:ascii="David" w:hAnsi="David"/>
          <w:rtl/>
        </w:rPr>
        <w:t>.</w:t>
      </w:r>
    </w:p>
    <w:p w14:paraId="21274E73" w14:textId="77777777" w:rsidR="004D4624" w:rsidRDefault="004D4624" w:rsidP="004D4624">
      <w:pPr>
        <w:spacing w:after="120" w:line="360" w:lineRule="auto"/>
        <w:jc w:val="both"/>
        <w:rPr>
          <w:rFonts w:ascii="David" w:hAnsi="David"/>
          <w:b/>
          <w:bCs/>
          <w:rtl/>
        </w:rPr>
      </w:pPr>
      <w:r>
        <w:rPr>
          <w:rFonts w:ascii="David" w:hAnsi="David"/>
          <w:b/>
          <w:bCs/>
          <w:rtl/>
        </w:rPr>
        <w:t>דיון והכרעה</w:t>
      </w:r>
    </w:p>
    <w:p w14:paraId="7BF96206" w14:textId="77777777" w:rsidR="004D4624" w:rsidRDefault="004D4624" w:rsidP="004D4624">
      <w:pPr>
        <w:spacing w:after="120" w:line="360" w:lineRule="auto"/>
        <w:jc w:val="both"/>
        <w:rPr>
          <w:rFonts w:ascii="David" w:hAnsi="David"/>
          <w:rtl/>
        </w:rPr>
      </w:pPr>
      <w:r>
        <w:rPr>
          <w:rFonts w:ascii="David" w:hAnsi="David"/>
          <w:rtl/>
        </w:rPr>
        <w:t>מרבית שיקולי הענישה פועלים לזכותו של הנאשם: הנאשם אדם צעיר, אשר גדל ברקע משפחתי קשה, אשר יש טעם להערכת שירות המבחן תרם רבות למצבו הנוכחי. הנאשם קיבל אחריות למעשיו ועשה ניסיון טיפולי ממשי, לאורך מספר חודשים, אשר בשלב מסוים נראה כאילו יש בו להעלות את הנאשם על דרך טובה – אך למרבה הצער הנאשם כשל בו.</w:t>
      </w:r>
    </w:p>
    <w:p w14:paraId="29326EA0" w14:textId="77777777" w:rsidR="004D4624" w:rsidRDefault="004D4624" w:rsidP="004D4624">
      <w:pPr>
        <w:spacing w:after="120" w:line="360" w:lineRule="auto"/>
        <w:jc w:val="both"/>
        <w:rPr>
          <w:rFonts w:ascii="David" w:hAnsi="David"/>
          <w:rtl/>
        </w:rPr>
      </w:pPr>
      <w:r>
        <w:rPr>
          <w:rFonts w:ascii="David" w:hAnsi="David"/>
          <w:rtl/>
        </w:rPr>
        <w:t>מנגד, יש גם טעם בהערכת שירות המבחן בדבר חוסר מודעותו של הנאשם למצבו. למרות נתוני הפתיחה הלא קלים, בית המשפט נתן בנאשם אמון והפנה אותו להליך טיפולי, אך הנאשם לא השכיל לנצל את ההזדמנות שניתנה לו.</w:t>
      </w:r>
    </w:p>
    <w:p w14:paraId="0ECAC014" w14:textId="77777777" w:rsidR="004D4624" w:rsidRDefault="004D4624" w:rsidP="004D4624">
      <w:pPr>
        <w:spacing w:after="120" w:line="360" w:lineRule="auto"/>
        <w:jc w:val="both"/>
        <w:rPr>
          <w:rFonts w:ascii="David" w:hAnsi="David"/>
          <w:rtl/>
        </w:rPr>
      </w:pPr>
      <w:r>
        <w:rPr>
          <w:rFonts w:ascii="David" w:hAnsi="David"/>
          <w:rtl/>
        </w:rPr>
        <w:t>לאור אלה ראיתי להשית על הנאשם עונש בצידו הנמוך של המתחם, קרוב לתחתית, ולהפעיל את המאסר המותנה שלחובתו באופן שחלקו חופף.</w:t>
      </w:r>
    </w:p>
    <w:p w14:paraId="13376B7A" w14:textId="77777777" w:rsidR="004D4624" w:rsidRDefault="004D4624" w:rsidP="004D4624">
      <w:pPr>
        <w:spacing w:after="120" w:line="360" w:lineRule="auto"/>
        <w:jc w:val="both"/>
        <w:rPr>
          <w:rFonts w:ascii="David" w:hAnsi="David"/>
          <w:b/>
          <w:bCs/>
          <w:rtl/>
        </w:rPr>
      </w:pPr>
      <w:r>
        <w:rPr>
          <w:rFonts w:ascii="David" w:hAnsi="David"/>
          <w:b/>
          <w:bCs/>
          <w:rtl/>
        </w:rPr>
        <w:t>בקשת חילוט</w:t>
      </w:r>
    </w:p>
    <w:p w14:paraId="5022E13D" w14:textId="77777777" w:rsidR="004D4624" w:rsidRDefault="004D4624" w:rsidP="004D4624">
      <w:pPr>
        <w:spacing w:after="120" w:line="360" w:lineRule="auto"/>
        <w:jc w:val="both"/>
        <w:rPr>
          <w:rFonts w:ascii="David" w:hAnsi="David"/>
          <w:rtl/>
        </w:rPr>
      </w:pPr>
      <w:r>
        <w:rPr>
          <w:rFonts w:ascii="David" w:hAnsi="David"/>
          <w:rtl/>
        </w:rPr>
        <w:t xml:space="preserve">המאשימה בקשה להכריז על הנאשם סוחר סמים ולחלט את רכושו, ובכלל זה מכונית מסוג </w:t>
      </w:r>
      <w:r>
        <w:rPr>
          <w:rFonts w:ascii="David" w:hAnsi="David"/>
        </w:rPr>
        <w:t>BMW</w:t>
      </w:r>
      <w:r>
        <w:rPr>
          <w:rFonts w:ascii="David" w:hAnsi="David"/>
          <w:rtl/>
        </w:rPr>
        <w:t>, מ"ר 59-578-16 הרשומה על שמו, אופניים חשמליים (בהם השתמש לביצוע העסקאות) ומכשירי טלפון.</w:t>
      </w:r>
    </w:p>
    <w:p w14:paraId="6527CAA8" w14:textId="77777777" w:rsidR="004D4624" w:rsidRDefault="004D4624" w:rsidP="004D4624">
      <w:pPr>
        <w:spacing w:after="120" w:line="360" w:lineRule="auto"/>
        <w:jc w:val="both"/>
        <w:rPr>
          <w:rFonts w:ascii="David" w:hAnsi="David"/>
          <w:rtl/>
        </w:rPr>
      </w:pPr>
      <w:r>
        <w:rPr>
          <w:rFonts w:ascii="David" w:hAnsi="David"/>
          <w:rtl/>
        </w:rPr>
        <w:t xml:space="preserve">הנאשם ביצע 26 עסקאות סמים בהן סיפק סמים לשמונה אנשים בעבור סכום מצטבר של מספר אלפי שקלים. מכאן עולה כי הנאשם הוא סוחר סמים ויש להכריז עליו ככזה, לאור הוראת </w:t>
      </w:r>
      <w:hyperlink r:id="rId18" w:history="1">
        <w:r w:rsidR="00046A91" w:rsidRPr="00046A91">
          <w:rPr>
            <w:rStyle w:val="Hyperlink"/>
            <w:rFonts w:ascii="David" w:hAnsi="David"/>
            <w:rtl/>
          </w:rPr>
          <w:t>סע' 36א(ב)</w:t>
        </w:r>
      </w:hyperlink>
      <w:r>
        <w:rPr>
          <w:rFonts w:ascii="David" w:hAnsi="David"/>
          <w:rtl/>
        </w:rPr>
        <w:t xml:space="preserve"> ל</w:t>
      </w:r>
      <w:hyperlink r:id="rId19" w:history="1">
        <w:r w:rsidR="00364132" w:rsidRPr="00364132">
          <w:rPr>
            <w:rFonts w:ascii="David" w:hAnsi="David"/>
            <w:color w:val="0000FF"/>
            <w:u w:val="single"/>
            <w:rtl/>
          </w:rPr>
          <w:t>פקודת הסמים המסוכנים</w:t>
        </w:r>
      </w:hyperlink>
      <w:r>
        <w:rPr>
          <w:rFonts w:ascii="David" w:hAnsi="David"/>
          <w:rtl/>
        </w:rPr>
        <w:t xml:space="preserve">. משכך, חלה בעניינו של הנאשם החזקה שבסע' </w:t>
      </w:r>
      <w:hyperlink r:id="rId20" w:history="1">
        <w:r w:rsidR="00046A91" w:rsidRPr="00046A91">
          <w:rPr>
            <w:rStyle w:val="Hyperlink"/>
            <w:rFonts w:ascii="David" w:hAnsi="David"/>
            <w:rtl/>
          </w:rPr>
          <w:t>31(6)</w:t>
        </w:r>
      </w:hyperlink>
      <w:r>
        <w:rPr>
          <w:rFonts w:ascii="David" w:hAnsi="David"/>
          <w:rtl/>
        </w:rPr>
        <w:t xml:space="preserve"> לפקודה, כי כל רכוש שבחזקתו מקורו בעבירות סמים ועל כן על פי הוראת </w:t>
      </w:r>
      <w:hyperlink r:id="rId21" w:history="1">
        <w:r w:rsidR="00046A91" w:rsidRPr="00046A91">
          <w:rPr>
            <w:rStyle w:val="Hyperlink"/>
            <w:rFonts w:ascii="David" w:hAnsi="David"/>
            <w:rtl/>
          </w:rPr>
          <w:t>סע' 36א(ב)</w:t>
        </w:r>
      </w:hyperlink>
      <w:r>
        <w:rPr>
          <w:rFonts w:ascii="David" w:hAnsi="David"/>
          <w:rtl/>
        </w:rPr>
        <w:t xml:space="preserve"> יש לחלטו, אלא אם יוכיח אחרת. </w:t>
      </w:r>
    </w:p>
    <w:p w14:paraId="429685A5" w14:textId="77777777" w:rsidR="004D4624" w:rsidRDefault="004D4624" w:rsidP="004D4624">
      <w:pPr>
        <w:spacing w:after="120" w:line="360" w:lineRule="auto"/>
        <w:jc w:val="both"/>
        <w:rPr>
          <w:rFonts w:ascii="David" w:hAnsi="David"/>
          <w:rtl/>
        </w:rPr>
      </w:pPr>
      <w:r>
        <w:rPr>
          <w:rFonts w:ascii="David" w:hAnsi="David"/>
          <w:rtl/>
        </w:rPr>
        <w:t>הנאשם לא הגיב לבקשה לחלט את האופניים ומכשירי הטלפון ולא סתר את החזקה, כי מקורם ברווחי עסקאות סמים, ועל כן מורה על חילוטם. למעלה מהדרוש אוסיף, כי את האופניים ניתן היה לחלט גם כאמצעי ששימש לביצוע העבירות, שכן מעובדות האישום עולה, כי הנאשם הגיע עליהם לביצוע העסקאות.</w:t>
      </w:r>
    </w:p>
    <w:p w14:paraId="2391D306" w14:textId="77777777" w:rsidR="004D4624" w:rsidRDefault="004D4624" w:rsidP="004D4624">
      <w:pPr>
        <w:spacing w:after="120" w:line="360" w:lineRule="auto"/>
        <w:jc w:val="both"/>
        <w:rPr>
          <w:rFonts w:ascii="David" w:hAnsi="David"/>
          <w:rtl/>
        </w:rPr>
      </w:pPr>
      <w:r>
        <w:rPr>
          <w:rFonts w:ascii="David" w:hAnsi="David"/>
          <w:rtl/>
        </w:rPr>
        <w:t xml:space="preserve">באשר למכונית ה </w:t>
      </w:r>
      <w:r>
        <w:rPr>
          <w:rFonts w:ascii="David" w:hAnsi="David"/>
        </w:rPr>
        <w:t>BMW</w:t>
      </w:r>
      <w:r>
        <w:rPr>
          <w:rFonts w:ascii="David" w:hAnsi="David"/>
          <w:rtl/>
        </w:rPr>
        <w:t>:</w:t>
      </w:r>
    </w:p>
    <w:p w14:paraId="2C595CFB" w14:textId="77777777" w:rsidR="004D4624" w:rsidRDefault="004D4624" w:rsidP="004D4624">
      <w:pPr>
        <w:spacing w:after="120" w:line="360" w:lineRule="auto"/>
        <w:jc w:val="both"/>
        <w:rPr>
          <w:rFonts w:ascii="David" w:hAnsi="David"/>
          <w:rtl/>
        </w:rPr>
      </w:pPr>
      <w:r>
        <w:rPr>
          <w:rFonts w:ascii="David" w:hAnsi="David"/>
          <w:rtl/>
        </w:rPr>
        <w:t xml:space="preserve">אחיו של הנאשם, מר יגאל אוחנה (להלן: </w:t>
      </w:r>
      <w:r>
        <w:rPr>
          <w:rFonts w:ascii="David" w:hAnsi="David"/>
          <w:b/>
          <w:bCs/>
          <w:rtl/>
        </w:rPr>
        <w:t>הטוען לזכות</w:t>
      </w:r>
      <w:r>
        <w:rPr>
          <w:rFonts w:ascii="David" w:hAnsi="David"/>
          <w:rtl/>
        </w:rPr>
        <w:t xml:space="preserve">), הגיש בקשה לשחרורה, וטען כי היא בבעלותו, אך לאור אופן התנהלותו לא ניתן לדון בבקשתו: </w:t>
      </w:r>
    </w:p>
    <w:p w14:paraId="7B50CDD1" w14:textId="77777777" w:rsidR="004D4624" w:rsidRDefault="004D4624" w:rsidP="004D4624">
      <w:pPr>
        <w:spacing w:after="120" w:line="360" w:lineRule="auto"/>
        <w:jc w:val="both"/>
        <w:rPr>
          <w:rFonts w:ascii="David" w:hAnsi="David"/>
          <w:rtl/>
        </w:rPr>
      </w:pPr>
      <w:r>
        <w:rPr>
          <w:rFonts w:ascii="David" w:hAnsi="David"/>
          <w:rtl/>
        </w:rPr>
        <w:t xml:space="preserve">תחילה הגיש הטוען בקשה להחזרת הרכב במסגרת הליך נפרד, </w:t>
      </w:r>
      <w:hyperlink r:id="rId22" w:history="1">
        <w:r w:rsidR="00364132" w:rsidRPr="00364132">
          <w:rPr>
            <w:rFonts w:ascii="David" w:hAnsi="David"/>
            <w:color w:val="0000FF"/>
            <w:u w:val="single"/>
            <w:rtl/>
          </w:rPr>
          <w:t>ה"ת 58718-01-21</w:t>
        </w:r>
      </w:hyperlink>
      <w:r>
        <w:rPr>
          <w:rFonts w:ascii="David" w:hAnsi="David"/>
          <w:rtl/>
        </w:rPr>
        <w:t>. לתמיכה בבקשה צירף הטוען לזכות חוזה בינו ובין אדם אחר, ממנו עולה כי לכאורה רכש את המכונית מאותו אדם ביום 26.4.20 בעבור 31,000 ש"ח. בחוזה צוין, כי המכונית תרשם על שמו של הנאשם, שכן לטוען לזכות "</w:t>
      </w:r>
      <w:r>
        <w:rPr>
          <w:rFonts w:ascii="David" w:hAnsi="David"/>
          <w:b/>
          <w:bCs/>
          <w:rtl/>
        </w:rPr>
        <w:t>יש הוצל"פ</w:t>
      </w:r>
      <w:r>
        <w:rPr>
          <w:rFonts w:ascii="David" w:hAnsi="David"/>
          <w:rtl/>
        </w:rPr>
        <w:t>". עוד צוין בבקשה, כי הטוען שילם את תמורת המכונית במזומן.</w:t>
      </w:r>
    </w:p>
    <w:p w14:paraId="65F4B373" w14:textId="77777777" w:rsidR="004D4624" w:rsidRDefault="004D4624" w:rsidP="004D4624">
      <w:pPr>
        <w:spacing w:after="120" w:line="360" w:lineRule="auto"/>
        <w:jc w:val="both"/>
        <w:rPr>
          <w:rFonts w:ascii="David" w:hAnsi="David"/>
          <w:rtl/>
        </w:rPr>
      </w:pPr>
      <w:r>
        <w:rPr>
          <w:rFonts w:ascii="David" w:hAnsi="David"/>
          <w:rtl/>
        </w:rPr>
        <w:t>המאשימה השיבה, כי על הטוען לזכות להעלות טענותיו במסגרת ההליך שלפני, ולצרף להן תצהיר התומך בטענותיו. ביום 22.2.21 קיבל כב' הש' אלעד לנג את עמדת המאשימה (המשיבה באותו הליך) וקבע כי על הטוען לפעול באופן זה.</w:t>
      </w:r>
    </w:p>
    <w:p w14:paraId="77952B99" w14:textId="77777777" w:rsidR="004D4624" w:rsidRDefault="004D4624" w:rsidP="004D4624">
      <w:pPr>
        <w:spacing w:after="120" w:line="360" w:lineRule="auto"/>
        <w:jc w:val="both"/>
        <w:rPr>
          <w:rFonts w:ascii="David" w:hAnsi="David"/>
          <w:rtl/>
        </w:rPr>
      </w:pPr>
      <w:r>
        <w:rPr>
          <w:rFonts w:ascii="David" w:hAnsi="David"/>
          <w:rtl/>
        </w:rPr>
        <w:t xml:space="preserve">הטוען הגיש ביום 31.5.21 בקשה לתיק שלפני, אליה צירף את החלטתו האמורה של כב' הש' לנג, אך לא צירף לה תצהיר לתמיכה בטענותיו. בהחלטה מאותו יום קבעתי דיון </w:t>
      </w:r>
      <w:r>
        <w:rPr>
          <w:rFonts w:ascii="David" w:hAnsi="David" w:hint="cs"/>
          <w:rtl/>
        </w:rPr>
        <w:t>בבקשה</w:t>
      </w:r>
      <w:r>
        <w:rPr>
          <w:rFonts w:ascii="David" w:hAnsi="David"/>
          <w:rtl/>
        </w:rPr>
        <w:t xml:space="preserve"> ביום 13.6.21, והוריתי </w:t>
      </w:r>
      <w:r>
        <w:rPr>
          <w:rFonts w:ascii="David" w:hAnsi="David" w:hint="cs"/>
          <w:rtl/>
        </w:rPr>
        <w:t>לטוען</w:t>
      </w:r>
      <w:r>
        <w:rPr>
          <w:rFonts w:ascii="David" w:hAnsi="David"/>
          <w:rtl/>
        </w:rPr>
        <w:t xml:space="preserve"> לפעול כפי שכבר הורה</w:t>
      </w:r>
      <w:r>
        <w:rPr>
          <w:rFonts w:ascii="David" w:hAnsi="David" w:hint="cs"/>
          <w:rtl/>
        </w:rPr>
        <w:t xml:space="preserve"> לו</w:t>
      </w:r>
      <w:r>
        <w:rPr>
          <w:rFonts w:ascii="David" w:hAnsi="David"/>
          <w:rtl/>
        </w:rPr>
        <w:t xml:space="preserve"> כב' הש' לנג.</w:t>
      </w:r>
    </w:p>
    <w:p w14:paraId="30B69135" w14:textId="77777777" w:rsidR="004D4624" w:rsidRDefault="004D4624" w:rsidP="004D4624">
      <w:pPr>
        <w:spacing w:after="120" w:line="360" w:lineRule="auto"/>
        <w:jc w:val="both"/>
        <w:rPr>
          <w:rFonts w:ascii="David" w:hAnsi="David"/>
          <w:rtl/>
        </w:rPr>
      </w:pPr>
      <w:r>
        <w:rPr>
          <w:rFonts w:ascii="David" w:hAnsi="David"/>
          <w:rtl/>
        </w:rPr>
        <w:t>הטוען לא הגיש תצהיר ולא התייצב לדיון ביום 13.6.21. רק לאחר שמיעת הטיעונים לעונש, ביום 5.7.21 ביקש הטוען לזכות להתנגד לבקשה לחילוט הרכב. לאור העובדה שהטוען לא התייצב לדיון במועד שנקבע ולא הגיש תצהירים, לא ראיתי לדון בבקשתו לאחר שמיעת הטיעונים לעונש.</w:t>
      </w:r>
    </w:p>
    <w:p w14:paraId="66ED6535" w14:textId="77777777" w:rsidR="004D4624" w:rsidRDefault="004D4624" w:rsidP="004D4624">
      <w:pPr>
        <w:spacing w:after="120" w:line="360" w:lineRule="auto"/>
        <w:jc w:val="both"/>
        <w:rPr>
          <w:rFonts w:ascii="David" w:hAnsi="David"/>
          <w:rtl/>
        </w:rPr>
      </w:pPr>
      <w:r>
        <w:rPr>
          <w:rFonts w:ascii="David" w:hAnsi="David"/>
          <w:rtl/>
        </w:rPr>
        <w:t xml:space="preserve">למעלה מהדרוש אוסיף, כי מהחומר אותו צירף הטוען לזכות לבקשה עולה, שלטענתו רישומה של המכונית על שמו של הנאשם הוא למראית עין, בשל הליכי הוצאה לפועל המתנהלים כלפיו – וכאשר הטוען לזכות מעיד על עצמו כי ביצע רישום בעלות כוזב של המכונית של שמו של אחר על מנת להמנע מעיקולה, עולה חשד ממשי שמא פני הדברים הפוכים, והבקשה הנוכחית היא כוזבת ומטרתה לסכל את חילוטה של המכונית. יתרה מכך, גם לו הייתי מקבל את טענתו של הטוען לזכות, לא היה מקום להחזיר לידיו מכונית שרשם בכזב על שמו של </w:t>
      </w:r>
      <w:r>
        <w:rPr>
          <w:rFonts w:ascii="David" w:hAnsi="David" w:hint="cs"/>
          <w:rtl/>
        </w:rPr>
        <w:t>הנאשם,</w:t>
      </w:r>
      <w:r>
        <w:rPr>
          <w:rFonts w:ascii="David" w:hAnsi="David"/>
          <w:rtl/>
        </w:rPr>
        <w:t xml:space="preserve"> על מנת ל</w:t>
      </w:r>
      <w:r>
        <w:rPr>
          <w:rFonts w:ascii="David" w:hAnsi="David" w:hint="cs"/>
          <w:rtl/>
        </w:rPr>
        <w:t>סכל הליכי הוצאה לפועל המתנהלים נגדו, וכך להוציא חוטא נשכר.</w:t>
      </w:r>
    </w:p>
    <w:p w14:paraId="3C50A2FB" w14:textId="77777777" w:rsidR="004D4624" w:rsidRDefault="004D4624" w:rsidP="004D4624">
      <w:pPr>
        <w:spacing w:after="120" w:line="360" w:lineRule="auto"/>
        <w:jc w:val="both"/>
        <w:rPr>
          <w:rFonts w:ascii="David" w:hAnsi="David"/>
          <w:rtl/>
        </w:rPr>
      </w:pPr>
      <w:r>
        <w:rPr>
          <w:rFonts w:ascii="David" w:hAnsi="David"/>
          <w:rtl/>
        </w:rPr>
        <w:t>לאור זאת לא נסתרה טענת המאשימה כי הנאשם הוא בעליה של המכונית והנאשם לא סתר את החזקה כי נקנתה ברווחי סמים, ועל כן מן הדין להורות על חילוטה.</w:t>
      </w:r>
    </w:p>
    <w:p w14:paraId="7C895344" w14:textId="77777777" w:rsidR="004D4624" w:rsidRDefault="004D4624" w:rsidP="004D4624">
      <w:pPr>
        <w:spacing w:after="120" w:line="360" w:lineRule="auto"/>
        <w:jc w:val="both"/>
        <w:rPr>
          <w:rFonts w:ascii="David" w:hAnsi="David"/>
          <w:rtl/>
        </w:rPr>
      </w:pPr>
      <w:r>
        <w:rPr>
          <w:rFonts w:ascii="David" w:hAnsi="David"/>
          <w:rtl/>
        </w:rPr>
        <w:t xml:space="preserve">לפנים משורת הדין, על מנת שלא לפגוע בזכויות צדדים שלישיים, בטרם תתקבל החלטה סופית יועבר גזר הדין ללשכת ההוצאה לפועל, וככל שיש טוענים אחרים לזכויות במכונית ה </w:t>
      </w:r>
      <w:r>
        <w:rPr>
          <w:rFonts w:ascii="David" w:hAnsi="David"/>
        </w:rPr>
        <w:t>BMW</w:t>
      </w:r>
      <w:r>
        <w:rPr>
          <w:rFonts w:ascii="David" w:hAnsi="David"/>
          <w:rtl/>
        </w:rPr>
        <w:t>, הם רשאים לפנות לבית המשפט בבקשה מתאימה עד יום 1.9.21. עד החלטה אחרת המכונית תשאר ברשות המאשימה.</w:t>
      </w:r>
    </w:p>
    <w:p w14:paraId="3B4C60F9" w14:textId="77777777" w:rsidR="004D4624" w:rsidRDefault="004D4624" w:rsidP="004D4624">
      <w:pPr>
        <w:spacing w:after="120" w:line="360" w:lineRule="auto"/>
        <w:jc w:val="both"/>
        <w:rPr>
          <w:rFonts w:ascii="David" w:hAnsi="David"/>
          <w:rtl/>
        </w:rPr>
      </w:pPr>
      <w:r>
        <w:rPr>
          <w:rFonts w:ascii="David" w:hAnsi="David" w:hint="cs"/>
          <w:rtl/>
        </w:rPr>
        <w:t>ככל שלא תוגש בקשה על ידי הטוענים לזכות עד המועד האמור, תחולט המכונית.</w:t>
      </w:r>
    </w:p>
    <w:p w14:paraId="7C31014D" w14:textId="77777777" w:rsidR="004D4624" w:rsidRDefault="004D4624" w:rsidP="004D4624">
      <w:pPr>
        <w:spacing w:after="120" w:line="360" w:lineRule="auto"/>
        <w:jc w:val="both"/>
        <w:rPr>
          <w:rFonts w:ascii="David" w:hAnsi="David"/>
          <w:b/>
          <w:bCs/>
          <w:rtl/>
          <w:lang w:eastAsia="he-IL"/>
        </w:rPr>
      </w:pPr>
      <w:r>
        <w:rPr>
          <w:rFonts w:ascii="David" w:hAnsi="David"/>
          <w:b/>
          <w:bCs/>
          <w:rtl/>
          <w:lang w:eastAsia="he-IL"/>
        </w:rPr>
        <w:t>לפיכך גוזר על הנאשם את העונשים הבאים:</w:t>
      </w:r>
    </w:p>
    <w:p w14:paraId="7F0BE6CC" w14:textId="77777777" w:rsidR="004D4624" w:rsidRPr="00A12E2B" w:rsidRDefault="004D4624" w:rsidP="004D4624">
      <w:pPr>
        <w:numPr>
          <w:ilvl w:val="0"/>
          <w:numId w:val="2"/>
        </w:numPr>
        <w:spacing w:after="120" w:line="360" w:lineRule="auto"/>
        <w:jc w:val="both"/>
        <w:rPr>
          <w:rFonts w:ascii="David" w:hAnsi="David"/>
        </w:rPr>
      </w:pPr>
      <w:r w:rsidRPr="00A12E2B">
        <w:rPr>
          <w:rFonts w:ascii="David" w:hAnsi="David"/>
          <w:rtl/>
        </w:rPr>
        <w:t xml:space="preserve">עשרים </w:t>
      </w:r>
      <w:r w:rsidRPr="00A12E2B">
        <w:rPr>
          <w:rFonts w:ascii="David" w:hAnsi="David" w:hint="cs"/>
          <w:rtl/>
        </w:rPr>
        <w:t xml:space="preserve">ושלושה </w:t>
      </w:r>
      <w:r w:rsidRPr="00A12E2B">
        <w:rPr>
          <w:rFonts w:ascii="David" w:hAnsi="David"/>
          <w:rtl/>
        </w:rPr>
        <w:t>חודשי מאסר בפועל. מתקופה זו ינוכו ימי מעצרו של הנאשם</w:t>
      </w:r>
      <w:r>
        <w:rPr>
          <w:rFonts w:ascii="David" w:hAnsi="David" w:hint="cs"/>
          <w:rtl/>
        </w:rPr>
        <w:t>,</w:t>
      </w:r>
      <w:r w:rsidRPr="00A12E2B">
        <w:rPr>
          <w:rFonts w:ascii="David" w:hAnsi="David"/>
          <w:rtl/>
        </w:rPr>
        <w:t xml:space="preserve"> </w:t>
      </w:r>
      <w:r w:rsidRPr="00A12E2B">
        <w:rPr>
          <w:rFonts w:ascii="David" w:hAnsi="David" w:hint="cs"/>
          <w:rtl/>
        </w:rPr>
        <w:t>מיום  6.7.2020 עד 4.11.2020,</w:t>
      </w:r>
      <w:r>
        <w:rPr>
          <w:rFonts w:ascii="David" w:hAnsi="David" w:hint="cs"/>
          <w:rtl/>
        </w:rPr>
        <w:t xml:space="preserve"> מיום</w:t>
      </w:r>
      <w:r w:rsidRPr="00A12E2B">
        <w:rPr>
          <w:rFonts w:ascii="David" w:hAnsi="David" w:hint="cs"/>
          <w:rtl/>
        </w:rPr>
        <w:t xml:space="preserve"> 23.11.2020 עד 21.1.2021,</w:t>
      </w:r>
      <w:r>
        <w:rPr>
          <w:rFonts w:ascii="David" w:hAnsi="David" w:hint="cs"/>
          <w:rtl/>
        </w:rPr>
        <w:t xml:space="preserve"> מיום 21.3.2021 עד 25.3.2021 ומיום</w:t>
      </w:r>
      <w:r w:rsidRPr="00A12E2B">
        <w:rPr>
          <w:rFonts w:ascii="David" w:hAnsi="David" w:hint="cs"/>
          <w:rtl/>
        </w:rPr>
        <w:t xml:space="preserve"> 24.6.2021 </w:t>
      </w:r>
      <w:r>
        <w:rPr>
          <w:rFonts w:ascii="David" w:hAnsi="David" w:hint="cs"/>
          <w:rtl/>
        </w:rPr>
        <w:t>ואילך.</w:t>
      </w:r>
    </w:p>
    <w:p w14:paraId="06A21BD2" w14:textId="77777777" w:rsidR="004D4624" w:rsidRPr="00A12E2B" w:rsidRDefault="004D4624" w:rsidP="004D4624">
      <w:pPr>
        <w:numPr>
          <w:ilvl w:val="0"/>
          <w:numId w:val="2"/>
        </w:numPr>
        <w:spacing w:after="120" w:line="360" w:lineRule="auto"/>
        <w:jc w:val="both"/>
        <w:rPr>
          <w:rFonts w:ascii="David" w:hAnsi="David"/>
        </w:rPr>
      </w:pPr>
      <w:r w:rsidRPr="00A12E2B">
        <w:rPr>
          <w:rFonts w:ascii="David" w:hAnsi="David"/>
          <w:rtl/>
        </w:rPr>
        <w:t>מפעיל מאסר מותנה של שלושה חודשים שהוטל על הנאשם ב</w:t>
      </w:r>
      <w:hyperlink r:id="rId23" w:history="1">
        <w:r w:rsidR="00364132" w:rsidRPr="00364132">
          <w:rPr>
            <w:rFonts w:ascii="David" w:hAnsi="David"/>
            <w:color w:val="0000FF"/>
            <w:u w:val="single"/>
            <w:rtl/>
          </w:rPr>
          <w:t>ת"פ 15550-04-18</w:t>
        </w:r>
      </w:hyperlink>
      <w:r w:rsidRPr="00A12E2B">
        <w:rPr>
          <w:rFonts w:ascii="David" w:hAnsi="David"/>
          <w:rtl/>
        </w:rPr>
        <w:t xml:space="preserve"> ביום 17.9.18. חודש מהמאסר המותנה יחפוף את המאסר וחודשיים יצטברו לו, כך שסך הכל יישא הנאשם בעונש של עשרים </w:t>
      </w:r>
      <w:r w:rsidRPr="00A12E2B">
        <w:rPr>
          <w:rFonts w:ascii="David" w:hAnsi="David" w:hint="cs"/>
          <w:rtl/>
        </w:rPr>
        <w:t>וחמישה</w:t>
      </w:r>
      <w:r w:rsidRPr="00A12E2B">
        <w:rPr>
          <w:rFonts w:ascii="David" w:hAnsi="David"/>
          <w:rtl/>
        </w:rPr>
        <w:t xml:space="preserve"> חודשי מאסר.</w:t>
      </w:r>
    </w:p>
    <w:p w14:paraId="1411F692" w14:textId="77777777" w:rsidR="004D4624" w:rsidRDefault="004D4624" w:rsidP="004D4624">
      <w:pPr>
        <w:numPr>
          <w:ilvl w:val="0"/>
          <w:numId w:val="2"/>
        </w:numPr>
        <w:spacing w:after="120" w:line="360" w:lineRule="auto"/>
        <w:jc w:val="both"/>
        <w:rPr>
          <w:rFonts w:ascii="David" w:hAnsi="David"/>
          <w:lang w:eastAsia="he-IL"/>
        </w:rPr>
      </w:pPr>
      <w:r>
        <w:rPr>
          <w:rFonts w:ascii="David" w:hAnsi="David"/>
          <w:rtl/>
          <w:lang w:eastAsia="he-IL"/>
        </w:rPr>
        <w:t>ששה חודשי מאסר, בו לא יישא אלא אם יעבור עבירת סמים שהיא פשע תוך שלוש שנים מיום שחרורו מהמאסר.</w:t>
      </w:r>
    </w:p>
    <w:p w14:paraId="102D0A1F" w14:textId="77777777" w:rsidR="004D4624" w:rsidRDefault="004D4624" w:rsidP="004D4624">
      <w:pPr>
        <w:numPr>
          <w:ilvl w:val="0"/>
          <w:numId w:val="2"/>
        </w:numPr>
        <w:spacing w:after="120" w:line="360" w:lineRule="auto"/>
        <w:jc w:val="both"/>
        <w:rPr>
          <w:rFonts w:ascii="David" w:hAnsi="David"/>
          <w:lang w:eastAsia="he-IL"/>
        </w:rPr>
      </w:pPr>
      <w:r>
        <w:rPr>
          <w:rFonts w:ascii="David" w:hAnsi="David"/>
          <w:rtl/>
          <w:lang w:eastAsia="he-IL"/>
        </w:rPr>
        <w:t xml:space="preserve">מחלט אופניים חשמליים ושני טלפונים. החלטה בעניין חילוט מכונית ה </w:t>
      </w:r>
      <w:r>
        <w:rPr>
          <w:rFonts w:ascii="David" w:hAnsi="David"/>
          <w:lang w:eastAsia="he-IL"/>
        </w:rPr>
        <w:t>BMW</w:t>
      </w:r>
      <w:r>
        <w:rPr>
          <w:rFonts w:ascii="David" w:hAnsi="David"/>
          <w:rtl/>
          <w:lang w:eastAsia="he-IL"/>
        </w:rPr>
        <w:t xml:space="preserve"> תתקבל בכפוף לאמור למעלה.</w:t>
      </w:r>
    </w:p>
    <w:p w14:paraId="2AE9FAE4" w14:textId="77777777" w:rsidR="004D4624" w:rsidRDefault="004D4624" w:rsidP="004D4624">
      <w:pPr>
        <w:spacing w:after="120" w:line="360" w:lineRule="auto"/>
        <w:jc w:val="both"/>
        <w:rPr>
          <w:rFonts w:ascii="David" w:hAnsi="David"/>
          <w:lang w:eastAsia="he-IL"/>
        </w:rPr>
      </w:pPr>
    </w:p>
    <w:p w14:paraId="6D4AB612" w14:textId="77777777" w:rsidR="004D4624" w:rsidRDefault="004D4624" w:rsidP="004D4624">
      <w:pPr>
        <w:spacing w:after="120" w:line="360" w:lineRule="auto"/>
        <w:ind w:left="720" w:hanging="720"/>
        <w:jc w:val="both"/>
        <w:rPr>
          <w:rFonts w:ascii="David" w:hAnsi="David"/>
          <w:b/>
          <w:bCs/>
          <w:rtl/>
          <w:lang w:eastAsia="he-IL"/>
        </w:rPr>
      </w:pPr>
      <w:r>
        <w:rPr>
          <w:rFonts w:ascii="David" w:hAnsi="David"/>
          <w:b/>
          <w:bCs/>
          <w:rtl/>
          <w:lang w:eastAsia="he-IL"/>
        </w:rPr>
        <w:t>זכות ערעור לבית המשפט המחוזי בירושלים תוך 45 יום.</w:t>
      </w:r>
    </w:p>
    <w:p w14:paraId="6637C80C" w14:textId="77777777" w:rsidR="004D4624" w:rsidRDefault="004D4624" w:rsidP="004D4624">
      <w:pPr>
        <w:spacing w:after="120" w:line="360" w:lineRule="auto"/>
        <w:jc w:val="both"/>
        <w:rPr>
          <w:rFonts w:ascii="David" w:hAnsi="David"/>
          <w:rtl/>
        </w:rPr>
      </w:pPr>
    </w:p>
    <w:p w14:paraId="050269C7" w14:textId="77777777" w:rsidR="004D4624" w:rsidRPr="00B05847" w:rsidRDefault="004D4624" w:rsidP="004D4624">
      <w:pPr>
        <w:spacing w:after="120" w:line="360" w:lineRule="auto"/>
        <w:rPr>
          <w:rtl/>
        </w:rPr>
      </w:pPr>
    </w:p>
    <w:p w14:paraId="48A09C9B" w14:textId="77777777" w:rsidR="004D4624" w:rsidRPr="00364132" w:rsidRDefault="00364132" w:rsidP="004D4624">
      <w:pPr>
        <w:spacing w:after="120" w:line="360" w:lineRule="auto"/>
        <w:rPr>
          <w:color w:val="FFFFFF"/>
          <w:sz w:val="2"/>
          <w:szCs w:val="2"/>
          <w:rtl/>
        </w:rPr>
      </w:pPr>
      <w:r w:rsidRPr="00364132">
        <w:rPr>
          <w:color w:val="FFFFFF"/>
          <w:sz w:val="2"/>
          <w:szCs w:val="2"/>
          <w:rtl/>
        </w:rPr>
        <w:t>5129371</w:t>
      </w:r>
    </w:p>
    <w:p w14:paraId="54A4D1AE" w14:textId="77777777" w:rsidR="004D4624" w:rsidRDefault="00364132" w:rsidP="004D4624">
      <w:pPr>
        <w:spacing w:after="120" w:line="360" w:lineRule="auto"/>
        <w:rPr>
          <w:rFonts w:cs="FrankRuehl"/>
          <w:sz w:val="28"/>
          <w:szCs w:val="28"/>
          <w:rtl/>
        </w:rPr>
      </w:pPr>
      <w:bookmarkStart w:id="8" w:name="Nitan"/>
      <w:r w:rsidRPr="00364132">
        <w:rPr>
          <w:rFonts w:ascii="Arial" w:hAnsi="Arial"/>
          <w:color w:val="FFFFFF"/>
          <w:sz w:val="2"/>
          <w:szCs w:val="2"/>
          <w:rtl/>
        </w:rPr>
        <w:t>54678313</w:t>
      </w:r>
      <w:r>
        <w:rPr>
          <w:rFonts w:ascii="Arial" w:hAnsi="Arial"/>
          <w:rtl/>
        </w:rPr>
        <w:t xml:space="preserve">ניתן היום,  י"א אב תשפ"א, 20 יולי 2021, במעמד הצדדים. </w:t>
      </w:r>
      <w:bookmarkEnd w:id="8"/>
    </w:p>
    <w:p w14:paraId="520CE537" w14:textId="77777777" w:rsidR="004D4624" w:rsidRDefault="004D4624" w:rsidP="00364132">
      <w:pPr>
        <w:spacing w:after="120"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3C24320" w14:textId="77777777" w:rsidR="004D4624" w:rsidRDefault="004D4624" w:rsidP="004D4624">
      <w:pPr>
        <w:spacing w:after="120" w:line="360" w:lineRule="auto"/>
        <w:jc w:val="center"/>
        <w:rPr>
          <w:rFonts w:ascii="Arial" w:hAnsi="Arial" w:cs="FrankRuehl"/>
          <w:sz w:val="28"/>
          <w:szCs w:val="28"/>
          <w:rtl/>
        </w:rPr>
      </w:pPr>
    </w:p>
    <w:p w14:paraId="5E95FBCA" w14:textId="77777777" w:rsidR="004D4624" w:rsidRDefault="004D4624" w:rsidP="004D4624">
      <w:pPr>
        <w:rPr>
          <w:rFonts w:cs="FrankRuehl"/>
          <w:sz w:val="28"/>
          <w:szCs w:val="28"/>
          <w:rtl/>
        </w:rPr>
      </w:pPr>
    </w:p>
    <w:p w14:paraId="3AE95411" w14:textId="77777777" w:rsidR="004D4624" w:rsidRDefault="004D4624" w:rsidP="004D4624">
      <w:pPr>
        <w:pStyle w:val="a3"/>
        <w:jc w:val="center"/>
        <w:rPr>
          <w:rtl/>
        </w:rPr>
      </w:pPr>
    </w:p>
    <w:p w14:paraId="244AE84B" w14:textId="77777777" w:rsidR="001D04E6" w:rsidRPr="00364132" w:rsidRDefault="001D04E6" w:rsidP="00364132">
      <w:pPr>
        <w:keepNext/>
        <w:rPr>
          <w:rFonts w:ascii="David" w:hAnsi="David"/>
          <w:color w:val="000000"/>
          <w:sz w:val="22"/>
          <w:szCs w:val="22"/>
          <w:rtl/>
        </w:rPr>
      </w:pPr>
    </w:p>
    <w:p w14:paraId="68BE5019" w14:textId="77777777" w:rsidR="00364132" w:rsidRPr="00364132" w:rsidRDefault="00364132" w:rsidP="00364132">
      <w:pPr>
        <w:keepNext/>
        <w:rPr>
          <w:rFonts w:ascii="David" w:hAnsi="David"/>
          <w:color w:val="000000"/>
          <w:sz w:val="22"/>
          <w:szCs w:val="22"/>
          <w:rtl/>
        </w:rPr>
      </w:pPr>
      <w:r w:rsidRPr="00364132">
        <w:rPr>
          <w:rFonts w:ascii="David" w:hAnsi="David"/>
          <w:color w:val="000000"/>
          <w:sz w:val="22"/>
          <w:szCs w:val="22"/>
          <w:rtl/>
        </w:rPr>
        <w:t>ירון מינטקביץ 54678313</w:t>
      </w:r>
    </w:p>
    <w:p w14:paraId="6813BA87" w14:textId="77777777" w:rsidR="00364132" w:rsidRDefault="00364132" w:rsidP="00364132">
      <w:r w:rsidRPr="00364132">
        <w:rPr>
          <w:color w:val="000000"/>
          <w:rtl/>
        </w:rPr>
        <w:t>נוסח מסמך זה כפוף לשינויי ניסוח ועריכה</w:t>
      </w:r>
    </w:p>
    <w:p w14:paraId="57E7B903" w14:textId="77777777" w:rsidR="00364132" w:rsidRDefault="00364132" w:rsidP="00364132">
      <w:pPr>
        <w:rPr>
          <w:rtl/>
        </w:rPr>
      </w:pPr>
    </w:p>
    <w:p w14:paraId="6FB19E79" w14:textId="77777777" w:rsidR="00364132" w:rsidRDefault="00364132" w:rsidP="00364132">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0C1987DD" w14:textId="77777777" w:rsidR="00364132" w:rsidRPr="00364132" w:rsidRDefault="00364132" w:rsidP="00364132">
      <w:pPr>
        <w:jc w:val="center"/>
        <w:rPr>
          <w:color w:val="0000FF"/>
          <w:u w:val="single"/>
        </w:rPr>
      </w:pPr>
    </w:p>
    <w:sectPr w:rsidR="00364132" w:rsidRPr="00364132" w:rsidSect="00364132">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2E689" w14:textId="77777777" w:rsidR="00174D03" w:rsidRDefault="00174D03" w:rsidP="00D60BE5">
      <w:r>
        <w:separator/>
      </w:r>
    </w:p>
  </w:endnote>
  <w:endnote w:type="continuationSeparator" w:id="0">
    <w:p w14:paraId="4BD913F1" w14:textId="77777777" w:rsidR="00174D03" w:rsidRDefault="00174D03" w:rsidP="00D60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301D4" w14:textId="77777777" w:rsidR="00364132" w:rsidRDefault="00364132" w:rsidP="0036413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49FC73" w14:textId="77777777" w:rsidR="00533810" w:rsidRPr="00364132" w:rsidRDefault="00364132" w:rsidP="0036413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44A1A" w14:textId="77777777" w:rsidR="00364132" w:rsidRDefault="00364132" w:rsidP="0036413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77B7">
      <w:rPr>
        <w:rFonts w:ascii="FrankRuehl" w:hAnsi="FrankRuehl" w:cs="FrankRuehl"/>
        <w:noProof/>
        <w:rtl/>
      </w:rPr>
      <w:t>1</w:t>
    </w:r>
    <w:r>
      <w:rPr>
        <w:rFonts w:ascii="FrankRuehl" w:hAnsi="FrankRuehl" w:cs="FrankRuehl"/>
        <w:rtl/>
      </w:rPr>
      <w:fldChar w:fldCharType="end"/>
    </w:r>
  </w:p>
  <w:p w14:paraId="134B803E" w14:textId="77777777" w:rsidR="00533810" w:rsidRPr="00364132" w:rsidRDefault="00364132" w:rsidP="0036413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95D40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6F25F" w14:textId="77777777" w:rsidR="00174D03" w:rsidRDefault="00174D03" w:rsidP="00D60BE5">
      <w:r>
        <w:separator/>
      </w:r>
    </w:p>
  </w:footnote>
  <w:footnote w:type="continuationSeparator" w:id="0">
    <w:p w14:paraId="215DE9E6" w14:textId="77777777" w:rsidR="00174D03" w:rsidRDefault="00174D03" w:rsidP="00D60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1771B" w14:textId="77777777" w:rsidR="00364132" w:rsidRPr="00364132" w:rsidRDefault="00364132" w:rsidP="0036413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40097-07-20</w:t>
    </w:r>
    <w:r>
      <w:rPr>
        <w:rFonts w:ascii="David" w:hAnsi="David"/>
        <w:color w:val="000000"/>
        <w:sz w:val="22"/>
        <w:szCs w:val="22"/>
        <w:rtl/>
      </w:rPr>
      <w:tab/>
      <w:t xml:space="preserve"> מדינת ישראל נ' דניאל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A2EB1" w14:textId="77777777" w:rsidR="00364132" w:rsidRPr="00364132" w:rsidRDefault="00364132" w:rsidP="0036413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40097-07-20</w:t>
    </w:r>
    <w:r>
      <w:rPr>
        <w:rFonts w:ascii="David" w:hAnsi="David"/>
        <w:color w:val="000000"/>
        <w:sz w:val="22"/>
        <w:szCs w:val="22"/>
        <w:rtl/>
      </w:rPr>
      <w:tab/>
      <w:t xml:space="preserve"> מדינת ישראל נ' דניאל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821E0"/>
    <w:multiLevelType w:val="hybridMultilevel"/>
    <w:tmpl w:val="7B40DBD0"/>
    <w:lvl w:ilvl="0" w:tplc="04090013">
      <w:start w:val="1"/>
      <w:numFmt w:val="hebrew1"/>
      <w:lvlText w:val="%1."/>
      <w:lvlJc w:val="center"/>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 w15:restartNumberingAfterBreak="0">
    <w:nsid w:val="1D0F79A6"/>
    <w:multiLevelType w:val="hybridMultilevel"/>
    <w:tmpl w:val="36F4B3B4"/>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378311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33234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D4624"/>
    <w:rsid w:val="00046A91"/>
    <w:rsid w:val="00127326"/>
    <w:rsid w:val="0016731C"/>
    <w:rsid w:val="00174D03"/>
    <w:rsid w:val="001B5A3B"/>
    <w:rsid w:val="001D04E6"/>
    <w:rsid w:val="00364132"/>
    <w:rsid w:val="00451CFC"/>
    <w:rsid w:val="004D4624"/>
    <w:rsid w:val="00533810"/>
    <w:rsid w:val="006E600C"/>
    <w:rsid w:val="008173C8"/>
    <w:rsid w:val="00862F1E"/>
    <w:rsid w:val="00882BBA"/>
    <w:rsid w:val="00CA385D"/>
    <w:rsid w:val="00D60BE5"/>
    <w:rsid w:val="00ED77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469FFF"/>
  <w15:chartTrackingRefBased/>
  <w15:docId w15:val="{2EF6CB50-AF91-407A-BD76-5AE694B9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462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D4624"/>
    <w:pPr>
      <w:tabs>
        <w:tab w:val="center" w:pos="4153"/>
        <w:tab w:val="right" w:pos="8306"/>
      </w:tabs>
    </w:pPr>
  </w:style>
  <w:style w:type="character" w:customStyle="1" w:styleId="a4">
    <w:name w:val="כותרת עליונה תו"/>
    <w:link w:val="a3"/>
    <w:rsid w:val="004D4624"/>
    <w:rPr>
      <w:rFonts w:ascii="Times New Roman" w:eastAsia="Times New Roman" w:hAnsi="Times New Roman" w:cs="David"/>
      <w:sz w:val="24"/>
      <w:szCs w:val="24"/>
    </w:rPr>
  </w:style>
  <w:style w:type="paragraph" w:styleId="a5">
    <w:name w:val="footer"/>
    <w:basedOn w:val="a"/>
    <w:link w:val="a6"/>
    <w:rsid w:val="004D4624"/>
    <w:pPr>
      <w:tabs>
        <w:tab w:val="center" w:pos="4153"/>
        <w:tab w:val="right" w:pos="8306"/>
      </w:tabs>
    </w:pPr>
  </w:style>
  <w:style w:type="character" w:customStyle="1" w:styleId="a6">
    <w:name w:val="כותרת תחתונה תו"/>
    <w:link w:val="a5"/>
    <w:rsid w:val="004D4624"/>
    <w:rPr>
      <w:rFonts w:ascii="Times New Roman" w:eastAsia="Times New Roman" w:hAnsi="Times New Roman" w:cs="David"/>
      <w:sz w:val="24"/>
      <w:szCs w:val="24"/>
    </w:rPr>
  </w:style>
  <w:style w:type="paragraph" w:styleId="a7">
    <w:name w:val="annotation text"/>
    <w:basedOn w:val="a"/>
    <w:link w:val="a8"/>
    <w:rsid w:val="004D4624"/>
    <w:rPr>
      <w:rFonts w:cs="Times New Roman"/>
      <w:lang w:eastAsia="he-IL"/>
    </w:rPr>
  </w:style>
  <w:style w:type="character" w:customStyle="1" w:styleId="a8">
    <w:name w:val="טקסט הערה תו"/>
    <w:link w:val="a7"/>
    <w:rsid w:val="004D4624"/>
    <w:rPr>
      <w:rFonts w:ascii="Times New Roman" w:eastAsia="Times New Roman" w:hAnsi="Times New Roman" w:cs="Times New Roman"/>
      <w:sz w:val="24"/>
      <w:szCs w:val="24"/>
      <w:lang w:eastAsia="he-IL"/>
    </w:rPr>
  </w:style>
  <w:style w:type="table" w:styleId="a9">
    <w:name w:val="Table Grid"/>
    <w:basedOn w:val="a1"/>
    <w:rsid w:val="004D462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4D4624"/>
  </w:style>
  <w:style w:type="character" w:styleId="Hyperlink">
    <w:name w:val="Hyperlink"/>
    <w:rsid w:val="004D4624"/>
    <w:rPr>
      <w:color w:val="0000FF"/>
      <w:u w:val="single"/>
    </w:rPr>
  </w:style>
  <w:style w:type="paragraph" w:styleId="ab">
    <w:name w:val="List Paragraph"/>
    <w:basedOn w:val="a"/>
    <w:qFormat/>
    <w:rsid w:val="004D4624"/>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5698919" TargetMode="External"/><Relationship Id="rId18" Type="http://schemas.openxmlformats.org/officeDocument/2006/relationships/hyperlink" Target="http://www.nevo.co.il/law/4216/36a.b"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4216/36a.b" TargetMode="External"/><Relationship Id="rId7" Type="http://schemas.openxmlformats.org/officeDocument/2006/relationships/hyperlink" Target="http://www.nevo.co.il/case/26854223" TargetMode="External"/><Relationship Id="rId12" Type="http://schemas.openxmlformats.org/officeDocument/2006/relationships/hyperlink" Target="http://www.nevo.co.il/case/17932979" TargetMode="External"/><Relationship Id="rId17" Type="http://schemas.openxmlformats.org/officeDocument/2006/relationships/hyperlink" Target="http://www.nevo.co.il/case/20420496"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24975541" TargetMode="External"/><Relationship Id="rId20" Type="http://schemas.openxmlformats.org/officeDocument/2006/relationships/hyperlink" Target="http://www.nevo.co.il/law/4216/31.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13101134"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22830934" TargetMode="External"/><Relationship Id="rId23" Type="http://schemas.openxmlformats.org/officeDocument/2006/relationships/hyperlink" Target="http://www.nevo.co.il/case/23854638" TargetMode="External"/><Relationship Id="rId28" Type="http://schemas.openxmlformats.org/officeDocument/2006/relationships/footer" Target="footer2.xml"/><Relationship Id="rId10" Type="http://schemas.openxmlformats.org/officeDocument/2006/relationships/hyperlink" Target="http://www.nevo.co.il/law/4216/36a.b"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31.6" TargetMode="External"/><Relationship Id="rId14" Type="http://schemas.openxmlformats.org/officeDocument/2006/relationships/hyperlink" Target="http://www.nevo.co.il/case/23831718" TargetMode="External"/><Relationship Id="rId22" Type="http://schemas.openxmlformats.org/officeDocument/2006/relationships/hyperlink" Target="http://www.nevo.co.il/case/27363977"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2566</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15370</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3997812</vt:i4>
      </vt:variant>
      <vt:variant>
        <vt:i4>48</vt:i4>
      </vt:variant>
      <vt:variant>
        <vt:i4>0</vt:i4>
      </vt:variant>
      <vt:variant>
        <vt:i4>5</vt:i4>
      </vt:variant>
      <vt:variant>
        <vt:lpwstr>http://www.nevo.co.il/case/23854638</vt:lpwstr>
      </vt:variant>
      <vt:variant>
        <vt:lpwstr/>
      </vt:variant>
      <vt:variant>
        <vt:i4>3473532</vt:i4>
      </vt:variant>
      <vt:variant>
        <vt:i4>45</vt:i4>
      </vt:variant>
      <vt:variant>
        <vt:i4>0</vt:i4>
      </vt:variant>
      <vt:variant>
        <vt:i4>5</vt:i4>
      </vt:variant>
      <vt:variant>
        <vt:lpwstr>http://www.nevo.co.il/case/27363977</vt:lpwstr>
      </vt:variant>
      <vt:variant>
        <vt:lpwstr/>
      </vt:variant>
      <vt:variant>
        <vt:i4>5111890</vt:i4>
      </vt:variant>
      <vt:variant>
        <vt:i4>42</vt:i4>
      </vt:variant>
      <vt:variant>
        <vt:i4>0</vt:i4>
      </vt:variant>
      <vt:variant>
        <vt:i4>5</vt:i4>
      </vt:variant>
      <vt:variant>
        <vt:lpwstr>http://www.nevo.co.il/law/4216/36a.b</vt:lpwstr>
      </vt:variant>
      <vt:variant>
        <vt:lpwstr/>
      </vt:variant>
      <vt:variant>
        <vt:i4>6488187</vt:i4>
      </vt:variant>
      <vt:variant>
        <vt:i4>39</vt:i4>
      </vt:variant>
      <vt:variant>
        <vt:i4>0</vt:i4>
      </vt:variant>
      <vt:variant>
        <vt:i4>5</vt:i4>
      </vt:variant>
      <vt:variant>
        <vt:lpwstr>http://www.nevo.co.il/law/4216/31.6</vt:lpwstr>
      </vt:variant>
      <vt:variant>
        <vt:lpwstr/>
      </vt:variant>
      <vt:variant>
        <vt:i4>8257637</vt:i4>
      </vt:variant>
      <vt:variant>
        <vt:i4>36</vt:i4>
      </vt:variant>
      <vt:variant>
        <vt:i4>0</vt:i4>
      </vt:variant>
      <vt:variant>
        <vt:i4>5</vt:i4>
      </vt:variant>
      <vt:variant>
        <vt:lpwstr>http://www.nevo.co.il/law/4216</vt:lpwstr>
      </vt:variant>
      <vt:variant>
        <vt:lpwstr/>
      </vt:variant>
      <vt:variant>
        <vt:i4>5111890</vt:i4>
      </vt:variant>
      <vt:variant>
        <vt:i4>33</vt:i4>
      </vt:variant>
      <vt:variant>
        <vt:i4>0</vt:i4>
      </vt:variant>
      <vt:variant>
        <vt:i4>5</vt:i4>
      </vt:variant>
      <vt:variant>
        <vt:lpwstr>http://www.nevo.co.il/law/4216/36a.b</vt:lpwstr>
      </vt:variant>
      <vt:variant>
        <vt:lpwstr/>
      </vt:variant>
      <vt:variant>
        <vt:i4>4128882</vt:i4>
      </vt:variant>
      <vt:variant>
        <vt:i4>30</vt:i4>
      </vt:variant>
      <vt:variant>
        <vt:i4>0</vt:i4>
      </vt:variant>
      <vt:variant>
        <vt:i4>5</vt:i4>
      </vt:variant>
      <vt:variant>
        <vt:lpwstr>http://www.nevo.co.il/case/20420496</vt:lpwstr>
      </vt:variant>
      <vt:variant>
        <vt:lpwstr/>
      </vt:variant>
      <vt:variant>
        <vt:i4>3801202</vt:i4>
      </vt:variant>
      <vt:variant>
        <vt:i4>27</vt:i4>
      </vt:variant>
      <vt:variant>
        <vt:i4>0</vt:i4>
      </vt:variant>
      <vt:variant>
        <vt:i4>5</vt:i4>
      </vt:variant>
      <vt:variant>
        <vt:lpwstr>http://www.nevo.co.il/case/24975541</vt:lpwstr>
      </vt:variant>
      <vt:variant>
        <vt:lpwstr/>
      </vt:variant>
      <vt:variant>
        <vt:i4>3735676</vt:i4>
      </vt:variant>
      <vt:variant>
        <vt:i4>24</vt:i4>
      </vt:variant>
      <vt:variant>
        <vt:i4>0</vt:i4>
      </vt:variant>
      <vt:variant>
        <vt:i4>5</vt:i4>
      </vt:variant>
      <vt:variant>
        <vt:lpwstr>http://www.nevo.co.il/case/22830934</vt:lpwstr>
      </vt:variant>
      <vt:variant>
        <vt:lpwstr/>
      </vt:variant>
      <vt:variant>
        <vt:i4>3801203</vt:i4>
      </vt:variant>
      <vt:variant>
        <vt:i4>21</vt:i4>
      </vt:variant>
      <vt:variant>
        <vt:i4>0</vt:i4>
      </vt:variant>
      <vt:variant>
        <vt:i4>5</vt:i4>
      </vt:variant>
      <vt:variant>
        <vt:lpwstr>http://www.nevo.co.il/case/23831718</vt:lpwstr>
      </vt:variant>
      <vt:variant>
        <vt:lpwstr/>
      </vt:variant>
      <vt:variant>
        <vt:i4>3932283</vt:i4>
      </vt:variant>
      <vt:variant>
        <vt:i4>18</vt:i4>
      </vt:variant>
      <vt:variant>
        <vt:i4>0</vt:i4>
      </vt:variant>
      <vt:variant>
        <vt:i4>5</vt:i4>
      </vt:variant>
      <vt:variant>
        <vt:lpwstr>http://www.nevo.co.il/case/5698919</vt:lpwstr>
      </vt:variant>
      <vt:variant>
        <vt:lpwstr/>
      </vt:variant>
      <vt:variant>
        <vt:i4>3997817</vt:i4>
      </vt:variant>
      <vt:variant>
        <vt:i4>15</vt:i4>
      </vt:variant>
      <vt:variant>
        <vt:i4>0</vt:i4>
      </vt:variant>
      <vt:variant>
        <vt:i4>5</vt:i4>
      </vt:variant>
      <vt:variant>
        <vt:lpwstr>http://www.nevo.co.il/case/17932979</vt:lpwstr>
      </vt:variant>
      <vt:variant>
        <vt:lpwstr/>
      </vt:variant>
      <vt:variant>
        <vt:i4>3276918</vt:i4>
      </vt:variant>
      <vt:variant>
        <vt:i4>12</vt:i4>
      </vt:variant>
      <vt:variant>
        <vt:i4>0</vt:i4>
      </vt:variant>
      <vt:variant>
        <vt:i4>5</vt:i4>
      </vt:variant>
      <vt:variant>
        <vt:lpwstr>http://www.nevo.co.il/case/13101134</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6488187</vt:i4>
      </vt:variant>
      <vt:variant>
        <vt:i4>6</vt:i4>
      </vt:variant>
      <vt:variant>
        <vt:i4>0</vt:i4>
      </vt:variant>
      <vt:variant>
        <vt:i4>5</vt:i4>
      </vt:variant>
      <vt:variant>
        <vt:lpwstr>http://www.nevo.co.il/law/4216/31.6</vt:lpwstr>
      </vt:variant>
      <vt:variant>
        <vt:lpwstr/>
      </vt:variant>
      <vt:variant>
        <vt:i4>8257637</vt:i4>
      </vt:variant>
      <vt:variant>
        <vt:i4>3</vt:i4>
      </vt:variant>
      <vt:variant>
        <vt:i4>0</vt:i4>
      </vt:variant>
      <vt:variant>
        <vt:i4>5</vt:i4>
      </vt:variant>
      <vt:variant>
        <vt:lpwstr>http://www.nevo.co.il/law/4216</vt:lpwstr>
      </vt:variant>
      <vt:variant>
        <vt:lpwstr/>
      </vt:variant>
      <vt:variant>
        <vt:i4>3932277</vt:i4>
      </vt:variant>
      <vt:variant>
        <vt:i4>0</vt:i4>
      </vt:variant>
      <vt:variant>
        <vt:i4>0</vt:i4>
      </vt:variant>
      <vt:variant>
        <vt:i4>5</vt:i4>
      </vt:variant>
      <vt:variant>
        <vt:lpwstr>http://www.nevo.co.il/case/26854223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2025-04-23T00:41:00Z</dcterms:created>
  <dcterms:modified xsi:type="dcterms:W3CDTF">2025-04-23T00:41:00Z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40097</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דניאל לוי</vt:lpwstr>
  </property>
  <property fmtid="{D5CDD505-2E9C-101B-9397-08002B2CF9AE}" pid="10" name="LAWYER">
    <vt:lpwstr>ברכה בן אדרת;אריאל הרמן</vt:lpwstr>
  </property>
  <property fmtid="{D5CDD505-2E9C-101B-9397-08002B2CF9AE}" pid="11" name="JUDGE">
    <vt:lpwstr>ירון מינטקביץ</vt:lpwstr>
  </property>
  <property fmtid="{D5CDD505-2E9C-101B-9397-08002B2CF9AE}" pid="12" name="CITY">
    <vt:lpwstr>י-ם</vt:lpwstr>
  </property>
  <property fmtid="{D5CDD505-2E9C-101B-9397-08002B2CF9AE}" pid="13" name="DATE">
    <vt:lpwstr>20210720</vt:lpwstr>
  </property>
  <property fmtid="{D5CDD505-2E9C-101B-9397-08002B2CF9AE}" pid="14" name="TYPE_N_DATE">
    <vt:lpwstr>38020210720</vt:lpwstr>
  </property>
  <property fmtid="{D5CDD505-2E9C-101B-9397-08002B2CF9AE}" pid="15" name="WORDNUMPAGES">
    <vt:lpwstr>8</vt:lpwstr>
  </property>
  <property fmtid="{D5CDD505-2E9C-101B-9397-08002B2CF9AE}" pid="16" name="TYPE_ABS_DATE">
    <vt:lpwstr>380020210720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26854223;13101134;17932979;5698919;23831718;22830934;24975541;20420496;27363977;23854638</vt:lpwstr>
  </property>
  <property fmtid="{D5CDD505-2E9C-101B-9397-08002B2CF9AE}" pid="36" name="LAWLISTTMP1">
    <vt:lpwstr>4216/036a.b:2;031.6</vt:lpwstr>
  </property>
</Properties>
</file>