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217"/>
        <w:gridCol w:w="3450"/>
        <w:gridCol w:w="99"/>
      </w:tblGrid>
      <w:tr w:rsidR="00F6643A" w:rsidRPr="00587452" w14:paraId="4F057E93" w14:textId="77777777" w:rsidTr="00B2684B">
        <w:trPr>
          <w:gridAfter w:val="1"/>
          <w:wAfter w:w="99" w:type="dxa"/>
          <w:trHeight w:hRule="exact" w:val="418"/>
          <w:jc w:val="center"/>
        </w:trPr>
        <w:tc>
          <w:tcPr>
            <w:tcW w:w="8721" w:type="dxa"/>
            <w:gridSpan w:val="4"/>
          </w:tcPr>
          <w:p w14:paraId="0F230F0F" w14:textId="77777777" w:rsidR="00F6643A" w:rsidRPr="00587452" w:rsidRDefault="00F6643A" w:rsidP="00BA497C">
            <w:pPr>
              <w:pStyle w:val="a3"/>
              <w:jc w:val="center"/>
              <w:rPr>
                <w:rFonts w:ascii="Tahoma" w:hAnsi="Tahoma" w:cs="Tahoma"/>
                <w:color w:val="000080"/>
                <w:rtl/>
              </w:rPr>
            </w:pPr>
            <w:bookmarkStart w:id="0" w:name="FirstLawyer"/>
            <w:bookmarkStart w:id="1" w:name="LastJudge"/>
            <w:r w:rsidRPr="00587452">
              <w:rPr>
                <w:rFonts w:ascii="FrankRuehl" w:hAnsi="FrankRuehl" w:cs="FrankRuehl"/>
                <w:b/>
                <w:bCs/>
                <w:color w:val="000080"/>
                <w:sz w:val="28"/>
                <w:szCs w:val="28"/>
                <w:rtl/>
              </w:rPr>
              <w:t>בית משפט השלום בירושלים</w:t>
            </w:r>
          </w:p>
        </w:tc>
      </w:tr>
      <w:tr w:rsidR="00F6643A" w:rsidRPr="00587452" w14:paraId="4093A896" w14:textId="77777777" w:rsidTr="00B2684B">
        <w:trPr>
          <w:gridAfter w:val="1"/>
          <w:wAfter w:w="99" w:type="dxa"/>
          <w:trHeight w:val="337"/>
          <w:jc w:val="center"/>
        </w:trPr>
        <w:tc>
          <w:tcPr>
            <w:tcW w:w="5054" w:type="dxa"/>
            <w:gridSpan w:val="2"/>
          </w:tcPr>
          <w:p w14:paraId="20D5BC39" w14:textId="77777777" w:rsidR="00F6643A" w:rsidRPr="00587452" w:rsidRDefault="00F6643A" w:rsidP="00BA497C">
            <w:pPr>
              <w:rPr>
                <w:rFonts w:cs="FrankRuehl"/>
                <w:sz w:val="28"/>
                <w:szCs w:val="28"/>
                <w:rtl/>
              </w:rPr>
            </w:pPr>
            <w:r w:rsidRPr="00587452">
              <w:rPr>
                <w:rFonts w:cs="FrankRuehl"/>
                <w:sz w:val="28"/>
                <w:szCs w:val="28"/>
                <w:rtl/>
              </w:rPr>
              <w:t>ת"פ</w:t>
            </w:r>
            <w:r w:rsidRPr="00587452">
              <w:rPr>
                <w:rFonts w:cs="FrankRuehl" w:hint="cs"/>
                <w:sz w:val="28"/>
                <w:szCs w:val="28"/>
                <w:rtl/>
              </w:rPr>
              <w:t xml:space="preserve"> </w:t>
            </w:r>
            <w:r w:rsidRPr="00587452">
              <w:rPr>
                <w:rFonts w:cs="FrankRuehl"/>
                <w:sz w:val="28"/>
                <w:szCs w:val="28"/>
                <w:rtl/>
              </w:rPr>
              <w:t>68973-07-20</w:t>
            </w:r>
            <w:r w:rsidRPr="00587452">
              <w:rPr>
                <w:rFonts w:cs="FrankRuehl" w:hint="cs"/>
                <w:sz w:val="28"/>
                <w:szCs w:val="28"/>
                <w:rtl/>
              </w:rPr>
              <w:t xml:space="preserve"> </w:t>
            </w:r>
            <w:r w:rsidRPr="00587452">
              <w:rPr>
                <w:rFonts w:cs="FrankRuehl"/>
                <w:sz w:val="28"/>
                <w:szCs w:val="28"/>
                <w:rtl/>
              </w:rPr>
              <w:t>מדינת ישראל נ' נקש</w:t>
            </w:r>
          </w:p>
          <w:p w14:paraId="42A2A2FC" w14:textId="77777777" w:rsidR="00F6643A" w:rsidRPr="00587452" w:rsidRDefault="00F6643A" w:rsidP="00BA497C">
            <w:pPr>
              <w:pStyle w:val="a3"/>
              <w:rPr>
                <w:rFonts w:cs="FrankRuehl"/>
                <w:sz w:val="28"/>
                <w:szCs w:val="28"/>
                <w:rtl/>
              </w:rPr>
            </w:pPr>
          </w:p>
        </w:tc>
        <w:tc>
          <w:tcPr>
            <w:tcW w:w="3667" w:type="dxa"/>
            <w:gridSpan w:val="2"/>
          </w:tcPr>
          <w:p w14:paraId="745373F0" w14:textId="77777777" w:rsidR="00F6643A" w:rsidRPr="00587452" w:rsidRDefault="00F6643A" w:rsidP="00BA497C">
            <w:pPr>
              <w:pStyle w:val="a3"/>
              <w:jc w:val="right"/>
              <w:rPr>
                <w:rFonts w:cs="FrankRuehl"/>
                <w:sz w:val="28"/>
                <w:szCs w:val="28"/>
                <w:rtl/>
              </w:rPr>
            </w:pPr>
          </w:p>
        </w:tc>
      </w:tr>
      <w:tr w:rsidR="00F6643A" w:rsidRPr="00587452" w14:paraId="023B6D98"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BB759A1" w14:textId="77777777" w:rsidR="00F6643A" w:rsidRPr="00587452" w:rsidRDefault="00F6643A" w:rsidP="00F6643A">
            <w:pPr>
              <w:jc w:val="both"/>
              <w:rPr>
                <w:rFonts w:ascii="FrankRuehl" w:hAnsi="FrankRuehl" w:cs="FrankRuehl"/>
                <w:b/>
                <w:bCs/>
                <w:sz w:val="28"/>
                <w:szCs w:val="28"/>
              </w:rPr>
            </w:pPr>
            <w:r w:rsidRPr="00587452">
              <w:rPr>
                <w:rFonts w:hint="cs"/>
                <w:rtl/>
              </w:rPr>
              <w:t xml:space="preserve"> </w:t>
            </w:r>
            <w:r w:rsidRPr="00587452">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43F67F35" w14:textId="77777777" w:rsidR="00F6643A" w:rsidRPr="00587452" w:rsidRDefault="00F6643A" w:rsidP="00BA497C">
            <w:pPr>
              <w:rPr>
                <w:rFonts w:ascii="FrankRuehl" w:hAnsi="FrankRuehl" w:cs="FrankRuehl"/>
                <w:b/>
                <w:bCs/>
                <w:sz w:val="28"/>
                <w:szCs w:val="28"/>
                <w:rtl/>
              </w:rPr>
            </w:pPr>
            <w:r w:rsidRPr="00587452">
              <w:rPr>
                <w:rFonts w:ascii="FrankRuehl" w:hAnsi="FrankRuehl" w:cs="FrankRuehl"/>
                <w:b/>
                <w:bCs/>
                <w:sz w:val="28"/>
                <w:szCs w:val="28"/>
                <w:rtl/>
              </w:rPr>
              <w:t>כבוד השופט  דוד שאול גבאי ריכטר</w:t>
            </w:r>
          </w:p>
          <w:p w14:paraId="627AE8B2" w14:textId="77777777" w:rsidR="00F6643A" w:rsidRPr="00587452" w:rsidRDefault="00F6643A" w:rsidP="00BA497C">
            <w:pPr>
              <w:rPr>
                <w:rFonts w:ascii="FrankRuehl" w:hAnsi="FrankRuehl" w:cs="FrankRuehl"/>
                <w:b/>
                <w:bCs/>
                <w:sz w:val="28"/>
                <w:szCs w:val="28"/>
                <w:rtl/>
              </w:rPr>
            </w:pPr>
          </w:p>
          <w:p w14:paraId="203DE9B4" w14:textId="77777777" w:rsidR="00F6643A" w:rsidRPr="00587452" w:rsidRDefault="00F6643A" w:rsidP="00F6643A">
            <w:pPr>
              <w:jc w:val="both"/>
              <w:rPr>
                <w:rFonts w:ascii="FrankRuehl" w:hAnsi="FrankRuehl" w:cs="FrankRuehl"/>
                <w:b/>
                <w:bCs/>
                <w:sz w:val="28"/>
                <w:szCs w:val="28"/>
              </w:rPr>
            </w:pPr>
          </w:p>
        </w:tc>
      </w:tr>
      <w:tr w:rsidR="00F6643A" w:rsidRPr="00587452" w14:paraId="635C35C3"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E81378" w14:textId="77777777" w:rsidR="00F6643A" w:rsidRPr="00587452" w:rsidRDefault="00F6643A" w:rsidP="00F6643A">
            <w:pPr>
              <w:jc w:val="both"/>
              <w:rPr>
                <w:rFonts w:ascii="FrankRuehl" w:hAnsi="FrankRuehl" w:cs="FrankRuehl"/>
                <w:b/>
                <w:bCs/>
                <w:sz w:val="28"/>
                <w:szCs w:val="28"/>
              </w:rPr>
            </w:pPr>
            <w:bookmarkStart w:id="2" w:name="FirstAppellant"/>
            <w:r w:rsidRPr="00587452">
              <w:rPr>
                <w:rFonts w:ascii="FrankRuehl" w:hAnsi="FrankRuehl" w:cs="FrankRuehl"/>
                <w:b/>
                <w:bCs/>
                <w:sz w:val="28"/>
                <w:szCs w:val="28"/>
                <w:rtl/>
              </w:rPr>
              <w:t>בעניין:</w:t>
            </w:r>
          </w:p>
        </w:tc>
        <w:tc>
          <w:tcPr>
            <w:tcW w:w="4348" w:type="dxa"/>
            <w:gridSpan w:val="2"/>
            <w:tcBorders>
              <w:top w:val="nil"/>
              <w:left w:val="nil"/>
              <w:bottom w:val="nil"/>
              <w:right w:val="nil"/>
            </w:tcBorders>
            <w:shd w:val="clear" w:color="auto" w:fill="auto"/>
          </w:tcPr>
          <w:p w14:paraId="2E3FC5BA" w14:textId="77777777" w:rsidR="00F6643A" w:rsidRPr="00587452" w:rsidRDefault="00F6643A" w:rsidP="00BA497C">
            <w:pPr>
              <w:rPr>
                <w:rFonts w:ascii="FrankRuehl" w:hAnsi="FrankRuehl" w:cs="FrankRuehl"/>
                <w:b/>
                <w:bCs/>
                <w:sz w:val="28"/>
                <w:szCs w:val="28"/>
              </w:rPr>
            </w:pPr>
            <w:r w:rsidRPr="00587452">
              <w:rPr>
                <w:rFonts w:ascii="FrankRuehl" w:hAnsi="FrankRuehl" w:cs="FrankRuehl"/>
                <w:b/>
                <w:bCs/>
                <w:sz w:val="28"/>
                <w:szCs w:val="28"/>
                <w:rtl/>
              </w:rPr>
              <w:t>מדינת ישראל</w:t>
            </w:r>
            <w:r w:rsidRPr="00587452">
              <w:rPr>
                <w:rFonts w:ascii="FrankRuehl" w:hAnsi="FrankRuehl" w:cs="FrankRuehl"/>
                <w:b/>
                <w:bCs/>
                <w:sz w:val="28"/>
                <w:szCs w:val="28"/>
                <w:rtl/>
              </w:rPr>
              <w:br/>
              <w:t xml:space="preserve">ע"י </w:t>
            </w:r>
            <w:r w:rsidRPr="00587452">
              <w:rPr>
                <w:rFonts w:ascii="FrankRuehl" w:hAnsi="FrankRuehl" w:cs="FrankRuehl" w:hint="cs"/>
                <w:b/>
                <w:bCs/>
                <w:sz w:val="28"/>
                <w:szCs w:val="28"/>
                <w:rtl/>
              </w:rPr>
              <w:t>ב"כ עו"ד שירלי אוחיון מ</w:t>
            </w:r>
            <w:r w:rsidRPr="00587452">
              <w:rPr>
                <w:rFonts w:ascii="FrankRuehl" w:hAnsi="FrankRuehl" w:cs="FrankRuehl"/>
                <w:b/>
                <w:bCs/>
                <w:sz w:val="28"/>
                <w:szCs w:val="28"/>
                <w:rtl/>
              </w:rPr>
              <w:t>תביעות ירושלים</w:t>
            </w:r>
          </w:p>
        </w:tc>
        <w:tc>
          <w:tcPr>
            <w:tcW w:w="3549" w:type="dxa"/>
            <w:gridSpan w:val="2"/>
            <w:tcBorders>
              <w:top w:val="nil"/>
              <w:left w:val="nil"/>
              <w:bottom w:val="nil"/>
              <w:right w:val="nil"/>
            </w:tcBorders>
            <w:shd w:val="clear" w:color="auto" w:fill="auto"/>
          </w:tcPr>
          <w:p w14:paraId="5F9146F6" w14:textId="77777777" w:rsidR="00F6643A" w:rsidRPr="00587452" w:rsidRDefault="00F6643A" w:rsidP="00F6643A">
            <w:pPr>
              <w:jc w:val="both"/>
              <w:rPr>
                <w:rFonts w:ascii="FrankRuehl" w:hAnsi="FrankRuehl" w:cs="FrankRuehl"/>
                <w:b/>
                <w:bCs/>
                <w:sz w:val="28"/>
                <w:szCs w:val="28"/>
              </w:rPr>
            </w:pPr>
          </w:p>
        </w:tc>
      </w:tr>
      <w:bookmarkEnd w:id="2"/>
      <w:tr w:rsidR="00F6643A" w:rsidRPr="00587452" w14:paraId="4380EE84"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877758" w14:textId="77777777" w:rsidR="00F6643A" w:rsidRPr="00587452" w:rsidRDefault="00F6643A" w:rsidP="00F6643A">
            <w:pPr>
              <w:jc w:val="both"/>
              <w:rPr>
                <w:rFonts w:ascii="FrankRuehl" w:hAnsi="FrankRuehl" w:cs="FrankRuehl"/>
                <w:b/>
                <w:bCs/>
                <w:sz w:val="28"/>
                <w:szCs w:val="28"/>
                <w:rtl/>
              </w:rPr>
            </w:pPr>
          </w:p>
        </w:tc>
        <w:tc>
          <w:tcPr>
            <w:tcW w:w="4348" w:type="dxa"/>
            <w:gridSpan w:val="2"/>
            <w:tcBorders>
              <w:top w:val="nil"/>
              <w:left w:val="nil"/>
              <w:bottom w:val="nil"/>
              <w:right w:val="nil"/>
            </w:tcBorders>
            <w:shd w:val="clear" w:color="auto" w:fill="auto"/>
          </w:tcPr>
          <w:p w14:paraId="5EFA4E52" w14:textId="77777777" w:rsidR="00F6643A" w:rsidRPr="00587452" w:rsidRDefault="00F6643A" w:rsidP="00F6643A">
            <w:pPr>
              <w:jc w:val="both"/>
              <w:rPr>
                <w:rFonts w:ascii="FrankRuehl" w:hAnsi="FrankRuehl" w:cs="FrankRuehl"/>
                <w:b/>
                <w:bCs/>
                <w:sz w:val="28"/>
                <w:szCs w:val="28"/>
                <w:rtl/>
              </w:rPr>
            </w:pPr>
          </w:p>
        </w:tc>
        <w:tc>
          <w:tcPr>
            <w:tcW w:w="3549" w:type="dxa"/>
            <w:gridSpan w:val="2"/>
            <w:tcBorders>
              <w:top w:val="nil"/>
              <w:left w:val="nil"/>
              <w:bottom w:val="nil"/>
              <w:right w:val="nil"/>
            </w:tcBorders>
            <w:shd w:val="clear" w:color="auto" w:fill="auto"/>
          </w:tcPr>
          <w:p w14:paraId="439B9A72" w14:textId="77777777" w:rsidR="00F6643A" w:rsidRPr="00587452" w:rsidRDefault="00F6643A" w:rsidP="00F6643A">
            <w:pPr>
              <w:jc w:val="right"/>
              <w:rPr>
                <w:rFonts w:ascii="FrankRuehl" w:hAnsi="FrankRuehl" w:cs="FrankRuehl"/>
                <w:b/>
                <w:bCs/>
                <w:sz w:val="28"/>
                <w:szCs w:val="28"/>
                <w:rtl/>
              </w:rPr>
            </w:pPr>
            <w:r w:rsidRPr="00587452">
              <w:rPr>
                <w:rFonts w:ascii="FrankRuehl" w:hAnsi="FrankRuehl" w:cs="FrankRuehl"/>
                <w:b/>
                <w:bCs/>
                <w:sz w:val="28"/>
                <w:szCs w:val="28"/>
                <w:rtl/>
              </w:rPr>
              <w:t>המאשימה</w:t>
            </w:r>
          </w:p>
        </w:tc>
      </w:tr>
      <w:tr w:rsidR="00F6643A" w:rsidRPr="00587452" w14:paraId="2AFA7C9F"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4B1565" w14:textId="77777777" w:rsidR="00F6643A" w:rsidRPr="00587452" w:rsidRDefault="00F6643A" w:rsidP="00F6643A">
            <w:pPr>
              <w:jc w:val="both"/>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0F809C8F" w14:textId="77777777" w:rsidR="00F6643A" w:rsidRPr="00587452" w:rsidRDefault="00F6643A" w:rsidP="00F6643A">
            <w:pPr>
              <w:jc w:val="center"/>
              <w:rPr>
                <w:rFonts w:ascii="FrankRuehl" w:hAnsi="FrankRuehl" w:cs="FrankRuehl"/>
                <w:b/>
                <w:bCs/>
                <w:sz w:val="28"/>
                <w:szCs w:val="28"/>
                <w:rtl/>
              </w:rPr>
            </w:pPr>
          </w:p>
          <w:p w14:paraId="5402DDC2" w14:textId="77777777" w:rsidR="00F6643A" w:rsidRPr="00587452" w:rsidRDefault="00F6643A" w:rsidP="00F6643A">
            <w:pPr>
              <w:jc w:val="center"/>
              <w:rPr>
                <w:rFonts w:ascii="FrankRuehl" w:hAnsi="FrankRuehl" w:cs="FrankRuehl"/>
                <w:b/>
                <w:bCs/>
                <w:sz w:val="28"/>
                <w:szCs w:val="28"/>
                <w:rtl/>
              </w:rPr>
            </w:pPr>
            <w:r w:rsidRPr="00587452">
              <w:rPr>
                <w:rFonts w:ascii="FrankRuehl" w:hAnsi="FrankRuehl" w:cs="FrankRuehl"/>
                <w:b/>
                <w:bCs/>
                <w:sz w:val="28"/>
                <w:szCs w:val="28"/>
                <w:rtl/>
              </w:rPr>
              <w:t>נגד</w:t>
            </w:r>
          </w:p>
          <w:p w14:paraId="0D024414" w14:textId="77777777" w:rsidR="00F6643A" w:rsidRPr="00587452" w:rsidRDefault="00F6643A" w:rsidP="00F6643A">
            <w:pPr>
              <w:jc w:val="both"/>
              <w:rPr>
                <w:rFonts w:ascii="FrankRuehl" w:hAnsi="FrankRuehl" w:cs="FrankRuehl"/>
                <w:b/>
                <w:bCs/>
                <w:sz w:val="28"/>
                <w:szCs w:val="28"/>
              </w:rPr>
            </w:pPr>
          </w:p>
        </w:tc>
      </w:tr>
      <w:tr w:rsidR="00F6643A" w:rsidRPr="00587452" w14:paraId="0C4E4991"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8BB2EE" w14:textId="77777777" w:rsidR="00F6643A" w:rsidRPr="00587452" w:rsidRDefault="00F6643A" w:rsidP="00BA497C">
            <w:pPr>
              <w:rPr>
                <w:rFonts w:ascii="FrankRuehl" w:hAnsi="FrankRuehl" w:cs="FrankRuehl"/>
                <w:b/>
                <w:bCs/>
                <w:sz w:val="28"/>
                <w:szCs w:val="28"/>
                <w:rtl/>
              </w:rPr>
            </w:pPr>
          </w:p>
        </w:tc>
        <w:tc>
          <w:tcPr>
            <w:tcW w:w="4348" w:type="dxa"/>
            <w:gridSpan w:val="2"/>
            <w:tcBorders>
              <w:top w:val="nil"/>
              <w:left w:val="nil"/>
              <w:bottom w:val="nil"/>
              <w:right w:val="nil"/>
            </w:tcBorders>
            <w:shd w:val="clear" w:color="auto" w:fill="auto"/>
          </w:tcPr>
          <w:p w14:paraId="185C4621" w14:textId="77777777" w:rsidR="00F6643A" w:rsidRPr="00587452" w:rsidRDefault="00F6643A" w:rsidP="00BA497C">
            <w:pPr>
              <w:rPr>
                <w:rFonts w:ascii="FrankRuehl" w:hAnsi="FrankRuehl" w:cs="FrankRuehl"/>
                <w:b/>
                <w:bCs/>
                <w:sz w:val="28"/>
                <w:szCs w:val="28"/>
                <w:rtl/>
              </w:rPr>
            </w:pPr>
            <w:r w:rsidRPr="00587452">
              <w:rPr>
                <w:rFonts w:ascii="FrankRuehl" w:hAnsi="FrankRuehl" w:cs="FrankRuehl"/>
                <w:b/>
                <w:bCs/>
                <w:sz w:val="28"/>
                <w:szCs w:val="28"/>
                <w:rtl/>
              </w:rPr>
              <w:t>אוריאל נקש</w:t>
            </w:r>
            <w:r w:rsidRPr="00587452">
              <w:rPr>
                <w:rFonts w:ascii="FrankRuehl" w:hAnsi="FrankRuehl" w:cs="FrankRuehl"/>
                <w:b/>
                <w:bCs/>
                <w:sz w:val="28"/>
                <w:szCs w:val="28"/>
                <w:rtl/>
              </w:rPr>
              <w:br/>
              <w:t>ע"י ב"כ עוה"ד מיכאל עירוני</w:t>
            </w:r>
          </w:p>
        </w:tc>
        <w:tc>
          <w:tcPr>
            <w:tcW w:w="3549" w:type="dxa"/>
            <w:gridSpan w:val="2"/>
            <w:tcBorders>
              <w:top w:val="nil"/>
              <w:left w:val="nil"/>
              <w:bottom w:val="nil"/>
              <w:right w:val="nil"/>
            </w:tcBorders>
            <w:shd w:val="clear" w:color="auto" w:fill="auto"/>
          </w:tcPr>
          <w:p w14:paraId="26FB2885" w14:textId="77777777" w:rsidR="00F6643A" w:rsidRPr="00587452" w:rsidRDefault="00F6643A" w:rsidP="00F6643A">
            <w:pPr>
              <w:jc w:val="right"/>
              <w:rPr>
                <w:rFonts w:ascii="FrankRuehl" w:hAnsi="FrankRuehl" w:cs="FrankRuehl"/>
                <w:b/>
                <w:bCs/>
                <w:sz w:val="28"/>
                <w:szCs w:val="28"/>
              </w:rPr>
            </w:pPr>
          </w:p>
        </w:tc>
      </w:tr>
      <w:tr w:rsidR="00F6643A" w:rsidRPr="00587452" w14:paraId="4039CEE2" w14:textId="77777777" w:rsidTr="00B268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68EB96" w14:textId="77777777" w:rsidR="00F6643A" w:rsidRPr="00587452" w:rsidRDefault="00F6643A" w:rsidP="00F6643A">
            <w:pPr>
              <w:jc w:val="both"/>
              <w:rPr>
                <w:rFonts w:ascii="FrankRuehl" w:hAnsi="FrankRuehl" w:cs="FrankRuehl"/>
                <w:b/>
                <w:bCs/>
                <w:sz w:val="28"/>
                <w:szCs w:val="28"/>
                <w:rtl/>
              </w:rPr>
            </w:pPr>
          </w:p>
        </w:tc>
        <w:tc>
          <w:tcPr>
            <w:tcW w:w="4348" w:type="dxa"/>
            <w:gridSpan w:val="2"/>
            <w:tcBorders>
              <w:top w:val="nil"/>
              <w:left w:val="nil"/>
              <w:bottom w:val="nil"/>
              <w:right w:val="nil"/>
            </w:tcBorders>
            <w:shd w:val="clear" w:color="auto" w:fill="auto"/>
          </w:tcPr>
          <w:p w14:paraId="7E229DE6" w14:textId="77777777" w:rsidR="00F6643A" w:rsidRPr="00587452" w:rsidRDefault="00F6643A" w:rsidP="00F6643A">
            <w:pPr>
              <w:jc w:val="both"/>
              <w:rPr>
                <w:rFonts w:ascii="FrankRuehl" w:hAnsi="FrankRuehl" w:cs="FrankRuehl"/>
                <w:b/>
                <w:bCs/>
                <w:sz w:val="28"/>
                <w:szCs w:val="28"/>
                <w:rtl/>
              </w:rPr>
            </w:pPr>
          </w:p>
        </w:tc>
        <w:tc>
          <w:tcPr>
            <w:tcW w:w="3549" w:type="dxa"/>
            <w:gridSpan w:val="2"/>
            <w:tcBorders>
              <w:top w:val="nil"/>
              <w:left w:val="nil"/>
              <w:bottom w:val="nil"/>
              <w:right w:val="nil"/>
            </w:tcBorders>
            <w:shd w:val="clear" w:color="auto" w:fill="auto"/>
          </w:tcPr>
          <w:p w14:paraId="11107A8B" w14:textId="77777777" w:rsidR="00F6643A" w:rsidRPr="00587452" w:rsidRDefault="00F6643A" w:rsidP="00F6643A">
            <w:pPr>
              <w:jc w:val="right"/>
              <w:rPr>
                <w:rFonts w:ascii="FrankRuehl" w:hAnsi="FrankRuehl" w:cs="FrankRuehl"/>
                <w:b/>
                <w:bCs/>
                <w:sz w:val="28"/>
                <w:szCs w:val="28"/>
              </w:rPr>
            </w:pPr>
            <w:r w:rsidRPr="00587452">
              <w:rPr>
                <w:rFonts w:ascii="FrankRuehl" w:hAnsi="FrankRuehl" w:cs="FrankRuehl"/>
                <w:b/>
                <w:bCs/>
                <w:sz w:val="28"/>
                <w:szCs w:val="28"/>
                <w:rtl/>
              </w:rPr>
              <w:t>הנאשם</w:t>
            </w:r>
          </w:p>
        </w:tc>
      </w:tr>
    </w:tbl>
    <w:p w14:paraId="04C28A46" w14:textId="77777777" w:rsidR="00B2684B" w:rsidRDefault="00B2684B" w:rsidP="00587452">
      <w:pPr>
        <w:rPr>
          <w:rFonts w:ascii="FrankRuehl" w:hAnsi="FrankRuehl" w:cs="FrankRuehl"/>
          <w:sz w:val="28"/>
          <w:szCs w:val="28"/>
          <w:rtl/>
        </w:rPr>
      </w:pPr>
    </w:p>
    <w:p w14:paraId="363F4E8F" w14:textId="77777777" w:rsidR="00B2684B" w:rsidRPr="00B2684B" w:rsidRDefault="00B2684B" w:rsidP="00B2684B">
      <w:pPr>
        <w:spacing w:after="120" w:line="240" w:lineRule="exact"/>
        <w:ind w:left="283" w:hanging="283"/>
        <w:jc w:val="both"/>
        <w:rPr>
          <w:rFonts w:ascii="FrankRuehl" w:hAnsi="FrankRuehl" w:cs="FrankRuehl"/>
          <w:rtl/>
        </w:rPr>
      </w:pPr>
    </w:p>
    <w:p w14:paraId="35B5A774" w14:textId="77777777" w:rsidR="00F44B76" w:rsidRPr="00F44B76" w:rsidRDefault="00F44B76" w:rsidP="00F44B76">
      <w:pPr>
        <w:spacing w:before="120" w:after="120" w:line="240" w:lineRule="exact"/>
        <w:ind w:left="283" w:hanging="283"/>
        <w:jc w:val="both"/>
        <w:rPr>
          <w:rFonts w:ascii="FrankRuehl" w:hAnsi="FrankRuehl" w:cs="FrankRuehl"/>
          <w:rtl/>
        </w:rPr>
      </w:pPr>
    </w:p>
    <w:p w14:paraId="14E5EF60" w14:textId="77777777" w:rsidR="00B47CCE" w:rsidRDefault="00B47CCE" w:rsidP="00B47CCE">
      <w:pPr>
        <w:rPr>
          <w:rFonts w:ascii="FrankRuehl" w:hAnsi="FrankRuehl" w:cs="FrankRuehl"/>
          <w:sz w:val="28"/>
          <w:szCs w:val="28"/>
          <w:rtl/>
        </w:rPr>
      </w:pPr>
      <w:bookmarkStart w:id="3" w:name="LawTable"/>
      <w:bookmarkEnd w:id="3"/>
    </w:p>
    <w:p w14:paraId="541CEE5F" w14:textId="77777777" w:rsidR="00B47CCE" w:rsidRPr="00B47CCE" w:rsidRDefault="00B47CCE" w:rsidP="00B47CCE">
      <w:pPr>
        <w:spacing w:before="120" w:after="120" w:line="240" w:lineRule="exact"/>
        <w:ind w:left="283" w:hanging="283"/>
        <w:jc w:val="both"/>
        <w:rPr>
          <w:rFonts w:ascii="FrankRuehl" w:hAnsi="FrankRuehl" w:cs="FrankRuehl"/>
          <w:rtl/>
        </w:rPr>
      </w:pPr>
    </w:p>
    <w:p w14:paraId="74F18AB3" w14:textId="77777777" w:rsidR="00B47CCE" w:rsidRPr="00B47CCE" w:rsidRDefault="00B47CCE" w:rsidP="00B47CCE">
      <w:pPr>
        <w:spacing w:before="120" w:after="120" w:line="240" w:lineRule="exact"/>
        <w:ind w:left="283" w:hanging="283"/>
        <w:jc w:val="both"/>
        <w:rPr>
          <w:rFonts w:ascii="FrankRuehl" w:hAnsi="FrankRuehl" w:cs="FrankRuehl"/>
          <w:rtl/>
        </w:rPr>
      </w:pPr>
    </w:p>
    <w:p w14:paraId="7162ED36" w14:textId="77777777" w:rsidR="00B47CCE" w:rsidRPr="00B47CCE" w:rsidRDefault="00B47CCE" w:rsidP="00B47CCE">
      <w:pPr>
        <w:spacing w:before="120" w:after="120" w:line="240" w:lineRule="exact"/>
        <w:ind w:left="283" w:hanging="283"/>
        <w:jc w:val="both"/>
        <w:rPr>
          <w:rFonts w:ascii="FrankRuehl" w:hAnsi="FrankRuehl" w:cs="FrankRuehl"/>
          <w:rtl/>
        </w:rPr>
      </w:pPr>
      <w:r w:rsidRPr="00B47CCE">
        <w:rPr>
          <w:rFonts w:ascii="FrankRuehl" w:hAnsi="FrankRuehl" w:cs="FrankRuehl"/>
          <w:rtl/>
        </w:rPr>
        <w:t xml:space="preserve">חקיקה שאוזכרה: </w:t>
      </w:r>
    </w:p>
    <w:p w14:paraId="7B3317F1" w14:textId="77777777" w:rsidR="00B47CCE" w:rsidRPr="00B47CCE" w:rsidRDefault="00B47CCE" w:rsidP="00B47CCE">
      <w:pPr>
        <w:spacing w:before="120" w:after="120" w:line="240" w:lineRule="exact"/>
        <w:ind w:left="283" w:hanging="283"/>
        <w:jc w:val="both"/>
        <w:rPr>
          <w:rFonts w:ascii="FrankRuehl" w:hAnsi="FrankRuehl" w:cs="FrankRuehl"/>
          <w:rtl/>
        </w:rPr>
      </w:pPr>
      <w:hyperlink r:id="rId7" w:history="1">
        <w:r w:rsidRPr="00B47CCE">
          <w:rPr>
            <w:rFonts w:ascii="FrankRuehl" w:hAnsi="FrankRuehl" w:cs="FrankRuehl"/>
            <w:color w:val="0000FF"/>
            <w:rtl/>
          </w:rPr>
          <w:t>פקודת הסמים המסוכנים [נוסח חדש], תשל"ג-1973</w:t>
        </w:r>
      </w:hyperlink>
      <w:r w:rsidRPr="00B47CCE">
        <w:rPr>
          <w:rFonts w:ascii="FrankRuehl" w:hAnsi="FrankRuehl" w:cs="FrankRuehl"/>
          <w:rtl/>
        </w:rPr>
        <w:t xml:space="preserve">: סע'  </w:t>
      </w:r>
      <w:hyperlink r:id="rId8" w:history="1">
        <w:r w:rsidRPr="00B47CCE">
          <w:rPr>
            <w:rFonts w:ascii="FrankRuehl" w:hAnsi="FrankRuehl" w:cs="FrankRuehl"/>
            <w:color w:val="0000FF"/>
            <w:rtl/>
          </w:rPr>
          <w:t>7.א.</w:t>
        </w:r>
      </w:hyperlink>
      <w:r w:rsidRPr="00B47CCE">
        <w:rPr>
          <w:rFonts w:ascii="FrankRuehl" w:hAnsi="FrankRuehl" w:cs="FrankRuehl"/>
          <w:rtl/>
        </w:rPr>
        <w:t xml:space="preserve">, </w:t>
      </w:r>
      <w:hyperlink r:id="rId9" w:history="1">
        <w:r w:rsidRPr="00B47CCE">
          <w:rPr>
            <w:rFonts w:ascii="FrankRuehl" w:hAnsi="FrankRuehl" w:cs="FrankRuehl"/>
            <w:color w:val="0000FF"/>
            <w:rtl/>
          </w:rPr>
          <w:t>7.ג</w:t>
        </w:r>
      </w:hyperlink>
      <w:r w:rsidRPr="00B47CCE">
        <w:rPr>
          <w:rFonts w:ascii="FrankRuehl" w:hAnsi="FrankRuehl" w:cs="FrankRuehl"/>
          <w:rtl/>
        </w:rPr>
        <w:t xml:space="preserve">, </w:t>
      </w:r>
      <w:hyperlink r:id="rId10" w:history="1">
        <w:r w:rsidRPr="00B47CCE">
          <w:rPr>
            <w:rFonts w:ascii="FrankRuehl" w:hAnsi="FrankRuehl" w:cs="FrankRuehl"/>
            <w:color w:val="0000FF"/>
            <w:rtl/>
          </w:rPr>
          <w:t>13</w:t>
        </w:r>
      </w:hyperlink>
      <w:r w:rsidRPr="00B47CCE">
        <w:rPr>
          <w:rFonts w:ascii="FrankRuehl" w:hAnsi="FrankRuehl" w:cs="FrankRuehl"/>
          <w:rtl/>
        </w:rPr>
        <w:t xml:space="preserve">, </w:t>
      </w:r>
      <w:hyperlink r:id="rId11" w:history="1">
        <w:r w:rsidRPr="00B47CCE">
          <w:rPr>
            <w:rFonts w:ascii="FrankRuehl" w:hAnsi="FrankRuehl" w:cs="FrankRuehl"/>
            <w:color w:val="0000FF"/>
            <w:rtl/>
          </w:rPr>
          <w:t>19.א</w:t>
        </w:r>
      </w:hyperlink>
      <w:r w:rsidRPr="00B47CCE">
        <w:rPr>
          <w:rFonts w:ascii="FrankRuehl" w:hAnsi="FrankRuehl" w:cs="FrankRuehl"/>
          <w:rtl/>
        </w:rPr>
        <w:t xml:space="preserve">, </w:t>
      </w:r>
      <w:hyperlink r:id="rId12" w:history="1">
        <w:r w:rsidRPr="00B47CCE">
          <w:rPr>
            <w:rFonts w:ascii="FrankRuehl" w:hAnsi="FrankRuehl" w:cs="FrankRuehl"/>
            <w:color w:val="0000FF"/>
            <w:rtl/>
          </w:rPr>
          <w:t>19א</w:t>
        </w:r>
      </w:hyperlink>
    </w:p>
    <w:p w14:paraId="722A64F8" w14:textId="77777777" w:rsidR="00B47CCE" w:rsidRPr="00B47CCE" w:rsidRDefault="00B47CCE" w:rsidP="00B47CCE">
      <w:pPr>
        <w:spacing w:before="120" w:after="120" w:line="240" w:lineRule="exact"/>
        <w:ind w:left="283" w:hanging="283"/>
        <w:jc w:val="both"/>
        <w:rPr>
          <w:rFonts w:ascii="FrankRuehl" w:hAnsi="FrankRuehl" w:cs="FrankRuehl"/>
          <w:rtl/>
        </w:rPr>
      </w:pPr>
      <w:hyperlink r:id="rId13" w:history="1">
        <w:r w:rsidRPr="00B47CCE">
          <w:rPr>
            <w:rFonts w:ascii="FrankRuehl" w:hAnsi="FrankRuehl" w:cs="FrankRuehl"/>
            <w:color w:val="0000FF"/>
            <w:rtl/>
          </w:rPr>
          <w:t>חוק העונשין, תשל"ז-1977</w:t>
        </w:r>
      </w:hyperlink>
      <w:r w:rsidRPr="00B47CCE">
        <w:rPr>
          <w:rFonts w:ascii="FrankRuehl" w:hAnsi="FrankRuehl" w:cs="FrankRuehl"/>
          <w:rtl/>
        </w:rPr>
        <w:t xml:space="preserve">: סע'  </w:t>
      </w:r>
      <w:hyperlink r:id="rId14" w:history="1">
        <w:r w:rsidRPr="00B47CCE">
          <w:rPr>
            <w:rFonts w:ascii="FrankRuehl" w:hAnsi="FrankRuehl" w:cs="FrankRuehl"/>
            <w:color w:val="0000FF"/>
            <w:rtl/>
          </w:rPr>
          <w:t>25</w:t>
        </w:r>
      </w:hyperlink>
      <w:r w:rsidRPr="00B47CCE">
        <w:rPr>
          <w:rFonts w:ascii="FrankRuehl" w:hAnsi="FrankRuehl" w:cs="FrankRuehl"/>
          <w:rtl/>
        </w:rPr>
        <w:t xml:space="preserve">, </w:t>
      </w:r>
      <w:hyperlink r:id="rId15" w:history="1">
        <w:r w:rsidRPr="00B47CCE">
          <w:rPr>
            <w:rFonts w:ascii="FrankRuehl" w:hAnsi="FrankRuehl" w:cs="FrankRuehl"/>
            <w:color w:val="0000FF"/>
            <w:rtl/>
          </w:rPr>
          <w:t>40ט'</w:t>
        </w:r>
      </w:hyperlink>
      <w:r w:rsidRPr="00B47CCE">
        <w:rPr>
          <w:rFonts w:ascii="FrankRuehl" w:hAnsi="FrankRuehl" w:cs="FrankRuehl"/>
          <w:rtl/>
        </w:rPr>
        <w:t xml:space="preserve">, </w:t>
      </w:r>
      <w:hyperlink r:id="rId16" w:history="1">
        <w:r w:rsidRPr="00B47CCE">
          <w:rPr>
            <w:rFonts w:ascii="FrankRuehl" w:hAnsi="FrankRuehl" w:cs="FrankRuehl"/>
            <w:color w:val="0000FF"/>
            <w:rtl/>
          </w:rPr>
          <w:t>40יא</w:t>
        </w:r>
      </w:hyperlink>
    </w:p>
    <w:p w14:paraId="5F707800" w14:textId="77777777" w:rsidR="00B47CCE" w:rsidRPr="00B47CCE" w:rsidRDefault="00B47CCE" w:rsidP="00B47CCE">
      <w:pPr>
        <w:rPr>
          <w:rFonts w:ascii="FrankRuehl" w:hAnsi="FrankRuehl" w:cs="FrankRuehl"/>
          <w:sz w:val="28"/>
          <w:szCs w:val="28"/>
          <w:rtl/>
        </w:rPr>
      </w:pPr>
      <w:bookmarkStart w:id="4" w:name="LawTable_End"/>
      <w:bookmarkEnd w:id="4"/>
    </w:p>
    <w:p w14:paraId="78B88637" w14:textId="77777777" w:rsidR="00F6643A" w:rsidRPr="00F44B76" w:rsidRDefault="00F6643A" w:rsidP="00F44B76">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643A" w:rsidRPr="00711E70" w14:paraId="340763B2" w14:textId="77777777" w:rsidTr="00F6643A">
        <w:trPr>
          <w:trHeight w:val="355"/>
          <w:jc w:val="center"/>
        </w:trPr>
        <w:tc>
          <w:tcPr>
            <w:tcW w:w="8820" w:type="dxa"/>
            <w:tcBorders>
              <w:top w:val="nil"/>
              <w:left w:val="nil"/>
              <w:bottom w:val="nil"/>
              <w:right w:val="nil"/>
            </w:tcBorders>
            <w:shd w:val="clear" w:color="auto" w:fill="auto"/>
          </w:tcPr>
          <w:p w14:paraId="5A01F399" w14:textId="77777777" w:rsidR="00587452" w:rsidRPr="00587452" w:rsidRDefault="00587452" w:rsidP="00587452">
            <w:pPr>
              <w:jc w:val="center"/>
              <w:rPr>
                <w:rFonts w:ascii="FrankRuehl" w:hAnsi="FrankRuehl" w:cs="FrankRuehl"/>
                <w:b/>
                <w:bCs/>
                <w:sz w:val="32"/>
                <w:szCs w:val="32"/>
                <w:u w:val="single"/>
                <w:rtl/>
              </w:rPr>
            </w:pPr>
            <w:bookmarkStart w:id="5" w:name="PsakDin" w:colFirst="0" w:colLast="0"/>
            <w:bookmarkEnd w:id="0"/>
            <w:bookmarkEnd w:id="1"/>
            <w:r w:rsidRPr="00587452">
              <w:rPr>
                <w:rFonts w:ascii="FrankRuehl" w:hAnsi="FrankRuehl" w:cs="FrankRuehl"/>
                <w:b/>
                <w:bCs/>
                <w:sz w:val="32"/>
                <w:szCs w:val="32"/>
                <w:u w:val="single"/>
                <w:rtl/>
              </w:rPr>
              <w:t>גזר דין</w:t>
            </w:r>
          </w:p>
          <w:p w14:paraId="17EB2C18" w14:textId="77777777" w:rsidR="00F6643A" w:rsidRPr="00587452" w:rsidRDefault="00F6643A" w:rsidP="00587452">
            <w:pPr>
              <w:jc w:val="center"/>
              <w:rPr>
                <w:rFonts w:ascii="FrankRuehl" w:hAnsi="FrankRuehl" w:cs="FrankRuehl"/>
                <w:b/>
                <w:bCs/>
                <w:sz w:val="32"/>
                <w:szCs w:val="32"/>
                <w:u w:val="single"/>
                <w:rtl/>
              </w:rPr>
            </w:pPr>
          </w:p>
        </w:tc>
      </w:tr>
      <w:bookmarkEnd w:id="5"/>
    </w:tbl>
    <w:p w14:paraId="1A886860" w14:textId="77777777" w:rsidR="00F6643A" w:rsidRPr="002B7D23" w:rsidRDefault="00F6643A" w:rsidP="00F6643A">
      <w:pPr>
        <w:rPr>
          <w:rFonts w:ascii="David" w:hAnsi="David"/>
          <w:sz w:val="26"/>
          <w:szCs w:val="26"/>
          <w:rtl/>
        </w:rPr>
      </w:pPr>
    </w:p>
    <w:p w14:paraId="7E18F400" w14:textId="77777777" w:rsidR="00F6643A" w:rsidRDefault="00F6643A" w:rsidP="00F6643A">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1E55AEFF" w14:textId="77777777" w:rsidR="00F6643A" w:rsidRPr="006C3406" w:rsidRDefault="00F6643A" w:rsidP="00F6643A">
      <w:pPr>
        <w:spacing w:line="360" w:lineRule="auto"/>
        <w:jc w:val="both"/>
        <w:rPr>
          <w:rFonts w:cs="FrankRuehl"/>
          <w:sz w:val="28"/>
          <w:szCs w:val="28"/>
        </w:rPr>
      </w:pPr>
      <w:bookmarkStart w:id="6" w:name="ABSTRACT_START"/>
      <w:bookmarkEnd w:id="6"/>
      <w:r>
        <w:rPr>
          <w:rFonts w:cs="FrankRuehl" w:hint="cs"/>
          <w:sz w:val="28"/>
          <w:szCs w:val="28"/>
          <w:rtl/>
        </w:rPr>
        <w:t xml:space="preserve">מעובדות האישום הראשון עולה כי ביום 17.7.2020, לאחר תיאום טלפוני בין הנאשם לבין ד"ע כי הנאשם ימכור לו 1 גרם קנאביס תמורת 100 ₪, הגיע הנאשם רכוב על אופנוע למקום המפגש והשניים נפגשו. הנאשם נעצר על ידי המשטרה, טרם יצאה העסקה לפועל. באותן נסיבות, החזיק הנאשם בכיס מכנסיו ובאזור חלציו, 5 שקיות חלוקה שהכילו 18.09 גרם קנבוס, כאשר מתוכן 13.1 גרם חשיש ו </w:t>
      </w:r>
      <w:r>
        <w:rPr>
          <w:rFonts w:cs="FrankRuehl"/>
          <w:sz w:val="28"/>
          <w:szCs w:val="28"/>
          <w:rtl/>
        </w:rPr>
        <w:t>–</w:t>
      </w:r>
      <w:r>
        <w:rPr>
          <w:rFonts w:cs="FrankRuehl" w:hint="cs"/>
          <w:sz w:val="28"/>
          <w:szCs w:val="28"/>
          <w:rtl/>
        </w:rPr>
        <w:t xml:space="preserve"> 4.99 גרם קנבוס. בגין כך, הורשע הנאשם בעבירה של ניסיון לסחר בסמים, עבירה לפי </w:t>
      </w:r>
      <w:hyperlink r:id="rId17" w:history="1">
        <w:r w:rsidR="00B2684B" w:rsidRPr="00B2684B">
          <w:rPr>
            <w:rStyle w:val="Hyperlink"/>
            <w:rFonts w:cs="FrankRuehl" w:hint="eastAsia"/>
            <w:sz w:val="28"/>
            <w:szCs w:val="28"/>
            <w:rtl/>
          </w:rPr>
          <w:t>סעיפים</w:t>
        </w:r>
        <w:r w:rsidR="00B2684B" w:rsidRPr="00B2684B">
          <w:rPr>
            <w:rStyle w:val="Hyperlink"/>
            <w:rFonts w:cs="FrankRuehl"/>
            <w:sz w:val="28"/>
            <w:szCs w:val="28"/>
            <w:rtl/>
          </w:rPr>
          <w:t xml:space="preserve"> 13</w:t>
        </w:r>
      </w:hyperlink>
      <w:r>
        <w:rPr>
          <w:rFonts w:cs="FrankRuehl" w:hint="cs"/>
          <w:sz w:val="28"/>
          <w:szCs w:val="28"/>
          <w:rtl/>
        </w:rPr>
        <w:t xml:space="preserve"> + </w:t>
      </w:r>
      <w:hyperlink r:id="rId18" w:history="1">
        <w:r w:rsidR="00B2684B" w:rsidRPr="00B2684B">
          <w:rPr>
            <w:rStyle w:val="Hyperlink"/>
            <w:rFonts w:cs="FrankRuehl"/>
            <w:sz w:val="28"/>
            <w:szCs w:val="28"/>
            <w:rtl/>
          </w:rPr>
          <w:t>19א</w:t>
        </w:r>
      </w:hyperlink>
      <w:r>
        <w:rPr>
          <w:rFonts w:cs="FrankRuehl" w:hint="cs"/>
          <w:sz w:val="28"/>
          <w:szCs w:val="28"/>
          <w:rtl/>
        </w:rPr>
        <w:t xml:space="preserve"> ל</w:t>
      </w:r>
      <w:hyperlink r:id="rId19" w:history="1">
        <w:r w:rsidR="00587452" w:rsidRPr="00587452">
          <w:rPr>
            <w:rFonts w:cs="FrankRuehl"/>
            <w:color w:val="0000FF"/>
            <w:sz w:val="28"/>
            <w:szCs w:val="28"/>
            <w:u w:val="single"/>
            <w:rtl/>
          </w:rPr>
          <w:t>פקודת הסמים המסוכנים</w:t>
        </w:r>
      </w:hyperlink>
      <w:r>
        <w:rPr>
          <w:rFonts w:cs="FrankRuehl" w:hint="cs"/>
          <w:sz w:val="28"/>
          <w:szCs w:val="28"/>
          <w:rtl/>
        </w:rPr>
        <w:t xml:space="preserve"> (נוסח חדש), תשל"ג </w:t>
      </w:r>
      <w:r>
        <w:rPr>
          <w:rFonts w:cs="FrankRuehl"/>
          <w:sz w:val="28"/>
          <w:szCs w:val="28"/>
          <w:rtl/>
        </w:rPr>
        <w:t>–</w:t>
      </w:r>
      <w:r>
        <w:rPr>
          <w:rFonts w:cs="FrankRuehl" w:hint="cs"/>
          <w:sz w:val="28"/>
          <w:szCs w:val="28"/>
          <w:rtl/>
        </w:rPr>
        <w:t xml:space="preserve"> </w:t>
      </w:r>
      <w:bookmarkStart w:id="7" w:name="ABSTRACT_END"/>
      <w:bookmarkEnd w:id="7"/>
      <w:r>
        <w:rPr>
          <w:rFonts w:cs="FrankRuehl" w:hint="cs"/>
          <w:sz w:val="28"/>
          <w:szCs w:val="28"/>
          <w:rtl/>
        </w:rPr>
        <w:t>1973 (</w:t>
      </w:r>
      <w:r>
        <w:rPr>
          <w:rFonts w:cs="FrankRuehl" w:hint="cs"/>
          <w:b/>
          <w:bCs/>
          <w:sz w:val="28"/>
          <w:szCs w:val="28"/>
          <w:rtl/>
        </w:rPr>
        <w:t>פקודת הסמים</w:t>
      </w:r>
      <w:r>
        <w:rPr>
          <w:rFonts w:cs="FrankRuehl" w:hint="cs"/>
          <w:sz w:val="28"/>
          <w:szCs w:val="28"/>
          <w:rtl/>
        </w:rPr>
        <w:t xml:space="preserve">) + </w:t>
      </w:r>
      <w:hyperlink r:id="rId20" w:history="1">
        <w:r w:rsidR="00B2684B" w:rsidRPr="00B2684B">
          <w:rPr>
            <w:rStyle w:val="Hyperlink"/>
            <w:rFonts w:cs="FrankRuehl" w:hint="eastAsia"/>
            <w:sz w:val="28"/>
            <w:szCs w:val="28"/>
            <w:rtl/>
          </w:rPr>
          <w:t>סעיף</w:t>
        </w:r>
        <w:r w:rsidR="00B2684B" w:rsidRPr="00B2684B">
          <w:rPr>
            <w:rStyle w:val="Hyperlink"/>
            <w:rFonts w:cs="FrankRuehl"/>
            <w:sz w:val="28"/>
            <w:szCs w:val="28"/>
            <w:rtl/>
          </w:rPr>
          <w:t xml:space="preserve"> 25</w:t>
        </w:r>
      </w:hyperlink>
      <w:r>
        <w:rPr>
          <w:rFonts w:cs="FrankRuehl" w:hint="cs"/>
          <w:sz w:val="28"/>
          <w:szCs w:val="28"/>
          <w:rtl/>
        </w:rPr>
        <w:t xml:space="preserve"> ל</w:t>
      </w:r>
      <w:hyperlink r:id="rId21" w:history="1">
        <w:r w:rsidR="00587452" w:rsidRPr="00587452">
          <w:rPr>
            <w:rFonts w:cs="FrankRuehl"/>
            <w:color w:val="0000FF"/>
            <w:sz w:val="28"/>
            <w:szCs w:val="28"/>
            <w:u w:val="single"/>
            <w:rtl/>
          </w:rPr>
          <w:t>חוק העונשין</w:t>
        </w:r>
      </w:hyperlink>
      <w:r>
        <w:rPr>
          <w:rFonts w:cs="FrankRuehl" w:hint="cs"/>
          <w:sz w:val="28"/>
          <w:szCs w:val="28"/>
          <w:rtl/>
        </w:rPr>
        <w:t xml:space="preserve">, תשל"ז </w:t>
      </w:r>
      <w:r>
        <w:rPr>
          <w:rFonts w:cs="FrankRuehl"/>
          <w:sz w:val="28"/>
          <w:szCs w:val="28"/>
          <w:rtl/>
        </w:rPr>
        <w:t>–</w:t>
      </w:r>
      <w:r>
        <w:rPr>
          <w:rFonts w:cs="FrankRuehl" w:hint="cs"/>
          <w:sz w:val="28"/>
          <w:szCs w:val="28"/>
          <w:rtl/>
        </w:rPr>
        <w:t xml:space="preserve"> 1977 (</w:t>
      </w:r>
      <w:r>
        <w:rPr>
          <w:rFonts w:cs="FrankRuehl" w:hint="cs"/>
          <w:b/>
          <w:bCs/>
          <w:sz w:val="28"/>
          <w:szCs w:val="28"/>
          <w:rtl/>
        </w:rPr>
        <w:t>חוק העונשין</w:t>
      </w:r>
      <w:r>
        <w:rPr>
          <w:rFonts w:cs="FrankRuehl" w:hint="cs"/>
          <w:sz w:val="28"/>
          <w:szCs w:val="28"/>
          <w:rtl/>
        </w:rPr>
        <w:t xml:space="preserve">) ובעבירה של החזקת סמים </w:t>
      </w:r>
      <w:r>
        <w:rPr>
          <w:rFonts w:cs="FrankRuehl" w:hint="cs"/>
          <w:sz w:val="28"/>
          <w:szCs w:val="28"/>
          <w:rtl/>
        </w:rPr>
        <w:lastRenderedPageBreak/>
        <w:t xml:space="preserve">שלא לצריכה עצמית, לפי סעיפים </w:t>
      </w:r>
      <w:hyperlink r:id="rId22" w:history="1">
        <w:r w:rsidR="00B2684B" w:rsidRPr="00B2684B">
          <w:rPr>
            <w:rStyle w:val="Hyperlink"/>
            <w:rFonts w:cs="FrankRuehl"/>
            <w:sz w:val="28"/>
            <w:szCs w:val="28"/>
            <w:rtl/>
          </w:rPr>
          <w:t>7(א) + 7(ג)</w:t>
        </w:r>
      </w:hyperlink>
      <w:r>
        <w:rPr>
          <w:rFonts w:cs="FrankRuehl" w:hint="cs"/>
          <w:sz w:val="28"/>
          <w:szCs w:val="28"/>
          <w:rtl/>
        </w:rPr>
        <w:t xml:space="preserve"> רישא לפקודת הסמים. מעובדות האישום השני עולה, כי ביום 15.7.2020, לאחר תיאום טלפוני בין הנאשם לבין ע"ס, מכר הנאשם לע"ס 5 גרם קנבוס, תמורת 250 ₪. בגין כך, הורשע הנאשם בעבירה של סחר בסמים, לפי סעיפים </w:t>
      </w:r>
      <w:hyperlink r:id="rId23" w:history="1">
        <w:r w:rsidR="00B2684B" w:rsidRPr="00B2684B">
          <w:rPr>
            <w:rStyle w:val="Hyperlink"/>
            <w:rFonts w:cs="FrankRuehl"/>
            <w:sz w:val="28"/>
            <w:szCs w:val="28"/>
            <w:rtl/>
          </w:rPr>
          <w:t>13 + 19א</w:t>
        </w:r>
      </w:hyperlink>
      <w:r>
        <w:rPr>
          <w:rFonts w:cs="FrankRuehl" w:hint="cs"/>
          <w:sz w:val="28"/>
          <w:szCs w:val="28"/>
          <w:rtl/>
        </w:rPr>
        <w:t xml:space="preserve"> ל</w:t>
      </w:r>
      <w:hyperlink r:id="rId24" w:history="1">
        <w:r w:rsidR="00587452" w:rsidRPr="00587452">
          <w:rPr>
            <w:rFonts w:cs="FrankRuehl"/>
            <w:color w:val="0000FF"/>
            <w:sz w:val="28"/>
            <w:szCs w:val="28"/>
            <w:u w:val="single"/>
            <w:rtl/>
          </w:rPr>
          <w:t>פקודת הסמים המסוכנים</w:t>
        </w:r>
      </w:hyperlink>
      <w:r>
        <w:rPr>
          <w:rFonts w:cs="FrankRuehl" w:hint="cs"/>
          <w:sz w:val="28"/>
          <w:szCs w:val="28"/>
          <w:rtl/>
        </w:rPr>
        <w:t xml:space="preserve">. מעובדות האישום השלישי עולה, כי ביום 5.7.2020, מכר הנאשם לש"ל, 5 גרם קנבוס תמורת 400 ₪, זאת לאחר תיאום טלפוני ומפגש בין השניים. בגין כך, הורשע הנאשם בעבירה של סחר בסמים, לפי סעיפים </w:t>
      </w:r>
      <w:hyperlink r:id="rId25" w:history="1">
        <w:r w:rsidR="00B2684B" w:rsidRPr="00B2684B">
          <w:rPr>
            <w:rStyle w:val="Hyperlink"/>
            <w:rFonts w:cs="FrankRuehl"/>
            <w:sz w:val="28"/>
            <w:szCs w:val="28"/>
            <w:rtl/>
          </w:rPr>
          <w:t>13 + 19א</w:t>
        </w:r>
      </w:hyperlink>
      <w:r>
        <w:rPr>
          <w:rFonts w:cs="FrankRuehl" w:hint="cs"/>
          <w:sz w:val="28"/>
          <w:szCs w:val="28"/>
          <w:rtl/>
        </w:rPr>
        <w:t xml:space="preserve"> ל</w:t>
      </w:r>
      <w:hyperlink r:id="rId26" w:history="1">
        <w:r w:rsidR="00587452" w:rsidRPr="00587452">
          <w:rPr>
            <w:rFonts w:cs="FrankRuehl"/>
            <w:color w:val="0000FF"/>
            <w:sz w:val="28"/>
            <w:szCs w:val="28"/>
            <w:u w:val="single"/>
            <w:rtl/>
          </w:rPr>
          <w:t>פקודת הסמים המסוכנים</w:t>
        </w:r>
      </w:hyperlink>
      <w:r>
        <w:rPr>
          <w:rFonts w:cs="FrankRuehl" w:hint="cs"/>
          <w:sz w:val="28"/>
          <w:szCs w:val="28"/>
          <w:rtl/>
        </w:rPr>
        <w:t>.</w:t>
      </w:r>
    </w:p>
    <w:p w14:paraId="58271E03" w14:textId="77777777" w:rsidR="00F6643A" w:rsidRDefault="00F6643A" w:rsidP="00F6643A">
      <w:pPr>
        <w:spacing w:line="360" w:lineRule="auto"/>
        <w:jc w:val="both"/>
        <w:rPr>
          <w:rFonts w:cs="FrankRuehl"/>
          <w:b/>
          <w:bCs/>
          <w:sz w:val="28"/>
          <w:szCs w:val="28"/>
          <w:u w:val="single"/>
          <w:rtl/>
        </w:rPr>
      </w:pPr>
    </w:p>
    <w:p w14:paraId="6FB74DD3" w14:textId="77777777" w:rsidR="00F6643A" w:rsidRDefault="00F6643A" w:rsidP="00F6643A">
      <w:pPr>
        <w:spacing w:line="360" w:lineRule="auto"/>
        <w:jc w:val="both"/>
        <w:rPr>
          <w:rFonts w:cs="FrankRuehl"/>
          <w:b/>
          <w:bCs/>
          <w:sz w:val="28"/>
          <w:szCs w:val="28"/>
          <w:u w:val="single"/>
          <w:rtl/>
        </w:rPr>
      </w:pPr>
      <w:r>
        <w:rPr>
          <w:rFonts w:cs="FrankRuehl"/>
          <w:b/>
          <w:bCs/>
          <w:sz w:val="28"/>
          <w:szCs w:val="28"/>
          <w:u w:val="single"/>
          <w:rtl/>
        </w:rPr>
        <w:t>מהלך הדיון</w:t>
      </w:r>
    </w:p>
    <w:p w14:paraId="663197B4" w14:textId="77777777" w:rsidR="00F6643A" w:rsidRPr="002D393B" w:rsidRDefault="00F6643A" w:rsidP="00F6643A">
      <w:pPr>
        <w:spacing w:line="360" w:lineRule="auto"/>
        <w:jc w:val="both"/>
        <w:rPr>
          <w:rFonts w:cs="FrankRuehl"/>
          <w:sz w:val="28"/>
          <w:szCs w:val="28"/>
        </w:rPr>
      </w:pPr>
      <w:r>
        <w:rPr>
          <w:rFonts w:cs="FrankRuehl" w:hint="cs"/>
          <w:sz w:val="28"/>
          <w:szCs w:val="28"/>
          <w:rtl/>
        </w:rPr>
        <w:t xml:space="preserve">נגד הנאשם הוגש כתב אישום ביום 30.7.2020 יחד עם בקשה למעצר עד תום ההליכים. ביום 3.8.2020, שוחרר הנאשם למעצר בית מלא, כאשר מעת לעת, הוקלו תנאי מעצר הבית. ביום 8.3.2021, הנאשם הודה והורשע בכתב האישום המתוקן, במסגרת הסדר טיעון, ללא הסכמה עונשית ונשלח לשירות המבחן ולממונה לעבודות שירות. </w:t>
      </w:r>
    </w:p>
    <w:p w14:paraId="1795BE91" w14:textId="77777777" w:rsidR="00F6643A" w:rsidRDefault="00F6643A" w:rsidP="00F6643A">
      <w:pPr>
        <w:spacing w:line="360" w:lineRule="auto"/>
        <w:jc w:val="both"/>
        <w:rPr>
          <w:rFonts w:cs="FrankRuehl"/>
          <w:b/>
          <w:bCs/>
          <w:sz w:val="28"/>
          <w:szCs w:val="28"/>
          <w:u w:val="single"/>
        </w:rPr>
      </w:pPr>
    </w:p>
    <w:p w14:paraId="66BC82E9" w14:textId="77777777" w:rsidR="00F6643A" w:rsidRDefault="00F6643A" w:rsidP="00F6643A">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68F7145C" w14:textId="77777777" w:rsidR="00F6643A" w:rsidRDefault="00F6643A" w:rsidP="00F6643A">
      <w:pPr>
        <w:spacing w:line="360" w:lineRule="auto"/>
        <w:jc w:val="both"/>
        <w:rPr>
          <w:rFonts w:cs="FrankRuehl"/>
          <w:sz w:val="28"/>
          <w:szCs w:val="28"/>
          <w:rtl/>
        </w:rPr>
      </w:pPr>
      <w:r>
        <w:rPr>
          <w:rFonts w:cs="FrankRuehl"/>
          <w:sz w:val="28"/>
          <w:szCs w:val="28"/>
          <w:rtl/>
        </w:rPr>
        <w:t>מתסקיר</w:t>
      </w:r>
      <w:r>
        <w:rPr>
          <w:rFonts w:cs="FrankRuehl" w:hint="cs"/>
          <w:sz w:val="28"/>
          <w:szCs w:val="28"/>
          <w:rtl/>
        </w:rPr>
        <w:t>י</w:t>
      </w:r>
      <w:r>
        <w:rPr>
          <w:rFonts w:cs="FrankRuehl"/>
          <w:sz w:val="28"/>
          <w:szCs w:val="28"/>
          <w:rtl/>
        </w:rPr>
        <w:t xml:space="preserve"> שהוגש</w:t>
      </w:r>
      <w:r>
        <w:rPr>
          <w:rFonts w:cs="FrankRuehl" w:hint="cs"/>
          <w:sz w:val="28"/>
          <w:szCs w:val="28"/>
          <w:rtl/>
        </w:rPr>
        <w:t>ו</w:t>
      </w:r>
      <w:r>
        <w:rPr>
          <w:rFonts w:cs="FrankRuehl"/>
          <w:sz w:val="28"/>
          <w:szCs w:val="28"/>
          <w:rtl/>
        </w:rPr>
        <w:t xml:space="preserve"> בעניינו של הנאשם עולה</w:t>
      </w:r>
      <w:r>
        <w:rPr>
          <w:rFonts w:cs="FrankRuehl" w:hint="cs"/>
          <w:sz w:val="28"/>
          <w:szCs w:val="28"/>
          <w:rtl/>
        </w:rPr>
        <w:t xml:space="preserve"> כי הוא בן 25, רווק, עובד בעסק משפחתי ושוהה במעצר בית לילי אצל הוריו בגבעת זאב. הנאשם סיים 9 שנות לימוד תוך ששיתף, כי בגיל צעיר אובחן כסובל מהפרעות קשב וריכוז ותיאר קשיים בלימודים, על כן נשר מבית הספר. הנאשם סיפר, כי הקשר שלו ושל הוריו ידע עליות ומורדות והתאפיין בריבים מרובים שהתאפיינו באלימות מצד שני הצדדים, אך כיום מתגורר עמם ומקיים עמם קשר יציב. בהיותו בן 17, החל הנאשם לעבוד בעבודות מזדמנות בתחום האוכל ובמקביל לעבודתו התגורר בהוסטל "אתנחתא". בהיותו בן 19 השתלב במכינה צבאית ואל אף קשיי הסתגלות שחווה לדבריו, הצליח לסיים את המכינה בהצלחה, אך בסופו של יום, לא התגייס לצה"ל בשל מצבו הכלכלי ובשל היעדר תמיכה ממשפחתו. לאחר סיום המכינה, שכר דירה באופן עצמאי ועבד כשליח, עד חודש אפריל בשנה שעברה, עת עבר תאונת דרכים עם האופנוע שמנעה ממנו להמשיך בעבודתו כשליח. הנאשם תיאר כי לאחר התאונה ועד מעצרו בתיק זה, לא עבד. באשר לשימוש בחומרים ממכרים, הנאשם סיפר כי החל שימוש יומיומי בנייס גאי עת היה כבן 15, אך הפסיק ביוזמתו לאחר שלושה חודשים. בגיל 14 החל להשתמש באלכוהול, אך טוען כי כיום כבר אינו משתמש. לדברי הנאשם, בהיותו בן 19, השתלב בקהילת "מלכישוע", אך נשר מיוזמתו לאחר כחודשיים. שירות המבחן מסר כי בדיקות לגילוי שירידי סם שמסר, נמצאו נקיות. בעברו התעבורתי של הנאשם 3 הרשעות קודמות ובעברו הפלילי, הרשעה אחת מבית משפט לנוער בגין עבירות רכוש. אשר לעבירות הנוכחיות, </w:t>
      </w:r>
      <w:r>
        <w:rPr>
          <w:rFonts w:cs="FrankRuehl" w:hint="cs"/>
          <w:sz w:val="28"/>
          <w:szCs w:val="28"/>
          <w:rtl/>
        </w:rPr>
        <w:lastRenderedPageBreak/>
        <w:t xml:space="preserve">הנאשם ביטא הכרה בביצוען ובמניעיו והביע חרטה, אך להתרשמות השירות, נטה לצמצם מחומרתן. עוד התרשם השירות כי הנאשם גדל במערכת משפחתית מורכבת, עם קשיי הסתגלות וחוסר תמיכה. שירות המבחן המליץ לשלב את הנאשם בתהליך טיפולי במסגרתו ולהטיל עליו מעצר קצר בדמות של עבודות שירות. </w:t>
      </w:r>
    </w:p>
    <w:p w14:paraId="69D506F4" w14:textId="77777777" w:rsidR="00F6643A" w:rsidRDefault="00F6643A" w:rsidP="00F6643A">
      <w:pPr>
        <w:spacing w:line="360" w:lineRule="auto"/>
        <w:jc w:val="both"/>
        <w:rPr>
          <w:rFonts w:cs="FrankRuehl"/>
          <w:sz w:val="28"/>
          <w:szCs w:val="28"/>
          <w:rtl/>
        </w:rPr>
      </w:pPr>
    </w:p>
    <w:p w14:paraId="2C78B04F" w14:textId="77777777" w:rsidR="00F6643A" w:rsidRDefault="00F6643A" w:rsidP="00F6643A">
      <w:pPr>
        <w:spacing w:line="360" w:lineRule="auto"/>
        <w:jc w:val="both"/>
        <w:rPr>
          <w:rFonts w:cs="FrankRuehl"/>
          <w:sz w:val="28"/>
          <w:szCs w:val="28"/>
        </w:rPr>
      </w:pPr>
      <w:r>
        <w:rPr>
          <w:rFonts w:cs="FrankRuehl" w:hint="cs"/>
          <w:sz w:val="28"/>
          <w:szCs w:val="28"/>
          <w:rtl/>
        </w:rPr>
        <w:t>בתסקיר המשלים מחודש זה עלה כי הנאשם השתלב בטיפול פרטני שהנאשם מצוי בתחילתו. הנאשם מסר בדיקות שתן שנמצאו נקיות. שירות המבחן חזר על המלצתו, לרבות הטלת צו מבחן שיבטיח את המשך הטיפול.</w:t>
      </w:r>
    </w:p>
    <w:p w14:paraId="2D108F3B" w14:textId="77777777" w:rsidR="00F6643A" w:rsidRDefault="00F6643A" w:rsidP="00F6643A">
      <w:pPr>
        <w:spacing w:line="360" w:lineRule="auto"/>
        <w:jc w:val="both"/>
        <w:rPr>
          <w:rFonts w:cs="FrankRuehl"/>
          <w:b/>
          <w:bCs/>
          <w:sz w:val="28"/>
          <w:szCs w:val="28"/>
          <w:u w:val="single"/>
        </w:rPr>
      </w:pPr>
    </w:p>
    <w:p w14:paraId="6F539DAD" w14:textId="77777777" w:rsidR="00F6643A" w:rsidRDefault="00F6643A" w:rsidP="00F6643A">
      <w:pPr>
        <w:spacing w:line="360" w:lineRule="auto"/>
        <w:jc w:val="both"/>
        <w:rPr>
          <w:rFonts w:cs="FrankRuehl"/>
          <w:b/>
          <w:bCs/>
          <w:sz w:val="28"/>
          <w:szCs w:val="28"/>
          <w:u w:val="single"/>
        </w:rPr>
      </w:pPr>
      <w:r>
        <w:rPr>
          <w:rFonts w:cs="FrankRuehl"/>
          <w:b/>
          <w:bCs/>
          <w:sz w:val="28"/>
          <w:szCs w:val="28"/>
          <w:u w:val="single"/>
          <w:rtl/>
        </w:rPr>
        <w:t>חוות דעת של הממונה על עבודות השירות</w:t>
      </w:r>
    </w:p>
    <w:p w14:paraId="75D4EE7B" w14:textId="77777777" w:rsidR="00F6643A" w:rsidRDefault="00F6643A" w:rsidP="00F6643A">
      <w:pPr>
        <w:spacing w:line="360" w:lineRule="auto"/>
        <w:jc w:val="both"/>
        <w:rPr>
          <w:rFonts w:cs="FrankRuehl"/>
          <w:sz w:val="28"/>
          <w:szCs w:val="28"/>
          <w:rtl/>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כשיר לבצע עבודות שירות עם מגבלות שפורטו בחוות הדעת והמליץ להציבו בחברת קדישא בירושלים.</w:t>
      </w:r>
    </w:p>
    <w:p w14:paraId="04CDCF9C" w14:textId="77777777" w:rsidR="00F6643A" w:rsidRDefault="00F6643A" w:rsidP="00F6643A">
      <w:pPr>
        <w:spacing w:line="360" w:lineRule="auto"/>
        <w:jc w:val="both"/>
        <w:rPr>
          <w:rFonts w:cs="FrankRuehl"/>
          <w:sz w:val="28"/>
          <w:szCs w:val="28"/>
          <w:rtl/>
        </w:rPr>
      </w:pPr>
    </w:p>
    <w:p w14:paraId="66A24EF0" w14:textId="77777777" w:rsidR="00F6643A" w:rsidRDefault="00F6643A" w:rsidP="00F6643A">
      <w:pPr>
        <w:spacing w:line="360" w:lineRule="auto"/>
        <w:jc w:val="both"/>
        <w:rPr>
          <w:rFonts w:cs="FrankRuehl"/>
          <w:b/>
          <w:bCs/>
          <w:sz w:val="28"/>
          <w:szCs w:val="28"/>
          <w:u w:val="single"/>
          <w:rtl/>
        </w:rPr>
      </w:pPr>
      <w:r>
        <w:rPr>
          <w:rFonts w:cs="FrankRuehl"/>
          <w:b/>
          <w:bCs/>
          <w:sz w:val="28"/>
          <w:szCs w:val="28"/>
          <w:u w:val="single"/>
          <w:rtl/>
        </w:rPr>
        <w:t>ראיות לעונש</w:t>
      </w:r>
    </w:p>
    <w:p w14:paraId="7BBB4106" w14:textId="77777777" w:rsidR="00F6643A" w:rsidRDefault="00F6643A" w:rsidP="00F6643A">
      <w:pPr>
        <w:spacing w:line="360" w:lineRule="auto"/>
        <w:jc w:val="both"/>
        <w:rPr>
          <w:rFonts w:cs="FrankRuehl"/>
          <w:sz w:val="28"/>
          <w:szCs w:val="28"/>
        </w:rPr>
      </w:pPr>
      <w:r>
        <w:rPr>
          <w:rFonts w:cs="FrankRuehl" w:hint="cs"/>
          <w:sz w:val="28"/>
          <w:szCs w:val="28"/>
          <w:rtl/>
        </w:rPr>
        <w:t>לנאשם רישום פלילי הכולל הרשעה בעבירת גניבה משנת 2014.</w:t>
      </w:r>
    </w:p>
    <w:p w14:paraId="59BA7C56" w14:textId="77777777" w:rsidR="00F6643A" w:rsidRPr="00D11065" w:rsidRDefault="00F6643A" w:rsidP="00F6643A">
      <w:pPr>
        <w:spacing w:line="360" w:lineRule="auto"/>
        <w:jc w:val="both"/>
        <w:rPr>
          <w:rFonts w:cs="FrankRuehl"/>
          <w:b/>
          <w:bCs/>
          <w:sz w:val="28"/>
          <w:szCs w:val="28"/>
          <w:u w:val="single"/>
          <w:rtl/>
        </w:rPr>
      </w:pPr>
    </w:p>
    <w:p w14:paraId="6240E481" w14:textId="77777777" w:rsidR="00F6643A" w:rsidRDefault="00F6643A" w:rsidP="00F6643A">
      <w:pPr>
        <w:spacing w:line="360" w:lineRule="auto"/>
        <w:jc w:val="both"/>
        <w:rPr>
          <w:rFonts w:cs="FrankRuehl"/>
          <w:b/>
          <w:bCs/>
          <w:sz w:val="28"/>
          <w:szCs w:val="28"/>
          <w:u w:val="single"/>
          <w:rtl/>
        </w:rPr>
      </w:pPr>
      <w:r>
        <w:rPr>
          <w:rFonts w:cs="FrankRuehl"/>
          <w:b/>
          <w:bCs/>
          <w:sz w:val="28"/>
          <w:szCs w:val="28"/>
          <w:u w:val="single"/>
          <w:rtl/>
        </w:rPr>
        <w:t>טיעונים לעונש</w:t>
      </w:r>
    </w:p>
    <w:p w14:paraId="6E8B0CF7" w14:textId="77777777" w:rsidR="00F6643A" w:rsidRDefault="00F6643A" w:rsidP="00F6643A">
      <w:pPr>
        <w:spacing w:line="360" w:lineRule="auto"/>
        <w:jc w:val="both"/>
        <w:rPr>
          <w:rFonts w:cs="FrankRuehl"/>
          <w:sz w:val="28"/>
          <w:szCs w:val="28"/>
          <w:rtl/>
        </w:rPr>
      </w:pPr>
      <w:r>
        <w:rPr>
          <w:rFonts w:cs="FrankRuehl"/>
          <w:sz w:val="28"/>
          <w:szCs w:val="28"/>
          <w:rtl/>
        </w:rPr>
        <w:t xml:space="preserve">הצדדים לא הגיעו להסכמה עונשית. </w:t>
      </w:r>
    </w:p>
    <w:p w14:paraId="677D5358" w14:textId="77777777" w:rsidR="00F6643A" w:rsidRDefault="00F6643A" w:rsidP="00F6643A">
      <w:pPr>
        <w:spacing w:line="360" w:lineRule="auto"/>
        <w:jc w:val="both"/>
        <w:rPr>
          <w:rFonts w:cs="FrankRuehl"/>
          <w:sz w:val="28"/>
          <w:szCs w:val="28"/>
          <w:rtl/>
        </w:rPr>
      </w:pPr>
      <w:r>
        <w:rPr>
          <w:rFonts w:cs="FrankRuehl"/>
          <w:sz w:val="28"/>
          <w:szCs w:val="28"/>
          <w:rtl/>
        </w:rPr>
        <w:t xml:space="preserve">מחד, ב"כ המאשימה </w:t>
      </w:r>
      <w:r>
        <w:rPr>
          <w:rFonts w:cs="FrankRuehl" w:hint="cs"/>
          <w:sz w:val="28"/>
          <w:szCs w:val="28"/>
          <w:rtl/>
        </w:rPr>
        <w:t xml:space="preserve">עתרה להטיל על הנאשם מאסר בפועל על-פי מתחמים המתחילים ב-4 חודשים ומסתיימים ב-18 חודשים. מאידך, ביקש הסניגור להסתפק בתקופה לא ארוכה של עבודות שירות וצו מבחן. </w:t>
      </w:r>
    </w:p>
    <w:p w14:paraId="4DF33B4C" w14:textId="77777777" w:rsidR="00F6643A" w:rsidRDefault="00F6643A" w:rsidP="00F6643A">
      <w:pPr>
        <w:spacing w:line="360" w:lineRule="auto"/>
        <w:jc w:val="both"/>
        <w:rPr>
          <w:rFonts w:cs="FrankRuehl"/>
          <w:sz w:val="28"/>
          <w:szCs w:val="28"/>
          <w:rtl/>
        </w:rPr>
      </w:pPr>
    </w:p>
    <w:p w14:paraId="0736B4C5" w14:textId="77777777" w:rsidR="00F6643A" w:rsidRDefault="00F6643A" w:rsidP="00F6643A">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58C19B18" w14:textId="77777777" w:rsidR="00F6643A" w:rsidRDefault="00F6643A" w:rsidP="00F6643A">
      <w:pPr>
        <w:spacing w:line="360" w:lineRule="auto"/>
        <w:jc w:val="both"/>
        <w:rPr>
          <w:rFonts w:cs="FrankRuehl"/>
          <w:b/>
          <w:bCs/>
          <w:sz w:val="28"/>
          <w:szCs w:val="28"/>
          <w:u w:val="single"/>
        </w:rPr>
      </w:pPr>
    </w:p>
    <w:p w14:paraId="1667C409" w14:textId="77777777" w:rsidR="00F6643A" w:rsidRDefault="00F6643A" w:rsidP="00F6643A">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ברע"פ </w:t>
      </w:r>
      <w:hyperlink r:id="rId27" w:history="1">
        <w:r w:rsidR="00F44B76" w:rsidRPr="00F44B76">
          <w:rPr>
            <w:rFonts w:cs="FrankRuehl"/>
            <w:color w:val="0000FF"/>
            <w:sz w:val="28"/>
            <w:szCs w:val="28"/>
            <w:u w:val="single"/>
            <w:rtl/>
          </w:rPr>
          <w:t xml:space="preserve">3343/07 </w:t>
        </w:r>
      </w:hyperlink>
      <w:r>
        <w:rPr>
          <w:rFonts w:cs="FrankRuehl"/>
          <w:sz w:val="28"/>
          <w:szCs w:val="28"/>
          <w:rtl/>
        </w:rPr>
        <w:t xml:space="preserve">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בעניינו הפגיעה בערך המוגן נמוכה עד בינונית, בשל סוג הסם והכמות. </w:t>
      </w:r>
    </w:p>
    <w:p w14:paraId="25D8385B" w14:textId="77777777" w:rsidR="00F6643A" w:rsidRDefault="00F6643A" w:rsidP="00F6643A">
      <w:pPr>
        <w:spacing w:line="360" w:lineRule="auto"/>
        <w:jc w:val="both"/>
        <w:rPr>
          <w:rFonts w:cs="FrankRuehl"/>
          <w:sz w:val="28"/>
          <w:szCs w:val="28"/>
          <w:rtl/>
        </w:rPr>
      </w:pPr>
    </w:p>
    <w:p w14:paraId="72F6BF8A" w14:textId="77777777" w:rsidR="00F6643A" w:rsidRDefault="00F6643A" w:rsidP="00F6643A">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8" w:history="1">
        <w:r w:rsidR="00B2684B" w:rsidRPr="00B2684B">
          <w:rPr>
            <w:rStyle w:val="Hyperlink"/>
            <w:rFonts w:cs="FrankRuehl"/>
            <w:b/>
            <w:bCs/>
            <w:sz w:val="28"/>
            <w:szCs w:val="28"/>
            <w:rtl/>
          </w:rPr>
          <w:t>סעיף 40ט'</w:t>
        </w:r>
      </w:hyperlink>
      <w:r>
        <w:rPr>
          <w:rFonts w:cs="FrankRuehl"/>
          <w:b/>
          <w:bCs/>
          <w:sz w:val="28"/>
          <w:szCs w:val="28"/>
          <w:u w:val="single"/>
          <w:rtl/>
        </w:rPr>
        <w:t xml:space="preserve"> ל</w:t>
      </w:r>
      <w:hyperlink r:id="rId29" w:history="1">
        <w:r w:rsidR="00587452" w:rsidRPr="00587452">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שהתבצעה לאורך שבוע שלם בכמה עסקאות, ואלמלא היה נעצר הנאשם, היה ממשיך בשלו; הדברים בוצעו מתוך מטרה כלכלית, אך לא מתוך בצע כסף; הנאשם צריך היה להימנע מן המעשים בהיותו אדם בגיר; הנזק שנגרם בפועל אינו רב, על אף שמדובר בקליינטים שונים; הנזק הפוטנציאל</w:t>
      </w:r>
      <w:r>
        <w:rPr>
          <w:rFonts w:cs="FrankRuehl" w:hint="eastAsia"/>
          <w:sz w:val="28"/>
          <w:szCs w:val="28"/>
          <w:rtl/>
        </w:rPr>
        <w:t>י</w:t>
      </w:r>
      <w:r>
        <w:rPr>
          <w:rFonts w:cs="FrankRuehl" w:hint="cs"/>
          <w:sz w:val="28"/>
          <w:szCs w:val="28"/>
          <w:rtl/>
        </w:rPr>
        <w:t xml:space="preserve"> רב אף יותר אלמלא נתפס הנאשם.</w:t>
      </w:r>
    </w:p>
    <w:p w14:paraId="7F1F1215" w14:textId="77777777" w:rsidR="00F6643A" w:rsidRDefault="00F6643A" w:rsidP="00F6643A">
      <w:pPr>
        <w:spacing w:line="360" w:lineRule="auto"/>
        <w:jc w:val="both"/>
        <w:rPr>
          <w:rFonts w:cs="FrankRuehl"/>
          <w:sz w:val="28"/>
          <w:szCs w:val="28"/>
          <w:rtl/>
        </w:rPr>
      </w:pPr>
    </w:p>
    <w:p w14:paraId="6605A0B2" w14:textId="77777777" w:rsidR="00F6643A" w:rsidRDefault="00F6643A" w:rsidP="00F6643A">
      <w:pPr>
        <w:spacing w:after="160" w:line="360" w:lineRule="auto"/>
        <w:jc w:val="both"/>
        <w:rPr>
          <w:rFonts w:ascii="FrankRuehl" w:hAnsi="FrankRuehl" w:cs="FrankRuehl"/>
          <w:sz w:val="28"/>
          <w:szCs w:val="28"/>
        </w:rPr>
      </w:pPr>
      <w:r>
        <w:rPr>
          <w:rFonts w:cs="FrankRuehl"/>
          <w:b/>
          <w:bCs/>
          <w:sz w:val="28"/>
          <w:szCs w:val="28"/>
          <w:u w:val="single"/>
          <w:rtl/>
        </w:rPr>
        <w:t>מדיניות הענישה הנוהגת</w:t>
      </w:r>
      <w:r>
        <w:rPr>
          <w:rFonts w:cs="FrankRuehl"/>
          <w:b/>
          <w:bCs/>
          <w:sz w:val="28"/>
          <w:szCs w:val="28"/>
          <w:rtl/>
        </w:rPr>
        <w:t xml:space="preserve"> – </w:t>
      </w:r>
      <w:r>
        <w:rPr>
          <w:rFonts w:ascii="FrankRuehl" w:hAnsi="FrankRuehl" w:cs="FrankRuehl"/>
          <w:sz w:val="28"/>
          <w:szCs w:val="28"/>
          <w:rtl/>
        </w:rPr>
        <w:t xml:space="preserve">הכלל בעבירות סחר בסמים הוא מאסר בפועל, כשלרוב, יש לתת בכורה לשיקולי הרתעה וגמול, על-פני האינטרסים האישיים של נאשם, לרבות שיקומו. ר' בהקשר זה: רע"פ </w:t>
      </w:r>
      <w:hyperlink r:id="rId30" w:history="1">
        <w:r w:rsidR="00F44B76" w:rsidRPr="00F44B76">
          <w:rPr>
            <w:rFonts w:ascii="FrankRuehl" w:hAnsi="FrankRuehl" w:cs="FrankRuehl"/>
            <w:color w:val="0000FF"/>
            <w:sz w:val="28"/>
            <w:szCs w:val="28"/>
            <w:u w:val="single"/>
            <w:rtl/>
          </w:rPr>
          <w:t xml:space="preserve">3343/17 </w:t>
        </w:r>
      </w:hyperlink>
      <w:r>
        <w:rPr>
          <w:rFonts w:ascii="FrankRuehl" w:hAnsi="FrankRuehl" w:cs="FrankRuehl"/>
          <w:sz w:val="28"/>
          <w:szCs w:val="28"/>
          <w:rtl/>
        </w:rPr>
        <w:t xml:space="preserve"> </w:t>
      </w:r>
      <w:r>
        <w:rPr>
          <w:rFonts w:ascii="FrankRuehl" w:hAnsi="FrankRuehl" w:cs="FrankRuehl"/>
          <w:b/>
          <w:bCs/>
          <w:sz w:val="28"/>
          <w:szCs w:val="28"/>
          <w:u w:val="single"/>
          <w:rtl/>
        </w:rPr>
        <w:t>מכאוי</w:t>
      </w:r>
      <w:r>
        <w:rPr>
          <w:rFonts w:ascii="FrankRuehl" w:hAnsi="FrankRuehl" w:cs="FrankRuehl"/>
          <w:sz w:val="28"/>
          <w:szCs w:val="28"/>
          <w:rtl/>
        </w:rPr>
        <w:t xml:space="preserve"> נ' </w:t>
      </w:r>
      <w:r>
        <w:rPr>
          <w:rFonts w:ascii="FrankRuehl" w:hAnsi="FrankRuehl" w:cs="FrankRuehl"/>
          <w:b/>
          <w:bCs/>
          <w:sz w:val="28"/>
          <w:szCs w:val="28"/>
          <w:u w:val="single"/>
          <w:rtl/>
        </w:rPr>
        <w:t>מ"</w:t>
      </w:r>
      <w:r>
        <w:rPr>
          <w:rFonts w:ascii="FrankRuehl" w:hAnsi="FrankRuehl" w:cs="FrankRuehl"/>
          <w:sz w:val="28"/>
          <w:szCs w:val="28"/>
          <w:rtl/>
        </w:rPr>
        <w:t>י (מיום 26.7.2017). ב</w:t>
      </w:r>
      <w:hyperlink r:id="rId31" w:history="1">
        <w:r w:rsidR="00587452" w:rsidRPr="00587452">
          <w:rPr>
            <w:rFonts w:ascii="FrankRuehl" w:hAnsi="FrankRuehl" w:cs="FrankRuehl"/>
            <w:color w:val="0000FF"/>
            <w:sz w:val="28"/>
            <w:szCs w:val="28"/>
            <w:u w:val="single"/>
            <w:rtl/>
          </w:rPr>
          <w:t>רע"פ 7996/12</w:t>
        </w:r>
      </w:hyperlink>
      <w:r>
        <w:rPr>
          <w:rFonts w:ascii="FrankRuehl" w:hAnsi="FrankRuehl" w:cs="FrankRuehl"/>
          <w:sz w:val="28"/>
          <w:szCs w:val="28"/>
          <w:rtl/>
        </w:rPr>
        <w:t xml:space="preserve"> </w:t>
      </w:r>
      <w:r>
        <w:rPr>
          <w:rFonts w:ascii="FrankRuehl" w:hAnsi="FrankRuehl" w:cs="FrankRuehl"/>
          <w:b/>
          <w:bCs/>
          <w:sz w:val="28"/>
          <w:szCs w:val="28"/>
          <w:u w:val="single"/>
          <w:rtl/>
        </w:rPr>
        <w:t>יוסף</w:t>
      </w:r>
      <w:r>
        <w:rPr>
          <w:rFonts w:ascii="FrankRuehl" w:hAnsi="FrankRuehl" w:cs="FrankRuehl"/>
          <w:sz w:val="28"/>
          <w:szCs w:val="28"/>
          <w:rtl/>
        </w:rPr>
        <w:t xml:space="preserve"> נ' </w:t>
      </w:r>
      <w:r>
        <w:rPr>
          <w:rFonts w:ascii="FrankRuehl" w:hAnsi="FrankRuehl" w:cs="FrankRuehl"/>
          <w:b/>
          <w:bCs/>
          <w:sz w:val="28"/>
          <w:szCs w:val="28"/>
          <w:u w:val="single"/>
          <w:rtl/>
        </w:rPr>
        <w:t>מ"</w:t>
      </w:r>
      <w:r>
        <w:rPr>
          <w:rFonts w:ascii="FrankRuehl" w:hAnsi="FrankRuehl" w:cs="FrankRuehl"/>
          <w:sz w:val="28"/>
          <w:szCs w:val="28"/>
          <w:rtl/>
        </w:rPr>
        <w:t>י (מיום 23.1.2013) נקבע מתחם ענישה בין 7 ל-18 חודשים בנסיבות של 4 מקרי סחר בחשיש וסחר בקוקאין (גרמים בודדים), ונאשם נדון ל-21 חודשי מאסר בגין מעשים נוספים; ב</w:t>
      </w:r>
      <w:hyperlink r:id="rId32" w:history="1">
        <w:r w:rsidR="00587452" w:rsidRPr="00587452">
          <w:rPr>
            <w:rFonts w:ascii="FrankRuehl" w:hAnsi="FrankRuehl" w:cs="FrankRuehl"/>
            <w:color w:val="0000FF"/>
            <w:sz w:val="28"/>
            <w:szCs w:val="28"/>
            <w:u w:val="single"/>
            <w:rtl/>
          </w:rPr>
          <w:t>רע"פ 1370/17</w:t>
        </w:r>
      </w:hyperlink>
      <w:r>
        <w:rPr>
          <w:rFonts w:ascii="FrankRuehl" w:hAnsi="FrankRuehl" w:cs="FrankRuehl"/>
          <w:sz w:val="28"/>
          <w:szCs w:val="28"/>
          <w:rtl/>
        </w:rPr>
        <w:t xml:space="preserve"> </w:t>
      </w:r>
      <w:r>
        <w:rPr>
          <w:rFonts w:ascii="FrankRuehl" w:hAnsi="FrankRuehl" w:cs="FrankRuehl"/>
          <w:b/>
          <w:bCs/>
          <w:sz w:val="28"/>
          <w:szCs w:val="28"/>
          <w:u w:val="single"/>
          <w:rtl/>
        </w:rPr>
        <w:t>בן נעים</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20.4.2017) נדון אדם ל-16 חודשי מאסר וחילוט, על בסיס מתחם שבין 12 ל-24 חודשי מאסר לגבי ריבוי מקרים של סחר בחשיש, לרבות בפלטת חשיש. יצוין, כי להבדיל ממקרנו, באותו מקרה דובר גם באישום של סחר בלמעלה מקילוגרם חשיש; ב</w:t>
      </w:r>
      <w:hyperlink r:id="rId33" w:history="1">
        <w:r w:rsidR="00587452" w:rsidRPr="00587452">
          <w:rPr>
            <w:rFonts w:ascii="FrankRuehl" w:hAnsi="FrankRuehl" w:cs="FrankRuehl"/>
            <w:color w:val="0000FF"/>
            <w:sz w:val="28"/>
            <w:szCs w:val="28"/>
            <w:u w:val="single"/>
            <w:rtl/>
          </w:rPr>
          <w:t>רע"פ 2139/16</w:t>
        </w:r>
      </w:hyperlink>
      <w:r>
        <w:rPr>
          <w:rFonts w:ascii="FrankRuehl" w:hAnsi="FrankRuehl" w:cs="FrankRuehl"/>
          <w:sz w:val="28"/>
          <w:szCs w:val="28"/>
          <w:rtl/>
        </w:rPr>
        <w:t xml:space="preserve"> </w:t>
      </w:r>
      <w:r>
        <w:rPr>
          <w:rFonts w:ascii="FrankRuehl" w:hAnsi="FrankRuehl" w:cs="FrankRuehl"/>
          <w:b/>
          <w:bCs/>
          <w:sz w:val="28"/>
          <w:szCs w:val="28"/>
          <w:u w:val="single"/>
          <w:rtl/>
        </w:rPr>
        <w:t>אברמס</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18.5.2016) אושר מתחם שבין 8 ל-27 חודשי מאסר ביחס לריבוי מקרים של סחר בחשיש, אם כי בכמויות גדולות לכל עסקה, מאשר במקרנו. שם הנאשם נדון ל-8 חודשי מאסר בפועל; ב</w:t>
      </w:r>
      <w:hyperlink r:id="rId34" w:history="1">
        <w:r w:rsidR="00587452" w:rsidRPr="00587452">
          <w:rPr>
            <w:rFonts w:ascii="FrankRuehl" w:hAnsi="FrankRuehl" w:cs="FrankRuehl"/>
            <w:color w:val="0000FF"/>
            <w:sz w:val="28"/>
            <w:szCs w:val="28"/>
            <w:u w:val="single"/>
            <w:rtl/>
          </w:rPr>
          <w:t>עפ"ג (חיפה) 23794-09-17</w:t>
        </w:r>
      </w:hyperlink>
      <w:r>
        <w:rPr>
          <w:rFonts w:ascii="FrankRuehl" w:hAnsi="FrankRuehl" w:cs="FrankRuehl"/>
          <w:sz w:val="28"/>
          <w:szCs w:val="28"/>
          <w:rtl/>
        </w:rPr>
        <w:t xml:space="preserve"> </w:t>
      </w:r>
      <w:r>
        <w:rPr>
          <w:rFonts w:ascii="FrankRuehl" w:hAnsi="FrankRuehl" w:cs="FrankRuehl"/>
          <w:b/>
          <w:bCs/>
          <w:sz w:val="28"/>
          <w:szCs w:val="28"/>
          <w:u w:val="single"/>
          <w:rtl/>
        </w:rPr>
        <w:t>ג'בארין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26.10.2017) אושר מתחם שבין חודשים ספורים ועד 18 חודשי מאסר למספר אישומים הנוגעים לסחר בחשיש אל מול סוכן בכמויות משתנות שבין 8 ל-90 גרם. שם הוטלו בין 10 ל-17 חודשי מאסר על נאשמים שונים בהתאם לנסיבותיהם המשתנות; ב</w:t>
      </w:r>
      <w:hyperlink r:id="rId35" w:history="1">
        <w:r w:rsidR="00587452" w:rsidRPr="00587452">
          <w:rPr>
            <w:rFonts w:ascii="FrankRuehl" w:hAnsi="FrankRuehl" w:cs="FrankRuehl"/>
            <w:color w:val="0000FF"/>
            <w:sz w:val="28"/>
            <w:szCs w:val="28"/>
            <w:u w:val="single"/>
            <w:rtl/>
          </w:rPr>
          <w:t>עפ"ג (י-ם) 10175-02-16</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דייני</w:t>
      </w:r>
      <w:r>
        <w:rPr>
          <w:rFonts w:ascii="FrankRuehl" w:hAnsi="FrankRuehl" w:cs="FrankRuehl"/>
          <w:sz w:val="28"/>
          <w:szCs w:val="28"/>
          <w:rtl/>
        </w:rPr>
        <w:t xml:space="preserve"> (מיום 14.6.2016) הסתיים הליך בעונש בעבודות שירות בשל שיקולי שיקום, כשנקבע מתחם שבין 5 ל-15 חודשי מאסר לנסיבות של ריבוי מכירות קנביס בכמות של 4 גרם בכל פעם, כשברקע הדחת קטינים; ב</w:t>
      </w:r>
      <w:hyperlink r:id="rId36" w:history="1">
        <w:r w:rsidR="00587452" w:rsidRPr="00587452">
          <w:rPr>
            <w:rFonts w:ascii="FrankRuehl" w:hAnsi="FrankRuehl" w:cs="FrankRuehl"/>
            <w:color w:val="0000FF"/>
            <w:sz w:val="28"/>
            <w:szCs w:val="28"/>
            <w:u w:val="single"/>
            <w:rtl/>
          </w:rPr>
          <w:t>עפ"ג (י-ם)  21958-07-16</w:t>
        </w:r>
      </w:hyperlink>
      <w:r>
        <w:rPr>
          <w:rFonts w:ascii="FrankRuehl" w:hAnsi="FrankRuehl" w:cs="FrankRuehl"/>
          <w:sz w:val="28"/>
          <w:szCs w:val="28"/>
          <w:rtl/>
        </w:rPr>
        <w:t xml:space="preserve"> </w:t>
      </w:r>
      <w:r>
        <w:rPr>
          <w:rFonts w:ascii="FrankRuehl" w:hAnsi="FrankRuehl" w:cs="FrankRuehl"/>
          <w:b/>
          <w:bCs/>
          <w:sz w:val="28"/>
          <w:szCs w:val="28"/>
          <w:u w:val="single"/>
          <w:rtl/>
        </w:rPr>
        <w:t>שם טוב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9.4.2018) הסתיים ההליך בעבודות שירות, חלף 10 חודשי מאסר שנגזרו בערכאה הדיונית, וזאת מטעמי שיקום. שם דובר במתחם שבין 10 חודשי מאסר ועד 30 חודשים ביחס למקרה של הדחת קטין לשימוש בסם על רקע חברתי ומכירה מספר פעמים לקטינים.</w:t>
      </w:r>
    </w:p>
    <w:p w14:paraId="00F2AA41" w14:textId="77777777" w:rsidR="00F6643A" w:rsidRDefault="00F6643A" w:rsidP="00F6643A">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w:t>
      </w:r>
      <w:r>
        <w:rPr>
          <w:rFonts w:ascii="FrankRuehl" w:hAnsi="FrankRuehl" w:cs="FrankRuehl"/>
          <w:sz w:val="28"/>
          <w:szCs w:val="28"/>
          <w:rtl/>
        </w:rPr>
        <w:t>יוער תחילה, כי החלטתי להתייחס למכלול האישומים כאל אירוע אחד לצורך קביעת המתחם, בשל סמיכות הזמנים, הנפשות הפועלות והיות האישומים רצף אחד של פעילות, על-פי מבחן הקשר ההדוק.</w:t>
      </w:r>
      <w:r>
        <w:rPr>
          <w:rFonts w:cs="FrankRuehl" w:hint="cs"/>
          <w:b/>
          <w:bCs/>
          <w:sz w:val="28"/>
          <w:szCs w:val="28"/>
          <w:rtl/>
        </w:rPr>
        <w:t xml:space="preserve"> </w:t>
      </w:r>
      <w:r>
        <w:rPr>
          <w:rFonts w:cs="FrankRuehl" w:hint="cs"/>
          <w:sz w:val="28"/>
          <w:szCs w:val="28"/>
          <w:rtl/>
        </w:rPr>
        <w:t>מתחם הענישה צריך לנוע בין מספר חודשי מאסר שיכול וירוצו בעבודות שירות ועד 18 חודשי מאסר בפועל.</w:t>
      </w:r>
    </w:p>
    <w:p w14:paraId="787A2E11" w14:textId="77777777" w:rsidR="00F6643A" w:rsidRPr="00747913" w:rsidRDefault="00F6643A" w:rsidP="00F6643A">
      <w:pPr>
        <w:spacing w:line="360" w:lineRule="auto"/>
        <w:jc w:val="both"/>
        <w:rPr>
          <w:rFonts w:cs="FrankRuehl"/>
          <w:sz w:val="28"/>
          <w:szCs w:val="28"/>
          <w:rtl/>
        </w:rPr>
      </w:pPr>
    </w:p>
    <w:p w14:paraId="024633B3" w14:textId="77777777" w:rsidR="00F6643A" w:rsidRDefault="00F6643A" w:rsidP="00F6643A">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7" w:history="1">
        <w:r w:rsidR="00B2684B" w:rsidRPr="00B2684B">
          <w:rPr>
            <w:rStyle w:val="Hyperlink"/>
            <w:rFonts w:cs="FrankRuehl"/>
            <w:b/>
            <w:bCs/>
            <w:sz w:val="28"/>
            <w:szCs w:val="28"/>
            <w:rtl/>
          </w:rPr>
          <w:t>סעיף 40י"א</w:t>
        </w:r>
      </w:hyperlink>
      <w:r>
        <w:rPr>
          <w:rFonts w:cs="FrankRuehl"/>
          <w:b/>
          <w:bCs/>
          <w:sz w:val="28"/>
          <w:szCs w:val="28"/>
          <w:u w:val="single"/>
          <w:rtl/>
        </w:rPr>
        <w:t xml:space="preserve"> ל</w:t>
      </w:r>
      <w:hyperlink r:id="rId38" w:history="1">
        <w:r w:rsidR="00587452" w:rsidRPr="00587452">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sidRPr="00133FCD">
        <w:rPr>
          <w:rFonts w:cs="FrankRuehl"/>
          <w:sz w:val="28"/>
          <w:szCs w:val="28"/>
          <w:rtl/>
        </w:rPr>
        <w:t xml:space="preserve"> הנאשם צעיר ללא עבר פלילי</w:t>
      </w:r>
      <w:r>
        <w:rPr>
          <w:rFonts w:cs="FrankRuehl" w:hint="cs"/>
          <w:sz w:val="28"/>
          <w:szCs w:val="28"/>
          <w:rtl/>
        </w:rPr>
        <w:t xml:space="preserve"> מכביד</w:t>
      </w:r>
      <w:r w:rsidRPr="00133FCD">
        <w:rPr>
          <w:rFonts w:cs="FrankRuehl"/>
          <w:sz w:val="28"/>
          <w:szCs w:val="28"/>
          <w:rtl/>
        </w:rPr>
        <w:t>; נסיבותיו האישיות אינן פשוטות, והוא מתמודד עם קשיים משפחתיים</w:t>
      </w:r>
      <w:r>
        <w:rPr>
          <w:rFonts w:cs="FrankRuehl" w:hint="cs"/>
          <w:sz w:val="28"/>
          <w:szCs w:val="28"/>
          <w:rtl/>
        </w:rPr>
        <w:t xml:space="preserve"> ואחרים וכיום מכלכל את עצמו וחי באופן עצמאי</w:t>
      </w:r>
      <w:r w:rsidRPr="00133FCD">
        <w:rPr>
          <w:rFonts w:cs="FrankRuehl"/>
          <w:sz w:val="28"/>
          <w:szCs w:val="28"/>
          <w:rtl/>
        </w:rPr>
        <w:t xml:space="preserve">; </w:t>
      </w:r>
      <w:r>
        <w:rPr>
          <w:rFonts w:cs="FrankRuehl" w:hint="cs"/>
          <w:sz w:val="28"/>
          <w:szCs w:val="28"/>
          <w:rtl/>
        </w:rPr>
        <w:t xml:space="preserve">הנאשם היה נתון בתנאים מגבילים תקופה ארוכה </w:t>
      </w:r>
      <w:r w:rsidRPr="00133FCD">
        <w:rPr>
          <w:rFonts w:cs="FrankRuehl"/>
          <w:sz w:val="28"/>
          <w:szCs w:val="28"/>
          <w:rtl/>
        </w:rPr>
        <w:t>ללא הפרות; הנאשם קיבל אחריות למעשיו, הביע חרטה וחשש מההליך הפלילי; הנאשם הביע נכונות להשתלב בטיפול במסגרת שירות המבחן ואני סבור כי בנסיבות העניין</w:t>
      </w:r>
      <w:r>
        <w:rPr>
          <w:rFonts w:cs="FrankRuehl" w:hint="cs"/>
          <w:sz w:val="28"/>
          <w:szCs w:val="28"/>
          <w:rtl/>
        </w:rPr>
        <w:t xml:space="preserve"> יש בכך כדי לסייע לו ולשקם את חייו. סברתי שאין מקום לשלוח את הנאשם למאסר בפועל מחשש לדרדורו, והעונש עליו הומלץ ע"י שירות המבחן הולם בנסיבות העניין, ואף מצוי במתחם הענישה. </w:t>
      </w:r>
    </w:p>
    <w:p w14:paraId="5A39F9DF" w14:textId="77777777" w:rsidR="00F6643A" w:rsidRDefault="00F6643A" w:rsidP="00F6643A">
      <w:pPr>
        <w:spacing w:line="360" w:lineRule="auto"/>
        <w:jc w:val="both"/>
        <w:rPr>
          <w:rFonts w:cs="FrankRuehl"/>
          <w:sz w:val="28"/>
          <w:szCs w:val="28"/>
          <w:rtl/>
        </w:rPr>
      </w:pPr>
    </w:p>
    <w:p w14:paraId="7D33C16B" w14:textId="77777777" w:rsidR="00F6643A" w:rsidRDefault="00F6643A" w:rsidP="00F6643A">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לאור האמור, יש למקם את הנאשם בתחתית המתחם שקבעתי.</w:t>
      </w:r>
    </w:p>
    <w:p w14:paraId="45901BCF" w14:textId="77777777" w:rsidR="00F6643A" w:rsidRDefault="00F6643A" w:rsidP="00F6643A">
      <w:pPr>
        <w:spacing w:line="360" w:lineRule="auto"/>
        <w:jc w:val="both"/>
        <w:rPr>
          <w:rFonts w:cs="FrankRuehl"/>
          <w:b/>
          <w:bCs/>
          <w:sz w:val="28"/>
          <w:szCs w:val="28"/>
          <w:u w:val="single"/>
          <w:rtl/>
        </w:rPr>
      </w:pPr>
    </w:p>
    <w:p w14:paraId="4487AA71" w14:textId="77777777" w:rsidR="00F6643A" w:rsidRDefault="00F6643A" w:rsidP="00F6643A">
      <w:pPr>
        <w:spacing w:line="360" w:lineRule="auto"/>
        <w:jc w:val="both"/>
        <w:rPr>
          <w:rFonts w:cs="FrankRuehl"/>
          <w:b/>
          <w:bCs/>
          <w:sz w:val="28"/>
          <w:szCs w:val="28"/>
          <w:u w:val="single"/>
          <w:rtl/>
        </w:rPr>
      </w:pPr>
      <w:r>
        <w:rPr>
          <w:rFonts w:cs="FrankRuehl"/>
          <w:b/>
          <w:bCs/>
          <w:sz w:val="28"/>
          <w:szCs w:val="28"/>
          <w:u w:val="single"/>
          <w:rtl/>
        </w:rPr>
        <w:t>גזירת הדין</w:t>
      </w:r>
    </w:p>
    <w:p w14:paraId="23A28D84" w14:textId="77777777" w:rsidR="00F6643A" w:rsidRDefault="00F6643A" w:rsidP="00F6643A">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E1BB9FA" w14:textId="77777777" w:rsidR="00F6643A" w:rsidRDefault="00F6643A" w:rsidP="00F6643A">
      <w:pPr>
        <w:numPr>
          <w:ilvl w:val="0"/>
          <w:numId w:val="1"/>
        </w:numPr>
        <w:spacing w:after="160" w:line="360" w:lineRule="auto"/>
        <w:contextualSpacing/>
        <w:jc w:val="both"/>
        <w:rPr>
          <w:rFonts w:cs="FrankRuehl"/>
          <w:sz w:val="28"/>
          <w:szCs w:val="28"/>
          <w:rtl/>
        </w:rPr>
      </w:pPr>
      <w:r>
        <w:rPr>
          <w:rFonts w:cs="FrankRuehl" w:hint="cs"/>
          <w:sz w:val="28"/>
          <w:szCs w:val="28"/>
          <w:rtl/>
        </w:rPr>
        <w:t xml:space="preserve">4 מאסר </w:t>
      </w:r>
      <w:r>
        <w:rPr>
          <w:rFonts w:cs="FrankRuehl"/>
          <w:sz w:val="28"/>
          <w:szCs w:val="28"/>
          <w:rtl/>
        </w:rPr>
        <w:t xml:space="preserve">אשר ירוצו בעבודות שירות, החל מיום </w:t>
      </w:r>
      <w:r>
        <w:rPr>
          <w:rFonts w:cs="FrankRuehl" w:hint="cs"/>
          <w:sz w:val="28"/>
          <w:szCs w:val="28"/>
          <w:rtl/>
        </w:rPr>
        <w:t>20.2.2022</w:t>
      </w:r>
      <w:r>
        <w:rPr>
          <w:rFonts w:cs="FrankRuehl"/>
          <w:sz w:val="28"/>
          <w:szCs w:val="28"/>
          <w:rtl/>
        </w:rPr>
        <w:t>, אשר ירוצו ב</w:t>
      </w:r>
      <w:r>
        <w:rPr>
          <w:rFonts w:cs="FrankRuehl" w:hint="cs"/>
          <w:sz w:val="28"/>
          <w:szCs w:val="28"/>
          <w:rtl/>
        </w:rPr>
        <w:t>חברה קדישא בקהילת ירושלים</w:t>
      </w:r>
      <w:r>
        <w:rPr>
          <w:rFonts w:cs="FrankRuehl"/>
          <w:sz w:val="28"/>
          <w:szCs w:val="28"/>
          <w:rtl/>
        </w:rPr>
        <w:t>, וזאת על פי חוות דעת הממונה על עבודות השירות. על הנאשם להתייצב ביום</w:t>
      </w:r>
      <w:r>
        <w:rPr>
          <w:rFonts w:cs="FrankRuehl" w:hint="cs"/>
          <w:sz w:val="28"/>
          <w:szCs w:val="28"/>
          <w:rtl/>
        </w:rPr>
        <w:t xml:space="preserve"> 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cs="FrankRuehl" w:hint="cs"/>
          <w:sz w:val="28"/>
          <w:szCs w:val="28"/>
          <w:rtl/>
        </w:rPr>
        <w:t>. מתקופה זו יש לנכות את ימי מעצרו בתיק זה ע"פ חישוב שב"ס שיכריע</w:t>
      </w:r>
      <w:r>
        <w:rPr>
          <w:rFonts w:cs="FrankRuehl"/>
          <w:sz w:val="28"/>
          <w:szCs w:val="28"/>
          <w:rtl/>
        </w:rPr>
        <w:t>;</w:t>
      </w:r>
    </w:p>
    <w:p w14:paraId="78BA680F" w14:textId="77777777" w:rsidR="00F6643A" w:rsidRDefault="00F6643A" w:rsidP="00F6643A">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בתוך שנתיים מסיום ביצוע עבודות השירות;</w:t>
      </w:r>
    </w:p>
    <w:p w14:paraId="22370927" w14:textId="77777777" w:rsidR="00F6643A" w:rsidRDefault="00F6643A" w:rsidP="00F6643A">
      <w:pPr>
        <w:numPr>
          <w:ilvl w:val="0"/>
          <w:numId w:val="1"/>
        </w:numPr>
        <w:spacing w:after="160" w:line="360" w:lineRule="auto"/>
        <w:contextualSpacing/>
        <w:jc w:val="both"/>
        <w:rPr>
          <w:rFonts w:cs="FrankRuehl"/>
          <w:sz w:val="28"/>
          <w:szCs w:val="28"/>
        </w:rPr>
      </w:pPr>
      <w:r>
        <w:rPr>
          <w:rFonts w:cs="FrankRuehl" w:hint="cs"/>
          <w:sz w:val="28"/>
          <w:szCs w:val="28"/>
          <w:rtl/>
        </w:rPr>
        <w:t>4 חודשי מאסר שלא ירוצה, אלא אם יעבור הנאשם כל עבירת פשע לפי פקודת הסמים בתוך שלוש שנים מסיום עבודות השירות;</w:t>
      </w:r>
    </w:p>
    <w:p w14:paraId="3466E0D4" w14:textId="77777777" w:rsidR="00F6643A" w:rsidRDefault="00F6643A" w:rsidP="00F6643A">
      <w:pPr>
        <w:numPr>
          <w:ilvl w:val="0"/>
          <w:numId w:val="1"/>
        </w:numPr>
        <w:spacing w:after="160" w:line="360" w:lineRule="auto"/>
        <w:contextualSpacing/>
        <w:jc w:val="both"/>
        <w:rPr>
          <w:rFonts w:cs="FrankRuehl"/>
          <w:sz w:val="28"/>
          <w:szCs w:val="28"/>
          <w:rtl/>
        </w:rPr>
      </w:pPr>
      <w:r>
        <w:rPr>
          <w:rFonts w:cs="FrankRuehl" w:hint="cs"/>
          <w:sz w:val="28"/>
          <w:szCs w:val="28"/>
          <w:rtl/>
        </w:rPr>
        <w:t xml:space="preserve">4 חודשי פסילה מלקבל ומלהחזיק רישיון נהיגה וזאת על-תנאי למשך 3 שנים מהיום שלא יעבור הנאשם כל עבירה לפי </w:t>
      </w:r>
      <w:hyperlink r:id="rId39" w:history="1">
        <w:r w:rsidR="00587452" w:rsidRPr="00587452">
          <w:rPr>
            <w:rFonts w:cs="FrankRuehl"/>
            <w:color w:val="0000FF"/>
            <w:sz w:val="28"/>
            <w:szCs w:val="28"/>
            <w:u w:val="single"/>
            <w:rtl/>
          </w:rPr>
          <w:t>פקודת הסמים המסוכנים</w:t>
        </w:r>
      </w:hyperlink>
      <w:r>
        <w:rPr>
          <w:rFonts w:cs="FrankRuehl" w:hint="cs"/>
          <w:sz w:val="28"/>
          <w:szCs w:val="28"/>
          <w:rtl/>
        </w:rPr>
        <w:t>;</w:t>
      </w:r>
    </w:p>
    <w:p w14:paraId="69CBFFAD" w14:textId="77777777" w:rsidR="00F6643A" w:rsidRDefault="00F6643A" w:rsidP="00F6643A">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 xml:space="preserve">2,000 </w:t>
      </w:r>
      <w:r>
        <w:rPr>
          <w:rFonts w:cs="FrankRuehl"/>
          <w:sz w:val="28"/>
          <w:szCs w:val="28"/>
          <w:rtl/>
        </w:rPr>
        <w:t xml:space="preserve"> ₪, או  </w:t>
      </w:r>
      <w:r>
        <w:rPr>
          <w:rFonts w:cs="FrankRuehl" w:hint="cs"/>
          <w:sz w:val="28"/>
          <w:szCs w:val="28"/>
          <w:rtl/>
        </w:rPr>
        <w:t xml:space="preserve">8 </w:t>
      </w:r>
      <w:r>
        <w:rPr>
          <w:rFonts w:cs="FrankRuehl"/>
          <w:sz w:val="28"/>
          <w:szCs w:val="28"/>
          <w:rtl/>
        </w:rPr>
        <w:t>ימי מאסר תמורתו אם לא ישולם. הקנס ישולם</w:t>
      </w:r>
      <w:r>
        <w:rPr>
          <w:rFonts w:cs="FrankRuehl" w:hint="cs"/>
          <w:sz w:val="28"/>
          <w:szCs w:val="28"/>
          <w:rtl/>
        </w:rPr>
        <w:t xml:space="preserve"> </w:t>
      </w:r>
      <w:r>
        <w:rPr>
          <w:rFonts w:cs="FrankRuehl"/>
          <w:sz w:val="28"/>
          <w:szCs w:val="28"/>
          <w:rtl/>
        </w:rPr>
        <w:t>ב-</w:t>
      </w:r>
      <w:r>
        <w:rPr>
          <w:rFonts w:cs="FrankRuehl" w:hint="cs"/>
          <w:sz w:val="28"/>
          <w:szCs w:val="28"/>
          <w:rtl/>
        </w:rPr>
        <w:t>5</w:t>
      </w:r>
      <w:r>
        <w:rPr>
          <w:rFonts w:cs="FrankRuehl"/>
          <w:sz w:val="28"/>
          <w:szCs w:val="28"/>
          <w:rtl/>
        </w:rPr>
        <w:t xml:space="preserve"> תשלומים שווים ורצופים ב-</w:t>
      </w:r>
      <w:r>
        <w:rPr>
          <w:rFonts w:cs="FrankRuehl" w:hint="cs"/>
          <w:sz w:val="28"/>
          <w:szCs w:val="28"/>
          <w:rtl/>
        </w:rPr>
        <w:t>1</w:t>
      </w:r>
      <w:r>
        <w:rPr>
          <w:rFonts w:cs="FrankRuehl"/>
          <w:sz w:val="28"/>
          <w:szCs w:val="28"/>
          <w:rtl/>
        </w:rPr>
        <w:t xml:space="preserve"> בכל  חודש</w:t>
      </w:r>
      <w:r>
        <w:rPr>
          <w:rFonts w:cs="FrankRuehl" w:hint="cs"/>
          <w:sz w:val="28"/>
          <w:szCs w:val="28"/>
          <w:rtl/>
        </w:rPr>
        <w:t xml:space="preserve"> החל מיום 1.3.2022</w:t>
      </w:r>
      <w:r>
        <w:rPr>
          <w:rFonts w:cs="FrankRuehl"/>
          <w:sz w:val="28"/>
          <w:szCs w:val="28"/>
          <w:rtl/>
        </w:rPr>
        <w:t>. 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521C87CF" w14:textId="77777777" w:rsidR="00F6643A" w:rsidRDefault="00F6643A" w:rsidP="00F6643A">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12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r>
        <w:rPr>
          <w:rFonts w:cs="FrankRuehl" w:hint="cs"/>
          <w:sz w:val="28"/>
          <w:szCs w:val="28"/>
          <w:rtl/>
        </w:rPr>
        <w:t>;</w:t>
      </w:r>
    </w:p>
    <w:p w14:paraId="2B92E29F" w14:textId="77777777" w:rsidR="00F6643A" w:rsidRDefault="00F6643A" w:rsidP="00F6643A">
      <w:pPr>
        <w:numPr>
          <w:ilvl w:val="0"/>
          <w:numId w:val="1"/>
        </w:numPr>
        <w:spacing w:after="160" w:line="360" w:lineRule="auto"/>
        <w:contextualSpacing/>
        <w:jc w:val="both"/>
        <w:rPr>
          <w:rFonts w:cs="FrankRuehl"/>
          <w:sz w:val="28"/>
          <w:szCs w:val="28"/>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xml:space="preserve">₪ שלא לעבור כל </w:t>
      </w:r>
      <w:r>
        <w:rPr>
          <w:rFonts w:cs="FrankRuehl" w:hint="cs"/>
          <w:sz w:val="28"/>
          <w:szCs w:val="28"/>
          <w:rtl/>
        </w:rPr>
        <w:t xml:space="preserve">עבירה לפי פקודת הסמים בתוך שנתיים מהיום. </w:t>
      </w:r>
      <w:r>
        <w:rPr>
          <w:rFonts w:cs="FrankRuehl"/>
          <w:sz w:val="28"/>
          <w:szCs w:val="28"/>
          <w:rtl/>
        </w:rPr>
        <w:t>הובהר לנאשם שמשמעות ההתחייבות היא, כי אם יעבור את העבירה בתוך התקופה שצוינה, בית המשפט שיגזור את הדין יהא חייב לחלט את ההתחייבות כקנס</w:t>
      </w:r>
      <w:r>
        <w:rPr>
          <w:rFonts w:cs="FrankRuehl" w:hint="cs"/>
          <w:sz w:val="28"/>
          <w:szCs w:val="28"/>
          <w:rtl/>
        </w:rPr>
        <w:t>;</w:t>
      </w:r>
    </w:p>
    <w:p w14:paraId="3D0CC01C" w14:textId="77777777" w:rsidR="00F6643A" w:rsidRDefault="00F6643A" w:rsidP="00F6643A">
      <w:pPr>
        <w:spacing w:after="160" w:line="360" w:lineRule="auto"/>
        <w:ind w:left="360"/>
        <w:contextualSpacing/>
        <w:jc w:val="both"/>
        <w:rPr>
          <w:rFonts w:cs="FrankRuehl"/>
          <w:sz w:val="28"/>
          <w:szCs w:val="28"/>
          <w:rtl/>
        </w:rPr>
      </w:pPr>
    </w:p>
    <w:p w14:paraId="2D32BD8D" w14:textId="77777777" w:rsidR="00F6643A" w:rsidRDefault="00F6643A" w:rsidP="00F6643A">
      <w:pPr>
        <w:spacing w:after="160" w:line="360" w:lineRule="auto"/>
        <w:ind w:left="360"/>
        <w:contextualSpacing/>
        <w:jc w:val="both"/>
        <w:rPr>
          <w:rFonts w:cs="FrankRuehl"/>
          <w:sz w:val="28"/>
          <w:szCs w:val="28"/>
        </w:rPr>
      </w:pPr>
      <w:r>
        <w:rPr>
          <w:rFonts w:cs="FrankRuehl" w:hint="cs"/>
          <w:sz w:val="28"/>
          <w:szCs w:val="28"/>
          <w:rtl/>
        </w:rPr>
        <w:t xml:space="preserve">מכריז על הנאשם סוחר סמים ומורה על חילוט המוצגים והשמדת הסמים, למעט האופנוע שיוחזר לנאשם. </w:t>
      </w:r>
    </w:p>
    <w:p w14:paraId="0E9E99BA" w14:textId="77777777" w:rsidR="00F6643A" w:rsidRDefault="00F6643A" w:rsidP="00F6643A">
      <w:pPr>
        <w:spacing w:line="360" w:lineRule="auto"/>
        <w:rPr>
          <w:rFonts w:ascii="FrankRuehl" w:hAnsi="FrankRuehl" w:cs="FrankRuehl"/>
          <w:sz w:val="28"/>
          <w:szCs w:val="28"/>
        </w:rPr>
      </w:pPr>
    </w:p>
    <w:p w14:paraId="757C1D54" w14:textId="77777777" w:rsidR="00F6643A" w:rsidRDefault="00F6643A" w:rsidP="00F6643A">
      <w:pPr>
        <w:spacing w:line="360" w:lineRule="auto"/>
        <w:rPr>
          <w:rFonts w:ascii="FrankRuehl" w:hAnsi="FrankRuehl" w:cs="FrankRuehl"/>
          <w:sz w:val="28"/>
          <w:szCs w:val="28"/>
          <w:rtl/>
        </w:rPr>
      </w:pPr>
      <w:r>
        <w:rPr>
          <w:rFonts w:ascii="FrankRuehl" w:hAnsi="FrankRuehl" w:cs="FrankRuehl"/>
          <w:sz w:val="28"/>
          <w:szCs w:val="28"/>
          <w:rtl/>
        </w:rPr>
        <w:t>יש לשלוח לשירות המבחן ולממונה על עבודות שירות.</w:t>
      </w:r>
    </w:p>
    <w:p w14:paraId="357E1887" w14:textId="77777777" w:rsidR="00F6643A" w:rsidRDefault="00F6643A" w:rsidP="00F6643A">
      <w:pPr>
        <w:rPr>
          <w:rFonts w:ascii="FrankRuehl" w:hAnsi="FrankRuehl" w:cs="FrankRuehl"/>
          <w:sz w:val="28"/>
          <w:szCs w:val="28"/>
        </w:rPr>
      </w:pPr>
    </w:p>
    <w:p w14:paraId="417FB402" w14:textId="77777777" w:rsidR="00F6643A" w:rsidRDefault="00587452" w:rsidP="00F6643A">
      <w:pPr>
        <w:rPr>
          <w:rtl/>
        </w:rPr>
      </w:pPr>
      <w:r w:rsidRPr="00587452">
        <w:rPr>
          <w:rFonts w:ascii="FrankRuehl" w:hAnsi="FrankRuehl" w:cs="FrankRuehl"/>
          <w:color w:val="FFFFFF"/>
          <w:sz w:val="2"/>
          <w:szCs w:val="2"/>
          <w:rtl/>
        </w:rPr>
        <w:t>5129371</w:t>
      </w:r>
      <w:r w:rsidR="00F6643A">
        <w:rPr>
          <w:rFonts w:ascii="FrankRuehl" w:hAnsi="FrankRuehl" w:cs="FrankRuehl"/>
          <w:sz w:val="28"/>
          <w:szCs w:val="28"/>
          <w:rtl/>
        </w:rPr>
        <w:t>זכות ערעור כחוק לבית המשפט המחוזי בירושלים בתוך 45 יום מהיום.</w:t>
      </w:r>
    </w:p>
    <w:p w14:paraId="5B2976B5" w14:textId="77777777" w:rsidR="00F6643A" w:rsidRPr="00587452" w:rsidRDefault="00587452" w:rsidP="00F6643A">
      <w:pPr>
        <w:rPr>
          <w:rFonts w:ascii="David" w:hAnsi="David"/>
          <w:color w:val="FFFFFF"/>
          <w:sz w:val="2"/>
          <w:szCs w:val="2"/>
          <w:rtl/>
        </w:rPr>
      </w:pPr>
      <w:r w:rsidRPr="00587452">
        <w:rPr>
          <w:rFonts w:ascii="David" w:hAnsi="David"/>
          <w:color w:val="FFFFFF"/>
          <w:sz w:val="2"/>
          <w:szCs w:val="2"/>
          <w:rtl/>
        </w:rPr>
        <w:t>54678313</w:t>
      </w:r>
    </w:p>
    <w:p w14:paraId="60BBF09E" w14:textId="77777777" w:rsidR="00F6643A" w:rsidRPr="002B7D23" w:rsidRDefault="00F6643A" w:rsidP="00F6643A">
      <w:pPr>
        <w:rPr>
          <w:rFonts w:ascii="David" w:hAnsi="David"/>
          <w:sz w:val="26"/>
          <w:szCs w:val="26"/>
          <w:rtl/>
        </w:rPr>
      </w:pPr>
    </w:p>
    <w:p w14:paraId="250AC8B3" w14:textId="77777777" w:rsidR="00F6643A" w:rsidRPr="002B7D23" w:rsidRDefault="00587452" w:rsidP="00F6643A">
      <w:pPr>
        <w:rPr>
          <w:rFonts w:ascii="David" w:hAnsi="David"/>
          <w:sz w:val="26"/>
          <w:szCs w:val="26"/>
          <w:rtl/>
        </w:rPr>
      </w:pPr>
      <w:bookmarkStart w:id="8" w:name="Nitan"/>
      <w:r>
        <w:rPr>
          <w:rFonts w:ascii="David" w:hAnsi="David"/>
          <w:sz w:val="26"/>
          <w:szCs w:val="26"/>
          <w:rtl/>
        </w:rPr>
        <w:t xml:space="preserve">ניתן היום,  כ"ג טבת תשפ"ב, 27 דצמבר 2021, במעמד הצדדים. </w:t>
      </w:r>
      <w:bookmarkEnd w:id="8"/>
    </w:p>
    <w:p w14:paraId="29C232B3" w14:textId="77777777" w:rsidR="00F6643A" w:rsidRPr="002B7D23" w:rsidRDefault="00F6643A" w:rsidP="0058745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A1FD54C" w14:textId="77777777" w:rsidR="00F6643A" w:rsidRPr="00B2684B" w:rsidRDefault="00B2684B" w:rsidP="00F6643A">
      <w:pPr>
        <w:jc w:val="center"/>
        <w:rPr>
          <w:rFonts w:ascii="David" w:hAnsi="David"/>
          <w:color w:val="FFFFFF"/>
          <w:sz w:val="2"/>
          <w:szCs w:val="2"/>
          <w:rtl/>
        </w:rPr>
      </w:pPr>
      <w:r w:rsidRPr="00B2684B">
        <w:rPr>
          <w:rFonts w:ascii="David" w:hAnsi="David"/>
          <w:color w:val="FFFFFF"/>
          <w:sz w:val="2"/>
          <w:szCs w:val="2"/>
          <w:rtl/>
        </w:rPr>
        <w:t>5129371</w:t>
      </w:r>
    </w:p>
    <w:p w14:paraId="52467709" w14:textId="77777777" w:rsidR="00587452" w:rsidRPr="00B2684B" w:rsidRDefault="00B2684B" w:rsidP="00B2684B">
      <w:pPr>
        <w:keepNext/>
        <w:rPr>
          <w:rFonts w:ascii="David" w:hAnsi="David" w:hint="cs"/>
          <w:color w:val="FFFFFF"/>
          <w:sz w:val="2"/>
          <w:szCs w:val="2"/>
        </w:rPr>
      </w:pPr>
      <w:r w:rsidRPr="00B2684B">
        <w:rPr>
          <w:rFonts w:ascii="David" w:hAnsi="David"/>
          <w:color w:val="FFFFFF"/>
          <w:sz w:val="2"/>
          <w:szCs w:val="2"/>
          <w:rtl/>
        </w:rPr>
        <w:t>54678313</w:t>
      </w:r>
    </w:p>
    <w:p w14:paraId="74517779" w14:textId="77777777" w:rsidR="00587452" w:rsidRDefault="00587452" w:rsidP="00587452">
      <w:pPr>
        <w:rPr>
          <w:rtl/>
        </w:rPr>
      </w:pPr>
    </w:p>
    <w:p w14:paraId="746149AD" w14:textId="77777777" w:rsidR="00587452" w:rsidRDefault="00587452" w:rsidP="0058745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3546144" w14:textId="77777777" w:rsidR="00B2684B" w:rsidRPr="00B2684B" w:rsidRDefault="00B2684B" w:rsidP="00B2684B">
      <w:pPr>
        <w:keepNext/>
        <w:rPr>
          <w:rFonts w:ascii="David" w:hAnsi="David"/>
          <w:color w:val="000000"/>
          <w:sz w:val="22"/>
          <w:szCs w:val="22"/>
          <w:rtl/>
        </w:rPr>
      </w:pPr>
    </w:p>
    <w:p w14:paraId="67244B70" w14:textId="77777777" w:rsidR="00B2684B" w:rsidRPr="00B2684B" w:rsidRDefault="00B2684B" w:rsidP="00B2684B">
      <w:pPr>
        <w:keepNext/>
        <w:rPr>
          <w:rFonts w:ascii="David" w:hAnsi="David"/>
          <w:color w:val="000000"/>
          <w:sz w:val="22"/>
          <w:szCs w:val="22"/>
          <w:rtl/>
        </w:rPr>
      </w:pPr>
      <w:r w:rsidRPr="00B2684B">
        <w:rPr>
          <w:rFonts w:ascii="David" w:hAnsi="David"/>
          <w:color w:val="000000"/>
          <w:sz w:val="22"/>
          <w:szCs w:val="22"/>
          <w:rtl/>
        </w:rPr>
        <w:t>דוד שאול גבאי ריכטר 54678313-/</w:t>
      </w:r>
    </w:p>
    <w:p w14:paraId="766EEA71" w14:textId="77777777" w:rsidR="00587452" w:rsidRPr="00587452" w:rsidRDefault="00B2684B" w:rsidP="00B2684B">
      <w:pPr>
        <w:rPr>
          <w:color w:val="0000FF"/>
          <w:u w:val="single"/>
        </w:rPr>
      </w:pPr>
      <w:r w:rsidRPr="00B2684B">
        <w:rPr>
          <w:color w:val="000000"/>
          <w:u w:val="single"/>
          <w:rtl/>
        </w:rPr>
        <w:t>נוסח מסמך זה כפוף לשינויי ניסוח ועריכה</w:t>
      </w:r>
    </w:p>
    <w:sectPr w:rsidR="00587452" w:rsidRPr="00587452" w:rsidSect="00B2684B">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DE82E" w14:textId="77777777" w:rsidR="00907DCB" w:rsidRDefault="00907DCB" w:rsidP="00755728">
      <w:r>
        <w:separator/>
      </w:r>
    </w:p>
  </w:endnote>
  <w:endnote w:type="continuationSeparator" w:id="0">
    <w:p w14:paraId="0743146D" w14:textId="77777777" w:rsidR="00907DCB" w:rsidRDefault="00907DCB" w:rsidP="0075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C3A96" w14:textId="77777777" w:rsidR="00B2684B" w:rsidRDefault="00B2684B" w:rsidP="00B268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404FA2" w14:textId="77777777" w:rsidR="00BA497C" w:rsidRPr="00B2684B" w:rsidRDefault="00B2684B" w:rsidP="00B2684B">
    <w:pPr>
      <w:pStyle w:val="a5"/>
      <w:pBdr>
        <w:top w:val="single" w:sz="4" w:space="1" w:color="auto"/>
        <w:between w:val="single" w:sz="4" w:space="0" w:color="auto"/>
      </w:pBdr>
      <w:spacing w:after="60"/>
      <w:jc w:val="center"/>
      <w:rPr>
        <w:rFonts w:ascii="FrankRuehl" w:hAnsi="FrankRuehl" w:cs="FrankRuehl"/>
        <w:color w:val="000000"/>
      </w:rPr>
    </w:pPr>
    <w:r w:rsidRPr="00B268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551BE" w14:textId="77777777" w:rsidR="00B2684B" w:rsidRDefault="00B2684B" w:rsidP="00B268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047D">
      <w:rPr>
        <w:rFonts w:ascii="FrankRuehl" w:hAnsi="FrankRuehl" w:cs="FrankRuehl"/>
        <w:noProof/>
        <w:rtl/>
      </w:rPr>
      <w:t>1</w:t>
    </w:r>
    <w:r>
      <w:rPr>
        <w:rFonts w:ascii="FrankRuehl" w:hAnsi="FrankRuehl" w:cs="FrankRuehl"/>
        <w:rtl/>
      </w:rPr>
      <w:fldChar w:fldCharType="end"/>
    </w:r>
  </w:p>
  <w:p w14:paraId="191DC154" w14:textId="77777777" w:rsidR="00BA497C" w:rsidRPr="00B2684B" w:rsidRDefault="00B2684B" w:rsidP="00B2684B">
    <w:pPr>
      <w:pStyle w:val="a5"/>
      <w:pBdr>
        <w:top w:val="single" w:sz="4" w:space="1" w:color="auto"/>
        <w:between w:val="single" w:sz="4" w:space="0" w:color="auto"/>
      </w:pBdr>
      <w:spacing w:after="60"/>
      <w:jc w:val="center"/>
      <w:rPr>
        <w:rFonts w:ascii="FrankRuehl" w:hAnsi="FrankRuehl" w:cs="FrankRuehl"/>
        <w:color w:val="000000"/>
      </w:rPr>
    </w:pPr>
    <w:r w:rsidRPr="00B2684B">
      <w:rPr>
        <w:rFonts w:ascii="FrankRuehl" w:hAnsi="FrankRuehl" w:cs="FrankRuehl"/>
        <w:color w:val="000000"/>
      </w:rPr>
      <w:pict w14:anchorId="4840F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883EF" w14:textId="77777777" w:rsidR="00907DCB" w:rsidRDefault="00907DCB" w:rsidP="00755728">
      <w:r>
        <w:separator/>
      </w:r>
    </w:p>
  </w:footnote>
  <w:footnote w:type="continuationSeparator" w:id="0">
    <w:p w14:paraId="0D0245B8" w14:textId="77777777" w:rsidR="00907DCB" w:rsidRDefault="00907DCB" w:rsidP="00755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435BC" w14:textId="77777777" w:rsidR="00587452" w:rsidRPr="00B2684B" w:rsidRDefault="00B2684B" w:rsidP="00B268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68973-07-20</w:t>
    </w:r>
    <w:r>
      <w:rPr>
        <w:rFonts w:ascii="David" w:hAnsi="David"/>
        <w:color w:val="000000"/>
        <w:sz w:val="22"/>
        <w:szCs w:val="22"/>
        <w:rtl/>
      </w:rPr>
      <w:tab/>
      <w:t xml:space="preserve"> מדינת ישראל נ' אוריאל נקש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31AAB" w14:textId="77777777" w:rsidR="00587452" w:rsidRPr="00B2684B" w:rsidRDefault="00B2684B" w:rsidP="00B2684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68973-07-20</w:t>
    </w:r>
    <w:r>
      <w:rPr>
        <w:rFonts w:ascii="David" w:hAnsi="David"/>
        <w:color w:val="000000"/>
        <w:sz w:val="22"/>
        <w:szCs w:val="22"/>
        <w:rtl/>
      </w:rPr>
      <w:tab/>
      <w:t xml:space="preserve"> מדינת ישראל נ' אוריאל נקש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34541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43A"/>
    <w:rsid w:val="001B0D01"/>
    <w:rsid w:val="001B5A3B"/>
    <w:rsid w:val="003E5FBA"/>
    <w:rsid w:val="00586FA5"/>
    <w:rsid w:val="00587452"/>
    <w:rsid w:val="005B20D5"/>
    <w:rsid w:val="00755728"/>
    <w:rsid w:val="008B047D"/>
    <w:rsid w:val="00907DCB"/>
    <w:rsid w:val="00A908E4"/>
    <w:rsid w:val="00B2684B"/>
    <w:rsid w:val="00B47CCE"/>
    <w:rsid w:val="00BA497C"/>
    <w:rsid w:val="00F44B76"/>
    <w:rsid w:val="00F6643A"/>
    <w:rsid w:val="00FB5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1D64F7"/>
  <w15:chartTrackingRefBased/>
  <w15:docId w15:val="{8C45A792-2E2F-47C8-A68C-6A026150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64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643A"/>
    <w:pPr>
      <w:tabs>
        <w:tab w:val="center" w:pos="4153"/>
        <w:tab w:val="right" w:pos="8306"/>
      </w:tabs>
    </w:pPr>
  </w:style>
  <w:style w:type="character" w:customStyle="1" w:styleId="a4">
    <w:name w:val="כותרת עליונה תו"/>
    <w:link w:val="a3"/>
    <w:rsid w:val="00F6643A"/>
    <w:rPr>
      <w:rFonts w:ascii="Times New Roman" w:eastAsia="Times New Roman" w:hAnsi="Times New Roman" w:cs="David"/>
      <w:sz w:val="24"/>
      <w:szCs w:val="24"/>
    </w:rPr>
  </w:style>
  <w:style w:type="paragraph" w:styleId="a5">
    <w:name w:val="footer"/>
    <w:basedOn w:val="a"/>
    <w:link w:val="a6"/>
    <w:rsid w:val="00F6643A"/>
    <w:pPr>
      <w:tabs>
        <w:tab w:val="center" w:pos="4153"/>
        <w:tab w:val="right" w:pos="8306"/>
      </w:tabs>
    </w:pPr>
  </w:style>
  <w:style w:type="character" w:customStyle="1" w:styleId="a6">
    <w:name w:val="כותרת תחתונה תו"/>
    <w:link w:val="a5"/>
    <w:rsid w:val="00F6643A"/>
    <w:rPr>
      <w:rFonts w:ascii="Times New Roman" w:eastAsia="Times New Roman" w:hAnsi="Times New Roman" w:cs="David"/>
      <w:sz w:val="24"/>
      <w:szCs w:val="24"/>
    </w:rPr>
  </w:style>
  <w:style w:type="table" w:styleId="a7">
    <w:name w:val="Table Grid"/>
    <w:basedOn w:val="a1"/>
    <w:rsid w:val="00F664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643A"/>
  </w:style>
  <w:style w:type="character" w:styleId="Hyperlink">
    <w:name w:val="Hyperlink"/>
    <w:rsid w:val="0058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973717"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240058"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13;19.a"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1980458"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60548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5896323" TargetMode="External"/><Relationship Id="rId30" Type="http://schemas.openxmlformats.org/officeDocument/2006/relationships/hyperlink" Target="http://www.nevo.co.il/case/5896323" TargetMode="External"/><Relationship Id="rId35" Type="http://schemas.openxmlformats.org/officeDocument/2006/relationships/hyperlink" Target="http://www.nevo.co.il/case/20936185"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13;19.a" TargetMode="External"/><Relationship Id="rId33" Type="http://schemas.openxmlformats.org/officeDocument/2006/relationships/hyperlink" Target="http://www.nevo.co.il/case/21035570"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2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1891</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11324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4063353</vt:i4>
      </vt:variant>
      <vt:variant>
        <vt:i4>87</vt:i4>
      </vt:variant>
      <vt:variant>
        <vt:i4>0</vt:i4>
      </vt:variant>
      <vt:variant>
        <vt:i4>5</vt:i4>
      </vt:variant>
      <vt:variant>
        <vt:lpwstr>http://www.nevo.co.il/case/21980458</vt:lpwstr>
      </vt:variant>
      <vt:variant>
        <vt:lpwstr/>
      </vt:variant>
      <vt:variant>
        <vt:i4>3473526</vt:i4>
      </vt:variant>
      <vt:variant>
        <vt:i4>84</vt:i4>
      </vt:variant>
      <vt:variant>
        <vt:i4>0</vt:i4>
      </vt:variant>
      <vt:variant>
        <vt:i4>5</vt:i4>
      </vt:variant>
      <vt:variant>
        <vt:lpwstr>http://www.nevo.co.il/case/20936185</vt:lpwstr>
      </vt:variant>
      <vt:variant>
        <vt:lpwstr/>
      </vt:variant>
      <vt:variant>
        <vt:i4>3735670</vt:i4>
      </vt:variant>
      <vt:variant>
        <vt:i4>81</vt:i4>
      </vt:variant>
      <vt:variant>
        <vt:i4>0</vt:i4>
      </vt:variant>
      <vt:variant>
        <vt:i4>5</vt:i4>
      </vt:variant>
      <vt:variant>
        <vt:lpwstr>http://www.nevo.co.il/case/22973717</vt:lpwstr>
      </vt:variant>
      <vt:variant>
        <vt:lpwstr/>
      </vt:variant>
      <vt:variant>
        <vt:i4>3145843</vt:i4>
      </vt:variant>
      <vt:variant>
        <vt:i4>78</vt:i4>
      </vt:variant>
      <vt:variant>
        <vt:i4>0</vt:i4>
      </vt:variant>
      <vt:variant>
        <vt:i4>5</vt:i4>
      </vt:variant>
      <vt:variant>
        <vt:lpwstr>http://www.nevo.co.il/case/21035570</vt:lpwstr>
      </vt:variant>
      <vt:variant>
        <vt:lpwstr/>
      </vt:variant>
      <vt:variant>
        <vt:i4>3473522</vt:i4>
      </vt:variant>
      <vt:variant>
        <vt:i4>75</vt:i4>
      </vt:variant>
      <vt:variant>
        <vt:i4>0</vt:i4>
      </vt:variant>
      <vt:variant>
        <vt:i4>5</vt:i4>
      </vt:variant>
      <vt:variant>
        <vt:lpwstr>http://www.nevo.co.il/case/22240058</vt:lpwstr>
      </vt:variant>
      <vt:variant>
        <vt:lpwstr/>
      </vt:variant>
      <vt:variant>
        <vt:i4>3473535</vt:i4>
      </vt:variant>
      <vt:variant>
        <vt:i4>72</vt:i4>
      </vt:variant>
      <vt:variant>
        <vt:i4>0</vt:i4>
      </vt:variant>
      <vt:variant>
        <vt:i4>5</vt:i4>
      </vt:variant>
      <vt:variant>
        <vt:lpwstr>http://www.nevo.co.il/case/5605484</vt:lpwstr>
      </vt:variant>
      <vt:variant>
        <vt:lpwstr/>
      </vt:variant>
      <vt:variant>
        <vt:i4>3932280</vt:i4>
      </vt:variant>
      <vt:variant>
        <vt:i4>69</vt:i4>
      </vt:variant>
      <vt:variant>
        <vt:i4>0</vt:i4>
      </vt:variant>
      <vt:variant>
        <vt:i4>5</vt:i4>
      </vt:variant>
      <vt:variant>
        <vt:lpwstr>http://www.nevo.co.il/case/5896323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3932280</vt:i4>
      </vt:variant>
      <vt:variant>
        <vt:i4>60</vt:i4>
      </vt:variant>
      <vt:variant>
        <vt:i4>0</vt:i4>
      </vt:variant>
      <vt:variant>
        <vt:i4>5</vt:i4>
      </vt:variant>
      <vt:variant>
        <vt:lpwstr>http://www.nevo.co.il/case/5896323</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2883686</vt:i4>
      </vt:variant>
      <vt:variant>
        <vt:i4>54</vt:i4>
      </vt:variant>
      <vt:variant>
        <vt:i4>0</vt:i4>
      </vt:variant>
      <vt:variant>
        <vt:i4>5</vt:i4>
      </vt:variant>
      <vt:variant>
        <vt:lpwstr>http://www.nevo.co.il/law/4216/13;19.a</vt:lpwstr>
      </vt:variant>
      <vt:variant>
        <vt:lpwstr/>
      </vt:variant>
      <vt:variant>
        <vt:i4>8257637</vt:i4>
      </vt:variant>
      <vt:variant>
        <vt:i4>51</vt:i4>
      </vt:variant>
      <vt:variant>
        <vt:i4>0</vt:i4>
      </vt:variant>
      <vt:variant>
        <vt:i4>5</vt:i4>
      </vt:variant>
      <vt:variant>
        <vt:lpwstr>http://www.nevo.co.il/law/4216</vt:lpwstr>
      </vt:variant>
      <vt:variant>
        <vt:lpwstr/>
      </vt:variant>
      <vt:variant>
        <vt:i4>2883686</vt:i4>
      </vt:variant>
      <vt:variant>
        <vt:i4>48</vt:i4>
      </vt:variant>
      <vt:variant>
        <vt:i4>0</vt:i4>
      </vt:variant>
      <vt:variant>
        <vt:i4>5</vt:i4>
      </vt:variant>
      <vt:variant>
        <vt:lpwstr>http://www.nevo.co.il/law/4216/13;19.a</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68973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אוריאל נקש</vt:lpwstr>
  </property>
  <property fmtid="{D5CDD505-2E9C-101B-9397-08002B2CF9AE}" pid="10" name="LAWYER">
    <vt:lpwstr>שירלי אוחיון;מיכאל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20211227</vt:lpwstr>
  </property>
  <property fmtid="{D5CDD505-2E9C-101B-9397-08002B2CF9AE}" pid="14" name="TYPE_N_DATE">
    <vt:lpwstr>38020211227</vt:lpwstr>
  </property>
  <property fmtid="{D5CDD505-2E9C-101B-9397-08002B2CF9AE}" pid="15" name="WORDNUMPAGES">
    <vt:lpwstr>6</vt:lpwstr>
  </property>
  <property fmtid="{D5CDD505-2E9C-101B-9397-08002B2CF9AE}" pid="16" name="TYPE_ABS_DATE">
    <vt:lpwstr>380020211227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5896323:2;5605484;22240058;21035570;22973717;20936185;21980458</vt:lpwstr>
  </property>
  <property fmtid="{D5CDD505-2E9C-101B-9397-08002B2CF9AE}" pid="36" name="LAWLISTTMP1">
    <vt:lpwstr>4216/013:3;019a;007.a;007.c;019.a:2</vt:lpwstr>
  </property>
  <property fmtid="{D5CDD505-2E9C-101B-9397-08002B2CF9AE}" pid="37" name="LAWLISTTMP2">
    <vt:lpwstr>70301/025;040i;40ja</vt:lpwstr>
  </property>
</Properties>
</file>