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667FC" w:rsidRPr="00632865" w14:paraId="7FC59A3C" w14:textId="77777777" w:rsidTr="003C0062">
        <w:trPr>
          <w:trHeight w:hRule="exact" w:val="418"/>
          <w:jc w:val="center"/>
        </w:trPr>
        <w:tc>
          <w:tcPr>
            <w:tcW w:w="8721" w:type="dxa"/>
            <w:gridSpan w:val="2"/>
          </w:tcPr>
          <w:p w14:paraId="453E3D61" w14:textId="77777777" w:rsidR="00D667FC" w:rsidRPr="00632865" w:rsidRDefault="00D667FC" w:rsidP="004E0536">
            <w:pPr>
              <w:pStyle w:val="a3"/>
              <w:jc w:val="center"/>
              <w:rPr>
                <w:rFonts w:ascii="Tahoma" w:hAnsi="Tahoma" w:cs="Tahoma"/>
                <w:color w:val="000080"/>
                <w:rtl/>
              </w:rPr>
            </w:pPr>
            <w:bookmarkStart w:id="0" w:name="LastJudge"/>
            <w:r w:rsidRPr="00632865">
              <w:rPr>
                <w:rFonts w:ascii="Tahoma" w:hAnsi="Tahoma" w:cs="Tahoma"/>
                <w:b/>
                <w:bCs/>
                <w:color w:val="000080"/>
                <w:rtl/>
              </w:rPr>
              <w:t>בית משפט השלום באשקלון</w:t>
            </w:r>
          </w:p>
        </w:tc>
      </w:tr>
      <w:tr w:rsidR="00D667FC" w:rsidRPr="00632865" w14:paraId="7E4EAE2E" w14:textId="77777777" w:rsidTr="003C0062">
        <w:trPr>
          <w:trHeight w:val="337"/>
          <w:jc w:val="center"/>
        </w:trPr>
        <w:tc>
          <w:tcPr>
            <w:tcW w:w="5055" w:type="dxa"/>
            <w:vAlign w:val="bottom"/>
          </w:tcPr>
          <w:p w14:paraId="5ABAF47E" w14:textId="77777777" w:rsidR="00D667FC" w:rsidRPr="00632865" w:rsidRDefault="00D667FC" w:rsidP="004E0536">
            <w:pPr>
              <w:rPr>
                <w:rFonts w:ascii="David" w:hAnsi="David"/>
                <w:b/>
                <w:bCs/>
                <w:sz w:val="28"/>
                <w:szCs w:val="28"/>
                <w:rtl/>
              </w:rPr>
            </w:pPr>
            <w:r w:rsidRPr="00632865">
              <w:rPr>
                <w:rFonts w:ascii="David" w:hAnsi="David"/>
                <w:b/>
                <w:bCs/>
                <w:sz w:val="26"/>
                <w:szCs w:val="26"/>
                <w:rtl/>
              </w:rPr>
              <w:t>ת"פ 69400-07-20 מדינת ישראל נ' מזלטרין</w:t>
            </w:r>
          </w:p>
        </w:tc>
        <w:tc>
          <w:tcPr>
            <w:tcW w:w="3666" w:type="dxa"/>
          </w:tcPr>
          <w:p w14:paraId="514279FD" w14:textId="77777777" w:rsidR="00D667FC" w:rsidRPr="00632865" w:rsidRDefault="00D667FC" w:rsidP="004E0536">
            <w:pPr>
              <w:pStyle w:val="a3"/>
              <w:jc w:val="right"/>
              <w:rPr>
                <w:rFonts w:cs="FrankRuehl"/>
                <w:sz w:val="28"/>
                <w:szCs w:val="28"/>
                <w:rtl/>
              </w:rPr>
            </w:pPr>
          </w:p>
        </w:tc>
      </w:tr>
    </w:tbl>
    <w:p w14:paraId="2B7D21A9" w14:textId="77777777" w:rsidR="00D667FC" w:rsidRPr="00632865" w:rsidRDefault="00D667FC" w:rsidP="00D667FC">
      <w:pPr>
        <w:pStyle w:val="a3"/>
        <w:rPr>
          <w:rtl/>
        </w:rPr>
      </w:pPr>
      <w:r w:rsidRPr="00632865">
        <w:rPr>
          <w:rFonts w:hint="cs"/>
          <w:rtl/>
        </w:rPr>
        <w:t xml:space="preserve"> </w:t>
      </w:r>
    </w:p>
    <w:p w14:paraId="7A81091D" w14:textId="77777777" w:rsidR="00D667FC" w:rsidRPr="00632865" w:rsidRDefault="00D667FC" w:rsidP="00D667FC">
      <w:pPr>
        <w:rPr>
          <w:sz w:val="26"/>
          <w:szCs w:val="26"/>
          <w:rtl/>
        </w:rPr>
      </w:pPr>
    </w:p>
    <w:p w14:paraId="43478AA2" w14:textId="77777777" w:rsidR="00D667FC" w:rsidRPr="00632865" w:rsidRDefault="00D667FC" w:rsidP="00D667FC">
      <w:pPr>
        <w:rPr>
          <w:sz w:val="26"/>
          <w:szCs w:val="26"/>
          <w:rtl/>
        </w:rPr>
      </w:pPr>
    </w:p>
    <w:tbl>
      <w:tblPr>
        <w:bidiVisual/>
        <w:tblW w:w="8360" w:type="dxa"/>
        <w:tblInd w:w="308" w:type="dxa"/>
        <w:tblLook w:val="01E0" w:firstRow="1" w:lastRow="1" w:firstColumn="1" w:lastColumn="1" w:noHBand="0" w:noVBand="0"/>
      </w:tblPr>
      <w:tblGrid>
        <w:gridCol w:w="1560"/>
        <w:gridCol w:w="6800"/>
      </w:tblGrid>
      <w:tr w:rsidR="00D667FC" w:rsidRPr="00632865" w14:paraId="2F921496" w14:textId="77777777" w:rsidTr="00D667FC">
        <w:tc>
          <w:tcPr>
            <w:tcW w:w="8360" w:type="dxa"/>
            <w:gridSpan w:val="2"/>
            <w:shd w:val="clear" w:color="auto" w:fill="auto"/>
          </w:tcPr>
          <w:p w14:paraId="2A9E2E50" w14:textId="77777777" w:rsidR="00D667FC" w:rsidRPr="00632865" w:rsidRDefault="00D667FC" w:rsidP="004E0536">
            <w:pPr>
              <w:rPr>
                <w:rFonts w:ascii="David" w:hAnsi="David"/>
                <w:b/>
                <w:bCs/>
                <w:sz w:val="28"/>
                <w:szCs w:val="28"/>
              </w:rPr>
            </w:pPr>
            <w:r w:rsidRPr="00632865">
              <w:rPr>
                <w:rFonts w:ascii="David" w:hAnsi="David"/>
                <w:b/>
                <w:bCs/>
                <w:sz w:val="26"/>
                <w:szCs w:val="26"/>
                <w:rtl/>
              </w:rPr>
              <w:t>לפני כב' השופטת זהר דולב להמן</w:t>
            </w:r>
          </w:p>
          <w:p w14:paraId="11637527" w14:textId="77777777" w:rsidR="00D667FC" w:rsidRPr="00632865" w:rsidRDefault="00D667FC" w:rsidP="00D667FC">
            <w:pPr>
              <w:ind w:left="26"/>
              <w:rPr>
                <w:rFonts w:cs="Times New Roman"/>
                <w:b/>
                <w:bCs/>
                <w:sz w:val="28"/>
                <w:szCs w:val="28"/>
              </w:rPr>
            </w:pPr>
          </w:p>
        </w:tc>
      </w:tr>
      <w:tr w:rsidR="00D667FC" w:rsidRPr="00632865" w14:paraId="57603184" w14:textId="77777777" w:rsidTr="00D667FC">
        <w:tc>
          <w:tcPr>
            <w:tcW w:w="1560" w:type="dxa"/>
            <w:shd w:val="clear" w:color="auto" w:fill="auto"/>
          </w:tcPr>
          <w:p w14:paraId="122C99E8" w14:textId="77777777" w:rsidR="00D667FC" w:rsidRPr="00632865" w:rsidRDefault="00D667FC" w:rsidP="004E0536">
            <w:pPr>
              <w:rPr>
                <w:b/>
                <w:bCs/>
                <w:sz w:val="28"/>
                <w:szCs w:val="28"/>
                <w:rtl/>
              </w:rPr>
            </w:pPr>
            <w:bookmarkStart w:id="1" w:name="FirstAppellant"/>
            <w:bookmarkStart w:id="2" w:name="FirstLawyer"/>
            <w:r w:rsidRPr="00632865">
              <w:rPr>
                <w:b/>
                <w:bCs/>
                <w:sz w:val="26"/>
                <w:szCs w:val="26"/>
                <w:rtl/>
              </w:rPr>
              <w:t>המאשימה</w:t>
            </w:r>
          </w:p>
        </w:tc>
        <w:tc>
          <w:tcPr>
            <w:tcW w:w="6800" w:type="dxa"/>
            <w:shd w:val="clear" w:color="auto" w:fill="auto"/>
          </w:tcPr>
          <w:p w14:paraId="541923D6" w14:textId="77777777" w:rsidR="00D667FC" w:rsidRPr="00632865" w:rsidRDefault="00D667FC" w:rsidP="004E0536">
            <w:pPr>
              <w:rPr>
                <w:rFonts w:ascii="David" w:hAnsi="David"/>
                <w:sz w:val="26"/>
                <w:szCs w:val="26"/>
                <w:rtl/>
              </w:rPr>
            </w:pPr>
            <w:r w:rsidRPr="00632865">
              <w:rPr>
                <w:rFonts w:ascii="David" w:hAnsi="David"/>
                <w:b/>
                <w:bCs/>
                <w:sz w:val="26"/>
                <w:szCs w:val="26"/>
                <w:rtl/>
              </w:rPr>
              <w:t xml:space="preserve">  מדינת ישראל </w:t>
            </w:r>
          </w:p>
          <w:p w14:paraId="63809850" w14:textId="77777777" w:rsidR="00D667FC" w:rsidRPr="00632865" w:rsidRDefault="00D667FC" w:rsidP="00D667FC">
            <w:pPr>
              <w:ind w:left="26"/>
              <w:rPr>
                <w:b/>
                <w:bCs/>
                <w:sz w:val="28"/>
                <w:szCs w:val="28"/>
                <w:rtl/>
              </w:rPr>
            </w:pPr>
            <w:r w:rsidRPr="00632865">
              <w:rPr>
                <w:rFonts w:ascii="David" w:hAnsi="David"/>
                <w:rtl/>
              </w:rPr>
              <w:t xml:space="preserve">  ע"י ב"כ עוה"ד ליבי יעקובי</w:t>
            </w:r>
          </w:p>
        </w:tc>
      </w:tr>
      <w:bookmarkEnd w:id="1"/>
      <w:bookmarkEnd w:id="2"/>
      <w:tr w:rsidR="00D667FC" w:rsidRPr="00632865" w14:paraId="0A6416EB" w14:textId="77777777" w:rsidTr="00D667FC">
        <w:tc>
          <w:tcPr>
            <w:tcW w:w="8360" w:type="dxa"/>
            <w:gridSpan w:val="2"/>
            <w:shd w:val="clear" w:color="auto" w:fill="auto"/>
          </w:tcPr>
          <w:p w14:paraId="205889D8" w14:textId="77777777" w:rsidR="00D667FC" w:rsidRPr="00632865" w:rsidRDefault="00D667FC" w:rsidP="00D667FC">
            <w:pPr>
              <w:spacing w:line="360" w:lineRule="auto"/>
              <w:jc w:val="center"/>
              <w:rPr>
                <w:rFonts w:ascii="Arial" w:hAnsi="Arial"/>
                <w:b/>
                <w:bCs/>
                <w:sz w:val="18"/>
                <w:szCs w:val="18"/>
                <w:rtl/>
              </w:rPr>
            </w:pPr>
          </w:p>
          <w:p w14:paraId="7FACE4BA" w14:textId="77777777" w:rsidR="00D667FC" w:rsidRPr="00632865" w:rsidRDefault="00D667FC" w:rsidP="00D667FC">
            <w:pPr>
              <w:spacing w:line="360" w:lineRule="auto"/>
              <w:jc w:val="center"/>
              <w:rPr>
                <w:rFonts w:ascii="Arial" w:hAnsi="Arial"/>
                <w:b/>
                <w:bCs/>
                <w:sz w:val="28"/>
                <w:szCs w:val="28"/>
                <w:rtl/>
              </w:rPr>
            </w:pPr>
            <w:r w:rsidRPr="00632865">
              <w:rPr>
                <w:rFonts w:ascii="Arial" w:hAnsi="Arial"/>
                <w:b/>
                <w:bCs/>
                <w:sz w:val="28"/>
                <w:szCs w:val="28"/>
                <w:rtl/>
              </w:rPr>
              <w:t>נ ג ד</w:t>
            </w:r>
          </w:p>
          <w:p w14:paraId="26CFBBCB" w14:textId="77777777" w:rsidR="00D667FC" w:rsidRPr="00632865" w:rsidRDefault="00D667FC" w:rsidP="00D667FC">
            <w:pPr>
              <w:spacing w:line="360" w:lineRule="auto"/>
              <w:jc w:val="center"/>
              <w:rPr>
                <w:rFonts w:ascii="Arial" w:hAnsi="Arial"/>
                <w:b/>
                <w:bCs/>
                <w:sz w:val="16"/>
                <w:szCs w:val="16"/>
                <w:rtl/>
              </w:rPr>
            </w:pPr>
          </w:p>
        </w:tc>
      </w:tr>
      <w:tr w:rsidR="00D667FC" w:rsidRPr="00632865" w14:paraId="68834CEB" w14:textId="77777777" w:rsidTr="00D667FC">
        <w:trPr>
          <w:trHeight w:val="593"/>
        </w:trPr>
        <w:tc>
          <w:tcPr>
            <w:tcW w:w="1560" w:type="dxa"/>
            <w:shd w:val="clear" w:color="auto" w:fill="auto"/>
          </w:tcPr>
          <w:p w14:paraId="3CCFE361" w14:textId="77777777" w:rsidR="00D667FC" w:rsidRPr="00632865" w:rsidRDefault="00D667FC" w:rsidP="004E0536">
            <w:pPr>
              <w:rPr>
                <w:b/>
                <w:bCs/>
                <w:sz w:val="28"/>
                <w:szCs w:val="28"/>
                <w:rtl/>
              </w:rPr>
            </w:pPr>
            <w:r w:rsidRPr="00632865">
              <w:rPr>
                <w:b/>
                <w:bCs/>
                <w:sz w:val="26"/>
                <w:szCs w:val="26"/>
                <w:rtl/>
              </w:rPr>
              <w:t>הנאשם</w:t>
            </w:r>
          </w:p>
        </w:tc>
        <w:tc>
          <w:tcPr>
            <w:tcW w:w="6800" w:type="dxa"/>
            <w:shd w:val="clear" w:color="auto" w:fill="auto"/>
          </w:tcPr>
          <w:p w14:paraId="0E52C7F3" w14:textId="77777777" w:rsidR="00D667FC" w:rsidRPr="00632865" w:rsidRDefault="00D667FC" w:rsidP="004E0536">
            <w:pPr>
              <w:rPr>
                <w:rFonts w:cs="Times New Roman"/>
                <w:szCs w:val="26"/>
              </w:rPr>
            </w:pPr>
            <w:r w:rsidRPr="00632865">
              <w:rPr>
                <w:b/>
                <w:bCs/>
                <w:sz w:val="28"/>
                <w:szCs w:val="28"/>
                <w:rtl/>
              </w:rPr>
              <w:t xml:space="preserve">  </w:t>
            </w:r>
            <w:r w:rsidRPr="00632865">
              <w:rPr>
                <w:rFonts w:ascii="David" w:hAnsi="David"/>
                <w:b/>
                <w:bCs/>
                <w:sz w:val="26"/>
                <w:szCs w:val="26"/>
                <w:rtl/>
              </w:rPr>
              <w:t>מור מוריס מזלטרין</w:t>
            </w:r>
          </w:p>
          <w:p w14:paraId="18CD623D" w14:textId="77777777" w:rsidR="00D667FC" w:rsidRPr="00632865" w:rsidRDefault="00D667FC" w:rsidP="004E0536">
            <w:pPr>
              <w:rPr>
                <w:rtl/>
              </w:rPr>
            </w:pPr>
            <w:r w:rsidRPr="00632865">
              <w:rPr>
                <w:rtl/>
              </w:rPr>
              <w:t xml:space="preserve">   ע"י ב"כ עוה"ד בן יהודה</w:t>
            </w:r>
          </w:p>
          <w:p w14:paraId="1A3E710A" w14:textId="77777777" w:rsidR="00D667FC" w:rsidRPr="00632865" w:rsidRDefault="00D667FC" w:rsidP="004E0536">
            <w:pPr>
              <w:rPr>
                <w:b/>
                <w:bCs/>
                <w:sz w:val="28"/>
                <w:szCs w:val="28"/>
              </w:rPr>
            </w:pPr>
          </w:p>
        </w:tc>
      </w:tr>
    </w:tbl>
    <w:p w14:paraId="102ACDBB" w14:textId="77777777" w:rsidR="00D667FC" w:rsidRPr="00632865" w:rsidRDefault="00D667FC" w:rsidP="00D667FC">
      <w:pPr>
        <w:rPr>
          <w:sz w:val="26"/>
          <w:szCs w:val="26"/>
        </w:rPr>
      </w:pPr>
    </w:p>
    <w:p w14:paraId="55234A29" w14:textId="77777777" w:rsidR="002D1453" w:rsidRPr="002D1453" w:rsidRDefault="002D1453" w:rsidP="002D1453">
      <w:pPr>
        <w:spacing w:before="120" w:after="120" w:line="240" w:lineRule="exact"/>
        <w:ind w:left="283" w:hanging="283"/>
        <w:jc w:val="both"/>
        <w:rPr>
          <w:rFonts w:ascii="FrankRuehl" w:hAnsi="FrankRuehl" w:cs="FrankRuehl"/>
          <w:rtl/>
        </w:rPr>
      </w:pPr>
    </w:p>
    <w:p w14:paraId="45E0EED2" w14:textId="77777777" w:rsidR="00286CAA" w:rsidRDefault="00286CAA" w:rsidP="00286CAA">
      <w:pPr>
        <w:rPr>
          <w:rFonts w:ascii="Arial" w:hAnsi="Arial"/>
          <w:sz w:val="26"/>
          <w:szCs w:val="26"/>
          <w:rtl/>
        </w:rPr>
      </w:pPr>
      <w:bookmarkStart w:id="3" w:name="LawTable"/>
      <w:bookmarkEnd w:id="3"/>
    </w:p>
    <w:p w14:paraId="6136C5A7" w14:textId="77777777" w:rsidR="00286CAA" w:rsidRPr="00286CAA" w:rsidRDefault="00286CAA" w:rsidP="00286CAA">
      <w:pPr>
        <w:spacing w:before="120" w:after="120" w:line="240" w:lineRule="exact"/>
        <w:ind w:left="283" w:hanging="283"/>
        <w:jc w:val="both"/>
        <w:rPr>
          <w:rFonts w:ascii="FrankRuehl" w:hAnsi="FrankRuehl" w:cs="FrankRuehl"/>
          <w:rtl/>
        </w:rPr>
      </w:pPr>
    </w:p>
    <w:p w14:paraId="0D498FEE" w14:textId="77777777" w:rsidR="00286CAA" w:rsidRPr="00286CAA" w:rsidRDefault="00286CAA" w:rsidP="00286CAA">
      <w:pPr>
        <w:spacing w:before="120" w:after="120" w:line="240" w:lineRule="exact"/>
        <w:ind w:left="283" w:hanging="283"/>
        <w:jc w:val="both"/>
        <w:rPr>
          <w:rFonts w:ascii="FrankRuehl" w:hAnsi="FrankRuehl" w:cs="FrankRuehl"/>
          <w:rtl/>
        </w:rPr>
      </w:pPr>
    </w:p>
    <w:p w14:paraId="5A236564" w14:textId="77777777" w:rsidR="00286CAA" w:rsidRPr="00286CAA" w:rsidRDefault="00286CAA" w:rsidP="00286CAA">
      <w:pPr>
        <w:spacing w:before="120" w:after="120" w:line="240" w:lineRule="exact"/>
        <w:ind w:left="283" w:hanging="283"/>
        <w:jc w:val="both"/>
        <w:rPr>
          <w:rFonts w:ascii="FrankRuehl" w:hAnsi="FrankRuehl" w:cs="FrankRuehl"/>
          <w:rtl/>
        </w:rPr>
      </w:pPr>
      <w:r w:rsidRPr="00286CAA">
        <w:rPr>
          <w:rFonts w:ascii="FrankRuehl" w:hAnsi="FrankRuehl" w:cs="FrankRuehl"/>
          <w:rtl/>
        </w:rPr>
        <w:t xml:space="preserve">חקיקה שאוזכרה: </w:t>
      </w:r>
    </w:p>
    <w:p w14:paraId="1AF5958E" w14:textId="77777777" w:rsidR="00286CAA" w:rsidRPr="00286CAA" w:rsidRDefault="00286CAA" w:rsidP="00286CAA">
      <w:pPr>
        <w:spacing w:before="120" w:after="120" w:line="240" w:lineRule="exact"/>
        <w:ind w:left="283" w:hanging="283"/>
        <w:jc w:val="both"/>
        <w:rPr>
          <w:rFonts w:ascii="FrankRuehl" w:hAnsi="FrankRuehl" w:cs="FrankRuehl"/>
          <w:rtl/>
        </w:rPr>
      </w:pPr>
      <w:hyperlink r:id="rId7" w:history="1">
        <w:r w:rsidRPr="00286CAA">
          <w:rPr>
            <w:rFonts w:ascii="FrankRuehl" w:hAnsi="FrankRuehl" w:cs="FrankRuehl"/>
            <w:color w:val="0000FF"/>
            <w:rtl/>
          </w:rPr>
          <w:t>פקודת הסמים המסוכנים [נוסח חדש], תשל"ג-1973</w:t>
        </w:r>
      </w:hyperlink>
      <w:r w:rsidRPr="00286CAA">
        <w:rPr>
          <w:rFonts w:ascii="FrankRuehl" w:hAnsi="FrankRuehl" w:cs="FrankRuehl"/>
          <w:rtl/>
        </w:rPr>
        <w:t xml:space="preserve">: סע'  </w:t>
      </w:r>
      <w:hyperlink r:id="rId8" w:history="1">
        <w:r w:rsidRPr="00286CAA">
          <w:rPr>
            <w:rFonts w:ascii="FrankRuehl" w:hAnsi="FrankRuehl" w:cs="FrankRuehl"/>
            <w:color w:val="0000FF"/>
            <w:rtl/>
          </w:rPr>
          <w:t>6</w:t>
        </w:r>
      </w:hyperlink>
      <w:r w:rsidRPr="00286CAA">
        <w:rPr>
          <w:rFonts w:ascii="FrankRuehl" w:hAnsi="FrankRuehl" w:cs="FrankRuehl"/>
          <w:rtl/>
        </w:rPr>
        <w:t xml:space="preserve">, </w:t>
      </w:r>
      <w:hyperlink r:id="rId9" w:history="1">
        <w:r w:rsidRPr="00286CAA">
          <w:rPr>
            <w:rFonts w:ascii="FrankRuehl" w:hAnsi="FrankRuehl" w:cs="FrankRuehl"/>
            <w:color w:val="0000FF"/>
            <w:rtl/>
          </w:rPr>
          <w:t>37א</w:t>
        </w:r>
      </w:hyperlink>
    </w:p>
    <w:p w14:paraId="5A773576" w14:textId="77777777" w:rsidR="00286CAA" w:rsidRPr="00286CAA" w:rsidRDefault="00286CAA" w:rsidP="00286CAA">
      <w:pPr>
        <w:spacing w:before="120" w:after="120" w:line="240" w:lineRule="exact"/>
        <w:ind w:left="283" w:hanging="283"/>
        <w:jc w:val="both"/>
        <w:rPr>
          <w:rFonts w:ascii="FrankRuehl" w:hAnsi="FrankRuehl" w:cs="FrankRuehl"/>
          <w:rtl/>
        </w:rPr>
      </w:pPr>
      <w:hyperlink r:id="rId10" w:history="1">
        <w:r w:rsidRPr="00286CAA">
          <w:rPr>
            <w:rFonts w:ascii="FrankRuehl" w:hAnsi="FrankRuehl" w:cs="FrankRuehl"/>
            <w:color w:val="0000FF"/>
            <w:rtl/>
          </w:rPr>
          <w:t>חוק העונשין, תשל"ז-1977</w:t>
        </w:r>
      </w:hyperlink>
      <w:r w:rsidRPr="00286CAA">
        <w:rPr>
          <w:rFonts w:ascii="FrankRuehl" w:hAnsi="FrankRuehl" w:cs="FrankRuehl"/>
          <w:rtl/>
        </w:rPr>
        <w:t xml:space="preserve">: סע'  </w:t>
      </w:r>
      <w:hyperlink r:id="rId11" w:history="1">
        <w:r w:rsidRPr="00286CAA">
          <w:rPr>
            <w:rFonts w:ascii="FrankRuehl" w:hAnsi="FrankRuehl" w:cs="FrankRuehl"/>
            <w:color w:val="0000FF"/>
            <w:rtl/>
          </w:rPr>
          <w:t>40א</w:t>
        </w:r>
      </w:hyperlink>
      <w:r w:rsidRPr="00286CAA">
        <w:rPr>
          <w:rFonts w:ascii="FrankRuehl" w:hAnsi="FrankRuehl" w:cs="FrankRuehl"/>
          <w:rtl/>
        </w:rPr>
        <w:t xml:space="preserve">, </w:t>
      </w:r>
      <w:hyperlink r:id="rId12" w:history="1">
        <w:r w:rsidRPr="00286CAA">
          <w:rPr>
            <w:rFonts w:ascii="FrankRuehl" w:hAnsi="FrankRuehl" w:cs="FrankRuehl"/>
            <w:color w:val="0000FF"/>
            <w:rtl/>
          </w:rPr>
          <w:t>40ג(א)</w:t>
        </w:r>
      </w:hyperlink>
      <w:r w:rsidRPr="00286CAA">
        <w:rPr>
          <w:rFonts w:ascii="FrankRuehl" w:hAnsi="FrankRuehl" w:cs="FrankRuehl"/>
          <w:rtl/>
        </w:rPr>
        <w:t xml:space="preserve">, </w:t>
      </w:r>
      <w:hyperlink r:id="rId13" w:history="1">
        <w:r w:rsidRPr="00286CAA">
          <w:rPr>
            <w:rFonts w:ascii="FrankRuehl" w:hAnsi="FrankRuehl" w:cs="FrankRuehl"/>
            <w:color w:val="0000FF"/>
            <w:rtl/>
          </w:rPr>
          <w:t>40ג(ב)</w:t>
        </w:r>
      </w:hyperlink>
      <w:r w:rsidRPr="00286CAA">
        <w:rPr>
          <w:rFonts w:ascii="FrankRuehl" w:hAnsi="FrankRuehl" w:cs="FrankRuehl"/>
          <w:rtl/>
        </w:rPr>
        <w:t xml:space="preserve">, </w:t>
      </w:r>
      <w:hyperlink r:id="rId14" w:history="1">
        <w:r w:rsidRPr="00286CAA">
          <w:rPr>
            <w:rFonts w:ascii="FrankRuehl" w:hAnsi="FrankRuehl" w:cs="FrankRuehl"/>
            <w:color w:val="0000FF"/>
            <w:rtl/>
          </w:rPr>
          <w:t>40ד</w:t>
        </w:r>
      </w:hyperlink>
      <w:r w:rsidRPr="00286CAA">
        <w:rPr>
          <w:rFonts w:ascii="FrankRuehl" w:hAnsi="FrankRuehl" w:cs="FrankRuehl"/>
          <w:rtl/>
        </w:rPr>
        <w:t xml:space="preserve">, </w:t>
      </w:r>
      <w:hyperlink r:id="rId15" w:history="1">
        <w:r w:rsidRPr="00286CAA">
          <w:rPr>
            <w:rFonts w:ascii="FrankRuehl" w:hAnsi="FrankRuehl" w:cs="FrankRuehl"/>
            <w:color w:val="0000FF"/>
            <w:rtl/>
          </w:rPr>
          <w:t>40ד(א)</w:t>
        </w:r>
      </w:hyperlink>
      <w:r w:rsidRPr="00286CAA">
        <w:rPr>
          <w:rFonts w:ascii="FrankRuehl" w:hAnsi="FrankRuehl" w:cs="FrankRuehl"/>
          <w:rtl/>
        </w:rPr>
        <w:t xml:space="preserve">, </w:t>
      </w:r>
      <w:hyperlink r:id="rId16" w:history="1">
        <w:r w:rsidRPr="00286CAA">
          <w:rPr>
            <w:rFonts w:ascii="FrankRuehl" w:hAnsi="FrankRuehl" w:cs="FrankRuehl"/>
            <w:color w:val="0000FF"/>
            <w:rtl/>
          </w:rPr>
          <w:t>40ו</w:t>
        </w:r>
      </w:hyperlink>
      <w:r w:rsidRPr="00286CAA">
        <w:rPr>
          <w:rFonts w:ascii="FrankRuehl" w:hAnsi="FrankRuehl" w:cs="FrankRuehl"/>
          <w:rtl/>
        </w:rPr>
        <w:t xml:space="preserve">, </w:t>
      </w:r>
      <w:hyperlink r:id="rId17" w:history="1">
        <w:r w:rsidRPr="00286CAA">
          <w:rPr>
            <w:rFonts w:ascii="FrankRuehl" w:hAnsi="FrankRuehl" w:cs="FrankRuehl"/>
            <w:color w:val="0000FF"/>
            <w:rtl/>
          </w:rPr>
          <w:t>40ז</w:t>
        </w:r>
      </w:hyperlink>
      <w:r w:rsidRPr="00286CAA">
        <w:rPr>
          <w:rFonts w:ascii="FrankRuehl" w:hAnsi="FrankRuehl" w:cs="FrankRuehl"/>
          <w:rtl/>
        </w:rPr>
        <w:t xml:space="preserve">, </w:t>
      </w:r>
      <w:hyperlink r:id="rId18" w:history="1">
        <w:r w:rsidRPr="00286CAA">
          <w:rPr>
            <w:rFonts w:ascii="FrankRuehl" w:hAnsi="FrankRuehl" w:cs="FrankRuehl"/>
            <w:color w:val="0000FF"/>
            <w:rtl/>
          </w:rPr>
          <w:t>40ח</w:t>
        </w:r>
      </w:hyperlink>
      <w:r w:rsidRPr="00286CAA">
        <w:rPr>
          <w:rFonts w:ascii="FrankRuehl" w:hAnsi="FrankRuehl" w:cs="FrankRuehl"/>
          <w:rtl/>
        </w:rPr>
        <w:t xml:space="preserve">, </w:t>
      </w:r>
      <w:hyperlink r:id="rId19" w:history="1">
        <w:r w:rsidRPr="00286CAA">
          <w:rPr>
            <w:rFonts w:ascii="FrankRuehl" w:hAnsi="FrankRuehl" w:cs="FrankRuehl"/>
            <w:color w:val="0000FF"/>
            <w:rtl/>
          </w:rPr>
          <w:t>40יא</w:t>
        </w:r>
      </w:hyperlink>
      <w:r w:rsidRPr="00286CAA">
        <w:rPr>
          <w:rFonts w:ascii="FrankRuehl" w:hAnsi="FrankRuehl" w:cs="FrankRuehl"/>
          <w:rtl/>
        </w:rPr>
        <w:t xml:space="preserve">, </w:t>
      </w:r>
      <w:hyperlink r:id="rId20" w:history="1">
        <w:r w:rsidRPr="00286CAA">
          <w:rPr>
            <w:rFonts w:ascii="FrankRuehl" w:hAnsi="FrankRuehl" w:cs="FrankRuehl"/>
            <w:color w:val="0000FF"/>
            <w:rtl/>
          </w:rPr>
          <w:t>40יט</w:t>
        </w:r>
      </w:hyperlink>
    </w:p>
    <w:p w14:paraId="2A4AD7A5" w14:textId="77777777" w:rsidR="00286CAA" w:rsidRPr="00286CAA" w:rsidRDefault="00286CAA" w:rsidP="00286CAA">
      <w:pPr>
        <w:rPr>
          <w:rFonts w:ascii="Arial" w:hAnsi="Arial"/>
          <w:sz w:val="26"/>
          <w:szCs w:val="26"/>
          <w:rtl/>
        </w:rPr>
      </w:pPr>
      <w:bookmarkStart w:id="4" w:name="LawTable_End"/>
      <w:bookmarkEnd w:id="4"/>
    </w:p>
    <w:p w14:paraId="143F9E60" w14:textId="77777777" w:rsidR="00D667FC" w:rsidRPr="002D1453" w:rsidRDefault="00D667FC" w:rsidP="002D1453">
      <w:pPr>
        <w:rPr>
          <w:rFonts w:ascii="Arial" w:hAnsi="Arial"/>
          <w:sz w:val="26"/>
          <w:szCs w:val="26"/>
          <w:rtl/>
        </w:rPr>
      </w:pPr>
    </w:p>
    <w:tbl>
      <w:tblPr>
        <w:bidiVisual/>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tblGrid>
      <w:tr w:rsidR="00D667FC" w14:paraId="1887491A" w14:textId="77777777" w:rsidTr="00D667FC">
        <w:trPr>
          <w:trHeight w:val="624"/>
          <w:jc w:val="center"/>
        </w:trPr>
        <w:tc>
          <w:tcPr>
            <w:tcW w:w="8222" w:type="dxa"/>
            <w:tcBorders>
              <w:top w:val="nil"/>
              <w:left w:val="nil"/>
              <w:bottom w:val="nil"/>
              <w:right w:val="nil"/>
            </w:tcBorders>
            <w:shd w:val="clear" w:color="auto" w:fill="auto"/>
            <w:vAlign w:val="center"/>
          </w:tcPr>
          <w:p w14:paraId="67AB7CA6" w14:textId="77777777" w:rsidR="00632865" w:rsidRPr="00632865" w:rsidRDefault="00632865" w:rsidP="00632865">
            <w:pPr>
              <w:jc w:val="center"/>
              <w:rPr>
                <w:rFonts w:ascii="David" w:hAnsi="David"/>
                <w:b/>
                <w:bCs/>
                <w:sz w:val="32"/>
                <w:szCs w:val="32"/>
                <w:u w:val="single"/>
                <w:rtl/>
              </w:rPr>
            </w:pPr>
            <w:bookmarkStart w:id="5" w:name="PsakDin" w:colFirst="0" w:colLast="0"/>
            <w:bookmarkEnd w:id="0"/>
            <w:r w:rsidRPr="00632865">
              <w:rPr>
                <w:rFonts w:ascii="David" w:hAnsi="David"/>
                <w:b/>
                <w:bCs/>
                <w:sz w:val="32"/>
                <w:szCs w:val="32"/>
                <w:u w:val="single"/>
                <w:rtl/>
              </w:rPr>
              <w:t>גזר דין</w:t>
            </w:r>
          </w:p>
          <w:p w14:paraId="38D9D9DA" w14:textId="77777777" w:rsidR="00D667FC" w:rsidRPr="00632865" w:rsidRDefault="00D667FC" w:rsidP="00632865">
            <w:pPr>
              <w:jc w:val="center"/>
              <w:rPr>
                <w:rFonts w:ascii="David" w:hAnsi="David"/>
                <w:bCs/>
                <w:sz w:val="32"/>
                <w:szCs w:val="32"/>
                <w:u w:val="single"/>
              </w:rPr>
            </w:pPr>
          </w:p>
        </w:tc>
      </w:tr>
      <w:bookmarkEnd w:id="5"/>
    </w:tbl>
    <w:p w14:paraId="190C3A2C" w14:textId="77777777" w:rsidR="00D667FC" w:rsidRDefault="00D667FC" w:rsidP="00D667FC">
      <w:pPr>
        <w:rPr>
          <w:rFonts w:ascii="Arial" w:hAnsi="Arial"/>
          <w:b/>
          <w:bCs/>
          <w:sz w:val="26"/>
          <w:szCs w:val="26"/>
          <w:rtl/>
        </w:rPr>
      </w:pPr>
    </w:p>
    <w:p w14:paraId="052067A7" w14:textId="77777777" w:rsidR="00D667FC" w:rsidRDefault="00D667FC" w:rsidP="00D667FC">
      <w:pPr>
        <w:rPr>
          <w:rFonts w:ascii="Arial" w:hAnsi="Arial"/>
          <w:b/>
          <w:bCs/>
          <w:sz w:val="26"/>
          <w:szCs w:val="26"/>
          <w:rtl/>
        </w:rPr>
      </w:pPr>
    </w:p>
    <w:p w14:paraId="473537F3" w14:textId="77777777" w:rsidR="00D667FC" w:rsidRDefault="00D667FC" w:rsidP="00D667FC">
      <w:pPr>
        <w:widowControl w:val="0"/>
        <w:spacing w:line="360" w:lineRule="auto"/>
        <w:jc w:val="both"/>
        <w:rPr>
          <w:rFonts w:ascii="David" w:hAnsi="David"/>
          <w:b/>
          <w:bCs/>
          <w:sz w:val="26"/>
          <w:szCs w:val="26"/>
          <w:rtl/>
        </w:rPr>
      </w:pPr>
      <w:r>
        <w:rPr>
          <w:rFonts w:ascii="David" w:hAnsi="David"/>
          <w:b/>
          <w:bCs/>
          <w:sz w:val="26"/>
          <w:szCs w:val="26"/>
          <w:rtl/>
        </w:rPr>
        <w:t xml:space="preserve">כתב האישום, הסדר הטיעון והכרעת הדין </w:t>
      </w:r>
    </w:p>
    <w:p w14:paraId="5FB04DA7" w14:textId="77777777" w:rsidR="00D667FC" w:rsidRDefault="00D667FC" w:rsidP="00D667FC">
      <w:pPr>
        <w:pStyle w:val="aa"/>
        <w:widowControl w:val="0"/>
        <w:numPr>
          <w:ilvl w:val="0"/>
          <w:numId w:val="1"/>
        </w:numPr>
        <w:spacing w:line="360" w:lineRule="auto"/>
        <w:ind w:left="360"/>
        <w:jc w:val="both"/>
        <w:rPr>
          <w:sz w:val="24"/>
        </w:rPr>
      </w:pPr>
      <w:bookmarkStart w:id="6" w:name="ABSTRACT_START"/>
      <w:bookmarkEnd w:id="6"/>
      <w:r>
        <w:rPr>
          <w:rFonts w:hint="cs"/>
          <w:sz w:val="24"/>
          <w:rtl/>
        </w:rPr>
        <w:t xml:space="preserve">ב-15.3.22 הורשע הנאשם, על פי הודאתו, בעובדות כתב אישום מתוקן (להלן: </w:t>
      </w:r>
      <w:r>
        <w:rPr>
          <w:rFonts w:hint="cs"/>
          <w:b/>
          <w:bCs/>
          <w:sz w:val="24"/>
          <w:rtl/>
        </w:rPr>
        <w:t>כתב האישום</w:t>
      </w:r>
      <w:r>
        <w:rPr>
          <w:rFonts w:hint="cs"/>
          <w:sz w:val="24"/>
          <w:rtl/>
        </w:rPr>
        <w:t>) ב-</w:t>
      </w:r>
      <w:r>
        <w:rPr>
          <w:rFonts w:hint="cs"/>
          <w:b/>
          <w:bCs/>
          <w:sz w:val="24"/>
          <w:rtl/>
        </w:rPr>
        <w:t>גידול סם מסוכן</w:t>
      </w:r>
      <w:r>
        <w:rPr>
          <w:rFonts w:hint="cs"/>
          <w:sz w:val="24"/>
          <w:rtl/>
        </w:rPr>
        <w:t xml:space="preserve">, בהתאם </w:t>
      </w:r>
      <w:hyperlink r:id="rId21" w:history="1">
        <w:r w:rsidR="003C0062" w:rsidRPr="003C0062">
          <w:rPr>
            <w:rStyle w:val="Hyperlink"/>
            <w:rFonts w:hint="eastAsia"/>
            <w:sz w:val="24"/>
            <w:rtl/>
          </w:rPr>
          <w:t>לסעיף</w:t>
        </w:r>
        <w:r w:rsidR="003C0062" w:rsidRPr="003C0062">
          <w:rPr>
            <w:rStyle w:val="Hyperlink"/>
            <w:sz w:val="24"/>
            <w:rtl/>
          </w:rPr>
          <w:t xml:space="preserve"> 6</w:t>
        </w:r>
      </w:hyperlink>
      <w:r>
        <w:rPr>
          <w:rFonts w:hint="cs"/>
          <w:sz w:val="24"/>
          <w:rtl/>
        </w:rPr>
        <w:t xml:space="preserve"> ל-</w:t>
      </w:r>
      <w:hyperlink r:id="rId22" w:history="1">
        <w:r w:rsidR="00632865" w:rsidRPr="00632865">
          <w:rPr>
            <w:rFonts w:ascii="Miriam" w:hAnsi="Miriam" w:cs="Miriam"/>
            <w:b/>
            <w:bCs/>
            <w:color w:val="0000FF"/>
            <w:szCs w:val="22"/>
            <w:u w:val="single"/>
            <w:rtl/>
          </w:rPr>
          <w:t>פקודת הסמים המסוכנים</w:t>
        </w:r>
      </w:hyperlink>
      <w:r>
        <w:rPr>
          <w:rFonts w:ascii="Miriam" w:hAnsi="Miriam" w:cs="Miriam"/>
          <w:b/>
          <w:bCs/>
          <w:szCs w:val="22"/>
          <w:rtl/>
        </w:rPr>
        <w:t xml:space="preserve"> [נוסח חדש]</w:t>
      </w:r>
      <w:r>
        <w:rPr>
          <w:rFonts w:hint="cs"/>
          <w:sz w:val="24"/>
          <w:rtl/>
        </w:rPr>
        <w:t xml:space="preserve">, התשל"ג–1973 (להלן: </w:t>
      </w:r>
      <w:r>
        <w:rPr>
          <w:rFonts w:ascii="Miriam" w:hAnsi="Miriam" w:cs="Miriam"/>
          <w:b/>
          <w:bCs/>
          <w:szCs w:val="22"/>
          <w:rtl/>
        </w:rPr>
        <w:t>פקודת הסמים</w:t>
      </w:r>
      <w:r>
        <w:rPr>
          <w:rFonts w:hint="cs"/>
          <w:sz w:val="24"/>
          <w:rtl/>
        </w:rPr>
        <w:t xml:space="preserve">). על פי עובדות כתב האישום בהן הודה והורשע, ב-26.7.20 בשעה 15:15 או בסמוך לכך, גידל הנאשם 65 שתילי קנבוס בדירה ברח' יפה נוף 23/602 באשקלון (להלן: </w:t>
      </w:r>
      <w:r>
        <w:rPr>
          <w:rFonts w:hint="cs"/>
          <w:b/>
          <w:bCs/>
          <w:sz w:val="24"/>
          <w:rtl/>
        </w:rPr>
        <w:t>הדירה</w:t>
      </w:r>
      <w:r>
        <w:rPr>
          <w:rFonts w:hint="cs"/>
          <w:sz w:val="24"/>
          <w:rtl/>
        </w:rPr>
        <w:t xml:space="preserve">).אביו של הנאשם שכר את הדירה ב-2.9.18 והנאשם התגורר בדירה כשנה עובר ל-26.7.20. בנוסף החזיק הנאשם בדירה 13 ק"ג קנבוס. מועד הטיעונים לעונש נדחה מעת לעת מסיבות שונות, עד שאלו נשמעו בפניי היום, 20.3.24. </w:t>
      </w:r>
    </w:p>
    <w:p w14:paraId="099FDA7C" w14:textId="77777777" w:rsidR="00D667FC" w:rsidRDefault="00D667FC" w:rsidP="00D667FC">
      <w:pPr>
        <w:widowControl w:val="0"/>
        <w:spacing w:line="360" w:lineRule="auto"/>
        <w:jc w:val="both"/>
        <w:rPr>
          <w:rFonts w:ascii="David" w:hAnsi="David"/>
          <w:b/>
          <w:bCs/>
          <w:sz w:val="26"/>
          <w:szCs w:val="26"/>
        </w:rPr>
      </w:pPr>
      <w:bookmarkStart w:id="7" w:name="ABSTRACT_END"/>
      <w:bookmarkEnd w:id="7"/>
    </w:p>
    <w:p w14:paraId="548D8037" w14:textId="77777777" w:rsidR="00D667FC" w:rsidRDefault="00D667FC" w:rsidP="00D667FC">
      <w:pPr>
        <w:widowControl w:val="0"/>
        <w:spacing w:line="360" w:lineRule="auto"/>
        <w:jc w:val="both"/>
        <w:rPr>
          <w:rFonts w:ascii="David" w:hAnsi="David"/>
          <w:b/>
          <w:bCs/>
          <w:sz w:val="26"/>
          <w:szCs w:val="26"/>
        </w:rPr>
      </w:pPr>
      <w:r>
        <w:rPr>
          <w:rFonts w:ascii="David" w:hAnsi="David"/>
          <w:b/>
          <w:bCs/>
          <w:sz w:val="26"/>
          <w:szCs w:val="26"/>
          <w:rtl/>
        </w:rPr>
        <w:t>קביעת מתחם העונש ההולם</w:t>
      </w:r>
    </w:p>
    <w:p w14:paraId="537CAE86" w14:textId="77777777" w:rsidR="00D667FC" w:rsidRDefault="00D667FC" w:rsidP="00D667FC">
      <w:pPr>
        <w:pStyle w:val="aa"/>
        <w:widowControl w:val="0"/>
        <w:numPr>
          <w:ilvl w:val="0"/>
          <w:numId w:val="1"/>
        </w:numPr>
        <w:spacing w:line="360" w:lineRule="auto"/>
        <w:ind w:left="357" w:hanging="357"/>
        <w:jc w:val="both"/>
        <w:rPr>
          <w:rFonts w:ascii="Times New Roman" w:hAnsi="Times New Roman"/>
          <w:sz w:val="24"/>
        </w:rPr>
      </w:pPr>
      <w:r>
        <w:rPr>
          <w:rFonts w:hint="cs"/>
          <w:sz w:val="24"/>
          <w:rtl/>
        </w:rPr>
        <w:t xml:space="preserve">אמות המידה ואבני הבוחן בהן התחשבתי בקביעת מתחם העונש ההולם, בהתאם </w:t>
      </w:r>
      <w:hyperlink r:id="rId23" w:history="1">
        <w:r w:rsidR="003C0062" w:rsidRPr="003C0062">
          <w:rPr>
            <w:rStyle w:val="Hyperlink"/>
            <w:rFonts w:hint="eastAsia"/>
            <w:sz w:val="24"/>
            <w:rtl/>
          </w:rPr>
          <w:t>לסעיף</w:t>
        </w:r>
        <w:r w:rsidR="003C0062" w:rsidRPr="003C0062">
          <w:rPr>
            <w:rStyle w:val="Hyperlink"/>
            <w:sz w:val="24"/>
            <w:rtl/>
          </w:rPr>
          <w:t xml:space="preserve"> 40ג(א)</w:t>
        </w:r>
      </w:hyperlink>
      <w:r>
        <w:rPr>
          <w:rFonts w:hint="cs"/>
          <w:sz w:val="24"/>
          <w:rtl/>
        </w:rPr>
        <w:t xml:space="preserve"> ל-</w:t>
      </w:r>
      <w:hyperlink r:id="rId24" w:history="1">
        <w:r w:rsidR="00632865" w:rsidRPr="00632865">
          <w:rPr>
            <w:rFonts w:ascii="Miriam" w:hAnsi="Miriam" w:cs="Miriam"/>
            <w:b/>
            <w:bCs/>
            <w:color w:val="0000FF"/>
            <w:szCs w:val="22"/>
            <w:u w:val="single"/>
            <w:rtl/>
          </w:rPr>
          <w:t>חוק העונשין</w:t>
        </w:r>
      </w:hyperlink>
      <w:r>
        <w:rPr>
          <w:rFonts w:hint="cs"/>
          <w:sz w:val="24"/>
          <w:rtl/>
        </w:rPr>
        <w:t xml:space="preserve">, התשל"ז-1977 (להלן: </w:t>
      </w:r>
      <w:r>
        <w:rPr>
          <w:rFonts w:ascii="Miriam" w:hAnsi="Miriam" w:cs="Miriam"/>
          <w:b/>
          <w:bCs/>
          <w:szCs w:val="22"/>
          <w:rtl/>
        </w:rPr>
        <w:t>חוק העונשין</w:t>
      </w:r>
      <w:r>
        <w:rPr>
          <w:rFonts w:hint="cs"/>
          <w:sz w:val="24"/>
          <w:rtl/>
        </w:rPr>
        <w:t>) הן כמפורט להלן:</w:t>
      </w:r>
    </w:p>
    <w:p w14:paraId="71401DC6" w14:textId="77777777" w:rsidR="00D667FC" w:rsidRDefault="00D667FC" w:rsidP="00D667FC">
      <w:pPr>
        <w:widowControl w:val="0"/>
        <w:jc w:val="both"/>
        <w:rPr>
          <w:rFonts w:ascii="David" w:hAnsi="David"/>
        </w:rPr>
      </w:pPr>
    </w:p>
    <w:p w14:paraId="43C31FA1" w14:textId="77777777" w:rsidR="00D667FC" w:rsidRDefault="00D667FC" w:rsidP="00D667FC">
      <w:pPr>
        <w:widowControl w:val="0"/>
        <w:numPr>
          <w:ilvl w:val="1"/>
          <w:numId w:val="1"/>
        </w:numPr>
        <w:snapToGrid w:val="0"/>
        <w:spacing w:line="360" w:lineRule="auto"/>
        <w:ind w:left="850" w:hanging="425"/>
        <w:jc w:val="both"/>
        <w:rPr>
          <w:rFonts w:ascii="David" w:hAnsi="David"/>
          <w:rtl/>
          <w:lang w:eastAsia="he-IL"/>
        </w:rPr>
      </w:pPr>
      <w:r>
        <w:rPr>
          <w:rFonts w:ascii="David" w:hAnsi="David"/>
          <w:b/>
          <w:bCs/>
          <w:rtl/>
        </w:rPr>
        <w:t xml:space="preserve">הערכים החברתיים שנפגעו מביצוע העבירות </w:t>
      </w:r>
      <w:r>
        <w:rPr>
          <w:rFonts w:ascii="David" w:hAnsi="David"/>
          <w:rtl/>
        </w:rPr>
        <w:t xml:space="preserve">הם </w:t>
      </w:r>
      <w:r>
        <w:rPr>
          <w:rFonts w:ascii="David" w:hAnsi="David"/>
          <w:rtl/>
          <w:lang w:eastAsia="he-IL"/>
        </w:rPr>
        <w:t>הגנה על שלום הציבור ובריאותו מפני הנזקים הישירים והעקיפים שנגרמים עקב השימוש בסמים</w:t>
      </w:r>
      <w:r>
        <w:rPr>
          <w:rFonts w:ascii="David" w:hAnsi="David"/>
          <w:rtl/>
        </w:rPr>
        <w:t>, כמו גם השמירה על הסדר הציבורי ובטחון הציבור</w:t>
      </w:r>
      <w:r>
        <w:rPr>
          <w:rFonts w:ascii="David" w:hAnsi="David"/>
          <w:rtl/>
          <w:lang w:eastAsia="he-IL"/>
        </w:rPr>
        <w:t xml:space="preserve">. </w:t>
      </w:r>
      <w:r>
        <w:rPr>
          <w:rFonts w:ascii="David" w:hAnsi="David"/>
          <w:rtl/>
        </w:rPr>
        <w:t xml:space="preserve">נפסק לא אחת, כי עבירות הסמים מחוללות פשיעה, אגב הפצת הסם וצריכתו, כנטען על ידי ב"כ המאשימה. </w:t>
      </w:r>
      <w:r>
        <w:rPr>
          <w:rFonts w:ascii="David" w:hAnsi="David"/>
          <w:rtl/>
          <w:lang w:eastAsia="he-IL"/>
        </w:rPr>
        <w:t>מעבר לנזקים הישירים הנגרמים למשתמשי הסם, משפחותיהם וסביבתם הקרובה – נגע הסמים מלווה ואף יוצר עבירות נוספות, ובכלל זה עבירות רכוש,</w:t>
      </w:r>
      <w:r>
        <w:rPr>
          <w:rFonts w:ascii="David" w:hAnsi="David"/>
          <w:b/>
          <w:bCs/>
          <w:rtl/>
          <w:lang w:eastAsia="he-IL"/>
        </w:rPr>
        <w:t xml:space="preserve"> </w:t>
      </w:r>
      <w:r>
        <w:rPr>
          <w:rFonts w:ascii="David" w:hAnsi="David"/>
          <w:rtl/>
          <w:lang w:eastAsia="he-IL"/>
        </w:rPr>
        <w:t xml:space="preserve">בשל הצורך להשיג את מנת הסם, ולעיתים אף אלימות, שמבוצעות כתוצאה מהשימוש בסמים, או במהלך ביצוע עבירות הרכוש. </w:t>
      </w:r>
    </w:p>
    <w:p w14:paraId="2FA13024" w14:textId="77777777" w:rsidR="00D667FC" w:rsidRDefault="00D667FC" w:rsidP="00D667FC">
      <w:pPr>
        <w:widowControl w:val="0"/>
        <w:snapToGrid w:val="0"/>
        <w:spacing w:line="360" w:lineRule="auto"/>
        <w:ind w:left="720"/>
        <w:jc w:val="both"/>
        <w:rPr>
          <w:rFonts w:ascii="David" w:hAnsi="David"/>
          <w:lang w:eastAsia="he-IL"/>
        </w:rPr>
      </w:pPr>
    </w:p>
    <w:p w14:paraId="55C0A7F3" w14:textId="77777777" w:rsidR="00D667FC" w:rsidRDefault="00D667FC" w:rsidP="00D667FC">
      <w:pPr>
        <w:widowControl w:val="0"/>
        <w:numPr>
          <w:ilvl w:val="1"/>
          <w:numId w:val="1"/>
        </w:numPr>
        <w:snapToGrid w:val="0"/>
        <w:spacing w:line="360" w:lineRule="auto"/>
        <w:ind w:left="850" w:hanging="425"/>
        <w:jc w:val="both"/>
        <w:rPr>
          <w:rFonts w:ascii="David" w:hAnsi="David"/>
          <w:lang w:eastAsia="he-IL"/>
        </w:rPr>
      </w:pPr>
      <w:r>
        <w:rPr>
          <w:rFonts w:ascii="David" w:hAnsi="David"/>
          <w:rtl/>
          <w:lang w:eastAsia="he-IL"/>
        </w:rPr>
        <w:t>אין להקל ראש ב-</w:t>
      </w:r>
      <w:r>
        <w:rPr>
          <w:rFonts w:ascii="David" w:hAnsi="David"/>
          <w:b/>
          <w:bCs/>
          <w:rtl/>
        </w:rPr>
        <w:t>מידת הפגיעה בערכים החברתיים</w:t>
      </w:r>
      <w:r>
        <w:rPr>
          <w:rFonts w:ascii="David" w:hAnsi="David"/>
          <w:rtl/>
        </w:rPr>
        <w:t xml:space="preserve">. </w:t>
      </w:r>
      <w:r>
        <w:rPr>
          <w:rFonts w:ascii="David" w:hAnsi="David"/>
          <w:sz w:val="20"/>
          <w:rtl/>
          <w:lang w:eastAsia="he-IL"/>
        </w:rPr>
        <w:t>בית המשפט העליון עמד לא אחת על פגיעתן הרבה של עבירות הסמים בערכים המוגנים ועל תפקיד בית המשפט במאבק בנגע הסמים, כמו הצורך להכות בכל אחת ואחת מחוליות הפצת הסם, לרבות בגידולו ובהחזקתו שלא לצריכה עצמית. כך נקבע בסעיף 5 לפסק דינו של כב' השופט עמית ב</w:t>
      </w:r>
      <w:hyperlink r:id="rId25" w:history="1">
        <w:r w:rsidR="00632865" w:rsidRPr="00632865">
          <w:rPr>
            <w:rFonts w:ascii="David" w:hAnsi="David"/>
            <w:color w:val="0000FF"/>
            <w:sz w:val="20"/>
            <w:u w:val="single"/>
            <w:rtl/>
            <w:lang w:eastAsia="he-IL"/>
          </w:rPr>
          <w:t>ע"פ 3172/13</w:t>
        </w:r>
      </w:hyperlink>
      <w:r>
        <w:rPr>
          <w:rFonts w:ascii="David" w:hAnsi="David"/>
          <w:sz w:val="20"/>
          <w:rtl/>
          <w:lang w:eastAsia="he-IL"/>
        </w:rPr>
        <w:t xml:space="preserve"> </w:t>
      </w:r>
      <w:r>
        <w:rPr>
          <w:rFonts w:ascii="David" w:hAnsi="David" w:cs="Miriam"/>
          <w:b/>
          <w:bCs/>
          <w:sz w:val="18"/>
          <w:szCs w:val="22"/>
          <w:rtl/>
          <w:lang w:eastAsia="he-IL"/>
        </w:rPr>
        <w:t>סואעד נ' מדינת ישראל</w:t>
      </w:r>
      <w:r>
        <w:rPr>
          <w:rFonts w:ascii="David" w:hAnsi="David"/>
          <w:sz w:val="18"/>
          <w:szCs w:val="22"/>
          <w:rtl/>
          <w:lang w:eastAsia="he-IL"/>
        </w:rPr>
        <w:t xml:space="preserve"> </w:t>
      </w:r>
      <w:r>
        <w:rPr>
          <w:rFonts w:ascii="David" w:hAnsi="David"/>
          <w:sz w:val="20"/>
          <w:rtl/>
          <w:lang w:eastAsia="he-IL"/>
        </w:rPr>
        <w:t xml:space="preserve">(7.1.14) (להלן: </w:t>
      </w:r>
      <w:r>
        <w:rPr>
          <w:rFonts w:ascii="David" w:hAnsi="David" w:cs="Miriam"/>
          <w:b/>
          <w:bCs/>
          <w:sz w:val="18"/>
          <w:szCs w:val="22"/>
          <w:rtl/>
          <w:lang w:eastAsia="he-IL"/>
        </w:rPr>
        <w:t>פס"ד סואעד</w:t>
      </w:r>
      <w:r>
        <w:rPr>
          <w:rFonts w:ascii="David" w:hAnsi="David"/>
          <w:sz w:val="20"/>
          <w:rtl/>
          <w:lang w:eastAsia="he-IL"/>
        </w:rPr>
        <w:t xml:space="preserve">) – </w:t>
      </w:r>
    </w:p>
    <w:p w14:paraId="5AF7EB12" w14:textId="77777777" w:rsidR="00D667FC" w:rsidRDefault="00D667FC" w:rsidP="00D667FC">
      <w:pPr>
        <w:pStyle w:val="aa"/>
        <w:rPr>
          <w:sz w:val="16"/>
          <w:szCs w:val="20"/>
        </w:rPr>
      </w:pPr>
    </w:p>
    <w:p w14:paraId="7401EA8D" w14:textId="77777777" w:rsidR="00D667FC" w:rsidRDefault="00D667FC" w:rsidP="00D667FC">
      <w:pPr>
        <w:snapToGrid w:val="0"/>
        <w:ind w:left="1440" w:right="993"/>
        <w:jc w:val="both"/>
        <w:rPr>
          <w:rFonts w:ascii="Arial" w:hAnsi="Arial"/>
          <w:sz w:val="20"/>
          <w:lang w:eastAsia="he-IL"/>
        </w:rPr>
      </w:pPr>
      <w:r>
        <w:rPr>
          <w:rFonts w:ascii="Arial" w:hAnsi="Arial"/>
          <w:b/>
          <w:bCs/>
          <w:sz w:val="20"/>
          <w:rtl/>
          <w:lang w:eastAsia="he-IL"/>
        </w:rPr>
        <w:t>"על</w:t>
      </w:r>
      <w:r>
        <w:rPr>
          <w:rFonts w:ascii="David" w:hAnsi="David"/>
          <w:b/>
          <w:bCs/>
          <w:sz w:val="20"/>
          <w:lang w:eastAsia="he-IL"/>
        </w:rPr>
        <w:t xml:space="preserve"> </w:t>
      </w:r>
      <w:r>
        <w:rPr>
          <w:rFonts w:ascii="Arial" w:hAnsi="Arial"/>
          <w:b/>
          <w:bCs/>
          <w:sz w:val="20"/>
          <w:rtl/>
          <w:lang w:eastAsia="he-IL"/>
        </w:rPr>
        <w:t>פגיעתן</w:t>
      </w:r>
      <w:r>
        <w:rPr>
          <w:rFonts w:ascii="David" w:hAnsi="David"/>
          <w:b/>
          <w:bCs/>
          <w:sz w:val="20"/>
          <w:lang w:eastAsia="he-IL"/>
        </w:rPr>
        <w:t xml:space="preserve"> </w:t>
      </w:r>
      <w:r>
        <w:rPr>
          <w:rFonts w:ascii="Arial" w:hAnsi="Arial"/>
          <w:b/>
          <w:bCs/>
          <w:sz w:val="20"/>
          <w:rtl/>
          <w:lang w:eastAsia="he-IL"/>
        </w:rPr>
        <w:t>הרעה</w:t>
      </w:r>
      <w:r>
        <w:rPr>
          <w:rFonts w:ascii="David" w:hAnsi="David"/>
          <w:b/>
          <w:bCs/>
          <w:sz w:val="20"/>
          <w:lang w:eastAsia="he-IL"/>
        </w:rPr>
        <w:t xml:space="preserve"> </w:t>
      </w:r>
      <w:r>
        <w:rPr>
          <w:rFonts w:ascii="Arial" w:hAnsi="Arial"/>
          <w:b/>
          <w:bCs/>
          <w:sz w:val="20"/>
          <w:rtl/>
          <w:lang w:eastAsia="he-IL"/>
        </w:rPr>
        <w:t>של</w:t>
      </w:r>
      <w:r>
        <w:rPr>
          <w:rFonts w:ascii="David" w:hAnsi="David"/>
          <w:b/>
          <w:bCs/>
          <w:sz w:val="20"/>
          <w:lang w:eastAsia="he-IL"/>
        </w:rPr>
        <w:t xml:space="preserve"> </w:t>
      </w:r>
      <w:r>
        <w:rPr>
          <w:rFonts w:ascii="Arial" w:hAnsi="Arial"/>
          <w:b/>
          <w:bCs/>
          <w:sz w:val="20"/>
          <w:rtl/>
          <w:lang w:eastAsia="he-IL"/>
        </w:rPr>
        <w:t>עבירות</w:t>
      </w:r>
      <w:r>
        <w:rPr>
          <w:rFonts w:ascii="David" w:hAnsi="David"/>
          <w:b/>
          <w:bCs/>
          <w:sz w:val="20"/>
          <w:lang w:eastAsia="he-IL"/>
        </w:rPr>
        <w:t xml:space="preserve"> </w:t>
      </w:r>
      <w:r>
        <w:rPr>
          <w:rFonts w:ascii="Arial" w:hAnsi="Arial"/>
          <w:b/>
          <w:bCs/>
          <w:sz w:val="20"/>
          <w:rtl/>
          <w:lang w:eastAsia="he-IL"/>
        </w:rPr>
        <w:t>הסמים</w:t>
      </w:r>
      <w:r>
        <w:rPr>
          <w:rFonts w:ascii="David" w:hAnsi="David"/>
          <w:b/>
          <w:bCs/>
          <w:sz w:val="20"/>
          <w:lang w:eastAsia="he-IL"/>
        </w:rPr>
        <w:t xml:space="preserve"> </w:t>
      </w:r>
      <w:r>
        <w:rPr>
          <w:rFonts w:ascii="Arial" w:hAnsi="Arial"/>
          <w:b/>
          <w:bCs/>
          <w:sz w:val="20"/>
          <w:rtl/>
          <w:lang w:eastAsia="he-IL"/>
        </w:rPr>
        <w:t>ועל</w:t>
      </w:r>
      <w:r>
        <w:rPr>
          <w:rFonts w:ascii="David" w:hAnsi="David"/>
          <w:b/>
          <w:bCs/>
          <w:sz w:val="20"/>
          <w:lang w:eastAsia="he-IL"/>
        </w:rPr>
        <w:t xml:space="preserve"> </w:t>
      </w:r>
      <w:r>
        <w:rPr>
          <w:rFonts w:ascii="Arial" w:hAnsi="Arial"/>
          <w:b/>
          <w:bCs/>
          <w:sz w:val="20"/>
          <w:rtl/>
          <w:lang w:eastAsia="he-IL"/>
        </w:rPr>
        <w:t>תפקידו</w:t>
      </w:r>
      <w:r>
        <w:rPr>
          <w:rFonts w:ascii="David" w:hAnsi="David"/>
          <w:b/>
          <w:bCs/>
          <w:sz w:val="20"/>
          <w:lang w:eastAsia="he-IL"/>
        </w:rPr>
        <w:t xml:space="preserve"> </w:t>
      </w:r>
      <w:r>
        <w:rPr>
          <w:rFonts w:ascii="Arial" w:hAnsi="Arial"/>
          <w:b/>
          <w:bCs/>
          <w:sz w:val="20"/>
          <w:rtl/>
          <w:lang w:eastAsia="he-IL"/>
        </w:rPr>
        <w:t>של</w:t>
      </w:r>
      <w:r>
        <w:rPr>
          <w:rFonts w:ascii="David" w:hAnsi="David"/>
          <w:b/>
          <w:bCs/>
          <w:sz w:val="20"/>
          <w:lang w:eastAsia="he-IL"/>
        </w:rPr>
        <w:t xml:space="preserve"> </w:t>
      </w:r>
      <w:r>
        <w:rPr>
          <w:rFonts w:ascii="Arial" w:hAnsi="Arial"/>
          <w:b/>
          <w:bCs/>
          <w:sz w:val="20"/>
          <w:rtl/>
          <w:lang w:eastAsia="he-IL"/>
        </w:rPr>
        <w:t>בית</w:t>
      </w:r>
      <w:r>
        <w:rPr>
          <w:rFonts w:ascii="David" w:hAnsi="David"/>
          <w:b/>
          <w:bCs/>
          <w:sz w:val="20"/>
          <w:lang w:eastAsia="he-IL"/>
        </w:rPr>
        <w:t xml:space="preserve"> </w:t>
      </w:r>
      <w:r>
        <w:rPr>
          <w:rFonts w:ascii="Arial" w:hAnsi="Arial"/>
          <w:b/>
          <w:bCs/>
          <w:sz w:val="20"/>
          <w:rtl/>
          <w:lang w:eastAsia="he-IL"/>
        </w:rPr>
        <w:t>המשפט</w:t>
      </w:r>
      <w:r>
        <w:rPr>
          <w:rFonts w:ascii="David" w:hAnsi="David"/>
          <w:b/>
          <w:bCs/>
          <w:sz w:val="20"/>
          <w:lang w:eastAsia="he-IL"/>
        </w:rPr>
        <w:t xml:space="preserve"> </w:t>
      </w:r>
      <w:r>
        <w:rPr>
          <w:rFonts w:ascii="Arial" w:hAnsi="Arial"/>
          <w:b/>
          <w:bCs/>
          <w:sz w:val="20"/>
          <w:rtl/>
          <w:lang w:eastAsia="he-IL"/>
        </w:rPr>
        <w:t>במאבק</w:t>
      </w:r>
      <w:r>
        <w:rPr>
          <w:rFonts w:ascii="David" w:hAnsi="David"/>
          <w:b/>
          <w:bCs/>
          <w:sz w:val="20"/>
          <w:lang w:eastAsia="he-IL"/>
        </w:rPr>
        <w:t xml:space="preserve"> </w:t>
      </w:r>
      <w:r>
        <w:rPr>
          <w:rFonts w:ascii="Arial" w:hAnsi="Arial"/>
          <w:b/>
          <w:bCs/>
          <w:sz w:val="20"/>
          <w:rtl/>
          <w:lang w:eastAsia="he-IL"/>
        </w:rPr>
        <w:t>בנגע</w:t>
      </w:r>
      <w:r>
        <w:rPr>
          <w:rFonts w:ascii="David" w:hAnsi="David"/>
          <w:b/>
          <w:bCs/>
          <w:sz w:val="20"/>
          <w:lang w:eastAsia="he-IL"/>
        </w:rPr>
        <w:t xml:space="preserve"> </w:t>
      </w:r>
      <w:r>
        <w:rPr>
          <w:rFonts w:ascii="Arial" w:hAnsi="Arial"/>
          <w:b/>
          <w:bCs/>
          <w:sz w:val="20"/>
          <w:rtl/>
          <w:lang w:eastAsia="he-IL"/>
        </w:rPr>
        <w:t>הסמים</w:t>
      </w:r>
      <w:r>
        <w:rPr>
          <w:rFonts w:ascii="David" w:hAnsi="David"/>
          <w:b/>
          <w:bCs/>
          <w:sz w:val="20"/>
          <w:lang w:eastAsia="he-IL"/>
        </w:rPr>
        <w:t xml:space="preserve"> </w:t>
      </w:r>
      <w:r>
        <w:rPr>
          <w:rFonts w:ascii="Arial" w:hAnsi="Arial"/>
          <w:b/>
          <w:bCs/>
          <w:sz w:val="20"/>
          <w:rtl/>
          <w:lang w:eastAsia="he-IL"/>
        </w:rPr>
        <w:t>לצד</w:t>
      </w:r>
      <w:r>
        <w:rPr>
          <w:rFonts w:ascii="David" w:hAnsi="David"/>
          <w:b/>
          <w:bCs/>
          <w:sz w:val="20"/>
          <w:lang w:eastAsia="he-IL"/>
        </w:rPr>
        <w:t xml:space="preserve"> </w:t>
      </w:r>
      <w:r>
        <w:rPr>
          <w:rFonts w:ascii="Arial" w:hAnsi="Arial"/>
          <w:b/>
          <w:bCs/>
          <w:sz w:val="20"/>
          <w:rtl/>
          <w:lang w:eastAsia="he-IL"/>
        </w:rPr>
        <w:t>גורמים</w:t>
      </w:r>
      <w:r>
        <w:rPr>
          <w:rFonts w:ascii="David" w:hAnsi="David"/>
          <w:b/>
          <w:bCs/>
          <w:sz w:val="20"/>
          <w:lang w:eastAsia="he-IL"/>
        </w:rPr>
        <w:t xml:space="preserve"> </w:t>
      </w:r>
      <w:r>
        <w:rPr>
          <w:rFonts w:ascii="Arial" w:hAnsi="Arial"/>
          <w:b/>
          <w:bCs/>
          <w:sz w:val="20"/>
          <w:rtl/>
          <w:lang w:eastAsia="he-IL"/>
        </w:rPr>
        <w:t>וגופים</w:t>
      </w:r>
      <w:r>
        <w:rPr>
          <w:rFonts w:ascii="David" w:hAnsi="David"/>
          <w:b/>
          <w:bCs/>
          <w:sz w:val="20"/>
          <w:lang w:eastAsia="he-IL"/>
        </w:rPr>
        <w:t xml:space="preserve"> </w:t>
      </w:r>
      <w:r>
        <w:rPr>
          <w:rFonts w:ascii="Arial" w:hAnsi="Arial"/>
          <w:b/>
          <w:bCs/>
          <w:sz w:val="20"/>
          <w:rtl/>
          <w:lang w:eastAsia="he-IL"/>
        </w:rPr>
        <w:t>נוספים, עמד</w:t>
      </w:r>
      <w:r>
        <w:rPr>
          <w:rFonts w:ascii="David" w:hAnsi="David"/>
          <w:b/>
          <w:bCs/>
          <w:sz w:val="20"/>
          <w:lang w:eastAsia="he-IL"/>
        </w:rPr>
        <w:t xml:space="preserve"> </w:t>
      </w:r>
      <w:r>
        <w:rPr>
          <w:rFonts w:ascii="Arial" w:hAnsi="Arial"/>
          <w:b/>
          <w:bCs/>
          <w:sz w:val="20"/>
          <w:rtl/>
          <w:lang w:eastAsia="he-IL"/>
        </w:rPr>
        <w:t>בית</w:t>
      </w:r>
      <w:r>
        <w:rPr>
          <w:rFonts w:ascii="David" w:hAnsi="David"/>
          <w:b/>
          <w:bCs/>
          <w:sz w:val="20"/>
          <w:lang w:eastAsia="he-IL"/>
        </w:rPr>
        <w:t xml:space="preserve"> </w:t>
      </w:r>
      <w:r>
        <w:rPr>
          <w:rFonts w:ascii="Arial" w:hAnsi="Arial"/>
          <w:b/>
          <w:bCs/>
          <w:sz w:val="20"/>
          <w:rtl/>
          <w:lang w:eastAsia="he-IL"/>
        </w:rPr>
        <w:t>משפט</w:t>
      </w:r>
      <w:r>
        <w:rPr>
          <w:rFonts w:ascii="David" w:hAnsi="David"/>
          <w:b/>
          <w:bCs/>
          <w:sz w:val="20"/>
          <w:lang w:eastAsia="he-IL"/>
        </w:rPr>
        <w:t xml:space="preserve"> </w:t>
      </w:r>
      <w:r>
        <w:rPr>
          <w:rFonts w:ascii="Arial" w:hAnsi="Arial"/>
          <w:b/>
          <w:bCs/>
          <w:sz w:val="20"/>
          <w:rtl/>
          <w:lang w:eastAsia="he-IL"/>
        </w:rPr>
        <w:t>זה</w:t>
      </w:r>
      <w:r>
        <w:rPr>
          <w:rFonts w:ascii="David" w:hAnsi="David"/>
          <w:b/>
          <w:bCs/>
          <w:sz w:val="20"/>
          <w:lang w:eastAsia="he-IL"/>
        </w:rPr>
        <w:t xml:space="preserve"> </w:t>
      </w:r>
      <w:r>
        <w:rPr>
          <w:rFonts w:ascii="Arial" w:hAnsi="Arial"/>
          <w:b/>
          <w:bCs/>
          <w:sz w:val="20"/>
          <w:rtl/>
          <w:lang w:eastAsia="he-IL"/>
        </w:rPr>
        <w:t>פעמים</w:t>
      </w:r>
      <w:r>
        <w:rPr>
          <w:rFonts w:ascii="David" w:hAnsi="David"/>
          <w:b/>
          <w:bCs/>
          <w:sz w:val="20"/>
          <w:lang w:eastAsia="he-IL"/>
        </w:rPr>
        <w:t xml:space="preserve"> </w:t>
      </w:r>
      <w:r>
        <w:rPr>
          <w:rFonts w:ascii="Arial" w:hAnsi="Arial"/>
          <w:b/>
          <w:bCs/>
          <w:sz w:val="20"/>
          <w:rtl/>
          <w:lang w:eastAsia="he-IL"/>
        </w:rPr>
        <w:t>רבות</w:t>
      </w:r>
      <w:r>
        <w:rPr>
          <w:rFonts w:ascii="Arial" w:hAnsi="Arial"/>
          <w:sz w:val="20"/>
          <w:rtl/>
          <w:lang w:eastAsia="he-IL"/>
        </w:rPr>
        <w:t xml:space="preserve">... </w:t>
      </w:r>
      <w:r>
        <w:rPr>
          <w:rFonts w:ascii="Arial" w:hAnsi="Arial"/>
          <w:b/>
          <w:bCs/>
          <w:sz w:val="20"/>
          <w:rtl/>
          <w:lang w:eastAsia="he-IL"/>
        </w:rPr>
        <w:t>אין</w:t>
      </w:r>
      <w:r>
        <w:rPr>
          <w:rFonts w:ascii="David" w:hAnsi="David"/>
          <w:b/>
          <w:bCs/>
          <w:sz w:val="20"/>
          <w:lang w:eastAsia="he-IL"/>
        </w:rPr>
        <w:t xml:space="preserve"> </w:t>
      </w:r>
      <w:r>
        <w:rPr>
          <w:rFonts w:ascii="Arial" w:hAnsi="Arial"/>
          <w:b/>
          <w:bCs/>
          <w:sz w:val="20"/>
          <w:rtl/>
          <w:lang w:eastAsia="he-IL"/>
        </w:rPr>
        <w:t>ספור</w:t>
      </w:r>
      <w:r>
        <w:rPr>
          <w:rFonts w:ascii="David" w:hAnsi="David"/>
          <w:b/>
          <w:bCs/>
          <w:sz w:val="20"/>
          <w:lang w:eastAsia="he-IL"/>
        </w:rPr>
        <w:t xml:space="preserve"> </w:t>
      </w:r>
      <w:r>
        <w:rPr>
          <w:rFonts w:ascii="Arial" w:hAnsi="Arial"/>
          <w:b/>
          <w:bCs/>
          <w:sz w:val="20"/>
          <w:rtl/>
          <w:lang w:eastAsia="he-IL"/>
        </w:rPr>
        <w:t>מילים</w:t>
      </w:r>
      <w:r>
        <w:rPr>
          <w:rFonts w:ascii="David" w:hAnsi="David"/>
          <w:b/>
          <w:bCs/>
          <w:sz w:val="20"/>
          <w:lang w:eastAsia="he-IL"/>
        </w:rPr>
        <w:t xml:space="preserve"> </w:t>
      </w:r>
      <w:r>
        <w:rPr>
          <w:rFonts w:ascii="Arial" w:hAnsi="Arial"/>
          <w:b/>
          <w:bCs/>
          <w:sz w:val="20"/>
          <w:rtl/>
          <w:lang w:eastAsia="he-IL"/>
        </w:rPr>
        <w:t>נאמרו</w:t>
      </w:r>
      <w:r>
        <w:rPr>
          <w:rFonts w:ascii="David" w:hAnsi="David"/>
          <w:b/>
          <w:bCs/>
          <w:sz w:val="20"/>
          <w:lang w:eastAsia="he-IL"/>
        </w:rPr>
        <w:t xml:space="preserve"> </w:t>
      </w:r>
      <w:r>
        <w:rPr>
          <w:rFonts w:ascii="Arial" w:hAnsi="Arial"/>
          <w:b/>
          <w:bCs/>
          <w:sz w:val="20"/>
          <w:rtl/>
          <w:lang w:eastAsia="he-IL"/>
        </w:rPr>
        <w:t>בדבר</w:t>
      </w:r>
      <w:r>
        <w:rPr>
          <w:rFonts w:ascii="David" w:hAnsi="David"/>
          <w:b/>
          <w:bCs/>
          <w:sz w:val="20"/>
          <w:lang w:eastAsia="he-IL"/>
        </w:rPr>
        <w:t xml:space="preserve"> </w:t>
      </w:r>
      <w:r>
        <w:rPr>
          <w:rFonts w:ascii="Arial" w:hAnsi="Arial"/>
          <w:b/>
          <w:bCs/>
          <w:sz w:val="20"/>
          <w:rtl/>
          <w:lang w:eastAsia="he-IL"/>
        </w:rPr>
        <w:t>הצורך</w:t>
      </w:r>
      <w:r>
        <w:rPr>
          <w:rFonts w:ascii="David" w:hAnsi="David"/>
          <w:b/>
          <w:bCs/>
          <w:sz w:val="20"/>
          <w:lang w:eastAsia="he-IL"/>
        </w:rPr>
        <w:t xml:space="preserve"> </w:t>
      </w:r>
      <w:r>
        <w:rPr>
          <w:rFonts w:ascii="Arial" w:hAnsi="Arial"/>
          <w:b/>
          <w:bCs/>
          <w:sz w:val="20"/>
          <w:rtl/>
          <w:lang w:eastAsia="he-IL"/>
        </w:rPr>
        <w:t>להכות</w:t>
      </w:r>
      <w:r>
        <w:rPr>
          <w:rFonts w:ascii="David" w:hAnsi="David"/>
          <w:b/>
          <w:bCs/>
          <w:sz w:val="20"/>
          <w:lang w:eastAsia="he-IL"/>
        </w:rPr>
        <w:t xml:space="preserve"> </w:t>
      </w:r>
      <w:r>
        <w:rPr>
          <w:rFonts w:ascii="Arial" w:hAnsi="Arial"/>
          <w:b/>
          <w:bCs/>
          <w:sz w:val="20"/>
          <w:rtl/>
          <w:lang w:eastAsia="he-IL"/>
        </w:rPr>
        <w:t>בכל</w:t>
      </w:r>
      <w:r>
        <w:rPr>
          <w:rFonts w:ascii="David" w:hAnsi="David"/>
          <w:b/>
          <w:bCs/>
          <w:sz w:val="20"/>
          <w:lang w:eastAsia="he-IL"/>
        </w:rPr>
        <w:t xml:space="preserve"> </w:t>
      </w:r>
      <w:r>
        <w:rPr>
          <w:rFonts w:ascii="Arial" w:hAnsi="Arial"/>
          <w:b/>
          <w:bCs/>
          <w:sz w:val="20"/>
          <w:rtl/>
          <w:lang w:eastAsia="he-IL"/>
        </w:rPr>
        <w:t>אחת</w:t>
      </w:r>
      <w:r>
        <w:rPr>
          <w:rFonts w:ascii="David" w:hAnsi="David"/>
          <w:b/>
          <w:bCs/>
          <w:sz w:val="20"/>
          <w:lang w:eastAsia="he-IL"/>
        </w:rPr>
        <w:t xml:space="preserve"> </w:t>
      </w:r>
      <w:r>
        <w:rPr>
          <w:rFonts w:ascii="Arial" w:hAnsi="Arial"/>
          <w:b/>
          <w:bCs/>
          <w:sz w:val="20"/>
          <w:rtl/>
          <w:lang w:eastAsia="he-IL"/>
        </w:rPr>
        <w:t>ואחת</w:t>
      </w:r>
      <w:r>
        <w:rPr>
          <w:rFonts w:ascii="David" w:hAnsi="David"/>
          <w:b/>
          <w:bCs/>
          <w:sz w:val="20"/>
          <w:lang w:eastAsia="he-IL"/>
        </w:rPr>
        <w:t xml:space="preserve"> </w:t>
      </w:r>
      <w:r>
        <w:rPr>
          <w:rFonts w:ascii="Arial" w:hAnsi="Arial"/>
          <w:b/>
          <w:bCs/>
          <w:sz w:val="20"/>
          <w:rtl/>
          <w:lang w:eastAsia="he-IL"/>
        </w:rPr>
        <w:t>מחוליות</w:t>
      </w:r>
      <w:r>
        <w:rPr>
          <w:rFonts w:ascii="David" w:hAnsi="David"/>
          <w:b/>
          <w:bCs/>
          <w:sz w:val="20"/>
          <w:lang w:eastAsia="he-IL"/>
        </w:rPr>
        <w:t xml:space="preserve"> </w:t>
      </w:r>
      <w:r>
        <w:rPr>
          <w:rFonts w:ascii="Arial" w:hAnsi="Arial"/>
          <w:b/>
          <w:bCs/>
          <w:sz w:val="20"/>
          <w:rtl/>
          <w:lang w:eastAsia="he-IL"/>
        </w:rPr>
        <w:t>הפצת</w:t>
      </w:r>
      <w:r>
        <w:rPr>
          <w:rFonts w:ascii="David" w:hAnsi="David"/>
          <w:b/>
          <w:bCs/>
          <w:sz w:val="20"/>
          <w:lang w:eastAsia="he-IL"/>
        </w:rPr>
        <w:t xml:space="preserve"> </w:t>
      </w:r>
      <w:r>
        <w:rPr>
          <w:rFonts w:ascii="Arial" w:hAnsi="Arial"/>
          <w:b/>
          <w:bCs/>
          <w:sz w:val="20"/>
          <w:rtl/>
          <w:lang w:eastAsia="he-IL"/>
        </w:rPr>
        <w:t>הסם</w:t>
      </w:r>
      <w:r>
        <w:rPr>
          <w:rFonts w:ascii="David" w:hAnsi="David"/>
          <w:b/>
          <w:bCs/>
          <w:sz w:val="20"/>
          <w:lang w:eastAsia="he-IL"/>
        </w:rPr>
        <w:t xml:space="preserve"> </w:t>
      </w:r>
      <w:r>
        <w:rPr>
          <w:rFonts w:ascii="Arial" w:hAnsi="Arial"/>
          <w:b/>
          <w:bCs/>
          <w:sz w:val="20"/>
          <w:rtl/>
          <w:lang w:eastAsia="he-IL"/>
        </w:rPr>
        <w:t>ואם</w:t>
      </w:r>
      <w:r>
        <w:rPr>
          <w:rFonts w:ascii="David" w:hAnsi="David"/>
          <w:b/>
          <w:bCs/>
          <w:sz w:val="20"/>
          <w:lang w:eastAsia="he-IL"/>
        </w:rPr>
        <w:t xml:space="preserve"> </w:t>
      </w:r>
      <w:r>
        <w:rPr>
          <w:rFonts w:ascii="Arial" w:hAnsi="Arial"/>
          <w:b/>
          <w:bCs/>
          <w:sz w:val="20"/>
          <w:rtl/>
          <w:lang w:eastAsia="he-IL"/>
        </w:rPr>
        <w:t>אוסיף</w:t>
      </w:r>
      <w:r>
        <w:rPr>
          <w:rFonts w:ascii="David" w:hAnsi="David"/>
          <w:b/>
          <w:bCs/>
          <w:sz w:val="20"/>
          <w:lang w:eastAsia="he-IL"/>
        </w:rPr>
        <w:t xml:space="preserve"> </w:t>
      </w:r>
      <w:r>
        <w:rPr>
          <w:rFonts w:ascii="Arial" w:hAnsi="Arial"/>
          <w:b/>
          <w:bCs/>
          <w:sz w:val="20"/>
          <w:rtl/>
          <w:lang w:eastAsia="he-IL"/>
        </w:rPr>
        <w:t>דברים, אהיה</w:t>
      </w:r>
      <w:r>
        <w:rPr>
          <w:rFonts w:ascii="David" w:hAnsi="David"/>
          <w:b/>
          <w:bCs/>
          <w:sz w:val="20"/>
          <w:lang w:eastAsia="he-IL"/>
        </w:rPr>
        <w:t xml:space="preserve"> </w:t>
      </w:r>
      <w:r>
        <w:rPr>
          <w:rFonts w:ascii="Arial" w:hAnsi="Arial"/>
          <w:b/>
          <w:bCs/>
          <w:sz w:val="20"/>
          <w:rtl/>
          <w:lang w:eastAsia="he-IL"/>
        </w:rPr>
        <w:t>כמכניס</w:t>
      </w:r>
      <w:r>
        <w:rPr>
          <w:rFonts w:ascii="David" w:hAnsi="David"/>
          <w:b/>
          <w:bCs/>
          <w:sz w:val="20"/>
          <w:lang w:eastAsia="he-IL"/>
        </w:rPr>
        <w:t xml:space="preserve"> </w:t>
      </w:r>
      <w:r>
        <w:rPr>
          <w:rFonts w:ascii="Arial" w:hAnsi="Arial"/>
          <w:b/>
          <w:bCs/>
          <w:sz w:val="20"/>
          <w:rtl/>
          <w:lang w:eastAsia="he-IL"/>
        </w:rPr>
        <w:t>תבן</w:t>
      </w:r>
      <w:r>
        <w:rPr>
          <w:rFonts w:ascii="David" w:hAnsi="David"/>
          <w:b/>
          <w:bCs/>
          <w:sz w:val="20"/>
          <w:lang w:eastAsia="he-IL"/>
        </w:rPr>
        <w:t xml:space="preserve"> </w:t>
      </w:r>
      <w:r>
        <w:rPr>
          <w:rFonts w:ascii="Arial" w:hAnsi="Arial"/>
          <w:b/>
          <w:bCs/>
          <w:sz w:val="20"/>
          <w:rtl/>
          <w:lang w:eastAsia="he-IL"/>
        </w:rPr>
        <w:t>לעפריים</w:t>
      </w:r>
      <w:r>
        <w:rPr>
          <w:rFonts w:ascii="Arial" w:hAnsi="Arial"/>
          <w:sz w:val="20"/>
          <w:rtl/>
          <w:lang w:eastAsia="he-IL"/>
        </w:rPr>
        <w:t>...".</w:t>
      </w:r>
    </w:p>
    <w:p w14:paraId="08901B56" w14:textId="77777777" w:rsidR="00D667FC" w:rsidRDefault="00D667FC" w:rsidP="00D667FC">
      <w:pPr>
        <w:widowControl w:val="0"/>
        <w:snapToGrid w:val="0"/>
        <w:spacing w:line="360" w:lineRule="auto"/>
        <w:ind w:left="850"/>
        <w:jc w:val="both"/>
        <w:rPr>
          <w:rFonts w:ascii="Arial" w:hAnsi="Arial"/>
        </w:rPr>
      </w:pPr>
    </w:p>
    <w:p w14:paraId="1B756C50" w14:textId="77777777" w:rsidR="00D667FC" w:rsidRDefault="00D667FC" w:rsidP="00D667FC">
      <w:pPr>
        <w:widowControl w:val="0"/>
        <w:snapToGrid w:val="0"/>
        <w:spacing w:line="360" w:lineRule="auto"/>
        <w:ind w:left="850"/>
        <w:jc w:val="both"/>
        <w:rPr>
          <w:rFonts w:ascii="Arial" w:hAnsi="Arial"/>
          <w:rtl/>
        </w:rPr>
      </w:pPr>
      <w:r>
        <w:rPr>
          <w:rFonts w:ascii="Arial" w:hAnsi="Arial"/>
          <w:rtl/>
        </w:rPr>
        <w:t>בסעיף 8 לפסק דינו ב-</w:t>
      </w:r>
      <w:hyperlink r:id="rId26" w:history="1">
        <w:r w:rsidR="00632865" w:rsidRPr="00632865">
          <w:rPr>
            <w:rFonts w:ascii="Arial" w:hAnsi="Arial"/>
            <w:color w:val="0000FF"/>
            <w:u w:val="single"/>
            <w:rtl/>
          </w:rPr>
          <w:t>ע"פ 2596/18</w:t>
        </w:r>
      </w:hyperlink>
      <w:r>
        <w:rPr>
          <w:rFonts w:ascii="Arial" w:hAnsi="Arial"/>
          <w:rtl/>
        </w:rPr>
        <w:t xml:space="preserve"> </w:t>
      </w:r>
      <w:r>
        <w:rPr>
          <w:rFonts w:ascii="Miriam" w:hAnsi="Miriam" w:cs="Miriam"/>
          <w:b/>
          <w:bCs/>
          <w:sz w:val="22"/>
          <w:szCs w:val="22"/>
          <w:rtl/>
        </w:rPr>
        <w:t xml:space="preserve">זנזורי נ' מדינת ישראל </w:t>
      </w:r>
      <w:r>
        <w:rPr>
          <w:rFonts w:ascii="Arial" w:hAnsi="Arial"/>
          <w:rtl/>
        </w:rPr>
        <w:t xml:space="preserve">(12.8.18), שעסק בגידול כמעט 140 ק"ג קנבוס, קשירת קשר לפשע ושיבוש מהלכי משפט (להלן: </w:t>
      </w:r>
      <w:r>
        <w:rPr>
          <w:rFonts w:ascii="Miriam" w:hAnsi="Miriam" w:cs="Miriam"/>
          <w:b/>
          <w:bCs/>
          <w:sz w:val="22"/>
          <w:szCs w:val="22"/>
          <w:rtl/>
        </w:rPr>
        <w:t>ענין זנזורי</w:t>
      </w:r>
      <w:r>
        <w:rPr>
          <w:rFonts w:ascii="Arial" w:hAnsi="Arial"/>
          <w:rtl/>
        </w:rPr>
        <w:t>), רשם כב' הש' עמית "</w:t>
      </w:r>
      <w:r>
        <w:rPr>
          <w:rFonts w:ascii="Arial" w:hAnsi="Arial"/>
          <w:b/>
          <w:bCs/>
          <w:rtl/>
        </w:rPr>
        <w:t>הערת אזהרה</w:t>
      </w:r>
      <w:r>
        <w:rPr>
          <w:rFonts w:ascii="Arial" w:hAnsi="Arial"/>
          <w:rtl/>
        </w:rPr>
        <w:t xml:space="preserve">" לפני הצרכנים והמשתמשים, הרלוונטית גם לסוחרים ולמגדלים ולעניינו, הגם שמדובר בכמות גדולה מזו שלפניי – </w:t>
      </w:r>
    </w:p>
    <w:p w14:paraId="02C90A24" w14:textId="77777777" w:rsidR="00D667FC" w:rsidRDefault="00D667FC" w:rsidP="00D667FC">
      <w:pPr>
        <w:snapToGrid w:val="0"/>
        <w:ind w:left="1440" w:right="993"/>
        <w:jc w:val="both"/>
        <w:rPr>
          <w:rFonts w:ascii="Arial" w:hAnsi="Arial"/>
          <w:sz w:val="16"/>
          <w:szCs w:val="20"/>
          <w:rtl/>
          <w:lang w:eastAsia="he-IL"/>
        </w:rPr>
      </w:pPr>
    </w:p>
    <w:p w14:paraId="7596A8B8" w14:textId="77777777" w:rsidR="00D667FC" w:rsidRDefault="00D667FC" w:rsidP="00D667FC">
      <w:pPr>
        <w:snapToGrid w:val="0"/>
        <w:ind w:left="1440" w:right="993"/>
        <w:jc w:val="both"/>
        <w:rPr>
          <w:rFonts w:ascii="Arial" w:hAnsi="Arial"/>
          <w:b/>
          <w:bCs/>
          <w:sz w:val="20"/>
          <w:rtl/>
          <w:lang w:eastAsia="he-IL"/>
        </w:rPr>
      </w:pPr>
      <w:r>
        <w:rPr>
          <w:rFonts w:ascii="Arial" w:hAnsi="Arial"/>
          <w:sz w:val="20"/>
          <w:rtl/>
          <w:lang w:eastAsia="he-IL"/>
        </w:rPr>
        <w:t>"</w:t>
      </w:r>
      <w:r>
        <w:rPr>
          <w:rFonts w:ascii="Arial" w:hAnsi="Arial"/>
          <w:b/>
          <w:bCs/>
          <w:sz w:val="20"/>
          <w:rtl/>
          <w:lang w:eastAsia="he-I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14:paraId="2FD38A0A" w14:textId="77777777" w:rsidR="00D667FC" w:rsidRDefault="00D667FC" w:rsidP="00D667FC">
      <w:pPr>
        <w:widowControl w:val="0"/>
        <w:snapToGrid w:val="0"/>
        <w:spacing w:line="360" w:lineRule="auto"/>
        <w:ind w:left="850"/>
        <w:jc w:val="both"/>
        <w:rPr>
          <w:rFonts w:ascii="Arial" w:hAnsi="Arial"/>
          <w:rtl/>
        </w:rPr>
      </w:pPr>
    </w:p>
    <w:p w14:paraId="61638177" w14:textId="77777777" w:rsidR="00D667FC" w:rsidRDefault="00D667FC" w:rsidP="00D667FC">
      <w:pPr>
        <w:widowControl w:val="0"/>
        <w:numPr>
          <w:ilvl w:val="1"/>
          <w:numId w:val="1"/>
        </w:numPr>
        <w:snapToGrid w:val="0"/>
        <w:spacing w:line="360" w:lineRule="auto"/>
        <w:ind w:left="850" w:hanging="425"/>
        <w:jc w:val="both"/>
        <w:rPr>
          <w:rFonts w:ascii="David" w:hAnsi="David"/>
          <w:lang w:eastAsia="he-IL"/>
        </w:rPr>
      </w:pPr>
      <w:r>
        <w:rPr>
          <w:rFonts w:ascii="David" w:hAnsi="David"/>
          <w:rtl/>
          <w:lang w:eastAsia="he-IL"/>
        </w:rPr>
        <w:t xml:space="preserve">בחינת </w:t>
      </w:r>
      <w:r>
        <w:rPr>
          <w:rFonts w:ascii="David" w:hAnsi="David"/>
          <w:b/>
          <w:bCs/>
          <w:rtl/>
          <w:lang w:eastAsia="he-IL"/>
        </w:rPr>
        <w:t>מדיניות הענישה הנהוגה בפסיקה</w:t>
      </w:r>
      <w:r>
        <w:rPr>
          <w:rFonts w:ascii="David" w:hAnsi="David"/>
          <w:rtl/>
          <w:lang w:eastAsia="he-IL"/>
        </w:rPr>
        <w:t xml:space="preserve"> </w:t>
      </w:r>
      <w:r>
        <w:rPr>
          <w:rFonts w:ascii="David" w:hAnsi="David"/>
          <w:rtl/>
        </w:rPr>
        <w:t xml:space="preserve">מלמדת על קשת רחבה של ענישה. אורך המאסר ואופן ריצויו תלוי בסוג הסם, כמותו ונסיבות גידולו והחזקתו. </w:t>
      </w:r>
      <w:r>
        <w:rPr>
          <w:rFonts w:ascii="David" w:hAnsi="David"/>
          <w:rtl/>
          <w:lang w:eastAsia="he-IL"/>
        </w:rPr>
        <w:t xml:space="preserve">בטיעונים לעונש הפנו ב"כ הצדדים לפסיקה ועליה הוספתי פסיקה נוספת. כל מקרה ונסיבותיו, </w:t>
      </w:r>
      <w:r>
        <w:rPr>
          <w:rFonts w:ascii="David" w:hAnsi="David"/>
          <w:rtl/>
        </w:rPr>
        <w:t xml:space="preserve">ויש לאבחן המקרים </w:t>
      </w:r>
      <w:r>
        <w:rPr>
          <w:rFonts w:ascii="David" w:hAnsi="David"/>
          <w:rtl/>
        </w:rPr>
        <w:lastRenderedPageBreak/>
        <w:t>השונים למקרה שלפניי, אם כי יש פסקי-דין מהם ניתן לגזור אמת-מידה עונשית הולמת למקרה שלפני</w:t>
      </w:r>
      <w:r>
        <w:rPr>
          <w:rFonts w:ascii="David" w:hAnsi="David"/>
          <w:rtl/>
          <w:lang w:eastAsia="he-IL"/>
        </w:rPr>
        <w:t xml:space="preserve">י – </w:t>
      </w:r>
    </w:p>
    <w:p w14:paraId="416A9848" w14:textId="77777777" w:rsidR="00D667FC" w:rsidRDefault="00D667FC" w:rsidP="00D667FC">
      <w:pPr>
        <w:widowControl w:val="0"/>
        <w:snapToGrid w:val="0"/>
        <w:ind w:left="850"/>
        <w:jc w:val="both"/>
        <w:rPr>
          <w:rFonts w:ascii="David" w:hAnsi="David"/>
          <w:sz w:val="20"/>
          <w:szCs w:val="20"/>
          <w:rtl/>
          <w:lang w:eastAsia="he-IL"/>
        </w:rPr>
      </w:pPr>
    </w:p>
    <w:p w14:paraId="3160EB22" w14:textId="77777777" w:rsidR="00D667FC" w:rsidRDefault="00632865" w:rsidP="00D667FC">
      <w:pPr>
        <w:pStyle w:val="aa"/>
        <w:widowControl w:val="0"/>
        <w:numPr>
          <w:ilvl w:val="2"/>
          <w:numId w:val="1"/>
        </w:numPr>
        <w:spacing w:line="360" w:lineRule="auto"/>
        <w:ind w:left="1475" w:hanging="624"/>
        <w:jc w:val="both"/>
        <w:rPr>
          <w:rFonts w:ascii="Times New Roman" w:hAnsi="Times New Roman"/>
          <w:sz w:val="24"/>
          <w:rtl/>
        </w:rPr>
      </w:pPr>
      <w:hyperlink r:id="rId27" w:history="1">
        <w:r w:rsidRPr="00632865">
          <w:rPr>
            <w:rFonts w:ascii="Times New Roman" w:hAnsi="Times New Roman"/>
            <w:color w:val="0000FF"/>
            <w:sz w:val="24"/>
            <w:u w:val="single"/>
            <w:rtl/>
          </w:rPr>
          <w:t>רע"פ 7166/23</w:t>
        </w:r>
      </w:hyperlink>
      <w:r w:rsidR="00D667FC">
        <w:rPr>
          <w:rFonts w:ascii="Times New Roman" w:hAnsi="Times New Roman" w:hint="cs"/>
          <w:sz w:val="24"/>
          <w:rtl/>
        </w:rPr>
        <w:t xml:space="preserve"> </w:t>
      </w:r>
      <w:r w:rsidR="00D667FC">
        <w:rPr>
          <w:rFonts w:ascii="Miriam" w:hAnsi="Miriam" w:cs="Miriam"/>
          <w:b/>
          <w:bCs/>
          <w:szCs w:val="22"/>
          <w:rtl/>
        </w:rPr>
        <w:t>אמסלם נ' מדינת ישראל</w:t>
      </w:r>
      <w:r w:rsidR="00D667FC">
        <w:rPr>
          <w:rFonts w:ascii="Times New Roman" w:hAnsi="Times New Roman" w:hint="cs"/>
          <w:sz w:val="24"/>
          <w:rtl/>
        </w:rPr>
        <w:t xml:space="preserve"> (28.9.23) – נדחתה בקשת רשות ערעור על פסק דין שקיבל ערעור המדינה. נקבע מתחם 10–36 חודשי מאסר בפועל לכל אירוע של גידול קנבוס והחזקתו. במעבדה שהקים בביתו גידל המבקש 99 שתילי קנבוס במשקל 240 גרם והחזיק כ-34.14 גרם קנבוס וכ-33 גרם חשיש. במהלך ניהול ההליך באירוע הראשון, גידל במעבדה בביתו 98 שתילי קנבוס במשקל 9.9 ק"ג, והחזיק כ-3.26 ק"ג קנבוס נוספים. נקבע כי בהינתן המלצת שירות המבחן, הודאת המבקש וניהול אורח חיים נורמטיבי, יש לחרוג לקולא מהמתחם ומשכך הושתו 9 חודשי מאסר לריצוי בעבודות שירות, צו מבחן, מאסרים מותנים ו-50,000 ₪ קנס. בית המשפט המחוזי החמיר עונשו ל-10 חודשי מאסר לריצוי בפועל בגין 2 האירועים. </w:t>
      </w:r>
    </w:p>
    <w:p w14:paraId="6E293D2F" w14:textId="77777777" w:rsidR="00D667FC" w:rsidRDefault="00D667FC" w:rsidP="00D667FC">
      <w:pPr>
        <w:pStyle w:val="aa"/>
        <w:widowControl w:val="0"/>
        <w:ind w:left="1475"/>
        <w:jc w:val="both"/>
        <w:rPr>
          <w:rFonts w:ascii="Times New Roman" w:hAnsi="Times New Roman"/>
          <w:sz w:val="24"/>
        </w:rPr>
      </w:pPr>
    </w:p>
    <w:p w14:paraId="3F1D1901" w14:textId="77777777" w:rsidR="00D667FC" w:rsidRDefault="00632865" w:rsidP="00D667FC">
      <w:pPr>
        <w:pStyle w:val="aa"/>
        <w:widowControl w:val="0"/>
        <w:numPr>
          <w:ilvl w:val="2"/>
          <w:numId w:val="1"/>
        </w:numPr>
        <w:spacing w:line="360" w:lineRule="auto"/>
        <w:ind w:left="1475" w:hanging="624"/>
        <w:jc w:val="both"/>
        <w:rPr>
          <w:rFonts w:ascii="Times New Roman" w:hAnsi="Times New Roman"/>
          <w:sz w:val="24"/>
        </w:rPr>
      </w:pPr>
      <w:hyperlink r:id="rId28" w:history="1">
        <w:r w:rsidRPr="00632865">
          <w:rPr>
            <w:rFonts w:ascii="Times New Roman" w:hAnsi="Times New Roman"/>
            <w:color w:val="0000FF"/>
            <w:sz w:val="24"/>
            <w:u w:val="single"/>
            <w:rtl/>
          </w:rPr>
          <w:t>רע"פ 2151/21</w:t>
        </w:r>
      </w:hyperlink>
      <w:r w:rsidR="00D667FC">
        <w:rPr>
          <w:rFonts w:ascii="Times New Roman" w:hAnsi="Times New Roman" w:hint="cs"/>
          <w:sz w:val="24"/>
          <w:rtl/>
        </w:rPr>
        <w:t xml:space="preserve"> </w:t>
      </w:r>
      <w:r w:rsidR="00D667FC">
        <w:rPr>
          <w:rFonts w:ascii="Miriam" w:hAnsi="Miriam" w:cs="Miriam"/>
          <w:b/>
          <w:bCs/>
          <w:szCs w:val="22"/>
          <w:rtl/>
        </w:rPr>
        <w:t xml:space="preserve">דהן נ' מדינת ישראל </w:t>
      </w:r>
      <w:r w:rsidR="00D667FC">
        <w:rPr>
          <w:rFonts w:ascii="Times New Roman" w:hAnsi="Times New Roman" w:hint="cs"/>
          <w:sz w:val="24"/>
          <w:rtl/>
        </w:rPr>
        <w:t xml:space="preserve">(7.4.21), אליו הפנתה ב"כ המאשימה – בקשת רשות ערעור נדחתה. בגין גידול כ-100 שתילי קנבוס והחזקת כ-23 ק"ג נקבע מתחם 8–24 חודשי מאסר בפועל. בקבלו ערעור המדינה, הכפיל בית המשפט המחוזי את עונשו ל-18 חודשי מאסר בפועל חלף 9 חודשי מאסר לריצוי בעבודות שירות, אך תקופת המאסר חלף קנס הופחתה ל-90 חלף 150 יום. יתר רכיבי הענישה שכללו מאסרים מותנים, 18,000 ₪ קנס, שנת פסילה בפועל ושנת פסילה מותנית נותרו על כנם. מדובר היה במי ששהה במעצר כמעט חודשיים, נעדר עבר פלילי, קיבל אחריות על מעשיו ובעניינו הוגש תסקיר שלא בא בהמלצה. </w:t>
      </w:r>
    </w:p>
    <w:p w14:paraId="5A55089D" w14:textId="77777777" w:rsidR="00D667FC" w:rsidRDefault="00D667FC" w:rsidP="00D667FC">
      <w:pPr>
        <w:pStyle w:val="aa"/>
        <w:rPr>
          <w:rFonts w:ascii="Times New Roman" w:hAnsi="Times New Roman"/>
          <w:sz w:val="24"/>
        </w:rPr>
      </w:pPr>
    </w:p>
    <w:p w14:paraId="0B38534B" w14:textId="77777777" w:rsidR="00D667FC" w:rsidRDefault="00632865" w:rsidP="00D667FC">
      <w:pPr>
        <w:pStyle w:val="aa"/>
        <w:widowControl w:val="0"/>
        <w:numPr>
          <w:ilvl w:val="2"/>
          <w:numId w:val="1"/>
        </w:numPr>
        <w:spacing w:line="360" w:lineRule="auto"/>
        <w:ind w:left="1475" w:hanging="624"/>
        <w:jc w:val="both"/>
        <w:rPr>
          <w:rFonts w:ascii="Times New Roman" w:hAnsi="Times New Roman"/>
          <w:sz w:val="24"/>
          <w:rtl/>
        </w:rPr>
      </w:pPr>
      <w:hyperlink r:id="rId29" w:history="1">
        <w:r w:rsidRPr="00632865">
          <w:rPr>
            <w:rFonts w:ascii="Times New Roman" w:hAnsi="Times New Roman"/>
            <w:color w:val="0000FF"/>
            <w:sz w:val="24"/>
            <w:u w:val="single"/>
            <w:rtl/>
          </w:rPr>
          <w:t>רע"פ 513/21</w:t>
        </w:r>
      </w:hyperlink>
      <w:r w:rsidR="00D667FC">
        <w:rPr>
          <w:rFonts w:ascii="Times New Roman" w:hAnsi="Times New Roman" w:hint="cs"/>
          <w:sz w:val="24"/>
          <w:rtl/>
        </w:rPr>
        <w:t xml:space="preserve"> </w:t>
      </w:r>
      <w:r w:rsidR="00D667FC">
        <w:rPr>
          <w:rFonts w:ascii="Miriam" w:hAnsi="Miriam" w:cs="Miriam"/>
          <w:b/>
          <w:bCs/>
          <w:szCs w:val="22"/>
          <w:rtl/>
        </w:rPr>
        <w:t xml:space="preserve">יהושע נ' מדינת ישראל </w:t>
      </w:r>
      <w:r w:rsidR="00D667FC">
        <w:rPr>
          <w:rFonts w:ascii="Times New Roman" w:hAnsi="Times New Roman" w:hint="cs"/>
          <w:sz w:val="24"/>
          <w:rtl/>
        </w:rPr>
        <w:t xml:space="preserve">(4.3.21), אליו הפנתה ב"כ המאשימה – נדחתה בקשת רשות ערעור על פסק דין שקיבל ערעור המדינה. בערעור קבע בית משפט המחוזי בבאר שבע, כי מתחם 6–24 בגין גידול 60 שתילים במשקל 10 ק"ג במחסן בחצר ביתו הוא מתחם שלא משקף את חומרת המעשה בנסיבותיו, מידת אשמו של המבקש ומדיניות הענישה הנהוגה. כן נקבע כי לא די בהודאתו, היותו אדם נורמטיבי, שירותו הצבאי, התנדבותו, שיתוף הפעולה עם שירות המבחן והתסקיר החיובי כדי להצדיק חריגה כה משמעותית לקולא. העונש הוחמר וחלף 150 שעות של"ץ – הושתו 10 חודשי מאסר בפועל, בניכוי ימי מעצרו. יתר רכיבי הענישה נותרו על כנם. </w:t>
      </w:r>
    </w:p>
    <w:p w14:paraId="0AE01913" w14:textId="77777777" w:rsidR="00D667FC" w:rsidRDefault="00D667FC" w:rsidP="00D667FC">
      <w:pPr>
        <w:pStyle w:val="aa"/>
        <w:rPr>
          <w:rFonts w:ascii="Times New Roman" w:hAnsi="Times New Roman"/>
          <w:sz w:val="24"/>
        </w:rPr>
      </w:pPr>
    </w:p>
    <w:p w14:paraId="522EA38D" w14:textId="77777777" w:rsidR="00D667FC" w:rsidRDefault="00632865" w:rsidP="00D667FC">
      <w:pPr>
        <w:pStyle w:val="aa"/>
        <w:widowControl w:val="0"/>
        <w:numPr>
          <w:ilvl w:val="2"/>
          <w:numId w:val="1"/>
        </w:numPr>
        <w:spacing w:line="360" w:lineRule="auto"/>
        <w:ind w:left="1475" w:hanging="624"/>
        <w:jc w:val="both"/>
        <w:rPr>
          <w:rFonts w:ascii="Times New Roman" w:hAnsi="Times New Roman"/>
          <w:sz w:val="24"/>
          <w:rtl/>
        </w:rPr>
      </w:pPr>
      <w:hyperlink r:id="rId30" w:history="1">
        <w:r w:rsidRPr="00632865">
          <w:rPr>
            <w:rFonts w:ascii="Times New Roman" w:hAnsi="Times New Roman"/>
            <w:color w:val="0000FF"/>
            <w:sz w:val="24"/>
            <w:u w:val="single"/>
            <w:rtl/>
          </w:rPr>
          <w:t>רע"פ 666/20</w:t>
        </w:r>
      </w:hyperlink>
      <w:r w:rsidR="00D667FC">
        <w:rPr>
          <w:rFonts w:ascii="Times New Roman" w:hAnsi="Times New Roman" w:hint="cs"/>
          <w:sz w:val="24"/>
          <w:rtl/>
        </w:rPr>
        <w:t xml:space="preserve"> </w:t>
      </w:r>
      <w:r w:rsidR="00D667FC">
        <w:rPr>
          <w:rFonts w:ascii="Miriam" w:hAnsi="Miriam" w:cs="Miriam"/>
          <w:b/>
          <w:bCs/>
          <w:szCs w:val="22"/>
          <w:rtl/>
        </w:rPr>
        <w:t xml:space="preserve">עמרם נ' מדינת ישראל </w:t>
      </w:r>
      <w:r w:rsidR="00D667FC">
        <w:rPr>
          <w:rFonts w:ascii="Times New Roman" w:hAnsi="Times New Roman" w:hint="cs"/>
          <w:sz w:val="24"/>
          <w:rtl/>
        </w:rPr>
        <w:t xml:space="preserve">(3.2.20), אליו הפנתה ב"כ המאשימה – נדחו ערעור ובקשת רשות ערעור. נקבע מתחם 15–36  חודשי מאסר בפועל בגין 2 עבירות גידול (של מאות שתילים) ו-2 עבירות החזקת קנבוס במשקל כולל של כ-1.7 ק"ג. על מי שנסיבותיו האישיות מורכבות ואשר עבר הליך טיפול הושתו 12 חודשי מאסר בפועל, מאסרים מותנים וקנס. </w:t>
      </w:r>
    </w:p>
    <w:p w14:paraId="62453428" w14:textId="77777777" w:rsidR="00D667FC" w:rsidRDefault="00D667FC" w:rsidP="00D667FC">
      <w:pPr>
        <w:pStyle w:val="aa"/>
        <w:widowControl w:val="0"/>
        <w:ind w:left="804"/>
        <w:jc w:val="both"/>
        <w:rPr>
          <w:sz w:val="24"/>
          <w:szCs w:val="22"/>
        </w:rPr>
      </w:pPr>
    </w:p>
    <w:p w14:paraId="13EEDDDE" w14:textId="77777777" w:rsidR="00D667FC" w:rsidRDefault="00632865" w:rsidP="00D667FC">
      <w:pPr>
        <w:pStyle w:val="aa"/>
        <w:widowControl w:val="0"/>
        <w:numPr>
          <w:ilvl w:val="2"/>
          <w:numId w:val="1"/>
        </w:numPr>
        <w:spacing w:line="360" w:lineRule="auto"/>
        <w:ind w:left="1475" w:hanging="624"/>
        <w:jc w:val="both"/>
        <w:rPr>
          <w:rFonts w:ascii="Times New Roman" w:hAnsi="Times New Roman"/>
          <w:sz w:val="24"/>
        </w:rPr>
      </w:pPr>
      <w:hyperlink r:id="rId31" w:history="1">
        <w:r w:rsidRPr="00632865">
          <w:rPr>
            <w:color w:val="0000FF"/>
            <w:u w:val="single"/>
            <w:rtl/>
          </w:rPr>
          <w:t>רע"פ 5018/18</w:t>
        </w:r>
      </w:hyperlink>
      <w:r w:rsidR="00D667FC">
        <w:rPr>
          <w:rFonts w:hint="cs"/>
          <w:rtl/>
        </w:rPr>
        <w:t xml:space="preserve"> </w:t>
      </w:r>
      <w:r w:rsidR="00D667FC">
        <w:rPr>
          <w:rFonts w:ascii="Miriam" w:hAnsi="Miriam" w:cs="Miriam"/>
          <w:b/>
          <w:bCs/>
          <w:szCs w:val="22"/>
          <w:rtl/>
        </w:rPr>
        <w:t>בוזגלו נ' מדינת ישראל</w:t>
      </w:r>
      <w:r w:rsidR="00D667FC">
        <w:rPr>
          <w:rFonts w:hint="cs"/>
          <w:rtl/>
        </w:rPr>
        <w:t xml:space="preserve"> (21.10.18) – נדחו ערעור ובקשת רשות ערעור. נקבע כי אין מקום לבטל הרשעת מי שגידל עם שותפו 544.80 גרם שתילי קנבוס במעבדה שהקימו בדירה ואשר כללה ציוד ובנוסף החזיקו 3.6 גרם קנבוס לצריכה עצמית והפריעו לשוטרים במילוי תפקידם. הושתו 3 חודשי מאסר לריצוי בעבודות שירות וענישה נלוית, חרף המלצת שירות המבחן לבטל הרשעתו. בדחותו הבקשה קבע כב' הש' קרא כי לא הוכח שההרשעה תפגע בסיכויו לעבוד כרופא ויש להותיר זאת לגורם המוסמך וכי חומרת העבירות והצטברותן לא מאפשרת הימנעות מהרשעה, מבלי לפגוע בשיקולי ענישה אחרים</w:t>
      </w:r>
      <w:r w:rsidR="00D667FC">
        <w:rPr>
          <w:rFonts w:hint="cs"/>
          <w:sz w:val="24"/>
          <w:rtl/>
        </w:rPr>
        <w:t xml:space="preserve"> </w:t>
      </w:r>
    </w:p>
    <w:p w14:paraId="4DC24060" w14:textId="77777777" w:rsidR="00D667FC" w:rsidRDefault="00D667FC" w:rsidP="00D667FC">
      <w:pPr>
        <w:pStyle w:val="aa"/>
        <w:widowControl w:val="0"/>
        <w:ind w:left="1475"/>
        <w:jc w:val="both"/>
        <w:rPr>
          <w:rFonts w:ascii="Times New Roman" w:hAnsi="Times New Roman"/>
          <w:sz w:val="24"/>
        </w:rPr>
      </w:pPr>
    </w:p>
    <w:p w14:paraId="302C7B97" w14:textId="77777777" w:rsidR="00D667FC" w:rsidRDefault="00632865" w:rsidP="00D667FC">
      <w:pPr>
        <w:pStyle w:val="aa"/>
        <w:widowControl w:val="0"/>
        <w:numPr>
          <w:ilvl w:val="2"/>
          <w:numId w:val="1"/>
        </w:numPr>
        <w:spacing w:line="360" w:lineRule="auto"/>
        <w:ind w:left="1475" w:hanging="624"/>
        <w:jc w:val="both"/>
        <w:rPr>
          <w:rFonts w:ascii="Times New Roman" w:hAnsi="Times New Roman"/>
          <w:sz w:val="24"/>
        </w:rPr>
      </w:pPr>
      <w:hyperlink r:id="rId32" w:history="1">
        <w:r w:rsidRPr="00632865">
          <w:rPr>
            <w:color w:val="0000FF"/>
            <w:sz w:val="24"/>
            <w:u w:val="single"/>
            <w:rtl/>
          </w:rPr>
          <w:t>רע"פ 1787/15</w:t>
        </w:r>
      </w:hyperlink>
      <w:r w:rsidR="00D667FC">
        <w:rPr>
          <w:rFonts w:hint="cs"/>
          <w:sz w:val="24"/>
          <w:rtl/>
        </w:rPr>
        <w:t xml:space="preserve"> </w:t>
      </w:r>
      <w:r w:rsidR="00D667FC">
        <w:rPr>
          <w:rFonts w:ascii="Miriam" w:hAnsi="Miriam" w:cs="Miriam"/>
          <w:b/>
          <w:bCs/>
          <w:szCs w:val="22"/>
          <w:rtl/>
        </w:rPr>
        <w:t>עמר נ' מדינת ישראל</w:t>
      </w:r>
      <w:r w:rsidR="00D667FC">
        <w:rPr>
          <w:rFonts w:hint="cs"/>
          <w:sz w:val="24"/>
          <w:rtl/>
        </w:rPr>
        <w:t xml:space="preserve"> (24.3.15) – נדחו ערעור ובקשת רשות ערעור. בגין גידול 9 שתילי קנבוס, במשקל כולל של 4,380 גרם, שהוחזקו ללא היתר והחזקת כלים ששימשו לגידול – נקבע מתחם 8–20 חודשי מאסר לריצוי בפועל. הושתו 8 חודשי מאסר לריצוי בפועל בניכוי ימי מעצרו, מאסרים מותנים, 3,000 ₪ קנס, שנת פסילה מותנית וחילוט רכוש וכסף מזומן. </w:t>
      </w:r>
    </w:p>
    <w:p w14:paraId="358E2C18" w14:textId="77777777" w:rsidR="00D667FC" w:rsidRDefault="00D667FC" w:rsidP="00D667FC">
      <w:pPr>
        <w:pStyle w:val="aa"/>
        <w:rPr>
          <w:rFonts w:ascii="Times New Roman" w:hAnsi="Times New Roman"/>
          <w:sz w:val="24"/>
        </w:rPr>
      </w:pPr>
    </w:p>
    <w:p w14:paraId="2A3E5F33" w14:textId="77777777" w:rsidR="00D667FC" w:rsidRDefault="00632865" w:rsidP="00D667FC">
      <w:pPr>
        <w:pStyle w:val="aa"/>
        <w:widowControl w:val="0"/>
        <w:numPr>
          <w:ilvl w:val="2"/>
          <w:numId w:val="1"/>
        </w:numPr>
        <w:spacing w:line="360" w:lineRule="auto"/>
        <w:ind w:left="1475" w:hanging="624"/>
        <w:jc w:val="both"/>
        <w:rPr>
          <w:rFonts w:ascii="Times New Roman" w:hAnsi="Times New Roman"/>
          <w:sz w:val="24"/>
          <w:rtl/>
        </w:rPr>
      </w:pPr>
      <w:hyperlink r:id="rId33" w:history="1">
        <w:r w:rsidRPr="00632865">
          <w:rPr>
            <w:color w:val="0000FF"/>
            <w:u w:val="single"/>
            <w:rtl/>
          </w:rPr>
          <w:t>עפ"ג (מחוזי-ב"ש) 39979-05-21</w:t>
        </w:r>
      </w:hyperlink>
      <w:r w:rsidR="00D667FC">
        <w:rPr>
          <w:rFonts w:hint="cs"/>
          <w:rtl/>
        </w:rPr>
        <w:t xml:space="preserve"> </w:t>
      </w:r>
      <w:r w:rsidR="00D667FC">
        <w:rPr>
          <w:rFonts w:cs="Miriam"/>
          <w:b/>
          <w:bCs/>
          <w:szCs w:val="22"/>
          <w:rtl/>
        </w:rPr>
        <w:t xml:space="preserve">אגיבייב נ' מדינת ישראל </w:t>
      </w:r>
      <w:r w:rsidR="00D667FC">
        <w:rPr>
          <w:rFonts w:hint="cs"/>
          <w:rtl/>
        </w:rPr>
        <w:t xml:space="preserve">(9.9.21) – נדחה ערעור על מתחם 20–36 בגין גידול 1,800 שתילים במשקל 12.5 ק"ג בדירה שהסב למעבדת סמים ובה החזיק גם כלים לגידול הסמים ושקילתם. נקבע – </w:t>
      </w:r>
    </w:p>
    <w:p w14:paraId="35D6F022" w14:textId="77777777" w:rsidR="00D667FC" w:rsidRDefault="00D667FC" w:rsidP="00D667FC">
      <w:pPr>
        <w:snapToGrid w:val="0"/>
        <w:ind w:left="2160" w:right="993"/>
        <w:jc w:val="both"/>
      </w:pPr>
    </w:p>
    <w:p w14:paraId="11C72292" w14:textId="77777777" w:rsidR="00D667FC" w:rsidRDefault="00D667FC" w:rsidP="00D667FC">
      <w:pPr>
        <w:snapToGrid w:val="0"/>
        <w:ind w:left="2160" w:right="993"/>
        <w:jc w:val="both"/>
        <w:rPr>
          <w:rtl/>
        </w:rPr>
      </w:pPr>
      <w:r>
        <w:rPr>
          <w:rtl/>
        </w:rPr>
        <w:t>"</w:t>
      </w:r>
      <w:r>
        <w:rPr>
          <w:b/>
          <w:bCs/>
          <w:rtl/>
        </w:rPr>
        <w:t>לא רק שמתחם העונש ההולם אינו מחמיר עם המערער, אלא שניתן לומר כי התחתית של המתחם שנקבעה ל- 20 חודשי מאסר היא נמוכה, נוכח חומרת המעשים</w:t>
      </w:r>
      <w:r>
        <w:rPr>
          <w:rtl/>
        </w:rPr>
        <w:t xml:space="preserve">". </w:t>
      </w:r>
    </w:p>
    <w:p w14:paraId="1F85E2D4" w14:textId="77777777" w:rsidR="00D667FC" w:rsidRDefault="00D667FC" w:rsidP="00D667FC">
      <w:pPr>
        <w:pStyle w:val="aa"/>
        <w:widowControl w:val="0"/>
        <w:spacing w:line="360" w:lineRule="auto"/>
        <w:ind w:left="1417"/>
        <w:jc w:val="both"/>
      </w:pPr>
    </w:p>
    <w:p w14:paraId="6E5BA3CC" w14:textId="77777777" w:rsidR="00D667FC" w:rsidRDefault="00D667FC" w:rsidP="00D667FC">
      <w:pPr>
        <w:pStyle w:val="aa"/>
        <w:widowControl w:val="0"/>
        <w:spacing w:line="360" w:lineRule="auto"/>
        <w:ind w:left="1417"/>
        <w:jc w:val="both"/>
        <w:rPr>
          <w:rtl/>
        </w:rPr>
      </w:pPr>
      <w:r>
        <w:rPr>
          <w:rFonts w:cs="Miriam"/>
          <w:b/>
          <w:bCs/>
          <w:szCs w:val="22"/>
          <w:rtl/>
        </w:rPr>
        <w:t xml:space="preserve">ענין אגיבייב </w:t>
      </w:r>
      <w:r>
        <w:rPr>
          <w:rFonts w:hint="cs"/>
          <w:rtl/>
        </w:rPr>
        <w:t xml:space="preserve">חמור מזה שלפניי הן במשקל הסם והן בכמות השתילים, אולם רלוונטית לעניינו קביעת בית המשפט בנוגע לפוטנציאל הנזק ולפיה – </w:t>
      </w:r>
    </w:p>
    <w:p w14:paraId="4CA7BF92" w14:textId="77777777" w:rsidR="00D667FC" w:rsidRDefault="00D667FC" w:rsidP="00D667FC">
      <w:pPr>
        <w:snapToGrid w:val="0"/>
        <w:ind w:left="2160" w:right="993"/>
        <w:jc w:val="both"/>
      </w:pPr>
    </w:p>
    <w:p w14:paraId="5A6D249F" w14:textId="77777777" w:rsidR="00D667FC" w:rsidRDefault="00D667FC" w:rsidP="00D667FC">
      <w:pPr>
        <w:snapToGrid w:val="0"/>
        <w:ind w:left="2160" w:right="993"/>
        <w:jc w:val="both"/>
        <w:rPr>
          <w:rtl/>
        </w:rPr>
      </w:pPr>
      <w:r>
        <w:rPr>
          <w:rtl/>
        </w:rPr>
        <w:t>"</w:t>
      </w:r>
      <w:r>
        <w:rPr>
          <w:b/>
          <w:bCs/>
          <w:rtl/>
        </w:rPr>
        <w:t>מירב המשקל יינתן להיקף הגידול והחזקה של הסמים ולהיקף פוטנציאל לגידול בהחזקה לאור כמות השתילים שגידל הנאשם. כמו כן, יינתן משקל למשאבים שהשקיע הנאשם על מנת לקדם הצלחת הגידול. המשקל של הסם בעבירות של גידול סמים, הגם שהוא רלוונטי, עדיין מדובר בנקודת זמן מקרי, היינו מועד גילוי העבירה ע"י המשטרה, כאשר אין כל מקום לדרוש מהמשטרה להמתין עד שהשתילים יגדלו רק כדי להחמיר בענישה. די בכמות השתילים כדי ללמד על פוטנציאל הנזק הצפוי מהעבירה</w:t>
      </w:r>
      <w:r>
        <w:rPr>
          <w:rtl/>
        </w:rPr>
        <w:t>".</w:t>
      </w:r>
    </w:p>
    <w:p w14:paraId="2822C6C6" w14:textId="77777777" w:rsidR="00D667FC" w:rsidRDefault="00D667FC" w:rsidP="00D667FC">
      <w:pPr>
        <w:widowControl w:val="0"/>
        <w:snapToGrid w:val="0"/>
        <w:spacing w:line="360" w:lineRule="auto"/>
        <w:ind w:left="850"/>
        <w:jc w:val="both"/>
        <w:rPr>
          <w:rFonts w:ascii="David" w:hAnsi="David"/>
          <w:rtl/>
        </w:rPr>
      </w:pPr>
    </w:p>
    <w:p w14:paraId="593059B1" w14:textId="77777777" w:rsidR="00D667FC" w:rsidRDefault="00D667FC" w:rsidP="00D667FC">
      <w:pPr>
        <w:widowControl w:val="0"/>
        <w:numPr>
          <w:ilvl w:val="1"/>
          <w:numId w:val="1"/>
        </w:numPr>
        <w:snapToGrid w:val="0"/>
        <w:spacing w:line="360" w:lineRule="auto"/>
        <w:ind w:left="850" w:hanging="425"/>
        <w:jc w:val="both"/>
      </w:pPr>
      <w:r>
        <w:rPr>
          <w:b/>
          <w:rtl/>
        </w:rPr>
        <w:t>בפסיקה עוברת כחוט השני החשיבות שיש ל-</w:t>
      </w:r>
      <w:r>
        <w:rPr>
          <w:b/>
          <w:bCs/>
          <w:rtl/>
        </w:rPr>
        <w:t>נסיבות הקשורות בביצוע העבירות</w:t>
      </w:r>
      <w:r>
        <w:rPr>
          <w:rtl/>
        </w:rPr>
        <w:t xml:space="preserve">, בהתאם </w:t>
      </w:r>
      <w:hyperlink r:id="rId34" w:history="1">
        <w:r w:rsidR="003C0062" w:rsidRPr="003C0062">
          <w:rPr>
            <w:rStyle w:val="Hyperlink"/>
            <w:rtl/>
          </w:rPr>
          <w:t>לסעיף 40יט</w:t>
        </w:r>
      </w:hyperlink>
      <w:r>
        <w:rPr>
          <w:rtl/>
        </w:rPr>
        <w:t xml:space="preserve"> ל-</w:t>
      </w:r>
      <w:hyperlink r:id="rId35" w:history="1">
        <w:r w:rsidR="00632865" w:rsidRPr="00632865">
          <w:rPr>
            <w:rFonts w:ascii="Miriam" w:hAnsi="Miriam" w:cs="Miriam"/>
            <w:b/>
            <w:bCs/>
            <w:color w:val="0000FF"/>
            <w:sz w:val="22"/>
            <w:szCs w:val="22"/>
            <w:u w:val="single"/>
            <w:rtl/>
          </w:rPr>
          <w:t>חוק העונשין</w:t>
        </w:r>
      </w:hyperlink>
      <w:r>
        <w:rPr>
          <w:rFonts w:ascii="Miriam" w:hAnsi="Miriam" w:cs="Miriam"/>
          <w:b/>
          <w:bCs/>
          <w:sz w:val="22"/>
          <w:szCs w:val="22"/>
          <w:rtl/>
        </w:rPr>
        <w:t xml:space="preserve"> </w:t>
      </w:r>
      <w:r>
        <w:rPr>
          <w:rtl/>
        </w:rPr>
        <w:t>ובכלל זה סוג הסם, כמות השתילים, אופן החזקת הסמים וכמותם. עיון בפסיקה מלמד, כי אין דין גידול והחזקת סמים מסוג קנבוס וחשיש כדין יצור והחזקת סמים קשים וקטלניים יותר, אין דין גידול והחזקת גרמים בודדים כדין גידול והחזקת קילוגרמים רבים ואין דין החזקה לשימוש עצמי כדין החזקה שלא לשימוש עצמי, בנסיבות המלמדות על מטרות סחר. משכך התחשבתי בנסיבות הבאות:</w:t>
      </w:r>
    </w:p>
    <w:p w14:paraId="2EEDCB3F" w14:textId="77777777" w:rsidR="00D667FC" w:rsidRDefault="00D667FC" w:rsidP="00D667FC">
      <w:pPr>
        <w:pStyle w:val="aa"/>
        <w:rPr>
          <w:rtl/>
        </w:rPr>
      </w:pPr>
    </w:p>
    <w:p w14:paraId="739AF199" w14:textId="77777777" w:rsidR="00D667FC" w:rsidRDefault="00D667FC" w:rsidP="00D667FC">
      <w:pPr>
        <w:widowControl w:val="0"/>
        <w:numPr>
          <w:ilvl w:val="2"/>
          <w:numId w:val="1"/>
        </w:numPr>
        <w:snapToGrid w:val="0"/>
        <w:spacing w:line="360" w:lineRule="auto"/>
        <w:ind w:left="1191" w:hanging="397"/>
        <w:jc w:val="both"/>
        <w:rPr>
          <w:rFonts w:ascii="David" w:hAnsi="David"/>
          <w:lang w:eastAsia="he-IL"/>
        </w:rPr>
      </w:pPr>
      <w:r>
        <w:rPr>
          <w:rFonts w:ascii="David" w:hAnsi="David"/>
          <w:rtl/>
          <w:lang w:eastAsia="he-IL"/>
        </w:rPr>
        <w:t xml:space="preserve">גידול סמים והחזקתם הן עבירות שמעצם טיבן וטבען </w:t>
      </w:r>
      <w:r>
        <w:rPr>
          <w:rFonts w:ascii="David" w:hAnsi="David"/>
          <w:b/>
          <w:bCs/>
          <w:rtl/>
          <w:lang w:eastAsia="he-IL"/>
        </w:rPr>
        <w:t>קדם להן תכנון</w:t>
      </w:r>
      <w:r>
        <w:rPr>
          <w:rFonts w:ascii="David" w:hAnsi="David"/>
          <w:rtl/>
          <w:lang w:eastAsia="he-IL"/>
        </w:rPr>
        <w:t xml:space="preserve">. הנאשם אף הודה בפני שירות המבחן כי גידול הסמים נעשה במטרה להשיג רווח כלכלי. </w:t>
      </w:r>
    </w:p>
    <w:p w14:paraId="1A335FE3" w14:textId="77777777" w:rsidR="00D667FC" w:rsidRDefault="00D667FC" w:rsidP="00D667FC">
      <w:pPr>
        <w:widowControl w:val="0"/>
        <w:snapToGrid w:val="0"/>
        <w:ind w:left="1191"/>
        <w:jc w:val="both"/>
        <w:rPr>
          <w:rFonts w:ascii="David" w:hAnsi="David"/>
          <w:lang w:eastAsia="he-IL"/>
        </w:rPr>
      </w:pPr>
    </w:p>
    <w:p w14:paraId="3FF2511F" w14:textId="77777777" w:rsidR="00D667FC" w:rsidRDefault="00D667FC" w:rsidP="00D667FC">
      <w:pPr>
        <w:widowControl w:val="0"/>
        <w:numPr>
          <w:ilvl w:val="2"/>
          <w:numId w:val="1"/>
        </w:numPr>
        <w:snapToGrid w:val="0"/>
        <w:spacing w:line="360" w:lineRule="auto"/>
        <w:ind w:left="1191" w:hanging="397"/>
        <w:jc w:val="both"/>
        <w:rPr>
          <w:rFonts w:ascii="David" w:hAnsi="David"/>
          <w:lang w:eastAsia="he-IL"/>
        </w:rPr>
      </w:pPr>
      <w:r>
        <w:rPr>
          <w:rFonts w:ascii="David" w:hAnsi="David"/>
          <w:b/>
          <w:bCs/>
          <w:rtl/>
          <w:lang w:eastAsia="he-IL"/>
        </w:rPr>
        <w:t>הנאשם הוא המבצע היחיד והעיקרי של העבירה</w:t>
      </w:r>
      <w:r>
        <w:rPr>
          <w:rFonts w:ascii="David" w:hAnsi="David"/>
          <w:rtl/>
          <w:lang w:eastAsia="he-IL"/>
        </w:rPr>
        <w:t xml:space="preserve">. </w:t>
      </w:r>
    </w:p>
    <w:p w14:paraId="4E1EDAF1" w14:textId="77777777" w:rsidR="00D667FC" w:rsidRDefault="00D667FC" w:rsidP="00D667FC">
      <w:pPr>
        <w:pStyle w:val="aa"/>
        <w:rPr>
          <w:rtl/>
        </w:rPr>
      </w:pPr>
    </w:p>
    <w:p w14:paraId="10C230BC" w14:textId="77777777" w:rsidR="00D667FC" w:rsidRDefault="00D667FC" w:rsidP="00D667FC">
      <w:pPr>
        <w:widowControl w:val="0"/>
        <w:numPr>
          <w:ilvl w:val="2"/>
          <w:numId w:val="1"/>
        </w:numPr>
        <w:snapToGrid w:val="0"/>
        <w:spacing w:line="360" w:lineRule="auto"/>
        <w:ind w:left="1191" w:hanging="397"/>
        <w:jc w:val="both"/>
        <w:rPr>
          <w:rFonts w:ascii="David" w:hAnsi="David"/>
        </w:rPr>
      </w:pPr>
      <w:r>
        <w:rPr>
          <w:rFonts w:ascii="David" w:hAnsi="David"/>
          <w:b/>
          <w:bCs/>
          <w:rtl/>
          <w:lang w:eastAsia="he-IL"/>
        </w:rPr>
        <w:t>הנזק שנגרם מביצוע העבירות</w:t>
      </w:r>
      <w:r>
        <w:rPr>
          <w:rFonts w:ascii="David" w:hAnsi="David"/>
          <w:rtl/>
          <w:lang w:eastAsia="he-IL"/>
        </w:rPr>
        <w:t xml:space="preserve"> לא רב, בהינתן כי הסמים נתפסו – אולם אין להקל ראש </w:t>
      </w:r>
      <w:r>
        <w:rPr>
          <w:rFonts w:ascii="David" w:hAnsi="David"/>
          <w:b/>
          <w:bCs/>
          <w:rtl/>
          <w:lang w:eastAsia="he-IL"/>
        </w:rPr>
        <w:t>בנזק שהיה צפוי להיגרם מביצוע העבירות</w:t>
      </w:r>
      <w:r>
        <w:rPr>
          <w:rFonts w:ascii="David" w:hAnsi="David"/>
          <w:rtl/>
          <w:lang w:eastAsia="he-IL"/>
        </w:rPr>
        <w:t>. מדובר אמנם בסם שלא נמנה על הקטלניים שב-</w:t>
      </w:r>
      <w:r>
        <w:rPr>
          <w:rFonts w:ascii="Miriam" w:hAnsi="Miriam" w:cs="Miriam"/>
          <w:b/>
          <w:bCs/>
          <w:sz w:val="22"/>
          <w:szCs w:val="22"/>
          <w:rtl/>
        </w:rPr>
        <w:t>פקודת הסמים</w:t>
      </w:r>
      <w:r>
        <w:rPr>
          <w:rFonts w:ascii="David" w:hAnsi="David"/>
          <w:rtl/>
          <w:lang w:eastAsia="he-IL"/>
        </w:rPr>
        <w:t xml:space="preserve">, אולם נפסק לא אחת </w:t>
      </w:r>
      <w:r>
        <w:rPr>
          <w:rtl/>
        </w:rPr>
        <w:t>כי "</w:t>
      </w:r>
      <w:r>
        <w:rPr>
          <w:b/>
          <w:bCs/>
          <w:rtl/>
        </w:rPr>
        <w:t>אל לנו לטעות – השימוש בקנבוס אסור. לטעמי זה אינו סם קל אלא סם פחות חמור</w:t>
      </w:r>
      <w:r>
        <w:rPr>
          <w:rtl/>
        </w:rPr>
        <w:t>" [ראו סעיף 4 לפסק דינו שכל כב' הש' הנדל ב-</w:t>
      </w:r>
      <w:hyperlink r:id="rId36" w:history="1">
        <w:r w:rsidR="00632865" w:rsidRPr="00632865">
          <w:rPr>
            <w:color w:val="0000FF"/>
            <w:u w:val="single"/>
            <w:rtl/>
          </w:rPr>
          <w:t>ע"פ 5807/17</w:t>
        </w:r>
      </w:hyperlink>
      <w:r>
        <w:rPr>
          <w:rtl/>
        </w:rPr>
        <w:t xml:space="preserve"> </w:t>
      </w:r>
      <w:r>
        <w:rPr>
          <w:rFonts w:ascii="Miriam" w:hAnsi="Miriam" w:cs="Miriam"/>
          <w:b/>
          <w:bCs/>
          <w:sz w:val="22"/>
          <w:szCs w:val="22"/>
          <w:rtl/>
        </w:rPr>
        <w:t>דרחי נ' מדינת ישראל</w:t>
      </w:r>
      <w:r>
        <w:rPr>
          <w:b/>
          <w:bCs/>
          <w:rtl/>
        </w:rPr>
        <w:t xml:space="preserve"> </w:t>
      </w:r>
      <w:r>
        <w:rPr>
          <w:rtl/>
        </w:rPr>
        <w:t xml:space="preserve">(18.6.18) (להלן: </w:t>
      </w:r>
      <w:r>
        <w:rPr>
          <w:rFonts w:ascii="Miriam" w:hAnsi="Miriam" w:cs="Miriam"/>
          <w:b/>
          <w:bCs/>
          <w:sz w:val="22"/>
          <w:szCs w:val="22"/>
          <w:rtl/>
        </w:rPr>
        <w:t>ענין דרחי</w:t>
      </w:r>
      <w:r>
        <w:rPr>
          <w:rtl/>
        </w:rPr>
        <w:t>)]. מקובלת עלי טענת ב"כ המאשימה כי יש לתת את הדעת לכך ש</w:t>
      </w:r>
      <w:r>
        <w:rPr>
          <w:rFonts w:ascii="David" w:hAnsi="David"/>
          <w:rtl/>
        </w:rPr>
        <w:t xml:space="preserve">מדובר בגידול של 65 שתילים במשקל 13 ק"ג. הנזק שצפוי להיגרם מהעבירות תלוי לא רק בכמות השתילים או במשקל הסם, אלא בעיקר בפוטנציאל הנזק משתילים אלו. </w:t>
      </w:r>
      <w:r>
        <w:rPr>
          <w:rFonts w:ascii="Arial" w:hAnsi="Arial"/>
          <w:rtl/>
        </w:rPr>
        <w:t>עמד על כך כב' הש' בן טולילה ב-</w:t>
      </w:r>
      <w:hyperlink r:id="rId37" w:history="1">
        <w:r w:rsidR="00632865" w:rsidRPr="00632865">
          <w:rPr>
            <w:rFonts w:ascii="Arial" w:hAnsi="Arial"/>
            <w:color w:val="0000FF"/>
            <w:u w:val="single"/>
            <w:rtl/>
          </w:rPr>
          <w:t>ת"פ 17715-07-18</w:t>
        </w:r>
      </w:hyperlink>
      <w:r>
        <w:rPr>
          <w:rFonts w:ascii="Arial" w:hAnsi="Arial"/>
          <w:rtl/>
        </w:rPr>
        <w:t xml:space="preserve"> </w:t>
      </w:r>
      <w:r>
        <w:rPr>
          <w:rFonts w:ascii="Miriam" w:hAnsi="Miriam" w:cs="Miriam"/>
          <w:b/>
          <w:bCs/>
          <w:sz w:val="18"/>
          <w:szCs w:val="22"/>
          <w:rtl/>
        </w:rPr>
        <w:t>מדינת ישראל נ' אבו סבילה</w:t>
      </w:r>
      <w:r>
        <w:rPr>
          <w:rFonts w:ascii="Arial" w:hAnsi="Arial"/>
          <w:rtl/>
        </w:rPr>
        <w:t xml:space="preserve"> (27.5.19) –</w:t>
      </w:r>
    </w:p>
    <w:p w14:paraId="04D46654" w14:textId="77777777" w:rsidR="00D667FC" w:rsidRDefault="00D667FC" w:rsidP="00D667FC">
      <w:pPr>
        <w:widowControl w:val="0"/>
        <w:ind w:left="1440" w:right="993"/>
        <w:jc w:val="both"/>
        <w:rPr>
          <w:b/>
          <w:bCs/>
        </w:rPr>
      </w:pPr>
      <w:r>
        <w:rPr>
          <w:rtl/>
        </w:rPr>
        <w:t>"</w:t>
      </w:r>
      <w:r>
        <w:rPr>
          <w:b/>
          <w:bCs/>
          <w:rtl/>
        </w:rPr>
        <w:t>העבירה של גידול והפקת סם מגלמת בתוכה חומרה יתרה בשים לב לכך שבביצועה יש משום יצור, יש מאין, שרשרת חדשה של הפצת הסם שבסופם תמצא דרכה לצרכני הסמים החדשים, לשון אחר, הכנסת כמות עצומה וחדשה של סם למעגל הסמים</w:t>
      </w:r>
      <w:r>
        <w:rPr>
          <w:rtl/>
        </w:rPr>
        <w:t>".</w:t>
      </w:r>
    </w:p>
    <w:p w14:paraId="636669AC" w14:textId="77777777" w:rsidR="00D667FC" w:rsidRDefault="00D667FC" w:rsidP="00D667FC">
      <w:pPr>
        <w:widowControl w:val="0"/>
        <w:snapToGrid w:val="0"/>
        <w:spacing w:line="360" w:lineRule="auto"/>
        <w:ind w:left="850"/>
        <w:jc w:val="both"/>
        <w:rPr>
          <w:rFonts w:ascii="Arial" w:hAnsi="Arial"/>
        </w:rPr>
      </w:pPr>
    </w:p>
    <w:p w14:paraId="6AF0DE6C" w14:textId="77777777" w:rsidR="00D667FC" w:rsidRDefault="00D667FC" w:rsidP="00D667FC">
      <w:pPr>
        <w:widowControl w:val="0"/>
        <w:snapToGrid w:val="0"/>
        <w:spacing w:line="360" w:lineRule="auto"/>
        <w:ind w:left="850"/>
        <w:jc w:val="both"/>
        <w:rPr>
          <w:rFonts w:ascii="Arial" w:hAnsi="Arial"/>
          <w:rtl/>
        </w:rPr>
      </w:pPr>
      <w:r>
        <w:rPr>
          <w:rFonts w:ascii="Arial" w:hAnsi="Arial"/>
          <w:rtl/>
        </w:rPr>
        <w:t>מקובלת עלי טענת באת כוח המאשימה כי בגידול סמים מסוכנים טמון פוטנציאל נזק רב, בשל החשש שהסם יתגלגל לשוק הסמים, ומשם לציבור ובעניין זה יפה הקביעה בסעיף 5 ל</w:t>
      </w:r>
      <w:r>
        <w:rPr>
          <w:rtl/>
        </w:rPr>
        <w:t>-</w:t>
      </w:r>
      <w:hyperlink r:id="rId38" w:history="1">
        <w:r w:rsidR="00632865" w:rsidRPr="00632865">
          <w:rPr>
            <w:rFonts w:ascii="Arial" w:hAnsi="Arial"/>
            <w:color w:val="0000FF"/>
            <w:u w:val="single"/>
            <w:rtl/>
          </w:rPr>
          <w:t>עפ"ג 42358-10-14</w:t>
        </w:r>
      </w:hyperlink>
      <w:r>
        <w:rPr>
          <w:rFonts w:ascii="Arial" w:hAnsi="Arial"/>
          <w:rtl/>
        </w:rPr>
        <w:t xml:space="preserve"> </w:t>
      </w:r>
      <w:r>
        <w:rPr>
          <w:rFonts w:ascii="Miriam" w:hAnsi="Miriam" w:cs="Miriam"/>
          <w:b/>
          <w:bCs/>
          <w:sz w:val="22"/>
          <w:szCs w:val="22"/>
          <w:rtl/>
        </w:rPr>
        <w:t>גיא נ' מדינת ישראל</w:t>
      </w:r>
      <w:r>
        <w:rPr>
          <w:rFonts w:ascii="Arial" w:hAnsi="Arial"/>
          <w:rtl/>
        </w:rPr>
        <w:t xml:space="preserve"> (18.2.15) לפיה "</w:t>
      </w:r>
      <w:r>
        <w:rPr>
          <w:rFonts w:ascii="David" w:hAnsi="David"/>
          <w:b/>
          <w:bCs/>
          <w:rtl/>
        </w:rPr>
        <w:t>המגדלים והמפיצים מצויים באותו מקום עצמו מבחינה ערכית, מעשית, שלא לדבר על חוקית, שהרי תקרת הענישה זהה</w:t>
      </w:r>
      <w:r>
        <w:rPr>
          <w:rFonts w:ascii="Arial" w:hAnsi="Arial"/>
          <w:rtl/>
        </w:rPr>
        <w:t xml:space="preserve">". </w:t>
      </w:r>
    </w:p>
    <w:p w14:paraId="3591C780" w14:textId="77777777" w:rsidR="00D667FC" w:rsidRDefault="00D667FC" w:rsidP="00D667FC">
      <w:pPr>
        <w:widowControl w:val="0"/>
        <w:snapToGrid w:val="0"/>
        <w:spacing w:line="360" w:lineRule="auto"/>
        <w:jc w:val="both"/>
        <w:rPr>
          <w:rFonts w:ascii="David" w:hAnsi="David"/>
          <w:rtl/>
        </w:rPr>
      </w:pPr>
    </w:p>
    <w:p w14:paraId="349F537D" w14:textId="77777777" w:rsidR="00D667FC" w:rsidRDefault="00D667FC" w:rsidP="00D667FC">
      <w:pPr>
        <w:widowControl w:val="0"/>
        <w:numPr>
          <w:ilvl w:val="2"/>
          <w:numId w:val="1"/>
        </w:numPr>
        <w:snapToGrid w:val="0"/>
        <w:spacing w:line="360" w:lineRule="auto"/>
        <w:ind w:left="1134" w:hanging="414"/>
        <w:jc w:val="both"/>
        <w:rPr>
          <w:rFonts w:ascii="David" w:hAnsi="David"/>
          <w:rtl/>
        </w:rPr>
      </w:pPr>
      <w:r>
        <w:rPr>
          <w:rFonts w:ascii="David" w:hAnsi="David"/>
          <w:b/>
          <w:bCs/>
          <w:rtl/>
          <w:lang w:eastAsia="he-IL"/>
        </w:rPr>
        <w:t>הסיבות שהביאו את הנאשם לביצוע העבירה</w:t>
      </w:r>
      <w:r>
        <w:rPr>
          <w:rFonts w:ascii="David" w:hAnsi="David"/>
          <w:rtl/>
          <w:lang w:eastAsia="he-IL"/>
        </w:rPr>
        <w:t xml:space="preserve"> </w:t>
      </w:r>
      <w:r>
        <w:rPr>
          <w:rFonts w:ascii="David" w:hAnsi="David"/>
          <w:rtl/>
        </w:rPr>
        <w:t>–</w:t>
      </w:r>
      <w:r>
        <w:rPr>
          <w:rFonts w:ascii="David" w:hAnsi="David"/>
          <w:rtl/>
          <w:lang w:eastAsia="he-IL"/>
        </w:rPr>
        <w:t xml:space="preserve">כעולה </w:t>
      </w:r>
      <w:r>
        <w:rPr>
          <w:rFonts w:ascii="David" w:hAnsi="David"/>
          <w:rtl/>
        </w:rPr>
        <w:t xml:space="preserve">מדברי הנאשם לשירות המבחן, הן חתימתו על ערבות לאביו, שנקלע לחובות כספיים גבוהים, קושי במציאת פתרונות והבנתו כי מעשיו יכולים להוות פתרון קל למצב הכלכלי הקשה עמו התמודד.  </w:t>
      </w:r>
    </w:p>
    <w:p w14:paraId="5F52C204" w14:textId="77777777" w:rsidR="00D667FC" w:rsidRDefault="00D667FC" w:rsidP="00D667FC">
      <w:pPr>
        <w:pStyle w:val="aa"/>
        <w:spacing w:line="360" w:lineRule="auto"/>
        <w:rPr>
          <w:bCs/>
          <w:sz w:val="26"/>
          <w:szCs w:val="26"/>
        </w:rPr>
      </w:pPr>
    </w:p>
    <w:p w14:paraId="04EA0AF8" w14:textId="77777777" w:rsidR="00D667FC" w:rsidRDefault="00D667FC" w:rsidP="00D667FC">
      <w:pPr>
        <w:widowControl w:val="0"/>
        <w:spacing w:line="360" w:lineRule="auto"/>
        <w:jc w:val="both"/>
        <w:rPr>
          <w:rFonts w:ascii="David" w:hAnsi="David"/>
          <w:bCs/>
          <w:sz w:val="26"/>
          <w:szCs w:val="26"/>
          <w:rtl/>
        </w:rPr>
      </w:pPr>
      <w:r>
        <w:rPr>
          <w:rFonts w:ascii="David" w:hAnsi="David"/>
          <w:bCs/>
          <w:sz w:val="26"/>
          <w:szCs w:val="26"/>
          <w:rtl/>
        </w:rPr>
        <w:t>מתחם העונש ההולם</w:t>
      </w:r>
    </w:p>
    <w:p w14:paraId="21B374B5" w14:textId="77777777" w:rsidR="00D667FC" w:rsidRDefault="00D667FC" w:rsidP="00D667FC">
      <w:pPr>
        <w:pStyle w:val="aa"/>
        <w:widowControl w:val="0"/>
        <w:numPr>
          <w:ilvl w:val="0"/>
          <w:numId w:val="1"/>
        </w:numPr>
        <w:spacing w:line="360" w:lineRule="auto"/>
        <w:ind w:left="360"/>
        <w:jc w:val="both"/>
        <w:rPr>
          <w:b/>
          <w:sz w:val="24"/>
        </w:rPr>
      </w:pPr>
      <w:r>
        <w:rPr>
          <w:rFonts w:hint="cs"/>
          <w:sz w:val="24"/>
          <w:rtl/>
        </w:rPr>
        <w:t xml:space="preserve">עולה מהמקובץ, כי </w:t>
      </w:r>
      <w:r>
        <w:rPr>
          <w:rFonts w:hint="cs"/>
          <w:b/>
          <w:bCs/>
          <w:sz w:val="24"/>
          <w:rtl/>
        </w:rPr>
        <w:t>מתחם העונש ההולם למעשי הנאשם הוא 8–</w:t>
      </w:r>
      <w:r>
        <w:rPr>
          <w:rFonts w:hint="cs"/>
          <w:bCs/>
          <w:sz w:val="24"/>
          <w:rtl/>
        </w:rPr>
        <w:t>24 חודשי מאסר בפועל, לצד ענישה נלווית, הכוללת מאסרים מותנים, עיצומים כלכליים ופסילה.</w:t>
      </w:r>
      <w:r>
        <w:rPr>
          <w:rFonts w:hint="cs"/>
          <w:b/>
          <w:sz w:val="24"/>
          <w:rtl/>
        </w:rPr>
        <w:t xml:space="preserve"> </w:t>
      </w:r>
    </w:p>
    <w:p w14:paraId="7C910876" w14:textId="77777777" w:rsidR="00D667FC" w:rsidRDefault="00D667FC" w:rsidP="00D667FC">
      <w:pPr>
        <w:pStyle w:val="aa"/>
        <w:widowControl w:val="0"/>
        <w:spacing w:line="360" w:lineRule="auto"/>
        <w:ind w:left="360"/>
        <w:jc w:val="both"/>
        <w:rPr>
          <w:b/>
          <w:sz w:val="24"/>
        </w:rPr>
      </w:pPr>
    </w:p>
    <w:p w14:paraId="62FE865C" w14:textId="77777777" w:rsidR="00D667FC" w:rsidRDefault="00D667FC" w:rsidP="00D667FC">
      <w:pPr>
        <w:widowControl w:val="0"/>
        <w:numPr>
          <w:ilvl w:val="0"/>
          <w:numId w:val="1"/>
        </w:numPr>
        <w:snapToGrid w:val="0"/>
        <w:spacing w:line="360" w:lineRule="auto"/>
        <w:ind w:left="357" w:hanging="357"/>
        <w:jc w:val="both"/>
        <w:rPr>
          <w:b/>
          <w:sz w:val="20"/>
          <w:rtl/>
          <w:lang w:eastAsia="he-IL"/>
        </w:rPr>
      </w:pPr>
      <w:r>
        <w:rPr>
          <w:sz w:val="20"/>
          <w:rtl/>
          <w:lang w:eastAsia="he-IL"/>
        </w:rPr>
        <w:t xml:space="preserve">עבירות סמים הן עבירות כלכליות וככאלו מחייבות עיצומים כלכליים, שיהיה בהם כדי ללמד על חוסר הכדאיות בצבירת הון על חשבון בריאות הציבור. לצד זאת, בהתאם </w:t>
      </w:r>
      <w:hyperlink r:id="rId39" w:history="1">
        <w:r w:rsidR="003C0062" w:rsidRPr="003C0062">
          <w:rPr>
            <w:rStyle w:val="Hyperlink"/>
            <w:sz w:val="20"/>
            <w:rtl/>
            <w:lang w:eastAsia="he-IL"/>
          </w:rPr>
          <w:t>לסעיף 40ח</w:t>
        </w:r>
      </w:hyperlink>
      <w:r>
        <w:rPr>
          <w:sz w:val="20"/>
          <w:rtl/>
          <w:lang w:eastAsia="he-IL"/>
        </w:rPr>
        <w:t xml:space="preserve"> ל-</w:t>
      </w:r>
      <w:hyperlink r:id="rId40" w:history="1">
        <w:r w:rsidR="00632865" w:rsidRPr="00632865">
          <w:rPr>
            <w:rFonts w:ascii="Miriam" w:hAnsi="Miriam" w:cs="Miriam"/>
            <w:b/>
            <w:bCs/>
            <w:color w:val="0000FF"/>
            <w:sz w:val="22"/>
            <w:szCs w:val="22"/>
            <w:u w:val="single"/>
            <w:rtl/>
            <w:lang w:eastAsia="he-IL"/>
          </w:rPr>
          <w:t>חוק העונשין</w:t>
        </w:r>
      </w:hyperlink>
      <w:r>
        <w:rPr>
          <w:sz w:val="20"/>
          <w:rtl/>
          <w:lang w:eastAsia="he-IL"/>
        </w:rPr>
        <w:t xml:space="preserve">, התחשבתי במצבו הכלכלי הנטען של הנאשם בקביעת מתחם הקנס, שכן כשמדובר בקנס – אין דין פלוני כאלמוני. משכך, </w:t>
      </w:r>
      <w:r>
        <w:rPr>
          <w:b/>
          <w:bCs/>
          <w:sz w:val="20"/>
          <w:rtl/>
          <w:lang w:eastAsia="he-IL"/>
        </w:rPr>
        <w:t>מתחם הקנס הוא 2,000 ₪-9,000 ₪</w:t>
      </w:r>
      <w:r>
        <w:rPr>
          <w:sz w:val="20"/>
          <w:rtl/>
          <w:lang w:eastAsia="he-IL"/>
        </w:rPr>
        <w:t xml:space="preserve">.  </w:t>
      </w:r>
    </w:p>
    <w:p w14:paraId="59755C0D" w14:textId="77777777" w:rsidR="00D667FC" w:rsidRDefault="00D667FC" w:rsidP="00D667FC">
      <w:pPr>
        <w:widowControl w:val="0"/>
        <w:snapToGrid w:val="0"/>
        <w:spacing w:line="360" w:lineRule="auto"/>
        <w:ind w:left="357"/>
        <w:jc w:val="both"/>
        <w:rPr>
          <w:rFonts w:ascii="David" w:hAnsi="David"/>
          <w:b/>
          <w:sz w:val="20"/>
          <w:rtl/>
          <w:lang w:eastAsia="he-IL"/>
        </w:rPr>
      </w:pPr>
    </w:p>
    <w:p w14:paraId="06593665" w14:textId="77777777" w:rsidR="00D667FC" w:rsidRDefault="00D667FC" w:rsidP="00D667FC">
      <w:pPr>
        <w:widowControl w:val="0"/>
        <w:numPr>
          <w:ilvl w:val="0"/>
          <w:numId w:val="1"/>
        </w:numPr>
        <w:snapToGrid w:val="0"/>
        <w:spacing w:line="360" w:lineRule="auto"/>
        <w:ind w:left="357" w:hanging="357"/>
        <w:jc w:val="both"/>
        <w:rPr>
          <w:b/>
          <w:sz w:val="20"/>
          <w:rtl/>
          <w:lang w:eastAsia="he-IL"/>
        </w:rPr>
      </w:pPr>
      <w:r>
        <w:rPr>
          <w:sz w:val="20"/>
          <w:rtl/>
          <w:lang w:eastAsia="he-IL"/>
        </w:rPr>
        <w:t xml:space="preserve">כפי שנקבע בפסיקה ובהתאם להוראות </w:t>
      </w:r>
      <w:hyperlink r:id="rId41" w:history="1">
        <w:r w:rsidR="003C0062" w:rsidRPr="003C0062">
          <w:rPr>
            <w:rStyle w:val="Hyperlink"/>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xml:space="preserve">, בעבירות הקשורות בסמים מסוכנים יש חשיבות לפסילה. </w:t>
      </w:r>
      <w:r>
        <w:rPr>
          <w:b/>
          <w:bCs/>
          <w:sz w:val="20"/>
          <w:rtl/>
          <w:lang w:eastAsia="he-IL"/>
        </w:rPr>
        <w:t>מתחם הפסילה נע בין פסילה מותנית לבין שנתים פסילה בפועל</w:t>
      </w:r>
      <w:r>
        <w:rPr>
          <w:sz w:val="20"/>
          <w:rtl/>
          <w:lang w:eastAsia="he-IL"/>
        </w:rPr>
        <w:t>, תלוי חלקו של כל נאשם בביצוע העבירות.</w:t>
      </w:r>
    </w:p>
    <w:p w14:paraId="278861BD" w14:textId="77777777" w:rsidR="00D667FC" w:rsidRDefault="00D667FC" w:rsidP="00D667FC">
      <w:pPr>
        <w:widowControl w:val="0"/>
        <w:spacing w:line="360" w:lineRule="auto"/>
        <w:jc w:val="both"/>
        <w:rPr>
          <w:rFonts w:ascii="David" w:hAnsi="David"/>
          <w:bCs/>
          <w:sz w:val="26"/>
          <w:szCs w:val="26"/>
          <w:rtl/>
        </w:rPr>
      </w:pPr>
    </w:p>
    <w:p w14:paraId="361A471C" w14:textId="77777777" w:rsidR="00D667FC" w:rsidRDefault="00D667FC" w:rsidP="00D667FC">
      <w:pPr>
        <w:widowControl w:val="0"/>
        <w:spacing w:line="360" w:lineRule="auto"/>
        <w:jc w:val="both"/>
        <w:rPr>
          <w:rFonts w:ascii="David" w:hAnsi="David"/>
          <w:bCs/>
          <w:sz w:val="26"/>
          <w:szCs w:val="26"/>
        </w:rPr>
      </w:pPr>
      <w:r>
        <w:rPr>
          <w:rFonts w:ascii="David" w:hAnsi="David"/>
          <w:bCs/>
          <w:sz w:val="26"/>
          <w:szCs w:val="26"/>
          <w:rtl/>
        </w:rPr>
        <w:t xml:space="preserve">שיקולי גזירת העונש המתאים לנאשם </w:t>
      </w:r>
    </w:p>
    <w:p w14:paraId="2926C089" w14:textId="77777777" w:rsidR="00D667FC" w:rsidRDefault="00D667FC" w:rsidP="00D667FC">
      <w:pPr>
        <w:pStyle w:val="aa"/>
        <w:widowControl w:val="0"/>
        <w:numPr>
          <w:ilvl w:val="0"/>
          <w:numId w:val="1"/>
        </w:numPr>
        <w:spacing w:line="360" w:lineRule="auto"/>
        <w:ind w:left="360"/>
        <w:jc w:val="both"/>
        <w:rPr>
          <w:sz w:val="24"/>
        </w:rPr>
      </w:pPr>
      <w:r>
        <w:rPr>
          <w:rFonts w:hint="cs"/>
          <w:sz w:val="24"/>
          <w:rtl/>
        </w:rPr>
        <w:t xml:space="preserve">בהתאם להוראות </w:t>
      </w:r>
      <w:hyperlink r:id="rId42" w:history="1">
        <w:r w:rsidR="003C0062" w:rsidRPr="003C0062">
          <w:rPr>
            <w:rStyle w:val="Hyperlink"/>
            <w:rFonts w:hint="eastAsia"/>
            <w:sz w:val="24"/>
            <w:rtl/>
          </w:rPr>
          <w:t>סעיף</w:t>
        </w:r>
        <w:r w:rsidR="003C0062" w:rsidRPr="003C0062">
          <w:rPr>
            <w:rStyle w:val="Hyperlink"/>
            <w:sz w:val="24"/>
            <w:rtl/>
          </w:rPr>
          <w:t xml:space="preserve"> 40ג(ב)</w:t>
        </w:r>
      </w:hyperlink>
      <w:r>
        <w:rPr>
          <w:rFonts w:hint="cs"/>
          <w:sz w:val="24"/>
          <w:rtl/>
        </w:rPr>
        <w:t xml:space="preserve"> ל-</w:t>
      </w:r>
      <w:hyperlink r:id="rId43" w:history="1">
        <w:r w:rsidR="00632865" w:rsidRPr="00632865">
          <w:rPr>
            <w:rFonts w:ascii="Miriam" w:hAnsi="Miriam" w:cs="Miriam"/>
            <w:b/>
            <w:bCs/>
            <w:color w:val="0000FF"/>
            <w:szCs w:val="22"/>
            <w:u w:val="single"/>
            <w:rtl/>
            <w:lang w:eastAsia="en-US"/>
          </w:rPr>
          <w:t>חוק העונשין</w:t>
        </w:r>
      </w:hyperlink>
      <w:r>
        <w:rPr>
          <w:rFonts w:hint="cs"/>
          <w:sz w:val="24"/>
          <w:rtl/>
        </w:rPr>
        <w:t xml:space="preserve">, התחשבתי בנסיבות שלא קשורות בביצוע העבירה, כמפורט </w:t>
      </w:r>
      <w:hyperlink r:id="rId44" w:history="1">
        <w:r w:rsidR="003C0062" w:rsidRPr="003C0062">
          <w:rPr>
            <w:rStyle w:val="Hyperlink"/>
            <w:rFonts w:hint="eastAsia"/>
            <w:sz w:val="24"/>
            <w:rtl/>
          </w:rPr>
          <w:t>בסעיף</w:t>
        </w:r>
        <w:r w:rsidR="003C0062" w:rsidRPr="003C0062">
          <w:rPr>
            <w:rStyle w:val="Hyperlink"/>
            <w:sz w:val="24"/>
            <w:rtl/>
          </w:rPr>
          <w:t xml:space="preserve"> 40יא</w:t>
        </w:r>
      </w:hyperlink>
      <w:r>
        <w:rPr>
          <w:rFonts w:hint="cs"/>
          <w:sz w:val="24"/>
          <w:rtl/>
        </w:rPr>
        <w:t xml:space="preserve"> ל-</w:t>
      </w:r>
      <w:r>
        <w:rPr>
          <w:rFonts w:ascii="Miriam" w:hAnsi="Miriam" w:cs="Miriam"/>
          <w:b/>
          <w:bCs/>
          <w:szCs w:val="22"/>
          <w:rtl/>
          <w:lang w:eastAsia="en-US"/>
        </w:rPr>
        <w:t>חוק העונשין</w:t>
      </w:r>
      <w:r>
        <w:rPr>
          <w:rFonts w:hint="cs"/>
          <w:sz w:val="24"/>
          <w:rtl/>
        </w:rPr>
        <w:t>, כעולה מהתסקירים הנושאים תאריכים 13.6.22, 31.10.22, 1.3.23, 24.5.23 ו-10.3.24, מחוות דעת הממונה מיום 5.3.24, מטיעוני הצדדים לעונש ומדברי הנאשם:</w:t>
      </w:r>
    </w:p>
    <w:p w14:paraId="4EB5068F" w14:textId="77777777" w:rsidR="00D667FC" w:rsidRDefault="00D667FC" w:rsidP="00D667FC">
      <w:pPr>
        <w:pStyle w:val="aa"/>
        <w:widowControl w:val="0"/>
        <w:ind w:left="360"/>
        <w:jc w:val="both"/>
        <w:rPr>
          <w:rFonts w:ascii="Times New Roman" w:hAnsi="Times New Roman"/>
          <w:szCs w:val="20"/>
        </w:rPr>
      </w:pPr>
    </w:p>
    <w:p w14:paraId="11C97E09" w14:textId="77777777" w:rsidR="00D667FC" w:rsidRDefault="00D667FC" w:rsidP="00D667FC">
      <w:pPr>
        <w:widowControl w:val="0"/>
        <w:numPr>
          <w:ilvl w:val="2"/>
          <w:numId w:val="1"/>
        </w:numPr>
        <w:spacing w:line="360" w:lineRule="auto"/>
        <w:ind w:left="794" w:hanging="454"/>
        <w:jc w:val="both"/>
        <w:rPr>
          <w:rFonts w:ascii="David" w:hAnsi="David"/>
          <w:rtl/>
        </w:rPr>
      </w:pPr>
      <w:r>
        <w:rPr>
          <w:rFonts w:ascii="David" w:hAnsi="David"/>
          <w:b/>
          <w:bCs/>
          <w:rtl/>
        </w:rPr>
        <w:t>הפגיעה של העונש בנאשם, לרבות בשל גילו, ובמשפחתו</w:t>
      </w:r>
      <w:r>
        <w:rPr>
          <w:rFonts w:ascii="David" w:hAnsi="David"/>
          <w:rtl/>
        </w:rPr>
        <w:t xml:space="preserve"> – הנאשם כבן 35 וחצי, נשוי בפעם השני ואב ל-4 ילדים קטנים, בגילאי 3 שבועות עד 10 שנים. כעולה מהתסקירים, הרקע לביצוע העבירה הוא הקשיים הכלכליים אליהם נקלע הנאשם והצורך לפרנס את אשתו ולשלם מזונות עבור ילדיו מנישואיו הקודמים. בשל המצב הבטחוני פונה הנאשם מביתו בישוב מבקיעים לאילת ובמשך מספר חודשים, נאלץ להפסיק את עבודתו, עד חודש פברואר 2024, שאז שב לביתו וחזר לעבוד בעסק מכירת מזון שבבעלותו. השתת מאסר, ולו בעבודות שירות, תפגע בפרנסתו ובפרנסת משפחתו, כמו גם ביכולות לעמוד בתשלומי המזונות ומשכך מדובר בפגיעה בו ובמשפחתו. </w:t>
      </w:r>
    </w:p>
    <w:p w14:paraId="79F4C9D3" w14:textId="77777777" w:rsidR="00D667FC" w:rsidRDefault="00D667FC" w:rsidP="00D667FC">
      <w:pPr>
        <w:widowControl w:val="0"/>
        <w:ind w:left="794"/>
        <w:jc w:val="both"/>
        <w:rPr>
          <w:rFonts w:ascii="David" w:hAnsi="David"/>
          <w:sz w:val="22"/>
          <w:szCs w:val="22"/>
        </w:rPr>
      </w:pPr>
    </w:p>
    <w:p w14:paraId="3EEFAA73" w14:textId="77777777" w:rsidR="00D667FC" w:rsidRDefault="00D667FC" w:rsidP="00D667FC">
      <w:pPr>
        <w:widowControl w:val="0"/>
        <w:numPr>
          <w:ilvl w:val="2"/>
          <w:numId w:val="1"/>
        </w:numPr>
        <w:spacing w:line="360" w:lineRule="auto"/>
        <w:ind w:left="794" w:hanging="454"/>
        <w:jc w:val="both"/>
        <w:rPr>
          <w:rFonts w:ascii="David" w:hAnsi="David"/>
          <w:rtl/>
        </w:rPr>
      </w:pPr>
      <w:r>
        <w:rPr>
          <w:rFonts w:ascii="David" w:hAnsi="David"/>
          <w:b/>
          <w:bCs/>
          <w:rtl/>
        </w:rPr>
        <w:t>נסיבות חייו של הנאשם שהייתה להן השפעה על ביצוע העבירה</w:t>
      </w:r>
      <w:r>
        <w:rPr>
          <w:rFonts w:ascii="David" w:hAnsi="David"/>
          <w:rtl/>
        </w:rPr>
        <w:t xml:space="preserve"> – הנאשם הוא הבכור להורים גרושים שלהם 5 ילדים. משפחתו היא ממפוני גוש קטיף, אירוע שלווה במשבר כלכלי ממושך וקושי להשתקם. תיאר מערכת יחסים קרובה ומיטיבה עם הוריו ותפקוד תקין ונורמטיבי של בני משפחתו האחרים. בהיותו כבן 26 נישא לראשונה והיה נשוי כ-6. לזוג נולדו שני ילדים, כיום בני 9 ו-10. על רקע קשיים כלכליים שהובילו לחיכוכים ומריבות השניים התגרשו. כיום מערכת היחסים ביניהם מיטיבה והוא מקפיד על זמני השהות עם ילדיו ותשלום המזונות. נישא בשנית לפני כ-3 שנים ולזוג שני ילדים בגילאי 3 שבועות ושנה. כעולה מתסקירי שירות המבחן וכפי שתואר לעיל, הסיבות שהביאו את הנאשם לביצוע העבירה הן תפיסתו כי גידול הסמים מהווה פתרון קל למצב הכלכלי הקשה עמו התמודד.  </w:t>
      </w:r>
    </w:p>
    <w:p w14:paraId="0B6ACEEE" w14:textId="77777777" w:rsidR="00D667FC" w:rsidRDefault="00D667FC" w:rsidP="00D667FC">
      <w:pPr>
        <w:pStyle w:val="aa"/>
      </w:pPr>
    </w:p>
    <w:p w14:paraId="1B912913" w14:textId="77777777" w:rsidR="00D667FC" w:rsidRDefault="00D667FC" w:rsidP="00D667FC">
      <w:pPr>
        <w:widowControl w:val="0"/>
        <w:numPr>
          <w:ilvl w:val="2"/>
          <w:numId w:val="1"/>
        </w:numPr>
        <w:spacing w:line="360" w:lineRule="auto"/>
        <w:ind w:left="794" w:hanging="454"/>
        <w:jc w:val="both"/>
        <w:rPr>
          <w:rFonts w:ascii="David" w:hAnsi="David"/>
          <w:rtl/>
        </w:rPr>
      </w:pPr>
      <w:r>
        <w:rPr>
          <w:rFonts w:ascii="David" w:hAnsi="David"/>
          <w:b/>
          <w:bCs/>
          <w:rtl/>
        </w:rPr>
        <w:t>רקע תעסוקתי</w:t>
      </w:r>
      <w:r>
        <w:rPr>
          <w:rFonts w:ascii="David" w:hAnsi="David"/>
          <w:rtl/>
        </w:rPr>
        <w:t xml:space="preserve"> – הנאשם סיים 11 שנות לימוד ולאחר שחרורו מהשירות הצבאי עבד בחקלאות עם אביו. בהמשך ניסה להשתלב בתחום רכבים בו עוסקת משפחת אביו, אך התקשה לשמור על יציבות תעסוקתית בתחום ולספק צרכיו הכלכליים. עבד כשנה בקצביה ולאחר מכן בעסק עצמאי בתחום המזון. </w:t>
      </w:r>
    </w:p>
    <w:p w14:paraId="2AE1829D" w14:textId="77777777" w:rsidR="00D667FC" w:rsidRDefault="00D667FC" w:rsidP="00D667FC">
      <w:pPr>
        <w:pStyle w:val="aa"/>
        <w:widowControl w:val="0"/>
        <w:rPr>
          <w:b/>
          <w:bCs/>
          <w:sz w:val="18"/>
          <w:szCs w:val="22"/>
        </w:rPr>
      </w:pPr>
    </w:p>
    <w:p w14:paraId="285C8A2B" w14:textId="77777777" w:rsidR="00D667FC" w:rsidRDefault="00D667FC" w:rsidP="00D667FC">
      <w:pPr>
        <w:widowControl w:val="0"/>
        <w:numPr>
          <w:ilvl w:val="2"/>
          <w:numId w:val="1"/>
        </w:numPr>
        <w:spacing w:line="360" w:lineRule="auto"/>
        <w:ind w:left="794" w:hanging="454"/>
        <w:jc w:val="both"/>
        <w:rPr>
          <w:rFonts w:ascii="David" w:hAnsi="David"/>
          <w:b/>
          <w:bCs/>
          <w:sz w:val="16"/>
          <w:szCs w:val="20"/>
        </w:rPr>
      </w:pPr>
      <w:r>
        <w:rPr>
          <w:rFonts w:ascii="David" w:hAnsi="David"/>
          <w:b/>
          <w:bCs/>
          <w:rtl/>
        </w:rPr>
        <w:t>נטילת האחריות של הנאשם על מעשיו</w:t>
      </w:r>
      <w:r>
        <w:rPr>
          <w:rFonts w:ascii="David" w:hAnsi="David"/>
          <w:rtl/>
        </w:rPr>
        <w:t xml:space="preserve"> – הנאשם הודה ב-15.3.22, כשנתיים לאחר הגשת כתב האישום וביצוע העבירה. הנאשם הביע חרטה הן בפני בית המשפט והן בפני שירות המבחן. כבר בתסקיר הראשון, מיום 13.6.22</w:t>
      </w:r>
      <w:r>
        <w:rPr>
          <w:rFonts w:ascii="David" w:hAnsi="David"/>
          <w:sz w:val="20"/>
          <w:rtl/>
        </w:rPr>
        <w:t>, עלה כי הנאשם מזהה דפוסים מכשילים בהתנהלותו וביקש לקבל סיוע בהתמודדות עם משברים. הנאשם חש אכזבה, תסכול ורגשות אשם מביצוע העבירה ונוכח המחירים ששילמה משפחתו, הכלכליים והנפשיים, בגין מעשיו. לאחר מעצרו בתיק ערך חשבון נפש עם עצמו והביע רצון לערוך שינוי בחייו ולקיים אורח חיים נורמטיבי. הביע הסכמתו להשתלב בהליך טיפול קבוצתי. בדבריו לעונש מסר הנאשם את הדברים הבאים, אשר בשל חשיבותם אביאם להלן:</w:t>
      </w:r>
    </w:p>
    <w:p w14:paraId="012D51E4" w14:textId="77777777" w:rsidR="00D667FC" w:rsidRDefault="00D667FC" w:rsidP="00D667FC">
      <w:pPr>
        <w:widowControl w:val="0"/>
        <w:ind w:left="1440" w:right="993"/>
        <w:jc w:val="both"/>
      </w:pPr>
    </w:p>
    <w:p w14:paraId="42AB4922" w14:textId="77777777" w:rsidR="00D667FC" w:rsidRDefault="00D667FC" w:rsidP="00D667FC">
      <w:pPr>
        <w:widowControl w:val="0"/>
        <w:ind w:left="1440" w:right="993"/>
        <w:jc w:val="both"/>
        <w:rPr>
          <w:b/>
          <w:bCs/>
          <w:rtl/>
        </w:rPr>
      </w:pPr>
      <w:r>
        <w:rPr>
          <w:rtl/>
        </w:rPr>
        <w:t>"</w:t>
      </w:r>
      <w:r>
        <w:rPr>
          <w:b/>
          <w:bCs/>
          <w:rtl/>
        </w:rPr>
        <w:t>נכון פשעתי, עשיתי טעות מאוד חמורה, עלתה לי ביוקר ותעלה לי ביוקר. מאז העבירה חיי השתנו לטובה. התחלתי בהליך שיקום לא רק בשירות המבחן אלא גם הליך שיקום כלכלי, אחרי 12 שנה שהייתי מצוי בחובות וקנסות, עשיתי הליך של חדלות פירעון, קיבלתי תוקף לפני חודש. עשיתי שינוי עם עצמי, התחתנתי בשנית ונולדו לי שני ילדים. אני עובד כל יום, גם בבוקר וגם בערב בתחום המזון והאירועים, עשיתי כל מה שבוקש ממני על ידי קצינת המבחן, לא החסרתי שום יום עד המלחמה האחרונה שבה הייתי צריך לצאת ולהגן על הבית, שכלתי 22 חברים ואחרי שנרגע המצב עם המחבלים יצאתי ותרמתי הרבה מזון ועזרה לחיילים ולכוחות הביטחון הרפואה, אני חושב שעשיתי שינוי גדול ואני בדרך הנכונה.</w:t>
      </w:r>
    </w:p>
    <w:p w14:paraId="402164C2" w14:textId="77777777" w:rsidR="00D667FC" w:rsidRDefault="00D667FC" w:rsidP="00D667FC">
      <w:pPr>
        <w:widowControl w:val="0"/>
        <w:ind w:left="1440" w:right="993"/>
        <w:jc w:val="both"/>
      </w:pPr>
      <w:r>
        <w:rPr>
          <w:b/>
          <w:bCs/>
          <w:rtl/>
        </w:rPr>
        <w:t>כל עונש שאני אקבל יהיה בשבילי מכה אבל כל עונש שייתן לי להמשיך בדרך שלי אני אודה לבית המשפט</w:t>
      </w:r>
      <w:r>
        <w:rPr>
          <w:rtl/>
        </w:rPr>
        <w:t>".</w:t>
      </w:r>
    </w:p>
    <w:p w14:paraId="5C234FC0" w14:textId="77777777" w:rsidR="00D667FC" w:rsidRDefault="00D667FC" w:rsidP="00D667FC">
      <w:pPr>
        <w:pStyle w:val="aa"/>
        <w:spacing w:line="360" w:lineRule="auto"/>
      </w:pPr>
    </w:p>
    <w:p w14:paraId="51B75A75" w14:textId="77777777" w:rsidR="00D667FC" w:rsidRDefault="00D667FC" w:rsidP="00D667FC">
      <w:pPr>
        <w:widowControl w:val="0"/>
        <w:numPr>
          <w:ilvl w:val="2"/>
          <w:numId w:val="1"/>
        </w:numPr>
        <w:spacing w:line="360" w:lineRule="auto"/>
        <w:ind w:left="794" w:hanging="454"/>
        <w:jc w:val="both"/>
        <w:rPr>
          <w:rFonts w:ascii="David" w:hAnsi="David"/>
          <w:b/>
          <w:bCs/>
          <w:sz w:val="16"/>
          <w:szCs w:val="20"/>
        </w:rPr>
      </w:pPr>
      <w:r>
        <w:rPr>
          <w:rFonts w:ascii="David" w:hAnsi="David"/>
          <w:b/>
          <w:bCs/>
          <w:rtl/>
        </w:rPr>
        <w:t>מאמצי הנאשם לחזור למוטב</w:t>
      </w:r>
      <w:r>
        <w:rPr>
          <w:rFonts w:ascii="David" w:hAnsi="David"/>
          <w:rtl/>
        </w:rPr>
        <w:t xml:space="preserve"> – כעולה מדברי הנאשם לעונש שהובאו לעיל ומהתרשמות שירות המבחן, הנאשם נרתם להליך הטיפולי ונתרם ממנו. הנאשם שולב בקבוצה טיפולית, הקפיד להגיע לכל המפגשים ובזמן. שיתף פעולה באופן כנה, פתוח ואותנטי מעולמו הפנימי. קשוב לשיח הקבוצתי ופעיל בו. שירות המבחן התרשם כי הנאשם לא מחזיק בעמדות וערכים המקובלים בחברה עבריינית, מבטא עמדה הרואה בתפקוד תקין כערך חשוב. שירות המבחן התרשם כי ערך מאמצים וגילה נכונות להפיק תועלת מההליך הטיפולי. </w:t>
      </w:r>
    </w:p>
    <w:p w14:paraId="02160EF4" w14:textId="77777777" w:rsidR="00D667FC" w:rsidRDefault="00D667FC" w:rsidP="00D667FC">
      <w:pPr>
        <w:pStyle w:val="aa"/>
        <w:rPr>
          <w:b/>
          <w:bCs/>
          <w:sz w:val="18"/>
          <w:szCs w:val="22"/>
        </w:rPr>
      </w:pPr>
    </w:p>
    <w:p w14:paraId="23484EF4" w14:textId="77777777" w:rsidR="00D667FC" w:rsidRDefault="00D667FC" w:rsidP="00D667FC">
      <w:pPr>
        <w:widowControl w:val="0"/>
        <w:numPr>
          <w:ilvl w:val="2"/>
          <w:numId w:val="1"/>
        </w:numPr>
        <w:spacing w:line="360" w:lineRule="auto"/>
        <w:ind w:left="794" w:hanging="454"/>
        <w:jc w:val="both"/>
        <w:rPr>
          <w:rFonts w:ascii="David" w:hAnsi="David"/>
        </w:rPr>
      </w:pPr>
      <w:r>
        <w:rPr>
          <w:rFonts w:ascii="David" w:hAnsi="David"/>
          <w:b/>
          <w:bCs/>
          <w:rtl/>
        </w:rPr>
        <w:t>הנזקים שנגרמו לנאשם מביצוע העבירות</w:t>
      </w:r>
      <w:r>
        <w:rPr>
          <w:rFonts w:ascii="David" w:hAnsi="David"/>
          <w:rtl/>
        </w:rPr>
        <w:t xml:space="preserve"> – מעבר לכך שהנאשם היה עצור כחודש ימים, המשיב שהה בתנאי מעצר בית מלא ובהמשך בתנאים מגבילים תקופה ארוכה. כל אלו, ועצם ניהול ההליך הפלילי מהווים עבורו גורם מרתיע ומציב גבול, קל וחומר נוכח המחירים הכלכליים הכבדים שמשלם, גם בהינתן המצב הכלכלי הקשה של משפחתו. </w:t>
      </w:r>
    </w:p>
    <w:p w14:paraId="2809B5D8" w14:textId="77777777" w:rsidR="00D667FC" w:rsidRDefault="00D667FC" w:rsidP="00D667FC">
      <w:pPr>
        <w:pStyle w:val="aa"/>
        <w:rPr>
          <w:b/>
          <w:bCs/>
          <w:sz w:val="18"/>
          <w:szCs w:val="22"/>
          <w:rtl/>
        </w:rPr>
      </w:pPr>
    </w:p>
    <w:p w14:paraId="1791E9BA" w14:textId="77777777" w:rsidR="00D667FC" w:rsidRDefault="00D667FC" w:rsidP="00D667FC">
      <w:pPr>
        <w:widowControl w:val="0"/>
        <w:numPr>
          <w:ilvl w:val="2"/>
          <w:numId w:val="1"/>
        </w:numPr>
        <w:spacing w:line="360" w:lineRule="auto"/>
        <w:ind w:left="794" w:hanging="454"/>
        <w:jc w:val="both"/>
        <w:rPr>
          <w:rFonts w:ascii="David" w:hAnsi="David"/>
        </w:rPr>
      </w:pPr>
      <w:r>
        <w:rPr>
          <w:rFonts w:ascii="David" w:hAnsi="David"/>
          <w:b/>
          <w:bCs/>
          <w:rtl/>
        </w:rPr>
        <w:t xml:space="preserve">חלוף הזמן – </w:t>
      </w:r>
      <w:r>
        <w:rPr>
          <w:rFonts w:ascii="David" w:hAnsi="David"/>
          <w:rtl/>
        </w:rPr>
        <w:t xml:space="preserve">חלפו כמעט 4 שנים מביצוע העבירות, במהלכן לא הורשע הנאשם בעבירות נוספות, לא נפתחו נגדו תיקים חדשים, לא נרשמו לחובתו הפרות של תנאי השחרור והוא שיתף פעולה עם שירות המבחן באופן מלא, כמפורט לעיל. כאן המקום לציין כי הנאשם הודה, במסגרת הסדר טיעון שהוצג בפני כב' הש' הבכיר נחמיאס ביום 15.3.22 ומועד הטיעונים לעונש נדחה מעת לעת מטעמים שונים, לאחר שהתיק הועבר לכב' הש' בונדה. </w:t>
      </w:r>
      <w:r>
        <w:rPr>
          <w:rtl/>
        </w:rPr>
        <w:t xml:space="preserve">בהמשך, לאחר שהתיק הועבר לשמיעה לפניי, נדחו הדיונים מיום 26.12.23 ליום 20.3.24 על רקע מצב החירום, לבקשת הממונה על עבודות השירות ומשום שהנאשם היה מפונה מביתו. </w:t>
      </w:r>
    </w:p>
    <w:p w14:paraId="53C03845" w14:textId="77777777" w:rsidR="00D667FC" w:rsidRDefault="00D667FC" w:rsidP="00D667FC">
      <w:pPr>
        <w:pStyle w:val="aa"/>
        <w:widowControl w:val="0"/>
        <w:rPr>
          <w:sz w:val="18"/>
          <w:szCs w:val="22"/>
          <w:rtl/>
        </w:rPr>
      </w:pPr>
    </w:p>
    <w:p w14:paraId="103B95A5" w14:textId="77777777" w:rsidR="00D667FC" w:rsidRDefault="00D667FC" w:rsidP="00D667FC">
      <w:pPr>
        <w:widowControl w:val="0"/>
        <w:numPr>
          <w:ilvl w:val="2"/>
          <w:numId w:val="1"/>
        </w:numPr>
        <w:spacing w:line="360" w:lineRule="auto"/>
        <w:ind w:left="794" w:hanging="454"/>
        <w:jc w:val="both"/>
        <w:rPr>
          <w:rFonts w:ascii="David" w:hAnsi="David"/>
        </w:rPr>
      </w:pPr>
      <w:r>
        <w:rPr>
          <w:rFonts w:ascii="David" w:hAnsi="David"/>
          <w:b/>
          <w:bCs/>
          <w:rtl/>
        </w:rPr>
        <w:t>לחובת הנאשם עבר פלילי ישן, שהתיישן</w:t>
      </w:r>
      <w:r>
        <w:rPr>
          <w:rFonts w:ascii="David" w:hAnsi="David"/>
          <w:rtl/>
        </w:rPr>
        <w:t>, בעבירת חבלה במזיד ברכב, בגינה נדון ב-17.9.13 ומאז לא נרשמו לחובתו הרשעות נוספות.</w:t>
      </w:r>
    </w:p>
    <w:p w14:paraId="58E8A7F7" w14:textId="77777777" w:rsidR="00D667FC" w:rsidRDefault="00D667FC" w:rsidP="00D667FC">
      <w:pPr>
        <w:widowControl w:val="0"/>
        <w:spacing w:line="360" w:lineRule="auto"/>
        <w:jc w:val="both"/>
        <w:rPr>
          <w:rFonts w:ascii="David" w:hAnsi="David"/>
          <w:b/>
          <w:bCs/>
          <w:sz w:val="26"/>
          <w:szCs w:val="26"/>
          <w:rtl/>
        </w:rPr>
      </w:pPr>
    </w:p>
    <w:p w14:paraId="7080A471" w14:textId="77777777" w:rsidR="00D667FC" w:rsidRDefault="00D667FC" w:rsidP="00D667FC">
      <w:pPr>
        <w:widowControl w:val="0"/>
        <w:spacing w:line="360" w:lineRule="auto"/>
        <w:jc w:val="both"/>
        <w:rPr>
          <w:rFonts w:ascii="David" w:hAnsi="David"/>
          <w:b/>
          <w:bCs/>
          <w:sz w:val="26"/>
          <w:szCs w:val="26"/>
          <w:rtl/>
        </w:rPr>
      </w:pPr>
      <w:r>
        <w:rPr>
          <w:rFonts w:ascii="David" w:hAnsi="David"/>
          <w:b/>
          <w:bCs/>
          <w:sz w:val="26"/>
          <w:szCs w:val="26"/>
          <w:rtl/>
        </w:rPr>
        <w:t>שיקולי שיקום וחריגה לקולה מהמתחם</w:t>
      </w:r>
    </w:p>
    <w:p w14:paraId="12316A9B" w14:textId="77777777" w:rsidR="00D667FC" w:rsidRDefault="003C0062" w:rsidP="00D667FC">
      <w:pPr>
        <w:pStyle w:val="gmail-msonospacing"/>
        <w:numPr>
          <w:ilvl w:val="0"/>
          <w:numId w:val="1"/>
        </w:numPr>
        <w:bidi/>
        <w:spacing w:before="0" w:beforeAutospacing="0" w:after="0" w:afterAutospacing="0" w:line="360" w:lineRule="auto"/>
        <w:ind w:left="360"/>
        <w:jc w:val="both"/>
        <w:rPr>
          <w:rFonts w:ascii="David" w:hAnsi="David" w:cs="David"/>
          <w:rtl/>
        </w:rPr>
      </w:pPr>
      <w:hyperlink r:id="rId45" w:history="1">
        <w:r w:rsidRPr="003C0062">
          <w:rPr>
            <w:rStyle w:val="Hyperlink"/>
            <w:rFonts w:ascii="David" w:hAnsi="David" w:cs="David"/>
            <w:rtl/>
          </w:rPr>
          <w:t>סעיף 40ד</w:t>
        </w:r>
      </w:hyperlink>
      <w:r w:rsidR="00D667FC">
        <w:rPr>
          <w:rFonts w:ascii="David" w:hAnsi="David" w:cs="David"/>
          <w:rtl/>
        </w:rPr>
        <w:t xml:space="preserve"> ל-</w:t>
      </w:r>
      <w:hyperlink r:id="rId46" w:history="1">
        <w:r w:rsidR="00632865" w:rsidRPr="00632865">
          <w:rPr>
            <w:rFonts w:ascii="Miriam" w:hAnsi="Miriam" w:cs="Miriam"/>
            <w:b/>
            <w:bCs/>
            <w:color w:val="0000FF"/>
            <w:sz w:val="22"/>
            <w:szCs w:val="22"/>
            <w:u w:val="single"/>
            <w:rtl/>
          </w:rPr>
          <w:t>חוק העונשין</w:t>
        </w:r>
      </w:hyperlink>
      <w:r w:rsidR="00D667FC">
        <w:rPr>
          <w:rFonts w:ascii="David" w:hAnsi="David" w:cs="David"/>
          <w:rtl/>
        </w:rPr>
        <w:t>, קובע כי אם בית המשפט "</w:t>
      </w:r>
      <w:r w:rsidR="00D667FC">
        <w:rPr>
          <w:rFonts w:ascii="David" w:hAnsi="David" w:cs="David"/>
          <w:b/>
          <w:bCs/>
          <w:rtl/>
        </w:rPr>
        <w:t>מצא כי הנאשם השתקם או כי יש סיכוי של ממש שישתקם, רשאי הוא לחרוג ממתחם העונש ההולם</w:t>
      </w:r>
      <w:r w:rsidR="00D667FC">
        <w:rPr>
          <w:rFonts w:ascii="David" w:hAnsi="David" w:cs="David"/>
          <w:rtl/>
        </w:rPr>
        <w:t>". ב-</w:t>
      </w:r>
      <w:hyperlink r:id="rId47" w:history="1">
        <w:r w:rsidR="00632865" w:rsidRPr="00632865">
          <w:rPr>
            <w:rFonts w:ascii="David" w:hAnsi="David" w:cs="David"/>
            <w:color w:val="0000FF"/>
            <w:u w:val="single"/>
            <w:rtl/>
          </w:rPr>
          <w:t>ע"פ 6637/17</w:t>
        </w:r>
      </w:hyperlink>
      <w:r w:rsidR="00D667FC">
        <w:rPr>
          <w:rFonts w:ascii="David" w:hAnsi="David" w:cs="David"/>
          <w:rtl/>
        </w:rPr>
        <w:t xml:space="preserve"> </w:t>
      </w:r>
      <w:r w:rsidR="00D667FC">
        <w:rPr>
          <w:rFonts w:ascii="Miriam" w:hAnsi="Miriam" w:cs="Miriam"/>
          <w:b/>
          <w:bCs/>
          <w:sz w:val="22"/>
          <w:szCs w:val="22"/>
          <w:rtl/>
        </w:rPr>
        <w:t>קרנדל נ' מדינת ישראל</w:t>
      </w:r>
      <w:r w:rsidR="00D667FC">
        <w:rPr>
          <w:rFonts w:ascii="David" w:hAnsi="David" w:cs="David"/>
          <w:rtl/>
        </w:rPr>
        <w:t xml:space="preserve"> (18.4.18) (להלן: </w:t>
      </w:r>
      <w:r w:rsidR="00D667FC">
        <w:rPr>
          <w:rFonts w:ascii="Miriam" w:hAnsi="Miriam" w:cs="Miriam"/>
          <w:b/>
          <w:bCs/>
          <w:sz w:val="22"/>
          <w:szCs w:val="22"/>
          <w:rtl/>
        </w:rPr>
        <w:t>עניין קרנדל</w:t>
      </w:r>
      <w:r w:rsidR="00D667FC">
        <w:rPr>
          <w:rFonts w:ascii="David" w:hAnsi="David" w:cs="David"/>
          <w:rtl/>
        </w:rPr>
        <w:t xml:space="preserve">), אליו הפנה ב"כ הנאשם, קבעה כב' הש' ברק ארז כללים לגבי אופן יישום </w:t>
      </w:r>
      <w:hyperlink r:id="rId48" w:history="1">
        <w:r w:rsidRPr="003C0062">
          <w:rPr>
            <w:rStyle w:val="Hyperlink"/>
            <w:rFonts w:ascii="David" w:hAnsi="David" w:cs="David"/>
            <w:rtl/>
          </w:rPr>
          <w:t>סעיף 40ד(א)</w:t>
        </w:r>
      </w:hyperlink>
      <w:r w:rsidR="00D667FC">
        <w:rPr>
          <w:rFonts w:ascii="David" w:hAnsi="David" w:cs="David"/>
          <w:rtl/>
        </w:rPr>
        <w:t xml:space="preserve"> ל-</w:t>
      </w:r>
      <w:hyperlink r:id="rId49" w:history="1">
        <w:r w:rsidR="00632865" w:rsidRPr="00632865">
          <w:rPr>
            <w:rFonts w:ascii="Miriam" w:hAnsi="Miriam" w:cs="Miriam"/>
            <w:b/>
            <w:bCs/>
            <w:color w:val="0000FF"/>
            <w:sz w:val="22"/>
            <w:szCs w:val="22"/>
            <w:u w:val="single"/>
            <w:rtl/>
          </w:rPr>
          <w:t>חוק העונשין</w:t>
        </w:r>
      </w:hyperlink>
      <w:r w:rsidR="00D667FC">
        <w:rPr>
          <w:rFonts w:ascii="David" w:hAnsi="David" w:cs="David"/>
          <w:rtl/>
        </w:rPr>
        <w:t>, אותו "</w:t>
      </w:r>
      <w:r w:rsidR="00D667FC">
        <w:rPr>
          <w:rFonts w:ascii="David" w:hAnsi="David" w:cs="David"/>
          <w:b/>
          <w:bCs/>
          <w:rtl/>
        </w:rPr>
        <w:t>יש ליישם בזהירות</w:t>
      </w:r>
      <w:r w:rsidR="00D667FC">
        <w:rPr>
          <w:rFonts w:ascii="David" w:hAnsi="David" w:cs="David"/>
          <w:rtl/>
        </w:rPr>
        <w:t>", אולם "</w:t>
      </w:r>
      <w:r w:rsidR="00D667FC">
        <w:rPr>
          <w:rFonts w:ascii="David" w:hAnsi="David" w:cs="David"/>
          <w:b/>
          <w:bCs/>
          <w:rtl/>
        </w:rPr>
        <w:t>עם זאת, יש לתת לו משמעות מעשית</w:t>
      </w:r>
      <w:r w:rsidR="00D667FC">
        <w:rPr>
          <w:rFonts w:ascii="David" w:hAnsi="David" w:cs="David"/>
          <w:rtl/>
        </w:rPr>
        <w:t>". זאת ועוד, נקבע כי שיקולי ההלימה "</w:t>
      </w:r>
      <w:r w:rsidR="00D667FC">
        <w:rPr>
          <w:rFonts w:ascii="David" w:hAnsi="David" w:cs="David"/>
          <w:b/>
          <w:bCs/>
          <w:rtl/>
        </w:rPr>
        <w:t>לא מתפוגגים מאליהם</w:t>
      </w:r>
      <w:r w:rsidR="00D667FC">
        <w:rPr>
          <w:rFonts w:ascii="David" w:hAnsi="David" w:cs="David"/>
          <w:rtl/>
        </w:rPr>
        <w:t xml:space="preserve">... </w:t>
      </w:r>
      <w:r w:rsidR="00D667FC">
        <w:rPr>
          <w:rFonts w:ascii="David" w:hAnsi="David" w:cs="David"/>
          <w:b/>
          <w:bCs/>
          <w:rtl/>
        </w:rPr>
        <w:t>גם כאשר חלים שיקולי השיקום</w:t>
      </w:r>
      <w:r w:rsidR="00D667FC">
        <w:rPr>
          <w:rFonts w:ascii="David" w:hAnsi="David" w:cs="David"/>
          <w:rtl/>
        </w:rPr>
        <w:t>...", אך לצד זאת "</w:t>
      </w:r>
      <w:r w:rsidR="00D667FC">
        <w:rPr>
          <w:rFonts w:ascii="David" w:hAnsi="David" w:cs="David"/>
          <w:b/>
          <w:bCs/>
          <w:rtl/>
        </w:rPr>
        <w:t>יש להקפיד על כך שהבחירה בעונש לא תפגע באופן ממשי בסיכויי השיקום</w:t>
      </w:r>
      <w:r w:rsidR="00D667FC">
        <w:rPr>
          <w:rFonts w:ascii="David" w:hAnsi="David" w:cs="David"/>
          <w:rtl/>
        </w:rPr>
        <w:t>..." (סעיף 22 ל-</w:t>
      </w:r>
      <w:r w:rsidR="00D667FC">
        <w:rPr>
          <w:rFonts w:ascii="Miriam" w:hAnsi="Miriam" w:cs="Miriam"/>
          <w:b/>
          <w:bCs/>
          <w:sz w:val="22"/>
          <w:szCs w:val="22"/>
          <w:rtl/>
        </w:rPr>
        <w:t>ענין קרנדל</w:t>
      </w:r>
      <w:r w:rsidR="00D667FC">
        <w:rPr>
          <w:rFonts w:ascii="David" w:hAnsi="David" w:cs="David"/>
          <w:rtl/>
        </w:rPr>
        <w:t xml:space="preserve">). עוד נקבע כי על מנת לעמוד בתנאי </w:t>
      </w:r>
      <w:hyperlink r:id="rId50" w:history="1">
        <w:r w:rsidRPr="003C0062">
          <w:rPr>
            <w:rStyle w:val="Hyperlink"/>
            <w:rFonts w:ascii="David" w:hAnsi="David" w:cs="David"/>
            <w:rtl/>
          </w:rPr>
          <w:t>סעיף 40ד(א)</w:t>
        </w:r>
      </w:hyperlink>
      <w:r w:rsidR="00D667FC">
        <w:rPr>
          <w:rFonts w:ascii="David" w:hAnsi="David" w:cs="David"/>
          <w:rtl/>
        </w:rPr>
        <w:t xml:space="preserve"> ל-</w:t>
      </w:r>
      <w:hyperlink r:id="rId51" w:history="1">
        <w:r w:rsidR="00632865" w:rsidRPr="00632865">
          <w:rPr>
            <w:rFonts w:ascii="Miriam" w:hAnsi="Miriam" w:cs="Miriam"/>
            <w:b/>
            <w:bCs/>
            <w:color w:val="0000FF"/>
            <w:sz w:val="22"/>
            <w:szCs w:val="22"/>
            <w:u w:val="single"/>
            <w:rtl/>
          </w:rPr>
          <w:t>חוק העונשין</w:t>
        </w:r>
      </w:hyperlink>
      <w:r w:rsidR="00D667FC">
        <w:rPr>
          <w:rFonts w:ascii="David" w:hAnsi="David" w:cs="David"/>
          <w:rtl/>
        </w:rPr>
        <w:t>, על הנאשם להביא "</w:t>
      </w:r>
      <w:r w:rsidR="00D667FC">
        <w:rPr>
          <w:rFonts w:ascii="David" w:hAnsi="David" w:cs="David"/>
          <w:b/>
          <w:bCs/>
          <w:rtl/>
        </w:rPr>
        <w:t>עובדות וראיות לסיכויי השיקום, להבדיל מטענות בעלמא</w:t>
      </w:r>
      <w:r w:rsidR="00D667FC">
        <w:rPr>
          <w:rFonts w:ascii="David" w:hAnsi="David" w:cs="David"/>
          <w:rtl/>
        </w:rPr>
        <w:t>...". אלו ניתן להוכיח באמצעים שונים "...</w:t>
      </w:r>
      <w:r w:rsidR="00D667FC">
        <w:rPr>
          <w:rFonts w:ascii="David" w:hAnsi="David" w:cs="David"/>
          <w:b/>
          <w:bCs/>
          <w:rtl/>
        </w:rPr>
        <w:t>ובראשם התסקיר של שירות המבחן</w:t>
      </w:r>
      <w:r w:rsidR="00D667FC">
        <w:rPr>
          <w:rFonts w:ascii="David" w:hAnsi="David" w:cs="David"/>
          <w:rtl/>
        </w:rPr>
        <w:t>" (סעיף 23 ל-</w:t>
      </w:r>
      <w:r w:rsidR="00D667FC">
        <w:rPr>
          <w:rFonts w:ascii="Miriam" w:hAnsi="Miriam" w:cs="Miriam"/>
          <w:b/>
          <w:bCs/>
          <w:sz w:val="22"/>
          <w:szCs w:val="22"/>
          <w:rtl/>
        </w:rPr>
        <w:t>ענין קרנדל</w:t>
      </w:r>
      <w:r w:rsidR="00D667FC">
        <w:rPr>
          <w:rFonts w:ascii="David" w:hAnsi="David" w:cs="David"/>
          <w:rtl/>
        </w:rPr>
        <w:t>). אמנם בפסיקה לא ניתנה תשובה כוללת לשאלה באילו נסיבות יכיר בית המשפט בקיום "</w:t>
      </w:r>
      <w:r w:rsidR="00D667FC">
        <w:rPr>
          <w:rFonts w:ascii="David" w:hAnsi="David" w:cs="David"/>
          <w:b/>
          <w:bCs/>
          <w:rtl/>
        </w:rPr>
        <w:t>סיכוי של ממש שישתקם</w:t>
      </w:r>
      <w:r w:rsidR="00D667FC">
        <w:rPr>
          <w:rFonts w:ascii="David" w:hAnsi="David" w:cs="David"/>
          <w:rtl/>
        </w:rPr>
        <w:t>" – אך קיימים שיקולים שבכוחם ללמד על קיומו של סיכוי זה. הודגש כי לא מדובר ברשימה ממצה של השיקולים וכי לא די בקיום שיקול זה או אחר כדי להצדיק חריגה מהמתחם, שכן לרוב שיקולים אלו מובאים במסגרת קביעת העונש בתוך המתחם (סעיפים 24 ו-25 ל-</w:t>
      </w:r>
      <w:r w:rsidR="00D667FC">
        <w:rPr>
          <w:rFonts w:ascii="Miriam" w:hAnsi="Miriam" w:cs="Miriam"/>
          <w:b/>
          <w:bCs/>
          <w:sz w:val="22"/>
          <w:szCs w:val="22"/>
          <w:rtl/>
        </w:rPr>
        <w:t>ענין קרנדל</w:t>
      </w:r>
      <w:r w:rsidR="00D667FC">
        <w:rPr>
          <w:rFonts w:ascii="David" w:hAnsi="David" w:cs="David"/>
          <w:rtl/>
        </w:rPr>
        <w:t>). השיקולים שנמנו</w:t>
      </w:r>
      <w:r w:rsidR="00D667FC">
        <w:rPr>
          <w:rFonts w:ascii="David" w:hAnsi="David" w:cs="David"/>
          <w:sz w:val="22"/>
          <w:szCs w:val="22"/>
          <w:rtl/>
        </w:rPr>
        <w:t xml:space="preserve"> – </w:t>
      </w:r>
    </w:p>
    <w:p w14:paraId="0CD370FD" w14:textId="77777777" w:rsidR="00D667FC" w:rsidRDefault="00D667FC" w:rsidP="00D667FC">
      <w:pPr>
        <w:pStyle w:val="aa"/>
        <w:numPr>
          <w:ilvl w:val="1"/>
          <w:numId w:val="2"/>
        </w:numPr>
        <w:spacing w:line="360" w:lineRule="auto"/>
        <w:ind w:left="851" w:hanging="397"/>
        <w:jc w:val="both"/>
      </w:pPr>
      <w:r>
        <w:rPr>
          <w:rFonts w:hint="cs"/>
          <w:b/>
          <w:bCs/>
          <w:rtl/>
        </w:rPr>
        <w:t>אין הגבלה לעבירות קלות בלבד</w:t>
      </w:r>
      <w:r>
        <w:rPr>
          <w:rFonts w:hint="cs"/>
          <w:rtl/>
        </w:rPr>
        <w:t>;</w:t>
      </w:r>
    </w:p>
    <w:p w14:paraId="26A241A0" w14:textId="77777777" w:rsidR="00D667FC" w:rsidRDefault="00D667FC" w:rsidP="00D667FC">
      <w:pPr>
        <w:pStyle w:val="aa"/>
        <w:numPr>
          <w:ilvl w:val="1"/>
          <w:numId w:val="2"/>
        </w:numPr>
        <w:spacing w:line="360" w:lineRule="auto"/>
        <w:ind w:left="851" w:hanging="397"/>
        <w:jc w:val="both"/>
        <w:rPr>
          <w:sz w:val="24"/>
        </w:rPr>
      </w:pPr>
      <w:r>
        <w:rPr>
          <w:rFonts w:hint="cs"/>
          <w:b/>
          <w:bCs/>
          <w:rtl/>
        </w:rPr>
        <w:t>המוטיבציה להשתקם</w:t>
      </w:r>
      <w:r>
        <w:rPr>
          <w:rFonts w:hint="cs"/>
          <w:sz w:val="24"/>
          <w:rtl/>
        </w:rPr>
        <w:t>;</w:t>
      </w:r>
    </w:p>
    <w:p w14:paraId="39BC54F1" w14:textId="77777777" w:rsidR="00D667FC" w:rsidRDefault="00D667FC" w:rsidP="00D667FC">
      <w:pPr>
        <w:pStyle w:val="aa"/>
        <w:numPr>
          <w:ilvl w:val="1"/>
          <w:numId w:val="2"/>
        </w:numPr>
        <w:spacing w:line="360" w:lineRule="auto"/>
        <w:ind w:left="851" w:hanging="397"/>
        <w:jc w:val="both"/>
        <w:rPr>
          <w:sz w:val="24"/>
          <w:rtl/>
        </w:rPr>
      </w:pPr>
      <w:r>
        <w:rPr>
          <w:rFonts w:hint="cs"/>
          <w:b/>
          <w:bCs/>
          <w:rtl/>
        </w:rPr>
        <w:t>הליך גמילה מהתמכרות</w:t>
      </w:r>
      <w:r>
        <w:rPr>
          <w:rFonts w:hint="cs"/>
          <w:rtl/>
        </w:rPr>
        <w:t>;</w:t>
      </w:r>
    </w:p>
    <w:p w14:paraId="091375C6" w14:textId="77777777" w:rsidR="00D667FC" w:rsidRDefault="00D667FC" w:rsidP="00D667FC">
      <w:pPr>
        <w:pStyle w:val="aa"/>
        <w:numPr>
          <w:ilvl w:val="1"/>
          <w:numId w:val="2"/>
        </w:numPr>
        <w:spacing w:line="360" w:lineRule="auto"/>
        <w:ind w:left="851" w:hanging="397"/>
        <w:jc w:val="both"/>
        <w:rPr>
          <w:sz w:val="24"/>
        </w:rPr>
      </w:pPr>
      <w:r>
        <w:rPr>
          <w:rFonts w:hint="cs"/>
          <w:b/>
          <w:bCs/>
          <w:rtl/>
        </w:rPr>
        <w:t>השתלבות מוצלחת בהליכים טיפוליים שונים</w:t>
      </w:r>
      <w:r>
        <w:rPr>
          <w:rFonts w:hint="cs"/>
          <w:rtl/>
        </w:rPr>
        <w:t>;</w:t>
      </w:r>
    </w:p>
    <w:p w14:paraId="4A99E6B3" w14:textId="77777777" w:rsidR="00D667FC" w:rsidRDefault="00D667FC" w:rsidP="00D667FC">
      <w:pPr>
        <w:pStyle w:val="aa"/>
        <w:numPr>
          <w:ilvl w:val="1"/>
          <w:numId w:val="2"/>
        </w:numPr>
        <w:spacing w:line="360" w:lineRule="auto"/>
        <w:ind w:left="851" w:hanging="397"/>
        <w:jc w:val="both"/>
        <w:rPr>
          <w:sz w:val="24"/>
        </w:rPr>
      </w:pPr>
      <w:r>
        <w:rPr>
          <w:rFonts w:hint="cs"/>
          <w:b/>
          <w:bCs/>
          <w:rtl/>
        </w:rPr>
        <w:t>אינדיקציות לשינוי עמוק בהתנהגות ובדרך החשיבה</w:t>
      </w:r>
      <w:r>
        <w:rPr>
          <w:rFonts w:hint="cs"/>
          <w:rtl/>
        </w:rPr>
        <w:t>;</w:t>
      </w:r>
    </w:p>
    <w:p w14:paraId="0D343C98" w14:textId="77777777" w:rsidR="00D667FC" w:rsidRDefault="00D667FC" w:rsidP="00D667FC">
      <w:pPr>
        <w:pStyle w:val="aa"/>
        <w:numPr>
          <w:ilvl w:val="1"/>
          <w:numId w:val="2"/>
        </w:numPr>
        <w:spacing w:line="360" w:lineRule="auto"/>
        <w:ind w:left="851" w:hanging="397"/>
        <w:jc w:val="both"/>
        <w:rPr>
          <w:sz w:val="24"/>
        </w:rPr>
      </w:pPr>
      <w:r>
        <w:rPr>
          <w:rFonts w:hint="cs"/>
          <w:b/>
          <w:bCs/>
          <w:rtl/>
        </w:rPr>
        <w:t>הבעת חרטה כנה על המעשים</w:t>
      </w:r>
      <w:r>
        <w:rPr>
          <w:rFonts w:hint="cs"/>
          <w:sz w:val="24"/>
          <w:rtl/>
        </w:rPr>
        <w:t>;</w:t>
      </w:r>
    </w:p>
    <w:p w14:paraId="28054559" w14:textId="77777777" w:rsidR="00D667FC" w:rsidRDefault="00D667FC" w:rsidP="00D667FC">
      <w:pPr>
        <w:pStyle w:val="aa"/>
        <w:numPr>
          <w:ilvl w:val="1"/>
          <w:numId w:val="2"/>
        </w:numPr>
        <w:spacing w:line="360" w:lineRule="auto"/>
        <w:ind w:left="851" w:hanging="397"/>
        <w:jc w:val="both"/>
        <w:rPr>
          <w:sz w:val="24"/>
        </w:rPr>
      </w:pPr>
      <w:r>
        <w:rPr>
          <w:rFonts w:hint="cs"/>
          <w:b/>
          <w:bCs/>
          <w:rtl/>
        </w:rPr>
        <w:t>הפגנת אמפתיה כלפי נפגעי העבירה</w:t>
      </w:r>
      <w:r>
        <w:rPr>
          <w:rFonts w:hint="cs"/>
          <w:rtl/>
        </w:rPr>
        <w:t>.</w:t>
      </w:r>
    </w:p>
    <w:p w14:paraId="6D422EA9" w14:textId="77777777" w:rsidR="00D667FC" w:rsidRDefault="00D667FC" w:rsidP="00D667FC">
      <w:pPr>
        <w:widowControl w:val="0"/>
        <w:spacing w:line="360" w:lineRule="auto"/>
        <w:jc w:val="both"/>
      </w:pPr>
    </w:p>
    <w:p w14:paraId="1F05069A" w14:textId="77777777" w:rsidR="00D667FC" w:rsidRDefault="00D667FC" w:rsidP="00D667FC">
      <w:pPr>
        <w:pStyle w:val="aa"/>
        <w:widowControl w:val="0"/>
        <w:numPr>
          <w:ilvl w:val="0"/>
          <w:numId w:val="1"/>
        </w:numPr>
        <w:spacing w:line="360" w:lineRule="auto"/>
        <w:ind w:left="360"/>
        <w:jc w:val="both"/>
        <w:rPr>
          <w:rFonts w:ascii="Times New Roman" w:hAnsi="Times New Roman"/>
          <w:sz w:val="24"/>
        </w:rPr>
      </w:pPr>
      <w:r>
        <w:rPr>
          <w:rFonts w:ascii="Miriam" w:hAnsi="Miriam" w:cs="Miriam"/>
          <w:b/>
          <w:bCs/>
          <w:szCs w:val="22"/>
          <w:rtl/>
        </w:rPr>
        <w:t xml:space="preserve">ענין קרנדל </w:t>
      </w:r>
      <w:r>
        <w:rPr>
          <w:rFonts w:hint="cs"/>
          <w:rtl/>
        </w:rPr>
        <w:t>שונה מענייננו הן מבחינת העבירות בהן הורשעה ונסיבות ביצוען והן מבחינת נסיבותיה האישיות. ב-</w:t>
      </w:r>
      <w:r>
        <w:rPr>
          <w:rFonts w:ascii="Miriam" w:hAnsi="Miriam" w:cs="Miriam"/>
          <w:b/>
          <w:bCs/>
          <w:szCs w:val="22"/>
          <w:rtl/>
        </w:rPr>
        <w:t xml:space="preserve">ענין קרנדל </w:t>
      </w:r>
      <w:r>
        <w:rPr>
          <w:rFonts w:hint="cs"/>
          <w:rtl/>
        </w:rPr>
        <w:t>מדובר היה במי שהורשעה בקשירת קשר לפשע, סיוע לחטיפה, סיוע לתקיפה הגורמת חבלה של ממש ושיבוש מהלכי משפט. נקבע מתחם 12–36 חודשי מאסר בפועל. מדובר היה במי שפיתתה את הקורבן להיפגש עמה, לאחר שידול של אחר, שציין בפניה כי בכוונתו לתקוף אותו על רקע סכסוך ביניהם. במפגש, האחר דקר את הקורבן בחזהו – דקירה שהובילה בסופו של דבר למותו. נקבע כי מתסקירי שירות המבחן עלה שהמערערת עברה תהליך שיקום עקבי ומשמעותי ושירות המבחן התייחס למאמצים הכבירים להתפתחות אישית, לגביהם נקבע כי הם מהווים "</w:t>
      </w:r>
      <w:r>
        <w:rPr>
          <w:rFonts w:hint="cs"/>
          <w:b/>
          <w:bCs/>
          <w:rtl/>
        </w:rPr>
        <w:t>נסיבות מיוחדות ויוצאות דופן</w:t>
      </w:r>
      <w:r>
        <w:rPr>
          <w:rFonts w:hint="cs"/>
          <w:rtl/>
        </w:rPr>
        <w:t>". בקבלה הערעור, קבעה כב' הש' ברק ארז כי "</w:t>
      </w:r>
      <w:r>
        <w:rPr>
          <w:rFonts w:hint="cs"/>
          <w:b/>
          <w:bCs/>
          <w:rtl/>
        </w:rPr>
        <w:t>קיימת סכנה של ממש שריצוי של עונש מאסר בפועל ייחבל בהמשך התהליך החיובי שעוברת המערערת</w:t>
      </w:r>
      <w:r>
        <w:rPr>
          <w:rFonts w:hint="cs"/>
          <w:rtl/>
        </w:rPr>
        <w:t>" ולכן בהינתן קיום שיקולי שיקום מובהקים – "</w:t>
      </w:r>
      <w:r>
        <w:rPr>
          <w:rFonts w:hint="cs"/>
          <w:b/>
          <w:bCs/>
          <w:rtl/>
        </w:rPr>
        <w:t>יש להקל בעונשה של המערערת מטעמי שיקום</w:t>
      </w:r>
      <w:r>
        <w:rPr>
          <w:rFonts w:hint="cs"/>
          <w:rtl/>
        </w:rPr>
        <w:t>" (סעיפים 28–29 לפסק דינה של כב' הש' ברק-ארז ופסק דינו של כב' מ"מ הנשיא הש' פוגלמן ב-</w:t>
      </w:r>
      <w:r>
        <w:rPr>
          <w:rFonts w:ascii="Miriam" w:hAnsi="Miriam" w:cs="Miriam"/>
          <w:b/>
          <w:bCs/>
          <w:szCs w:val="22"/>
          <w:rtl/>
        </w:rPr>
        <w:t>ענין קרנדל</w:t>
      </w:r>
      <w:r>
        <w:rPr>
          <w:rFonts w:hint="cs"/>
          <w:rtl/>
        </w:rPr>
        <w:t xml:space="preserve">). לפיכך, הושתו 6 חודשי מאסר בפועל, לריצוי בעבודות שירות, מבלי לנכות כ-4 חודשי מעצר וצו מבחן לשנה וחצי – זאת חלף 15 חודשי מאסר בפועל, לצד ענישה נלווית. כב' מ"מ הנשיא הש' פוגלמן הצטרף לפסק דינה של כב' הש' ברק-ארז ואילו כב' הש' אלרון חלק על המסקנה שהמערערת עונה על דרישות </w:t>
      </w:r>
      <w:hyperlink r:id="rId52" w:history="1">
        <w:r w:rsidR="003C0062" w:rsidRPr="003C0062">
          <w:rPr>
            <w:rStyle w:val="Hyperlink"/>
            <w:rFonts w:hint="eastAsia"/>
            <w:rtl/>
          </w:rPr>
          <w:t>סעיף</w:t>
        </w:r>
        <w:r w:rsidR="003C0062" w:rsidRPr="003C0062">
          <w:rPr>
            <w:rStyle w:val="Hyperlink"/>
            <w:rtl/>
          </w:rPr>
          <w:t xml:space="preserve"> 40א</w:t>
        </w:r>
      </w:hyperlink>
      <w:r>
        <w:rPr>
          <w:rFonts w:hint="cs"/>
          <w:rtl/>
        </w:rPr>
        <w:t xml:space="preserve"> ל-</w:t>
      </w:r>
      <w:hyperlink r:id="rId53" w:history="1">
        <w:r w:rsidR="00632865" w:rsidRPr="00632865">
          <w:rPr>
            <w:rFonts w:ascii="Miriam" w:hAnsi="Miriam" w:cs="Miriam"/>
            <w:b/>
            <w:bCs/>
            <w:color w:val="0000FF"/>
            <w:szCs w:val="22"/>
            <w:u w:val="single"/>
            <w:rtl/>
          </w:rPr>
          <w:t>חוק העונשין</w:t>
        </w:r>
      </w:hyperlink>
      <w:r>
        <w:rPr>
          <w:rFonts w:ascii="Miriam" w:hAnsi="Miriam" w:cs="Miriam"/>
          <w:b/>
          <w:bCs/>
          <w:szCs w:val="22"/>
          <w:rtl/>
        </w:rPr>
        <w:t>.</w:t>
      </w:r>
    </w:p>
    <w:p w14:paraId="1EDB0981" w14:textId="77777777" w:rsidR="00D667FC" w:rsidRDefault="00D667FC" w:rsidP="00D667FC">
      <w:pPr>
        <w:widowControl w:val="0"/>
        <w:spacing w:line="360" w:lineRule="auto"/>
        <w:jc w:val="both"/>
      </w:pPr>
    </w:p>
    <w:p w14:paraId="54085F3F" w14:textId="77777777" w:rsidR="00D667FC" w:rsidRDefault="00D667FC" w:rsidP="00D667FC">
      <w:pPr>
        <w:widowControl w:val="0"/>
        <w:spacing w:line="360" w:lineRule="auto"/>
        <w:jc w:val="both"/>
        <w:rPr>
          <w:rFonts w:ascii="David" w:hAnsi="David"/>
          <w:b/>
          <w:bCs/>
          <w:sz w:val="26"/>
          <w:szCs w:val="26"/>
          <w:rtl/>
        </w:rPr>
      </w:pPr>
      <w:r>
        <w:rPr>
          <w:rFonts w:ascii="David" w:hAnsi="David"/>
          <w:b/>
          <w:bCs/>
          <w:sz w:val="26"/>
          <w:szCs w:val="26"/>
          <w:rtl/>
        </w:rPr>
        <w:t>סוף דבר</w:t>
      </w:r>
    </w:p>
    <w:p w14:paraId="603AD55E" w14:textId="77777777" w:rsidR="00D667FC" w:rsidRDefault="00D667FC" w:rsidP="00D667FC">
      <w:pPr>
        <w:pStyle w:val="aa"/>
        <w:widowControl w:val="0"/>
        <w:numPr>
          <w:ilvl w:val="0"/>
          <w:numId w:val="1"/>
        </w:numPr>
        <w:spacing w:line="360" w:lineRule="auto"/>
        <w:ind w:left="360"/>
        <w:jc w:val="both"/>
        <w:rPr>
          <w:rFonts w:ascii="Times New Roman" w:hAnsi="Times New Roman"/>
          <w:sz w:val="24"/>
          <w:rtl/>
        </w:rPr>
      </w:pPr>
      <w:r>
        <w:rPr>
          <w:rFonts w:ascii="Times New Roman" w:hAnsi="Times New Roman" w:hint="cs"/>
          <w:sz w:val="24"/>
          <w:rtl/>
        </w:rPr>
        <w:t xml:space="preserve">עולה מן המקובץ כי הנאשם עונה על דרישת </w:t>
      </w:r>
      <w:hyperlink r:id="rId54" w:history="1">
        <w:r w:rsidR="003C0062" w:rsidRPr="003C0062">
          <w:rPr>
            <w:rStyle w:val="Hyperlink"/>
            <w:rFonts w:hint="eastAsia"/>
            <w:rtl/>
          </w:rPr>
          <w:t>סעיף</w:t>
        </w:r>
        <w:r w:rsidR="003C0062" w:rsidRPr="003C0062">
          <w:rPr>
            <w:rStyle w:val="Hyperlink"/>
            <w:rtl/>
          </w:rPr>
          <w:t xml:space="preserve">  40א</w:t>
        </w:r>
      </w:hyperlink>
      <w:r>
        <w:rPr>
          <w:rFonts w:hint="cs"/>
          <w:rtl/>
        </w:rPr>
        <w:t xml:space="preserve"> ל-</w:t>
      </w:r>
      <w:hyperlink r:id="rId55" w:history="1">
        <w:r w:rsidR="00632865" w:rsidRPr="00632865">
          <w:rPr>
            <w:rFonts w:ascii="Miriam" w:hAnsi="Miriam" w:cs="Miriam"/>
            <w:b/>
            <w:bCs/>
            <w:color w:val="0000FF"/>
            <w:szCs w:val="22"/>
            <w:u w:val="single"/>
            <w:rtl/>
          </w:rPr>
          <w:t>חוק העונשין</w:t>
        </w:r>
      </w:hyperlink>
      <w:r>
        <w:rPr>
          <w:rFonts w:ascii="Times New Roman" w:hAnsi="Times New Roman" w:hint="cs"/>
          <w:sz w:val="24"/>
          <w:rtl/>
        </w:rPr>
        <w:t xml:space="preserve"> </w:t>
      </w:r>
      <w:r>
        <w:rPr>
          <w:rFonts w:hint="cs"/>
          <w:rtl/>
        </w:rPr>
        <w:t>שכן התרשמות גורמי הטיפול "</w:t>
      </w:r>
      <w:r>
        <w:rPr>
          <w:rFonts w:hint="cs"/>
          <w:b/>
          <w:bCs/>
          <w:rtl/>
        </w:rPr>
        <w:t>כי יש סיכוי של ממש שישתקם</w:t>
      </w:r>
      <w:r>
        <w:rPr>
          <w:rFonts w:hint="cs"/>
          <w:rtl/>
        </w:rPr>
        <w:t>", מבוססת על נתונים משמעותיים</w:t>
      </w:r>
      <w:r>
        <w:rPr>
          <w:rFonts w:ascii="Times New Roman" w:hAnsi="Times New Roman" w:hint="cs"/>
          <w:sz w:val="24"/>
          <w:rtl/>
        </w:rPr>
        <w:t xml:space="preserve">. הנאשם </w:t>
      </w:r>
      <w:r>
        <w:rPr>
          <w:rFonts w:hint="cs"/>
          <w:rtl/>
        </w:rPr>
        <w:t>עומד בתנאי הכפול שנקבע בסעיף 25 לפסק דינה של כב' הש' ברק-ארז ב-</w:t>
      </w:r>
      <w:r>
        <w:rPr>
          <w:rFonts w:ascii="Miriam" w:hAnsi="Miriam" w:cs="Miriam"/>
          <w:b/>
          <w:bCs/>
          <w:szCs w:val="22"/>
          <w:rtl/>
        </w:rPr>
        <w:t>ענין קרנדל</w:t>
      </w:r>
      <w:r>
        <w:rPr>
          <w:rFonts w:hint="cs"/>
          <w:rtl/>
        </w:rPr>
        <w:t xml:space="preserve"> (ההדגשות במקור – זד"ל) –</w:t>
      </w:r>
    </w:p>
    <w:p w14:paraId="4C185D0D" w14:textId="77777777" w:rsidR="00D667FC" w:rsidRDefault="00D667FC" w:rsidP="00D667FC">
      <w:pPr>
        <w:pStyle w:val="gmail-msonospacing"/>
        <w:bidi/>
        <w:spacing w:before="0" w:beforeAutospacing="0" w:after="0" w:afterAutospacing="0"/>
        <w:ind w:left="1360" w:right="1134"/>
        <w:jc w:val="both"/>
        <w:rPr>
          <w:rFonts w:ascii="David" w:hAnsi="David" w:cs="David"/>
          <w:b/>
          <w:bCs/>
        </w:rPr>
      </w:pPr>
      <w:r>
        <w:rPr>
          <w:rFonts w:ascii="David" w:hAnsi="David" w:cs="David"/>
          <w:rtl/>
        </w:rPr>
        <w:t>"...</w:t>
      </w:r>
      <w:r>
        <w:rPr>
          <w:rFonts w:ascii="David" w:hAnsi="David" w:cs="David"/>
          <w:b/>
          <w:bCs/>
          <w:rtl/>
        </w:rPr>
        <w:t xml:space="preserve">שילוב בין </w:t>
      </w:r>
      <w:r>
        <w:rPr>
          <w:rFonts w:ascii="Miriam" w:hAnsi="Miriam" w:cs="Miriam"/>
          <w:rtl/>
        </w:rPr>
        <w:t>שינוי מהותי בהתייחסות הרגשית</w:t>
      </w:r>
      <w:r>
        <w:rPr>
          <w:rFonts w:ascii="David" w:hAnsi="David" w:cs="David"/>
          <w:b/>
          <w:bCs/>
          <w:rtl/>
        </w:rPr>
        <w:t xml:space="preserve"> לאירוע העבירה המתבטא בנטילת אחריות, כפרה והבעת אמפתיה לנפגעי העבירה לבין </w:t>
      </w:r>
      <w:r>
        <w:rPr>
          <w:rFonts w:ascii="Miriam" w:hAnsi="Miriam" w:cs="Miriam"/>
          <w:rtl/>
        </w:rPr>
        <w:t>אינדיקציות אובייקטיביות לקיומו של תהליך שיקומי-טיפולי מוצלח</w:t>
      </w:r>
      <w:r>
        <w:rPr>
          <w:rFonts w:ascii="David" w:hAnsi="David" w:cs="David"/>
          <w:b/>
          <w:bCs/>
          <w:rtl/>
        </w:rPr>
        <w:t xml:space="preserve"> וחזרה לדרך הישר, עשוי להצביע על 'סיכוי של ממש לשיקום' כלשונו של סעיף 40ד(א). דברים אלה זוכים למשנה חיזוק מקום בו מדובר באדם צעיר נעדר עבר פלילי</w:t>
      </w:r>
      <w:r>
        <w:rPr>
          <w:rFonts w:ascii="David" w:hAnsi="David" w:cs="David"/>
          <w:rtl/>
        </w:rPr>
        <w:t>..."</w:t>
      </w:r>
      <w:r>
        <w:rPr>
          <w:rFonts w:ascii="David" w:hAnsi="David" w:cs="David"/>
          <w:b/>
          <w:bCs/>
          <w:rtl/>
        </w:rPr>
        <w:t xml:space="preserve"> </w:t>
      </w:r>
    </w:p>
    <w:p w14:paraId="5DB696C2" w14:textId="77777777" w:rsidR="00D667FC" w:rsidRDefault="00D667FC" w:rsidP="00D667FC">
      <w:pPr>
        <w:widowControl w:val="0"/>
        <w:spacing w:line="360" w:lineRule="auto"/>
        <w:jc w:val="both"/>
        <w:rPr>
          <w:rtl/>
        </w:rPr>
      </w:pPr>
    </w:p>
    <w:p w14:paraId="40C284EA" w14:textId="77777777" w:rsidR="00D667FC" w:rsidRDefault="00D667FC" w:rsidP="00D667FC">
      <w:pPr>
        <w:pStyle w:val="aa"/>
        <w:widowControl w:val="0"/>
        <w:numPr>
          <w:ilvl w:val="0"/>
          <w:numId w:val="1"/>
        </w:numPr>
        <w:spacing w:line="360" w:lineRule="auto"/>
        <w:ind w:left="360"/>
        <w:jc w:val="both"/>
        <w:rPr>
          <w:rFonts w:ascii="Times New Roman" w:hAnsi="Times New Roman"/>
          <w:sz w:val="24"/>
        </w:rPr>
      </w:pPr>
      <w:r>
        <w:rPr>
          <w:rFonts w:hint="cs"/>
          <w:sz w:val="24"/>
          <w:rtl/>
        </w:rPr>
        <w:t xml:space="preserve">אשר על כן, בעניינו של הנאשם מצאתי מקום לחרוג ממתחם העונש ההולם בשל שיקולי שיקום בהתאם </w:t>
      </w:r>
      <w:hyperlink r:id="rId56" w:history="1">
        <w:r w:rsidR="003C0062" w:rsidRPr="003C0062">
          <w:rPr>
            <w:rStyle w:val="Hyperlink"/>
            <w:rFonts w:hint="eastAsia"/>
            <w:sz w:val="24"/>
            <w:rtl/>
          </w:rPr>
          <w:t>לסעיף</w:t>
        </w:r>
        <w:r w:rsidR="003C0062" w:rsidRPr="003C0062">
          <w:rPr>
            <w:rStyle w:val="Hyperlink"/>
            <w:sz w:val="24"/>
            <w:rtl/>
          </w:rPr>
          <w:t xml:space="preserve"> 40ד</w:t>
        </w:r>
      </w:hyperlink>
      <w:r>
        <w:rPr>
          <w:rFonts w:hint="cs"/>
          <w:sz w:val="24"/>
          <w:rtl/>
        </w:rPr>
        <w:t xml:space="preserve"> ל-</w:t>
      </w:r>
      <w:hyperlink r:id="rId57" w:history="1">
        <w:r w:rsidR="00632865" w:rsidRPr="00632865">
          <w:rPr>
            <w:rFonts w:ascii="Miriam" w:hAnsi="Miriam" w:cs="Miriam"/>
            <w:b/>
            <w:bCs/>
            <w:color w:val="0000FF"/>
            <w:szCs w:val="22"/>
            <w:u w:val="single"/>
            <w:rtl/>
          </w:rPr>
          <w:t>חוק העונשין</w:t>
        </w:r>
      </w:hyperlink>
      <w:r>
        <w:rPr>
          <w:rFonts w:hint="cs"/>
          <w:sz w:val="24"/>
          <w:rtl/>
        </w:rPr>
        <w:t xml:space="preserve">, נוכח ההליך הטיפולי שעבר, ההודאה, הנזקים שנגרמו לו מביצוע העבירה, הפגיעה העתידית במשפחתו ומעל הכל, ההודאה, הבעת החרטה ושיתוף הפעולה עם שירות המבחן, </w:t>
      </w:r>
      <w:r>
        <w:rPr>
          <w:rFonts w:ascii="Times New Roman" w:hAnsi="Times New Roman" w:hint="cs"/>
          <w:sz w:val="24"/>
          <w:rtl/>
        </w:rPr>
        <w:t xml:space="preserve">המלמדת כי מדובר במי שהשתקם. </w:t>
      </w:r>
      <w:r>
        <w:rPr>
          <w:rFonts w:hint="cs"/>
          <w:sz w:val="24"/>
          <w:rtl/>
        </w:rPr>
        <w:t xml:space="preserve">לצד זאת, במסגרת גזר הדין לקחתי בחשבון את הצורך בהרתעה אישית ובהרתעת הרבים, בהתאם </w:t>
      </w:r>
      <w:hyperlink r:id="rId58" w:history="1">
        <w:r w:rsidR="003C0062" w:rsidRPr="003C0062">
          <w:rPr>
            <w:rStyle w:val="Hyperlink"/>
            <w:rFonts w:hint="eastAsia"/>
            <w:sz w:val="24"/>
            <w:rtl/>
          </w:rPr>
          <w:t>לסעיפים</w:t>
        </w:r>
        <w:r w:rsidR="003C0062" w:rsidRPr="003C0062">
          <w:rPr>
            <w:rStyle w:val="Hyperlink"/>
            <w:sz w:val="24"/>
            <w:rtl/>
          </w:rPr>
          <w:t xml:space="preserve"> 40ו</w:t>
        </w:r>
      </w:hyperlink>
      <w:r>
        <w:rPr>
          <w:rFonts w:hint="cs"/>
          <w:sz w:val="24"/>
          <w:rtl/>
        </w:rPr>
        <w:t xml:space="preserve"> ו-</w:t>
      </w:r>
      <w:hyperlink r:id="rId59" w:history="1">
        <w:r w:rsidR="003C0062" w:rsidRPr="003C0062">
          <w:rPr>
            <w:rStyle w:val="Hyperlink"/>
            <w:sz w:val="24"/>
            <w:rtl/>
          </w:rPr>
          <w:t>40ז</w:t>
        </w:r>
      </w:hyperlink>
      <w:r>
        <w:rPr>
          <w:rFonts w:hint="cs"/>
          <w:sz w:val="24"/>
          <w:rtl/>
        </w:rPr>
        <w:t xml:space="preserve"> ל-</w:t>
      </w:r>
      <w:hyperlink r:id="rId60" w:history="1">
        <w:r w:rsidR="00632865" w:rsidRPr="00632865">
          <w:rPr>
            <w:rFonts w:ascii="Miriam" w:hAnsi="Miriam" w:cs="Miriam"/>
            <w:b/>
            <w:bCs/>
            <w:color w:val="0000FF"/>
            <w:szCs w:val="22"/>
            <w:u w:val="single"/>
            <w:rtl/>
          </w:rPr>
          <w:t>חוק העונשין</w:t>
        </w:r>
      </w:hyperlink>
      <w:r>
        <w:rPr>
          <w:rFonts w:ascii="Miriam" w:hAnsi="Miriam" w:cs="Miriam"/>
          <w:b/>
          <w:bCs/>
          <w:szCs w:val="22"/>
          <w:rtl/>
        </w:rPr>
        <w:t>.</w:t>
      </w:r>
      <w:r>
        <w:rPr>
          <w:rFonts w:hint="cs"/>
          <w:sz w:val="24"/>
          <w:rtl/>
        </w:rPr>
        <w:t xml:space="preserve"> </w:t>
      </w:r>
    </w:p>
    <w:p w14:paraId="0171E931" w14:textId="77777777" w:rsidR="00D667FC" w:rsidRDefault="00D667FC" w:rsidP="00D667FC">
      <w:pPr>
        <w:pStyle w:val="aa"/>
        <w:widowControl w:val="0"/>
        <w:spacing w:line="360" w:lineRule="auto"/>
        <w:ind w:left="360"/>
        <w:jc w:val="both"/>
        <w:rPr>
          <w:rFonts w:ascii="Times New Roman" w:hAnsi="Times New Roman"/>
          <w:sz w:val="24"/>
        </w:rPr>
      </w:pPr>
    </w:p>
    <w:p w14:paraId="0A0BAAA9" w14:textId="77777777" w:rsidR="00D667FC" w:rsidRDefault="00D667FC" w:rsidP="00D667FC">
      <w:pPr>
        <w:pStyle w:val="aa"/>
        <w:widowControl w:val="0"/>
        <w:numPr>
          <w:ilvl w:val="0"/>
          <w:numId w:val="1"/>
        </w:numPr>
        <w:spacing w:line="360" w:lineRule="auto"/>
        <w:ind w:left="360"/>
        <w:jc w:val="both"/>
        <w:rPr>
          <w:rFonts w:ascii="Times New Roman" w:hAnsi="Times New Roman"/>
          <w:sz w:val="24"/>
        </w:rPr>
      </w:pPr>
      <w:r>
        <w:rPr>
          <w:rFonts w:hint="cs"/>
          <w:rtl/>
        </w:rPr>
        <w:t>משכך, תוך התחשבות בכל הנסיבות שפורטו לעיל לקולא, לרבות תקופת המעצר בה היה והתקופה בה היה בתנאים מגבילים,</w:t>
      </w:r>
      <w:r>
        <w:rPr>
          <w:rFonts w:hint="cs"/>
          <w:b/>
          <w:bCs/>
          <w:rtl/>
        </w:rPr>
        <w:t xml:space="preserve"> אני גוזרת על הנאשם את העונשים הבאים:</w:t>
      </w:r>
    </w:p>
    <w:p w14:paraId="7C9ECF29" w14:textId="77777777" w:rsidR="00D667FC" w:rsidRDefault="00D667FC" w:rsidP="00D667FC">
      <w:pPr>
        <w:pStyle w:val="aa"/>
        <w:widowControl w:val="0"/>
        <w:ind w:left="360"/>
        <w:jc w:val="both"/>
        <w:rPr>
          <w:b/>
          <w:bCs/>
          <w:sz w:val="24"/>
          <w:u w:val="single"/>
        </w:rPr>
      </w:pPr>
    </w:p>
    <w:p w14:paraId="737E6552" w14:textId="77777777" w:rsidR="00D667FC" w:rsidRDefault="00D667FC" w:rsidP="00D667FC">
      <w:pPr>
        <w:pStyle w:val="aa"/>
        <w:widowControl w:val="0"/>
        <w:numPr>
          <w:ilvl w:val="1"/>
          <w:numId w:val="1"/>
        </w:numPr>
        <w:spacing w:line="360" w:lineRule="auto"/>
        <w:ind w:left="834" w:hanging="397"/>
        <w:jc w:val="both"/>
        <w:rPr>
          <w:sz w:val="24"/>
          <w:rtl/>
        </w:rPr>
      </w:pPr>
      <w:r>
        <w:rPr>
          <w:rFonts w:hint="cs"/>
          <w:b/>
          <w:bCs/>
          <w:sz w:val="24"/>
          <w:rtl/>
        </w:rPr>
        <w:t>4 חודשי מאסר, שירוצו בעבודות שירות, בהתאם לחוות דעת הממונה על עבודות השירות</w:t>
      </w:r>
      <w:r>
        <w:rPr>
          <w:rFonts w:hint="cs"/>
          <w:sz w:val="24"/>
          <w:rtl/>
        </w:rPr>
        <w:t>.</w:t>
      </w:r>
    </w:p>
    <w:p w14:paraId="5301E1F7" w14:textId="77777777" w:rsidR="00D667FC" w:rsidRDefault="00D667FC" w:rsidP="00D667FC">
      <w:pPr>
        <w:pStyle w:val="aa"/>
        <w:widowControl w:val="0"/>
        <w:spacing w:line="360" w:lineRule="auto"/>
        <w:ind w:left="794"/>
        <w:jc w:val="both"/>
        <w:rPr>
          <w:u w:val="single"/>
        </w:rPr>
      </w:pPr>
      <w:r>
        <w:rPr>
          <w:rFonts w:hint="cs"/>
          <w:u w:val="single"/>
          <w:rtl/>
        </w:rPr>
        <w:t xml:space="preserve">תחילת ביצוע עבודות השירות ביום 12.5.24. </w:t>
      </w:r>
    </w:p>
    <w:p w14:paraId="0A469F38" w14:textId="77777777" w:rsidR="00D667FC" w:rsidRDefault="00D667FC" w:rsidP="00D667FC">
      <w:pPr>
        <w:pStyle w:val="aa"/>
        <w:widowControl w:val="0"/>
        <w:spacing w:line="360" w:lineRule="auto"/>
        <w:ind w:left="794"/>
        <w:jc w:val="both"/>
        <w:rPr>
          <w:sz w:val="24"/>
          <w:rtl/>
        </w:rPr>
      </w:pPr>
      <w:r>
        <w:rPr>
          <w:rFonts w:hint="cs"/>
          <w:rtl/>
        </w:rPr>
        <w:t xml:space="preserve">הנאשם יבצע את עבודות השירות </w:t>
      </w:r>
      <w:r>
        <w:rPr>
          <w:rFonts w:hint="cs"/>
          <w:u w:val="single"/>
          <w:rtl/>
        </w:rPr>
        <w:t>5 ימים בשבוע, 8.5 שעות ביום</w:t>
      </w:r>
      <w:r>
        <w:rPr>
          <w:rFonts w:hint="cs"/>
          <w:rtl/>
        </w:rPr>
        <w:t>.</w:t>
      </w:r>
    </w:p>
    <w:p w14:paraId="5256DCB1" w14:textId="77777777" w:rsidR="00D667FC" w:rsidRDefault="00D667FC" w:rsidP="00D667FC">
      <w:pPr>
        <w:pStyle w:val="aa"/>
        <w:widowControl w:val="0"/>
        <w:spacing w:line="360" w:lineRule="auto"/>
        <w:ind w:left="794"/>
        <w:jc w:val="both"/>
        <w:rPr>
          <w:sz w:val="24"/>
          <w:rtl/>
        </w:rPr>
      </w:pPr>
      <w:r>
        <w:rPr>
          <w:rFonts w:hint="cs"/>
          <w:u w:val="single"/>
          <w:rtl/>
        </w:rPr>
        <w:t>ביום 12.5.24 בשעה 8:00</w:t>
      </w:r>
      <w:r>
        <w:rPr>
          <w:rFonts w:hint="cs"/>
          <w:rtl/>
        </w:rPr>
        <w:t xml:space="preserve"> יתייצב הנאשם לצורך קליטה והצבה ב-יחידת ברקאי – עבודות שירות – שלוחת דרום – סמוך לכלא באר שבע. אוטובוסים להגעה: 247, 350, 189.</w:t>
      </w:r>
    </w:p>
    <w:p w14:paraId="695D58BA" w14:textId="77777777" w:rsidR="00D667FC" w:rsidRDefault="00D667FC" w:rsidP="00D667FC">
      <w:pPr>
        <w:pStyle w:val="aa"/>
        <w:widowControl w:val="0"/>
        <w:spacing w:line="360" w:lineRule="auto"/>
        <w:ind w:left="794"/>
        <w:jc w:val="both"/>
        <w:rPr>
          <w:u w:val="single"/>
          <w:rtl/>
        </w:rPr>
      </w:pPr>
      <w:r>
        <w:rPr>
          <w:rFonts w:hint="cs"/>
          <w:u w:val="single"/>
          <w:rtl/>
        </w:rPr>
        <w:t>הנאשם מוזהר כי עליו:</w:t>
      </w:r>
    </w:p>
    <w:p w14:paraId="3D21BD06" w14:textId="77777777" w:rsidR="00D667FC" w:rsidRPr="00D667FC" w:rsidRDefault="00D667FC" w:rsidP="00D667FC">
      <w:pPr>
        <w:pStyle w:val="aa"/>
        <w:widowControl w:val="0"/>
        <w:numPr>
          <w:ilvl w:val="2"/>
          <w:numId w:val="1"/>
        </w:numPr>
        <w:spacing w:line="360" w:lineRule="auto"/>
        <w:ind w:left="1191" w:hanging="397"/>
        <w:jc w:val="both"/>
        <w:rPr>
          <w:b/>
          <w:bCs/>
          <w:sz w:val="24"/>
        </w:rPr>
      </w:pPr>
      <w:r>
        <w:rPr>
          <w:rFonts w:hint="cs"/>
          <w:b/>
          <w:bCs/>
          <w:rtl/>
        </w:rPr>
        <w:t xml:space="preserve">לעדכן את משרד הממונה בכל שינוי, אם יחול, בכתובת מגוריו ובטלפון הנייד שלו. </w:t>
      </w:r>
    </w:p>
    <w:p w14:paraId="525D66C5" w14:textId="77777777" w:rsidR="00D667FC" w:rsidRDefault="00D667FC" w:rsidP="00D667FC">
      <w:pPr>
        <w:pStyle w:val="aa"/>
        <w:widowControl w:val="0"/>
        <w:numPr>
          <w:ilvl w:val="2"/>
          <w:numId w:val="1"/>
        </w:numPr>
        <w:spacing w:line="360" w:lineRule="auto"/>
        <w:ind w:left="1191" w:hanging="397"/>
        <w:jc w:val="both"/>
        <w:rPr>
          <w:b/>
          <w:bCs/>
          <w:sz w:val="24"/>
        </w:rPr>
      </w:pPr>
      <w:r>
        <w:rPr>
          <w:rFonts w:hint="cs"/>
          <w:b/>
          <w:bCs/>
          <w:rtl/>
        </w:rPr>
        <w:t xml:space="preserve">לעמוד בתנאי הפיקוח, שכן כל הפרה או אי מילוי עבודות השירות על פי הנחיות המפקח, עלול להביא להפסקתן ולהמרתן בריצוי יתרת המאסר בפועל. </w:t>
      </w:r>
    </w:p>
    <w:p w14:paraId="643C7A5E" w14:textId="77777777" w:rsidR="00D667FC" w:rsidRDefault="00D667FC" w:rsidP="00D667FC">
      <w:pPr>
        <w:pStyle w:val="aa"/>
        <w:widowControl w:val="0"/>
        <w:numPr>
          <w:ilvl w:val="2"/>
          <w:numId w:val="1"/>
        </w:numPr>
        <w:spacing w:line="360" w:lineRule="auto"/>
        <w:ind w:left="1191" w:hanging="397"/>
        <w:jc w:val="both"/>
        <w:rPr>
          <w:b/>
          <w:bCs/>
          <w:sz w:val="24"/>
        </w:rPr>
      </w:pPr>
      <w:r>
        <w:rPr>
          <w:rFonts w:hint="cs"/>
          <w:b/>
          <w:bCs/>
          <w:rtl/>
        </w:rPr>
        <w:t xml:space="preserve">במקום נערכות ביקורות, וכי אי עמידה בביקורת עלולה להביא להפסקת עבודות השירות ולהמרתן בריצוי יתרת המאסר בפועל. </w:t>
      </w:r>
    </w:p>
    <w:p w14:paraId="7F2F4A14" w14:textId="77777777" w:rsidR="00D667FC" w:rsidRDefault="00D667FC" w:rsidP="00D667FC">
      <w:pPr>
        <w:pStyle w:val="aa"/>
        <w:widowControl w:val="0"/>
        <w:numPr>
          <w:ilvl w:val="2"/>
          <w:numId w:val="1"/>
        </w:numPr>
        <w:spacing w:line="360" w:lineRule="auto"/>
        <w:ind w:left="1191" w:hanging="397"/>
        <w:jc w:val="both"/>
        <w:rPr>
          <w:b/>
          <w:bCs/>
          <w:sz w:val="24"/>
          <w:rtl/>
        </w:rPr>
      </w:pPr>
      <w:r>
        <w:rPr>
          <w:rFonts w:hint="cs"/>
          <w:b/>
          <w:bCs/>
          <w:rtl/>
        </w:rPr>
        <w:t>מדובר</w:t>
      </w:r>
      <w:r>
        <w:rPr>
          <w:rFonts w:ascii="Times New Roman-Bold-1255" w:hAnsi="Times New Roman-Bold-1255"/>
          <w:b/>
          <w:bCs/>
        </w:rPr>
        <w:t xml:space="preserve"> </w:t>
      </w:r>
      <w:r>
        <w:rPr>
          <w:rFonts w:hint="cs"/>
          <w:b/>
          <w:bCs/>
          <w:rtl/>
        </w:rPr>
        <w:t>בתנאי</w:t>
      </w:r>
      <w:r>
        <w:rPr>
          <w:rFonts w:ascii="Times New Roman-Bold-1255" w:hAnsi="Times New Roman-Bold-1255"/>
          <w:b/>
          <w:bCs/>
        </w:rPr>
        <w:t xml:space="preserve"> </w:t>
      </w:r>
      <w:r>
        <w:rPr>
          <w:rFonts w:hint="cs"/>
          <w:b/>
          <w:bCs/>
          <w:rtl/>
        </w:rPr>
        <w:t>העסקה</w:t>
      </w:r>
      <w:r>
        <w:rPr>
          <w:rFonts w:ascii="Times New Roman-Bold-1255" w:hAnsi="Times New Roman-Bold-1255"/>
          <w:b/>
          <w:bCs/>
        </w:rPr>
        <w:t xml:space="preserve"> </w:t>
      </w:r>
      <w:r>
        <w:rPr>
          <w:rFonts w:hint="cs"/>
          <w:b/>
          <w:bCs/>
          <w:rtl/>
        </w:rPr>
        <w:t>קפדניים</w:t>
      </w:r>
      <w:r>
        <w:rPr>
          <w:rFonts w:ascii="Times New Roman-Bold-1255" w:hAnsi="Times New Roman-Bold-1255"/>
          <w:b/>
          <w:bCs/>
        </w:rPr>
        <w:t xml:space="preserve"> </w:t>
      </w:r>
      <w:r>
        <w:rPr>
          <w:rFonts w:hint="cs"/>
          <w:b/>
          <w:bCs/>
          <w:rtl/>
        </w:rPr>
        <w:t>וכי כל</w:t>
      </w:r>
      <w:r>
        <w:rPr>
          <w:rFonts w:ascii="Times New Roman-Bold-1255" w:hAnsi="Times New Roman-Bold-1255"/>
          <w:b/>
          <w:bCs/>
        </w:rPr>
        <w:t xml:space="preserve"> </w:t>
      </w:r>
      <w:r>
        <w:rPr>
          <w:rFonts w:hint="cs"/>
          <w:b/>
          <w:bCs/>
          <w:rtl/>
        </w:rPr>
        <w:t>חריגה</w:t>
      </w:r>
      <w:r>
        <w:rPr>
          <w:rFonts w:ascii="Times New Roman-Bold-1255" w:hAnsi="Times New Roman-Bold-1255"/>
          <w:b/>
          <w:bCs/>
        </w:rPr>
        <w:t xml:space="preserve"> </w:t>
      </w:r>
      <w:r>
        <w:rPr>
          <w:rFonts w:hint="cs"/>
          <w:b/>
          <w:bCs/>
          <w:rtl/>
        </w:rPr>
        <w:t>מכללים</w:t>
      </w:r>
      <w:r>
        <w:rPr>
          <w:rFonts w:ascii="Times New Roman-Bold-1255" w:hAnsi="Times New Roman-Bold-1255"/>
          <w:b/>
          <w:bCs/>
        </w:rPr>
        <w:t xml:space="preserve"> </w:t>
      </w:r>
      <w:r>
        <w:rPr>
          <w:rFonts w:hint="cs"/>
          <w:b/>
          <w:bCs/>
          <w:rtl/>
        </w:rPr>
        <w:t>אלו עלולה להביא להפסקת עבודות</w:t>
      </w:r>
      <w:r>
        <w:rPr>
          <w:rFonts w:ascii="Times New Roman-Bold-1255" w:hAnsi="Times New Roman-Bold-1255"/>
          <w:b/>
          <w:bCs/>
        </w:rPr>
        <w:t xml:space="preserve"> </w:t>
      </w:r>
      <w:r>
        <w:rPr>
          <w:rFonts w:hint="cs"/>
          <w:b/>
          <w:bCs/>
          <w:rtl/>
        </w:rPr>
        <w:t>השירות</w:t>
      </w:r>
      <w:r>
        <w:rPr>
          <w:rFonts w:ascii="Times New Roman-Bold-1255" w:hAnsi="Times New Roman-Bold-1255"/>
          <w:b/>
          <w:bCs/>
        </w:rPr>
        <w:t xml:space="preserve"> </w:t>
      </w:r>
      <w:r>
        <w:rPr>
          <w:rFonts w:hint="cs"/>
          <w:b/>
          <w:bCs/>
          <w:rtl/>
        </w:rPr>
        <w:t>ולהמרתן בריצוי יתרת המאסר בפועל.</w:t>
      </w:r>
    </w:p>
    <w:p w14:paraId="5439CA9D" w14:textId="77777777" w:rsidR="00D667FC" w:rsidRDefault="00D667FC" w:rsidP="00D667FC">
      <w:pPr>
        <w:pStyle w:val="aa"/>
        <w:widowControl w:val="0"/>
        <w:ind w:left="794"/>
        <w:jc w:val="both"/>
        <w:rPr>
          <w:b/>
          <w:bCs/>
          <w:u w:val="single"/>
        </w:rPr>
      </w:pPr>
    </w:p>
    <w:p w14:paraId="481ED1DC" w14:textId="77777777" w:rsidR="00D667FC" w:rsidRDefault="00D667FC" w:rsidP="00D667FC">
      <w:pPr>
        <w:pStyle w:val="aa"/>
        <w:widowControl w:val="0"/>
        <w:spacing w:line="360" w:lineRule="auto"/>
        <w:ind w:left="794"/>
        <w:jc w:val="both"/>
        <w:rPr>
          <w:sz w:val="24"/>
        </w:rPr>
      </w:pPr>
      <w:r>
        <w:rPr>
          <w:rFonts w:hint="cs"/>
          <w:b/>
          <w:bCs/>
          <w:u w:val="single"/>
          <w:rtl/>
        </w:rPr>
        <w:t xml:space="preserve">הממונה תדווח לבית המשפט על מועד תום ביצוען של עבודות השירות. </w:t>
      </w:r>
    </w:p>
    <w:p w14:paraId="6165C32E" w14:textId="77777777" w:rsidR="00D667FC" w:rsidRDefault="00D667FC" w:rsidP="00D667FC">
      <w:pPr>
        <w:autoSpaceDE w:val="0"/>
        <w:autoSpaceDN w:val="0"/>
        <w:jc w:val="both"/>
      </w:pPr>
    </w:p>
    <w:p w14:paraId="17FDA8E2" w14:textId="77777777" w:rsidR="00D667FC" w:rsidRDefault="00D667FC" w:rsidP="00D667FC">
      <w:pPr>
        <w:pStyle w:val="aa"/>
        <w:numPr>
          <w:ilvl w:val="1"/>
          <w:numId w:val="1"/>
        </w:numPr>
        <w:autoSpaceDE w:val="0"/>
        <w:autoSpaceDN w:val="0"/>
        <w:spacing w:line="360" w:lineRule="auto"/>
        <w:ind w:left="794" w:hanging="397"/>
        <w:jc w:val="both"/>
      </w:pPr>
      <w:r>
        <w:rPr>
          <w:rFonts w:hint="cs"/>
          <w:b/>
          <w:bCs/>
          <w:rtl/>
        </w:rPr>
        <w:t>6 חודשי מאסר על תנאי</w:t>
      </w:r>
      <w:r>
        <w:rPr>
          <w:rFonts w:hint="cs"/>
          <w:rtl/>
        </w:rPr>
        <w:t xml:space="preserve">, למשך 3 שנים מהיום, שלא יעבור כל עבירת פשע על </w:t>
      </w:r>
      <w:r>
        <w:rPr>
          <w:rFonts w:ascii="Miriam" w:hAnsi="Miriam" w:cs="Miriam"/>
          <w:b/>
          <w:bCs/>
          <w:sz w:val="18"/>
          <w:szCs w:val="22"/>
          <w:rtl/>
        </w:rPr>
        <w:t>פקודת הסמים</w:t>
      </w:r>
      <w:r>
        <w:rPr>
          <w:rFonts w:hint="cs"/>
          <w:rtl/>
        </w:rPr>
        <w:t>.</w:t>
      </w:r>
    </w:p>
    <w:p w14:paraId="7944B286" w14:textId="77777777" w:rsidR="00D667FC" w:rsidRDefault="00D667FC" w:rsidP="00D667FC">
      <w:pPr>
        <w:pStyle w:val="aa"/>
        <w:autoSpaceDE w:val="0"/>
        <w:autoSpaceDN w:val="0"/>
        <w:ind w:left="794"/>
        <w:jc w:val="both"/>
        <w:rPr>
          <w:sz w:val="24"/>
          <w:rtl/>
        </w:rPr>
      </w:pPr>
    </w:p>
    <w:p w14:paraId="5B81C95F" w14:textId="77777777" w:rsidR="00D667FC" w:rsidRDefault="00D667FC" w:rsidP="00D667FC">
      <w:pPr>
        <w:pStyle w:val="aa"/>
        <w:numPr>
          <w:ilvl w:val="1"/>
          <w:numId w:val="1"/>
        </w:numPr>
        <w:autoSpaceDE w:val="0"/>
        <w:autoSpaceDN w:val="0"/>
        <w:spacing w:line="360" w:lineRule="auto"/>
        <w:ind w:left="794" w:hanging="397"/>
        <w:jc w:val="both"/>
        <w:rPr>
          <w:rtl/>
        </w:rPr>
      </w:pPr>
      <w:r>
        <w:rPr>
          <w:rFonts w:hint="cs"/>
          <w:b/>
          <w:bCs/>
          <w:rtl/>
        </w:rPr>
        <w:t>קנס בסך 2,000 ₪ או 20 ימי מאסר תמורתו.</w:t>
      </w:r>
      <w:r>
        <w:rPr>
          <w:rFonts w:hint="cs"/>
          <w:rtl/>
        </w:rPr>
        <w:t xml:space="preserve"> </w:t>
      </w:r>
    </w:p>
    <w:p w14:paraId="1D1723BF" w14:textId="77777777" w:rsidR="00D667FC" w:rsidRDefault="00D667FC" w:rsidP="00D667FC">
      <w:pPr>
        <w:pStyle w:val="aa"/>
        <w:autoSpaceDE w:val="0"/>
        <w:autoSpaceDN w:val="0"/>
        <w:spacing w:line="360" w:lineRule="auto"/>
        <w:ind w:left="794"/>
        <w:jc w:val="both"/>
        <w:rPr>
          <w:rtl/>
        </w:rPr>
      </w:pPr>
      <w:r>
        <w:rPr>
          <w:rFonts w:hint="cs"/>
          <w:rtl/>
        </w:rPr>
        <w:t xml:space="preserve">הקנס ישולם ב-10 תשלומים שווים ורצופים, החל מיום 15.5.24 וכל 15 בחודש שלאחריו. </w:t>
      </w:r>
    </w:p>
    <w:p w14:paraId="1BC30EE3" w14:textId="77777777" w:rsidR="00D667FC" w:rsidRDefault="00D667FC" w:rsidP="00D667FC">
      <w:pPr>
        <w:pStyle w:val="aa"/>
        <w:autoSpaceDE w:val="0"/>
        <w:autoSpaceDN w:val="0"/>
        <w:spacing w:line="360" w:lineRule="auto"/>
        <w:ind w:left="794"/>
        <w:jc w:val="both"/>
        <w:rPr>
          <w:rFonts w:ascii="Times New Roman" w:hAnsi="Times New Roman"/>
        </w:rPr>
      </w:pPr>
      <w:r>
        <w:rPr>
          <w:rFonts w:hint="cs"/>
          <w:rtl/>
        </w:rPr>
        <w:t>אם לא יבוצע תשלום במועדו - תעמוד כל יתרת הקנס לפירעון מיידי.</w:t>
      </w:r>
    </w:p>
    <w:p w14:paraId="251ECC4B" w14:textId="77777777" w:rsidR="00D667FC" w:rsidRDefault="00D667FC" w:rsidP="00D667FC">
      <w:pPr>
        <w:pStyle w:val="aa"/>
        <w:autoSpaceDE w:val="0"/>
        <w:autoSpaceDN w:val="0"/>
        <w:ind w:left="794"/>
        <w:jc w:val="both"/>
        <w:rPr>
          <w:sz w:val="24"/>
        </w:rPr>
      </w:pPr>
    </w:p>
    <w:p w14:paraId="29902B12" w14:textId="77777777" w:rsidR="00D667FC" w:rsidRDefault="00D667FC" w:rsidP="00D667FC">
      <w:pPr>
        <w:pStyle w:val="aa"/>
        <w:numPr>
          <w:ilvl w:val="1"/>
          <w:numId w:val="1"/>
        </w:numPr>
        <w:autoSpaceDE w:val="0"/>
        <w:autoSpaceDN w:val="0"/>
        <w:spacing w:line="360" w:lineRule="auto"/>
        <w:ind w:left="794" w:hanging="397"/>
        <w:jc w:val="both"/>
      </w:pPr>
      <w:r>
        <w:rPr>
          <w:rFonts w:hint="cs"/>
          <w:b/>
          <w:bCs/>
          <w:rtl/>
        </w:rPr>
        <w:t>3,000 ₪ התחייבות</w:t>
      </w:r>
      <w:r>
        <w:rPr>
          <w:rFonts w:hint="cs"/>
          <w:rtl/>
        </w:rPr>
        <w:t xml:space="preserve">, למשך 3 שנים מהיום, שלא יעבור כל עבירה על </w:t>
      </w:r>
      <w:r>
        <w:rPr>
          <w:rFonts w:ascii="Miriam" w:hAnsi="Miriam" w:cs="Miriam"/>
          <w:bCs/>
          <w:sz w:val="18"/>
          <w:szCs w:val="22"/>
          <w:rtl/>
        </w:rPr>
        <w:t>פקודת הסמים</w:t>
      </w:r>
      <w:r>
        <w:rPr>
          <w:rFonts w:hint="cs"/>
          <w:rtl/>
        </w:rPr>
        <w:t>.</w:t>
      </w:r>
    </w:p>
    <w:p w14:paraId="1AD11281" w14:textId="77777777" w:rsidR="00D667FC" w:rsidRDefault="00D667FC" w:rsidP="00D667FC">
      <w:pPr>
        <w:pStyle w:val="aa"/>
        <w:autoSpaceDE w:val="0"/>
        <w:autoSpaceDN w:val="0"/>
        <w:spacing w:line="360" w:lineRule="auto"/>
        <w:ind w:left="794"/>
        <w:jc w:val="both"/>
      </w:pPr>
      <w:r>
        <w:rPr>
          <w:rFonts w:hint="cs"/>
          <w:rtl/>
        </w:rPr>
        <w:t>על הנאשם להצהיר על ההתחייבות היום. לא יצהיר על ההתחייבות היום – יהיה על הנאשם לרצות 30 ימי מאסר בפועל, על מנת לכפות אותו לעשות כן.</w:t>
      </w:r>
    </w:p>
    <w:p w14:paraId="61BFA4D8" w14:textId="77777777" w:rsidR="00D667FC" w:rsidRDefault="00D667FC" w:rsidP="00D667FC">
      <w:pPr>
        <w:pStyle w:val="aa"/>
        <w:autoSpaceDE w:val="0"/>
        <w:autoSpaceDN w:val="0"/>
        <w:ind w:left="850"/>
        <w:jc w:val="both"/>
        <w:rPr>
          <w:rFonts w:ascii="Times New Roman" w:hAnsi="Times New Roman"/>
          <w:sz w:val="24"/>
          <w:szCs w:val="32"/>
          <w:rtl/>
        </w:rPr>
      </w:pPr>
    </w:p>
    <w:p w14:paraId="1023E556" w14:textId="77777777" w:rsidR="00D667FC" w:rsidRDefault="00D667FC" w:rsidP="00D667FC">
      <w:pPr>
        <w:pStyle w:val="aa"/>
        <w:numPr>
          <w:ilvl w:val="1"/>
          <w:numId w:val="1"/>
        </w:numPr>
        <w:autoSpaceDE w:val="0"/>
        <w:autoSpaceDN w:val="0"/>
        <w:spacing w:line="360" w:lineRule="auto"/>
        <w:ind w:left="794" w:hanging="397"/>
        <w:jc w:val="both"/>
      </w:pPr>
      <w:r>
        <w:rPr>
          <w:rFonts w:hint="cs"/>
          <w:b/>
          <w:bCs/>
          <w:rtl/>
        </w:rPr>
        <w:t>12 חודשי פסילה מקבל או מהחזיק רישיון נהיגה על תנאי</w:t>
      </w:r>
      <w:r>
        <w:rPr>
          <w:rFonts w:hint="cs"/>
          <w:rtl/>
        </w:rPr>
        <w:t xml:space="preserve">, למשך 3 שנים מהיום, שלא יעבור כל עבירה על </w:t>
      </w:r>
      <w:r>
        <w:rPr>
          <w:rFonts w:ascii="Miriam" w:hAnsi="Miriam" w:cs="Miriam"/>
          <w:b/>
          <w:bCs/>
          <w:szCs w:val="22"/>
          <w:rtl/>
        </w:rPr>
        <w:t>פקודת הסמים</w:t>
      </w:r>
      <w:r>
        <w:rPr>
          <w:rFonts w:hint="cs"/>
          <w:rtl/>
        </w:rPr>
        <w:t>.</w:t>
      </w:r>
    </w:p>
    <w:p w14:paraId="4C21D92D" w14:textId="77777777" w:rsidR="00D667FC" w:rsidRDefault="00D667FC" w:rsidP="00D667FC">
      <w:pPr>
        <w:tabs>
          <w:tab w:val="left" w:pos="368"/>
        </w:tabs>
        <w:snapToGrid w:val="0"/>
        <w:spacing w:line="360" w:lineRule="auto"/>
        <w:jc w:val="both"/>
        <w:rPr>
          <w:b/>
          <w:bCs/>
          <w:sz w:val="20"/>
          <w:lang w:eastAsia="he-IL"/>
        </w:rPr>
      </w:pPr>
    </w:p>
    <w:p w14:paraId="49957162" w14:textId="77777777" w:rsidR="00D667FC" w:rsidRDefault="00D667FC" w:rsidP="00D667FC">
      <w:pPr>
        <w:pStyle w:val="aa"/>
        <w:spacing w:line="360" w:lineRule="auto"/>
        <w:ind w:left="0"/>
        <w:jc w:val="both"/>
        <w:rPr>
          <w:rFonts w:ascii="Times New Roman" w:hAnsi="Times New Roman"/>
          <w:b/>
          <w:bCs/>
          <w:rtl/>
        </w:rPr>
      </w:pPr>
      <w:r>
        <w:rPr>
          <w:rFonts w:hint="cs"/>
          <w:b/>
          <w:bCs/>
          <w:u w:val="single"/>
          <w:rtl/>
        </w:rPr>
        <w:t>תשומת לב הנאשם כי ניתן לשלם את הקנס באחת הדרכים הבאות</w:t>
      </w:r>
      <w:r>
        <w:rPr>
          <w:rFonts w:hint="cs"/>
          <w:b/>
          <w:bCs/>
          <w:rtl/>
        </w:rPr>
        <w:t>:</w:t>
      </w:r>
    </w:p>
    <w:p w14:paraId="052B94DF" w14:textId="77777777" w:rsidR="00D667FC" w:rsidRDefault="00D667FC" w:rsidP="00D667FC">
      <w:pPr>
        <w:pStyle w:val="aa"/>
        <w:numPr>
          <w:ilvl w:val="0"/>
          <w:numId w:val="3"/>
        </w:numPr>
        <w:spacing w:line="360" w:lineRule="auto"/>
        <w:ind w:left="360"/>
        <w:jc w:val="both"/>
      </w:pPr>
      <w:r>
        <w:rPr>
          <w:rFonts w:hint="cs"/>
          <w:rtl/>
        </w:rPr>
        <w:t>בכרטיס</w:t>
      </w:r>
      <w:r>
        <w:rPr>
          <w:rFonts w:hint="cs"/>
        </w:rPr>
        <w:t xml:space="preserve"> </w:t>
      </w:r>
      <w:r>
        <w:rPr>
          <w:rFonts w:hint="cs"/>
          <w:rtl/>
        </w:rPr>
        <w:t>אשראי - באתר</w:t>
      </w:r>
      <w:r>
        <w:rPr>
          <w:rFonts w:hint="cs"/>
        </w:rPr>
        <w:t xml:space="preserve"> </w:t>
      </w:r>
      <w:r>
        <w:rPr>
          <w:rFonts w:hint="cs"/>
          <w:rtl/>
        </w:rPr>
        <w:t>המקוון</w:t>
      </w:r>
      <w:r>
        <w:rPr>
          <w:rFonts w:hint="cs"/>
        </w:rPr>
        <w:t xml:space="preserve"> </w:t>
      </w:r>
      <w:r>
        <w:rPr>
          <w:rFonts w:hint="cs"/>
          <w:rtl/>
        </w:rPr>
        <w:t>של</w:t>
      </w:r>
      <w:r>
        <w:rPr>
          <w:rFonts w:hint="cs"/>
        </w:rPr>
        <w:t xml:space="preserve"> </w:t>
      </w:r>
      <w:r>
        <w:rPr>
          <w:rFonts w:hint="cs"/>
          <w:rtl/>
        </w:rPr>
        <w:t>רשות</w:t>
      </w:r>
      <w:r>
        <w:rPr>
          <w:rFonts w:hint="cs"/>
        </w:rPr>
        <w:t xml:space="preserve"> </w:t>
      </w:r>
      <w:r>
        <w:rPr>
          <w:rFonts w:hint="cs"/>
          <w:rtl/>
        </w:rPr>
        <w:t>האכיפה</w:t>
      </w:r>
      <w:r>
        <w:rPr>
          <w:rFonts w:hint="cs"/>
        </w:rPr>
        <w:t xml:space="preserve"> </w:t>
      </w:r>
      <w:r>
        <w:rPr>
          <w:rFonts w:hint="cs"/>
          <w:rtl/>
        </w:rPr>
        <w:t>והגבייה</w:t>
      </w:r>
      <w:r>
        <w:t xml:space="preserve">www.eca.gov.il </w:t>
      </w:r>
      <w:r>
        <w:rPr>
          <w:rFonts w:hint="cs"/>
          <w:rtl/>
        </w:rPr>
        <w:t>.</w:t>
      </w:r>
    </w:p>
    <w:p w14:paraId="73FAE170" w14:textId="77777777" w:rsidR="00D667FC" w:rsidRDefault="00D667FC" w:rsidP="00D667FC">
      <w:pPr>
        <w:pStyle w:val="aa"/>
        <w:numPr>
          <w:ilvl w:val="0"/>
          <w:numId w:val="3"/>
        </w:numPr>
        <w:spacing w:line="360" w:lineRule="auto"/>
        <w:ind w:left="360"/>
        <w:jc w:val="both"/>
        <w:rPr>
          <w:rtl/>
        </w:rPr>
      </w:pPr>
      <w:r>
        <w:rPr>
          <w:rFonts w:hint="cs"/>
          <w:rtl/>
        </w:rPr>
        <w:t>מוקד</w:t>
      </w:r>
      <w:r>
        <w:rPr>
          <w:rFonts w:hint="cs"/>
        </w:rPr>
        <w:t xml:space="preserve"> </w:t>
      </w:r>
      <w:r>
        <w:rPr>
          <w:rFonts w:hint="cs"/>
          <w:rtl/>
        </w:rPr>
        <w:t>שירות</w:t>
      </w:r>
      <w:r>
        <w:rPr>
          <w:rFonts w:hint="cs"/>
        </w:rPr>
        <w:t xml:space="preserve"> </w:t>
      </w:r>
      <w:r>
        <w:rPr>
          <w:rFonts w:hint="cs"/>
          <w:rtl/>
        </w:rPr>
        <w:t>טלפוני</w:t>
      </w:r>
      <w:r>
        <w:rPr>
          <w:rFonts w:hint="cs"/>
        </w:rPr>
        <w:t xml:space="preserve"> </w:t>
      </w:r>
      <w:r>
        <w:rPr>
          <w:rFonts w:hint="cs"/>
          <w:rtl/>
        </w:rPr>
        <w:t>(בשרות</w:t>
      </w:r>
      <w:r>
        <w:rPr>
          <w:rFonts w:hint="cs"/>
        </w:rPr>
        <w:t xml:space="preserve"> </w:t>
      </w:r>
      <w:r>
        <w:rPr>
          <w:rFonts w:hint="cs"/>
          <w:rtl/>
        </w:rPr>
        <w:t>עצמי) מרכז</w:t>
      </w:r>
      <w:r>
        <w:rPr>
          <w:rFonts w:hint="cs"/>
        </w:rPr>
        <w:t xml:space="preserve"> </w:t>
      </w:r>
      <w:r>
        <w:rPr>
          <w:rFonts w:hint="cs"/>
          <w:rtl/>
        </w:rPr>
        <w:t>גבייה - במספר *</w:t>
      </w:r>
      <w:r>
        <w:t>35592</w:t>
      </w:r>
      <w:r>
        <w:rPr>
          <w:rtl/>
        </w:rPr>
        <w:t xml:space="preserve"> </w:t>
      </w:r>
      <w:r>
        <w:rPr>
          <w:rFonts w:hint="cs"/>
          <w:rtl/>
        </w:rPr>
        <w:t>או</w:t>
      </w:r>
      <w:r>
        <w:t xml:space="preserve">073-2055000 </w:t>
      </w:r>
      <w:r>
        <w:rPr>
          <w:rFonts w:hint="cs"/>
          <w:rtl/>
        </w:rPr>
        <w:t>.</w:t>
      </w:r>
    </w:p>
    <w:p w14:paraId="7AA768E4" w14:textId="77777777" w:rsidR="00D667FC" w:rsidRDefault="00D667FC" w:rsidP="00D667FC">
      <w:pPr>
        <w:pStyle w:val="aa"/>
        <w:numPr>
          <w:ilvl w:val="0"/>
          <w:numId w:val="3"/>
        </w:numPr>
        <w:spacing w:line="360" w:lineRule="auto"/>
        <w:ind w:left="360"/>
        <w:jc w:val="both"/>
        <w:rPr>
          <w:rtl/>
        </w:rPr>
      </w:pPr>
      <w:r>
        <w:rPr>
          <w:rFonts w:hint="cs"/>
          <w:rtl/>
        </w:rPr>
        <w:t>במזומן</w:t>
      </w:r>
      <w:r>
        <w:rPr>
          <w:rFonts w:hint="cs"/>
        </w:rPr>
        <w:t xml:space="preserve"> </w:t>
      </w:r>
      <w:r>
        <w:rPr>
          <w:rFonts w:hint="cs"/>
          <w:rtl/>
        </w:rPr>
        <w:t>בכל</w:t>
      </w:r>
      <w:r>
        <w:rPr>
          <w:rFonts w:hint="cs"/>
        </w:rPr>
        <w:t xml:space="preserve"> </w:t>
      </w:r>
      <w:r>
        <w:rPr>
          <w:rFonts w:hint="cs"/>
          <w:rtl/>
        </w:rPr>
        <w:t>סניף</w:t>
      </w:r>
      <w:r>
        <w:rPr>
          <w:rFonts w:hint="cs"/>
        </w:rPr>
        <w:t xml:space="preserve"> </w:t>
      </w:r>
      <w:r>
        <w:rPr>
          <w:rFonts w:hint="cs"/>
          <w:rtl/>
        </w:rPr>
        <w:t>של</w:t>
      </w:r>
      <w:r>
        <w:rPr>
          <w:rFonts w:hint="cs"/>
        </w:rPr>
        <w:t xml:space="preserve"> </w:t>
      </w:r>
      <w:r>
        <w:rPr>
          <w:rFonts w:hint="cs"/>
          <w:rtl/>
        </w:rPr>
        <w:t>בנק</w:t>
      </w:r>
      <w:r>
        <w:rPr>
          <w:rFonts w:hint="cs"/>
        </w:rPr>
        <w:t xml:space="preserve"> </w:t>
      </w:r>
      <w:r>
        <w:rPr>
          <w:rFonts w:hint="cs"/>
          <w:rtl/>
        </w:rPr>
        <w:t>הדואר - בהצגת</w:t>
      </w:r>
      <w:r>
        <w:rPr>
          <w:rFonts w:hint="cs"/>
        </w:rPr>
        <w:t xml:space="preserve"> </w:t>
      </w:r>
      <w:r>
        <w:rPr>
          <w:rFonts w:hint="cs"/>
          <w:rtl/>
        </w:rPr>
        <w:t>תעודת</w:t>
      </w:r>
      <w:r>
        <w:rPr>
          <w:rFonts w:hint="cs"/>
        </w:rPr>
        <w:t xml:space="preserve"> </w:t>
      </w:r>
      <w:r>
        <w:rPr>
          <w:rFonts w:hint="cs"/>
          <w:rtl/>
        </w:rPr>
        <w:t>זהות</w:t>
      </w:r>
      <w:r>
        <w:rPr>
          <w:rFonts w:hint="cs"/>
        </w:rPr>
        <w:t xml:space="preserve"> </w:t>
      </w:r>
      <w:r>
        <w:rPr>
          <w:rFonts w:hint="cs"/>
          <w:rtl/>
        </w:rPr>
        <w:t>בלבד (אין</w:t>
      </w:r>
      <w:r>
        <w:rPr>
          <w:rFonts w:hint="cs"/>
        </w:rPr>
        <w:t xml:space="preserve"> </w:t>
      </w:r>
      <w:r>
        <w:rPr>
          <w:rFonts w:hint="cs"/>
          <w:rtl/>
        </w:rPr>
        <w:t>צורך</w:t>
      </w:r>
      <w:r>
        <w:rPr>
          <w:rFonts w:hint="cs"/>
        </w:rPr>
        <w:t xml:space="preserve"> </w:t>
      </w:r>
      <w:r>
        <w:rPr>
          <w:rFonts w:hint="cs"/>
          <w:rtl/>
        </w:rPr>
        <w:t>בהצגת</w:t>
      </w:r>
      <w:r>
        <w:rPr>
          <w:rFonts w:hint="cs"/>
        </w:rPr>
        <w:t xml:space="preserve"> </w:t>
      </w:r>
      <w:r>
        <w:rPr>
          <w:rFonts w:hint="cs"/>
          <w:rtl/>
        </w:rPr>
        <w:t>בשוברי</w:t>
      </w:r>
      <w:r>
        <w:rPr>
          <w:rFonts w:hint="cs"/>
        </w:rPr>
        <w:t xml:space="preserve"> </w:t>
      </w:r>
      <w:r>
        <w:rPr>
          <w:rFonts w:hint="cs"/>
          <w:rtl/>
        </w:rPr>
        <w:t>תשלום).</w:t>
      </w:r>
    </w:p>
    <w:p w14:paraId="036FDF8E" w14:textId="77777777" w:rsidR="00D667FC" w:rsidRDefault="00D667FC" w:rsidP="00D667FC">
      <w:pPr>
        <w:pStyle w:val="aa"/>
        <w:spacing w:line="360" w:lineRule="auto"/>
        <w:ind w:left="0"/>
        <w:jc w:val="both"/>
      </w:pPr>
      <w:r>
        <w:rPr>
          <w:rFonts w:hint="cs"/>
          <w:b/>
          <w:bCs/>
          <w:rtl/>
        </w:rPr>
        <w:t>לא תשמע טענה שהנאשם לא קיבל שוברי תשלום בדואר</w:t>
      </w:r>
      <w:r>
        <w:rPr>
          <w:rFonts w:hint="cs"/>
          <w:rtl/>
        </w:rPr>
        <w:t>.</w:t>
      </w:r>
    </w:p>
    <w:p w14:paraId="75DFED46" w14:textId="77777777" w:rsidR="00D667FC" w:rsidRDefault="00D667FC" w:rsidP="00D667FC">
      <w:pPr>
        <w:pStyle w:val="aa"/>
        <w:widowControl w:val="0"/>
        <w:spacing w:line="360" w:lineRule="auto"/>
        <w:jc w:val="both"/>
        <w:rPr>
          <w:sz w:val="24"/>
          <w:rtl/>
        </w:rPr>
      </w:pPr>
    </w:p>
    <w:p w14:paraId="2A9E9A74" w14:textId="77777777" w:rsidR="00D667FC" w:rsidRDefault="00D667FC" w:rsidP="00D667FC">
      <w:pPr>
        <w:widowControl w:val="0"/>
        <w:spacing w:line="360" w:lineRule="auto"/>
        <w:jc w:val="both"/>
        <w:rPr>
          <w:rFonts w:ascii="David" w:hAnsi="David"/>
          <w:b/>
          <w:bCs/>
        </w:rPr>
      </w:pPr>
      <w:r>
        <w:rPr>
          <w:rFonts w:ascii="David" w:hAnsi="David"/>
          <w:b/>
          <w:bCs/>
          <w:rtl/>
        </w:rPr>
        <w:t>ניתן צו להשמדת הסמים.</w:t>
      </w:r>
    </w:p>
    <w:p w14:paraId="21983014" w14:textId="77777777" w:rsidR="00D667FC" w:rsidRDefault="00D667FC" w:rsidP="00D667FC">
      <w:pPr>
        <w:widowControl w:val="0"/>
        <w:spacing w:line="360" w:lineRule="auto"/>
        <w:jc w:val="both"/>
        <w:rPr>
          <w:rFonts w:ascii="David" w:hAnsi="David"/>
          <w:b/>
          <w:bCs/>
        </w:rPr>
      </w:pPr>
    </w:p>
    <w:p w14:paraId="6679443B" w14:textId="77777777" w:rsidR="00D667FC" w:rsidRDefault="00D667FC" w:rsidP="00D667FC">
      <w:pPr>
        <w:widowControl w:val="0"/>
        <w:spacing w:line="360" w:lineRule="auto"/>
        <w:jc w:val="both"/>
        <w:rPr>
          <w:rFonts w:ascii="David" w:hAnsi="David"/>
          <w:b/>
          <w:bCs/>
        </w:rPr>
      </w:pPr>
      <w:r>
        <w:rPr>
          <w:rFonts w:ascii="David" w:hAnsi="David"/>
          <w:b/>
          <w:bCs/>
          <w:rtl/>
        </w:rPr>
        <w:t>ניתן צו כללי למוצגים הנוספים: להשמיד, לחלט ולהשיב לבעלים, לפי שיקול דעת היחידה החוקרת.</w:t>
      </w:r>
    </w:p>
    <w:p w14:paraId="553B8AE3" w14:textId="77777777" w:rsidR="00D667FC" w:rsidRDefault="00D667FC" w:rsidP="00D667FC">
      <w:pPr>
        <w:widowControl w:val="0"/>
        <w:spacing w:line="360" w:lineRule="auto"/>
        <w:jc w:val="both"/>
        <w:rPr>
          <w:rFonts w:ascii="David" w:hAnsi="David"/>
          <w:b/>
          <w:bCs/>
          <w:u w:val="single"/>
          <w:rtl/>
        </w:rPr>
      </w:pPr>
    </w:p>
    <w:p w14:paraId="684BFF2E" w14:textId="77777777" w:rsidR="00D667FC" w:rsidRDefault="00D667FC" w:rsidP="00D667FC">
      <w:pPr>
        <w:widowControl w:val="0"/>
        <w:spacing w:line="360" w:lineRule="auto"/>
        <w:jc w:val="both"/>
        <w:rPr>
          <w:rFonts w:ascii="David" w:hAnsi="David"/>
          <w:b/>
          <w:bCs/>
          <w:u w:val="single"/>
        </w:rPr>
      </w:pPr>
      <w:r>
        <w:rPr>
          <w:rFonts w:ascii="David" w:hAnsi="David"/>
          <w:b/>
          <w:bCs/>
          <w:u w:val="single"/>
          <w:rtl/>
        </w:rPr>
        <w:t>זכות ערעור לבית-המשפט המחוזי תוך 45 יום.</w:t>
      </w:r>
    </w:p>
    <w:p w14:paraId="468963F3" w14:textId="77777777" w:rsidR="00D667FC" w:rsidRDefault="00D667FC" w:rsidP="00D667FC">
      <w:pPr>
        <w:widowControl w:val="0"/>
        <w:spacing w:line="360" w:lineRule="auto"/>
        <w:jc w:val="both"/>
        <w:rPr>
          <w:rFonts w:ascii="David" w:hAnsi="David"/>
          <w:b/>
          <w:bCs/>
          <w:u w:val="single"/>
          <w:rtl/>
        </w:rPr>
      </w:pPr>
    </w:p>
    <w:p w14:paraId="1FCC2BC2" w14:textId="77777777" w:rsidR="00D667FC" w:rsidRDefault="00632865" w:rsidP="00D667FC">
      <w:pPr>
        <w:widowControl w:val="0"/>
        <w:spacing w:line="360" w:lineRule="auto"/>
        <w:jc w:val="both"/>
        <w:rPr>
          <w:rFonts w:ascii="David" w:hAnsi="David"/>
          <w:b/>
          <w:bCs/>
          <w:rtl/>
        </w:rPr>
      </w:pPr>
      <w:r w:rsidRPr="00632865">
        <w:rPr>
          <w:rFonts w:ascii="David" w:hAnsi="David"/>
          <w:b/>
          <w:bCs/>
          <w:color w:val="FFFFFF"/>
          <w:sz w:val="2"/>
          <w:szCs w:val="2"/>
          <w:u w:val="single"/>
          <w:rtl/>
        </w:rPr>
        <w:t>5129371</w:t>
      </w:r>
      <w:r w:rsidR="00D667FC">
        <w:rPr>
          <w:rFonts w:ascii="David" w:hAnsi="David"/>
          <w:b/>
          <w:bCs/>
          <w:u w:val="single"/>
          <w:rtl/>
        </w:rPr>
        <w:t>המזכירות מתבקשת להעביר עותק גזר הדין לממונה על עבודות השירות ולשירות המבחן</w:t>
      </w:r>
      <w:r w:rsidR="00D667FC">
        <w:rPr>
          <w:rFonts w:ascii="David" w:hAnsi="David"/>
          <w:b/>
          <w:bCs/>
          <w:rtl/>
        </w:rPr>
        <w:t xml:space="preserve">. </w:t>
      </w:r>
    </w:p>
    <w:p w14:paraId="76B77A14" w14:textId="77777777" w:rsidR="00D667FC" w:rsidRPr="00632865" w:rsidRDefault="00632865" w:rsidP="00D667FC">
      <w:pPr>
        <w:rPr>
          <w:rFonts w:ascii="Arial" w:hAnsi="Arial"/>
          <w:b/>
          <w:bCs/>
          <w:color w:val="FFFFFF"/>
          <w:sz w:val="2"/>
          <w:szCs w:val="2"/>
          <w:rtl/>
        </w:rPr>
      </w:pPr>
      <w:r w:rsidRPr="00632865">
        <w:rPr>
          <w:rFonts w:ascii="Arial" w:hAnsi="Arial"/>
          <w:b/>
          <w:bCs/>
          <w:color w:val="FFFFFF"/>
          <w:sz w:val="2"/>
          <w:szCs w:val="2"/>
          <w:rtl/>
        </w:rPr>
        <w:t>54678313</w:t>
      </w:r>
    </w:p>
    <w:p w14:paraId="77D351D7" w14:textId="77777777" w:rsidR="00D667FC" w:rsidRDefault="00D667FC" w:rsidP="00D667FC">
      <w:pPr>
        <w:rPr>
          <w:rFonts w:ascii="Arial" w:hAnsi="Arial"/>
          <w:b/>
          <w:bCs/>
          <w:sz w:val="26"/>
          <w:szCs w:val="26"/>
          <w:rtl/>
        </w:rPr>
      </w:pPr>
    </w:p>
    <w:p w14:paraId="00F799A0" w14:textId="77777777" w:rsidR="00D667FC" w:rsidRPr="000F2247" w:rsidRDefault="00632865" w:rsidP="00D667FC">
      <w:pPr>
        <w:spacing w:line="360" w:lineRule="auto"/>
        <w:jc w:val="both"/>
        <w:rPr>
          <w:rFonts w:ascii="Arial" w:hAnsi="Arial"/>
          <w:b/>
          <w:bCs/>
          <w:sz w:val="26"/>
          <w:szCs w:val="26"/>
          <w:rtl/>
        </w:rPr>
      </w:pPr>
      <w:bookmarkStart w:id="8" w:name="Nitan"/>
      <w:r>
        <w:rPr>
          <w:rFonts w:ascii="Arial" w:hAnsi="Arial"/>
          <w:b/>
          <w:bCs/>
          <w:sz w:val="26"/>
          <w:szCs w:val="26"/>
          <w:rtl/>
        </w:rPr>
        <w:t xml:space="preserve">ניתן והודע היום,  י' אדר ב' תשפ"ד, 20 מרץ 2024, במעמד הצדדים. </w:t>
      </w:r>
      <w:bookmarkEnd w:id="8"/>
      <w:r w:rsidR="00D667FC">
        <w:rPr>
          <w:rFonts w:ascii="Arial" w:hAnsi="Arial"/>
          <w:b/>
          <w:bCs/>
          <w:sz w:val="26"/>
          <w:szCs w:val="26"/>
          <w:rtl/>
        </w:rPr>
        <w:tab/>
      </w:r>
      <w:r w:rsidR="00D667FC">
        <w:rPr>
          <w:rFonts w:ascii="Arial" w:hAnsi="Arial"/>
          <w:b/>
          <w:bCs/>
          <w:sz w:val="26"/>
          <w:szCs w:val="26"/>
          <w:rtl/>
        </w:rPr>
        <w:tab/>
      </w:r>
      <w:r w:rsidR="00D667FC">
        <w:rPr>
          <w:rFonts w:ascii="Arial" w:hAnsi="Arial"/>
          <w:b/>
          <w:bCs/>
          <w:sz w:val="26"/>
          <w:szCs w:val="26"/>
          <w:rtl/>
        </w:rPr>
        <w:tab/>
      </w:r>
      <w:r w:rsidR="00D667FC">
        <w:rPr>
          <w:rFonts w:ascii="Arial" w:hAnsi="Arial"/>
          <w:b/>
          <w:bCs/>
          <w:sz w:val="26"/>
          <w:szCs w:val="26"/>
          <w:rtl/>
        </w:rPr>
        <w:tab/>
      </w:r>
      <w:r w:rsidR="00D667FC">
        <w:rPr>
          <w:rFonts w:ascii="Arial" w:hAnsi="Arial"/>
          <w:b/>
          <w:bCs/>
          <w:sz w:val="26"/>
          <w:szCs w:val="26"/>
          <w:rtl/>
        </w:rPr>
        <w:tab/>
      </w:r>
      <w:r w:rsidR="00D667FC">
        <w:rPr>
          <w:rFonts w:ascii="Arial" w:hAnsi="Arial"/>
          <w:b/>
          <w:bCs/>
          <w:sz w:val="26"/>
          <w:szCs w:val="26"/>
          <w:rtl/>
        </w:rPr>
        <w:tab/>
      </w:r>
      <w:r w:rsidR="00D667FC">
        <w:rPr>
          <w:rFonts w:ascii="Arial" w:hAnsi="Arial"/>
          <w:b/>
          <w:bCs/>
          <w:sz w:val="26"/>
          <w:szCs w:val="26"/>
          <w:rtl/>
        </w:rPr>
        <w:tab/>
      </w:r>
      <w:r w:rsidR="00D667FC">
        <w:rPr>
          <w:rFonts w:ascii="Arial" w:hAnsi="Arial" w:hint="cs"/>
          <w:b/>
          <w:bCs/>
          <w:sz w:val="26"/>
          <w:szCs w:val="26"/>
          <w:rtl/>
        </w:rPr>
        <w:t xml:space="preserve">         </w:t>
      </w:r>
    </w:p>
    <w:p w14:paraId="35CD2D9F" w14:textId="77777777" w:rsidR="00D667FC" w:rsidRPr="000F2247" w:rsidRDefault="00D667FC" w:rsidP="0063286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B5C03D5" w14:textId="77777777" w:rsidR="00D667FC" w:rsidRPr="000F2247" w:rsidRDefault="00D667FC" w:rsidP="00D667FC">
      <w:pPr>
        <w:jc w:val="center"/>
        <w:rPr>
          <w:rFonts w:ascii="Arial" w:hAnsi="Arial"/>
          <w:b/>
          <w:bCs/>
          <w:sz w:val="26"/>
          <w:szCs w:val="26"/>
          <w:rtl/>
        </w:rPr>
      </w:pPr>
    </w:p>
    <w:p w14:paraId="340BC3DE" w14:textId="77777777" w:rsidR="003E6434" w:rsidRPr="00632865" w:rsidRDefault="003E6434" w:rsidP="00632865">
      <w:pPr>
        <w:keepNext/>
        <w:rPr>
          <w:rFonts w:ascii="David" w:hAnsi="David"/>
          <w:color w:val="000000"/>
          <w:sz w:val="22"/>
          <w:szCs w:val="22"/>
          <w:rtl/>
        </w:rPr>
      </w:pPr>
    </w:p>
    <w:p w14:paraId="4265EC0C" w14:textId="77777777" w:rsidR="00632865" w:rsidRPr="00632865" w:rsidRDefault="00632865" w:rsidP="00632865">
      <w:pPr>
        <w:keepNext/>
        <w:rPr>
          <w:rFonts w:ascii="David" w:hAnsi="David"/>
          <w:color w:val="000000"/>
          <w:sz w:val="22"/>
          <w:szCs w:val="22"/>
          <w:rtl/>
        </w:rPr>
      </w:pPr>
      <w:r w:rsidRPr="00632865">
        <w:rPr>
          <w:rFonts w:ascii="David" w:hAnsi="David"/>
          <w:color w:val="000000"/>
          <w:sz w:val="22"/>
          <w:szCs w:val="22"/>
          <w:rtl/>
        </w:rPr>
        <w:t>זהר דולב להמן 54678313</w:t>
      </w:r>
    </w:p>
    <w:p w14:paraId="5B1D5E60" w14:textId="77777777" w:rsidR="00632865" w:rsidRDefault="00632865" w:rsidP="00632865">
      <w:r w:rsidRPr="00632865">
        <w:rPr>
          <w:color w:val="000000"/>
          <w:rtl/>
        </w:rPr>
        <w:t>נוסח מסמך זה כפוף לשינויי ניסוח ועריכה</w:t>
      </w:r>
    </w:p>
    <w:p w14:paraId="10BA76CC" w14:textId="77777777" w:rsidR="00632865" w:rsidRDefault="00632865" w:rsidP="00632865">
      <w:pPr>
        <w:rPr>
          <w:rtl/>
        </w:rPr>
      </w:pPr>
    </w:p>
    <w:p w14:paraId="5C6C357E" w14:textId="77777777" w:rsidR="00632865" w:rsidRDefault="00632865" w:rsidP="00632865">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3E4D0441" w14:textId="77777777" w:rsidR="00632865" w:rsidRPr="00632865" w:rsidRDefault="00632865" w:rsidP="00632865">
      <w:pPr>
        <w:jc w:val="center"/>
        <w:rPr>
          <w:color w:val="0000FF"/>
          <w:u w:val="single"/>
        </w:rPr>
      </w:pPr>
    </w:p>
    <w:sectPr w:rsidR="00632865" w:rsidRPr="00632865" w:rsidSect="00632865">
      <w:headerReference w:type="even" r:id="rId62"/>
      <w:headerReference w:type="default" r:id="rId63"/>
      <w:footerReference w:type="even" r:id="rId64"/>
      <w:footerReference w:type="default" r:id="rId65"/>
      <w:pgSz w:w="11907" w:h="16840" w:code="9"/>
      <w:pgMar w:top="1701" w:right="1701" w:bottom="170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CD355" w14:textId="77777777" w:rsidR="003A4907" w:rsidRDefault="003A4907" w:rsidP="00A044D8">
      <w:r>
        <w:separator/>
      </w:r>
    </w:p>
  </w:endnote>
  <w:endnote w:type="continuationSeparator" w:id="0">
    <w:p w14:paraId="1C358A6A" w14:textId="77777777" w:rsidR="003A4907" w:rsidRDefault="003A4907" w:rsidP="00A0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D3BA8" w14:textId="77777777" w:rsidR="00632865" w:rsidRDefault="00632865" w:rsidP="006328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66604B" w14:textId="77777777" w:rsidR="004E0536" w:rsidRPr="00632865" w:rsidRDefault="00632865" w:rsidP="006328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69B74" w14:textId="77777777" w:rsidR="00632865" w:rsidRDefault="00632865" w:rsidP="006328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05F9">
      <w:rPr>
        <w:rFonts w:ascii="FrankRuehl" w:hAnsi="FrankRuehl" w:cs="FrankRuehl"/>
        <w:noProof/>
        <w:rtl/>
      </w:rPr>
      <w:t>1</w:t>
    </w:r>
    <w:r>
      <w:rPr>
        <w:rFonts w:ascii="FrankRuehl" w:hAnsi="FrankRuehl" w:cs="FrankRuehl"/>
        <w:rtl/>
      </w:rPr>
      <w:fldChar w:fldCharType="end"/>
    </w:r>
  </w:p>
  <w:p w14:paraId="2D36868F" w14:textId="77777777" w:rsidR="004E0536" w:rsidRPr="00632865" w:rsidRDefault="00632865" w:rsidP="006328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31C8E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7FDFF" w14:textId="77777777" w:rsidR="003A4907" w:rsidRDefault="003A4907" w:rsidP="00A044D8">
      <w:r>
        <w:separator/>
      </w:r>
    </w:p>
  </w:footnote>
  <w:footnote w:type="continuationSeparator" w:id="0">
    <w:p w14:paraId="35078583" w14:textId="77777777" w:rsidR="003A4907" w:rsidRDefault="003A4907" w:rsidP="00A04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9B50F" w14:textId="77777777" w:rsidR="00632865" w:rsidRPr="00632865" w:rsidRDefault="00632865" w:rsidP="0063286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69400-07-20</w:t>
    </w:r>
    <w:r>
      <w:rPr>
        <w:rFonts w:ascii="David" w:hAnsi="David"/>
        <w:color w:val="000000"/>
        <w:sz w:val="22"/>
        <w:szCs w:val="22"/>
        <w:rtl/>
      </w:rPr>
      <w:tab/>
      <w:t xml:space="preserve"> מדינת ישראל נ' מור מוריס מזלטרין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27E1B" w14:textId="77777777" w:rsidR="00632865" w:rsidRPr="00632865" w:rsidRDefault="00632865" w:rsidP="0063286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69400-07-20</w:t>
    </w:r>
    <w:r>
      <w:rPr>
        <w:rFonts w:ascii="David" w:hAnsi="David"/>
        <w:color w:val="000000"/>
        <w:sz w:val="22"/>
        <w:szCs w:val="22"/>
        <w:rtl/>
      </w:rPr>
      <w:tab/>
      <w:t xml:space="preserve"> מדינת ישראל נ' מור מוריס מזלטרין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93E3F"/>
    <w:multiLevelType w:val="hybridMultilevel"/>
    <w:tmpl w:val="C1AEB916"/>
    <w:lvl w:ilvl="0" w:tplc="088E9D7C">
      <w:start w:val="1"/>
      <w:numFmt w:val="decimal"/>
      <w:lvlText w:val="%1."/>
      <w:lvlJc w:val="left"/>
      <w:pPr>
        <w:ind w:left="720" w:hanging="360"/>
      </w:pPr>
      <w:rPr>
        <w:rFonts w:ascii="David" w:hAnsi="David" w:cs="David" w:hint="default"/>
        <w:b w:val="0"/>
        <w:bCs w:val="0"/>
        <w:sz w:val="24"/>
        <w:szCs w:val="24"/>
      </w:rPr>
    </w:lvl>
    <w:lvl w:ilvl="1" w:tplc="404CFFCA">
      <w:start w:val="1"/>
      <w:numFmt w:val="hebrew1"/>
      <w:lvlText w:val="%2."/>
      <w:lvlJc w:val="center"/>
      <w:pPr>
        <w:ind w:left="1440" w:hanging="360"/>
      </w:pPr>
    </w:lvl>
    <w:lvl w:ilvl="2" w:tplc="8272D14E">
      <w:start w:val="1"/>
      <w:numFmt w:val="decimal"/>
      <w:lvlText w:val="(%3)"/>
      <w:lvlJc w:val="left"/>
      <w:pPr>
        <w:ind w:left="2160" w:hanging="180"/>
      </w:pPr>
      <w:rPr>
        <w:rFonts w:cs="David"/>
        <w:bCs w:val="0"/>
        <w:iCs w:val="0"/>
        <w:szCs w:val="24"/>
      </w:rPr>
    </w:lvl>
    <w:lvl w:ilvl="3" w:tplc="23D87F3C">
      <w:start w:val="1"/>
      <w:numFmt w:val="decimal"/>
      <w:lvlText w:val="%4."/>
      <w:lvlJc w:val="left"/>
      <w:pPr>
        <w:ind w:left="2880" w:hanging="360"/>
      </w:pPr>
    </w:lvl>
    <w:lvl w:ilvl="4" w:tplc="9A8A4FC4">
      <w:start w:val="1"/>
      <w:numFmt w:val="lowerLetter"/>
      <w:lvlText w:val="%5."/>
      <w:lvlJc w:val="left"/>
      <w:pPr>
        <w:ind w:left="3600" w:hanging="360"/>
      </w:pPr>
    </w:lvl>
    <w:lvl w:ilvl="5" w:tplc="621E84A0">
      <w:start w:val="1"/>
      <w:numFmt w:val="lowerRoman"/>
      <w:lvlText w:val="%6."/>
      <w:lvlJc w:val="right"/>
      <w:pPr>
        <w:ind w:left="4320" w:hanging="180"/>
      </w:pPr>
    </w:lvl>
    <w:lvl w:ilvl="6" w:tplc="51B85160">
      <w:start w:val="1"/>
      <w:numFmt w:val="decimal"/>
      <w:lvlText w:val="%7."/>
      <w:lvlJc w:val="left"/>
      <w:pPr>
        <w:ind w:left="5040" w:hanging="360"/>
      </w:pPr>
    </w:lvl>
    <w:lvl w:ilvl="7" w:tplc="5E344656">
      <w:start w:val="1"/>
      <w:numFmt w:val="lowerLetter"/>
      <w:lvlText w:val="%8."/>
      <w:lvlJc w:val="left"/>
      <w:pPr>
        <w:ind w:left="5760" w:hanging="360"/>
      </w:pPr>
    </w:lvl>
    <w:lvl w:ilvl="8" w:tplc="B6B84ECE">
      <w:start w:val="1"/>
      <w:numFmt w:val="lowerRoman"/>
      <w:lvlText w:val="%9."/>
      <w:lvlJc w:val="right"/>
      <w:pPr>
        <w:ind w:left="6480" w:hanging="180"/>
      </w:pPr>
    </w:lvl>
  </w:abstractNum>
  <w:abstractNum w:abstractNumId="1" w15:restartNumberingAfterBreak="0">
    <w:nsid w:val="6D3856D5"/>
    <w:multiLevelType w:val="hybridMultilevel"/>
    <w:tmpl w:val="E94C95BE"/>
    <w:lvl w:ilvl="0" w:tplc="7F6A9D34">
      <w:start w:val="1"/>
      <w:numFmt w:val="bullet"/>
      <w:lvlText w:val=""/>
      <w:lvlJc w:val="left"/>
      <w:pPr>
        <w:ind w:left="1445" w:hanging="360"/>
      </w:pPr>
      <w:rPr>
        <w:rFonts w:ascii="Symbol" w:hAnsi="Symbol" w:hint="default"/>
      </w:rPr>
    </w:lvl>
    <w:lvl w:ilvl="1" w:tplc="4F8ACA3C">
      <w:start w:val="1"/>
      <w:numFmt w:val="bullet"/>
      <w:lvlText w:val="o"/>
      <w:lvlJc w:val="left"/>
      <w:pPr>
        <w:ind w:left="2165" w:hanging="360"/>
      </w:pPr>
      <w:rPr>
        <w:rFonts w:ascii="Courier New" w:hAnsi="Courier New" w:cs="Courier New" w:hint="default"/>
      </w:rPr>
    </w:lvl>
    <w:lvl w:ilvl="2" w:tplc="E4EE0428">
      <w:start w:val="1"/>
      <w:numFmt w:val="bullet"/>
      <w:lvlText w:val=""/>
      <w:lvlJc w:val="left"/>
      <w:pPr>
        <w:ind w:left="2885" w:hanging="360"/>
      </w:pPr>
      <w:rPr>
        <w:rFonts w:ascii="Wingdings" w:hAnsi="Wingdings" w:hint="default"/>
      </w:rPr>
    </w:lvl>
    <w:lvl w:ilvl="3" w:tplc="E45E7308">
      <w:start w:val="1"/>
      <w:numFmt w:val="bullet"/>
      <w:lvlText w:val=""/>
      <w:lvlJc w:val="left"/>
      <w:pPr>
        <w:ind w:left="3605" w:hanging="360"/>
      </w:pPr>
      <w:rPr>
        <w:rFonts w:ascii="Symbol" w:hAnsi="Symbol" w:hint="default"/>
      </w:rPr>
    </w:lvl>
    <w:lvl w:ilvl="4" w:tplc="5978ACF8">
      <w:start w:val="1"/>
      <w:numFmt w:val="bullet"/>
      <w:lvlText w:val="o"/>
      <w:lvlJc w:val="left"/>
      <w:pPr>
        <w:ind w:left="4325" w:hanging="360"/>
      </w:pPr>
      <w:rPr>
        <w:rFonts w:ascii="Courier New" w:hAnsi="Courier New" w:cs="Courier New" w:hint="default"/>
      </w:rPr>
    </w:lvl>
    <w:lvl w:ilvl="5" w:tplc="20D4EB1C">
      <w:start w:val="1"/>
      <w:numFmt w:val="bullet"/>
      <w:lvlText w:val=""/>
      <w:lvlJc w:val="left"/>
      <w:pPr>
        <w:ind w:left="5045" w:hanging="360"/>
      </w:pPr>
      <w:rPr>
        <w:rFonts w:ascii="Wingdings" w:hAnsi="Wingdings" w:hint="default"/>
      </w:rPr>
    </w:lvl>
    <w:lvl w:ilvl="6" w:tplc="494419A6">
      <w:start w:val="1"/>
      <w:numFmt w:val="bullet"/>
      <w:lvlText w:val=""/>
      <w:lvlJc w:val="left"/>
      <w:pPr>
        <w:ind w:left="5765" w:hanging="360"/>
      </w:pPr>
      <w:rPr>
        <w:rFonts w:ascii="Symbol" w:hAnsi="Symbol" w:hint="default"/>
      </w:rPr>
    </w:lvl>
    <w:lvl w:ilvl="7" w:tplc="3E42F07C">
      <w:start w:val="1"/>
      <w:numFmt w:val="bullet"/>
      <w:lvlText w:val="o"/>
      <w:lvlJc w:val="left"/>
      <w:pPr>
        <w:ind w:left="6485" w:hanging="360"/>
      </w:pPr>
      <w:rPr>
        <w:rFonts w:ascii="Courier New" w:hAnsi="Courier New" w:cs="Courier New" w:hint="default"/>
      </w:rPr>
    </w:lvl>
    <w:lvl w:ilvl="8" w:tplc="7612F8CC">
      <w:start w:val="1"/>
      <w:numFmt w:val="bullet"/>
      <w:lvlText w:val=""/>
      <w:lvlJc w:val="left"/>
      <w:pPr>
        <w:ind w:left="7205" w:hanging="360"/>
      </w:pPr>
      <w:rPr>
        <w:rFonts w:ascii="Wingdings" w:hAnsi="Wingdings" w:hint="default"/>
      </w:rPr>
    </w:lvl>
  </w:abstractNum>
  <w:abstractNum w:abstractNumId="2" w15:restartNumberingAfterBreak="0">
    <w:nsid w:val="6F2C2F6F"/>
    <w:multiLevelType w:val="hybridMultilevel"/>
    <w:tmpl w:val="004A8B48"/>
    <w:lvl w:ilvl="0" w:tplc="889074E2">
      <w:start w:val="1"/>
      <w:numFmt w:val="decimal"/>
      <w:lvlText w:val="%1."/>
      <w:lvlJc w:val="left"/>
      <w:pPr>
        <w:ind w:left="720" w:hanging="360"/>
      </w:pPr>
      <w:rPr>
        <w:rFonts w:ascii="David" w:hAnsi="David" w:cs="David" w:hint="default"/>
        <w:b w:val="0"/>
        <w:bCs w:val="0"/>
        <w:sz w:val="24"/>
        <w:szCs w:val="24"/>
      </w:rPr>
    </w:lvl>
    <w:lvl w:ilvl="1" w:tplc="7EC02BEC">
      <w:start w:val="1"/>
      <w:numFmt w:val="hebrew1"/>
      <w:lvlText w:val="%2)"/>
      <w:lvlJc w:val="center"/>
      <w:pPr>
        <w:ind w:left="1440" w:hanging="360"/>
      </w:pPr>
      <w:rPr>
        <w:rFonts w:cs="David"/>
      </w:rPr>
    </w:lvl>
    <w:lvl w:ilvl="2" w:tplc="6B869332">
      <w:start w:val="1"/>
      <w:numFmt w:val="decimal"/>
      <w:lvlText w:val="(%3)"/>
      <w:lvlJc w:val="left"/>
      <w:pPr>
        <w:ind w:left="2160" w:hanging="180"/>
      </w:pPr>
      <w:rPr>
        <w:rFonts w:cs="David"/>
        <w:bCs w:val="0"/>
        <w:iCs w:val="0"/>
        <w:szCs w:val="24"/>
      </w:rPr>
    </w:lvl>
    <w:lvl w:ilvl="3" w:tplc="8828E43C">
      <w:start w:val="1"/>
      <w:numFmt w:val="decimal"/>
      <w:lvlText w:val="%4."/>
      <w:lvlJc w:val="left"/>
      <w:pPr>
        <w:ind w:left="2880" w:hanging="360"/>
      </w:pPr>
    </w:lvl>
    <w:lvl w:ilvl="4" w:tplc="943C4B0A">
      <w:start w:val="1"/>
      <w:numFmt w:val="lowerLetter"/>
      <w:lvlText w:val="%5."/>
      <w:lvlJc w:val="left"/>
      <w:pPr>
        <w:ind w:left="3600" w:hanging="360"/>
      </w:pPr>
    </w:lvl>
    <w:lvl w:ilvl="5" w:tplc="4FF254D2">
      <w:start w:val="1"/>
      <w:numFmt w:val="lowerRoman"/>
      <w:lvlText w:val="%6."/>
      <w:lvlJc w:val="right"/>
      <w:pPr>
        <w:ind w:left="4320" w:hanging="180"/>
      </w:pPr>
    </w:lvl>
    <w:lvl w:ilvl="6" w:tplc="4D04074A">
      <w:start w:val="1"/>
      <w:numFmt w:val="decimal"/>
      <w:lvlText w:val="%7."/>
      <w:lvlJc w:val="left"/>
      <w:pPr>
        <w:ind w:left="5040" w:hanging="360"/>
      </w:pPr>
    </w:lvl>
    <w:lvl w:ilvl="7" w:tplc="F57A0260">
      <w:start w:val="1"/>
      <w:numFmt w:val="lowerLetter"/>
      <w:lvlText w:val="%8."/>
      <w:lvlJc w:val="left"/>
      <w:pPr>
        <w:ind w:left="5760" w:hanging="360"/>
      </w:pPr>
    </w:lvl>
    <w:lvl w:ilvl="8" w:tplc="5F3A8D00">
      <w:start w:val="1"/>
      <w:numFmt w:val="lowerRoman"/>
      <w:lvlText w:val="%9."/>
      <w:lvlJc w:val="right"/>
      <w:pPr>
        <w:ind w:left="6480" w:hanging="180"/>
      </w:pPr>
    </w:lvl>
  </w:abstractNum>
  <w:num w:numId="1" w16cid:durableId="1509247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3152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299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67FC"/>
    <w:rsid w:val="001B5A3B"/>
    <w:rsid w:val="001B701A"/>
    <w:rsid w:val="00243703"/>
    <w:rsid w:val="00264CC0"/>
    <w:rsid w:val="00286CAA"/>
    <w:rsid w:val="002D1453"/>
    <w:rsid w:val="003A4907"/>
    <w:rsid w:val="003C0062"/>
    <w:rsid w:val="003E6434"/>
    <w:rsid w:val="004805F9"/>
    <w:rsid w:val="004E0536"/>
    <w:rsid w:val="00632865"/>
    <w:rsid w:val="00940A35"/>
    <w:rsid w:val="00A044D8"/>
    <w:rsid w:val="00A3721C"/>
    <w:rsid w:val="00BB6E60"/>
    <w:rsid w:val="00D667FC"/>
    <w:rsid w:val="00D803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F387E5"/>
  <w15:chartTrackingRefBased/>
  <w15:docId w15:val="{E442FF86-A712-41F7-8349-18A3AF6C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67F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67FC"/>
    <w:pPr>
      <w:tabs>
        <w:tab w:val="center" w:pos="4153"/>
        <w:tab w:val="right" w:pos="8306"/>
      </w:tabs>
    </w:pPr>
  </w:style>
  <w:style w:type="character" w:customStyle="1" w:styleId="a4">
    <w:name w:val="כותרת עליונה תו"/>
    <w:link w:val="a3"/>
    <w:rsid w:val="00D667FC"/>
    <w:rPr>
      <w:rFonts w:ascii="Times New Roman" w:eastAsia="Times New Roman" w:hAnsi="Times New Roman" w:cs="David"/>
      <w:sz w:val="24"/>
      <w:szCs w:val="24"/>
    </w:rPr>
  </w:style>
  <w:style w:type="paragraph" w:styleId="a5">
    <w:name w:val="footer"/>
    <w:basedOn w:val="a"/>
    <w:link w:val="a6"/>
    <w:rsid w:val="00D667FC"/>
    <w:pPr>
      <w:tabs>
        <w:tab w:val="center" w:pos="4153"/>
        <w:tab w:val="right" w:pos="8306"/>
      </w:tabs>
    </w:pPr>
  </w:style>
  <w:style w:type="character" w:customStyle="1" w:styleId="a6">
    <w:name w:val="כותרת תחתונה תו"/>
    <w:link w:val="a5"/>
    <w:rsid w:val="00D667FC"/>
    <w:rPr>
      <w:rFonts w:ascii="Times New Roman" w:eastAsia="Times New Roman" w:hAnsi="Times New Roman" w:cs="David"/>
      <w:sz w:val="24"/>
      <w:szCs w:val="24"/>
    </w:rPr>
  </w:style>
  <w:style w:type="table" w:styleId="a7">
    <w:name w:val="Table Grid"/>
    <w:basedOn w:val="a1"/>
    <w:rsid w:val="00D667F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667FC"/>
  </w:style>
  <w:style w:type="character" w:customStyle="1" w:styleId="a9">
    <w:name w:val="פיסקת רשימה תו"/>
    <w:link w:val="aa"/>
    <w:locked/>
    <w:rsid w:val="00D667FC"/>
    <w:rPr>
      <w:rFonts w:ascii="David" w:hAnsi="David" w:cs="David"/>
      <w:szCs w:val="24"/>
      <w:lang w:eastAsia="he-IL"/>
    </w:rPr>
  </w:style>
  <w:style w:type="paragraph" w:styleId="aa">
    <w:name w:val="List Paragraph"/>
    <w:basedOn w:val="a"/>
    <w:link w:val="a9"/>
    <w:qFormat/>
    <w:rsid w:val="00D667FC"/>
    <w:pPr>
      <w:snapToGrid w:val="0"/>
      <w:ind w:left="720"/>
      <w:contextualSpacing/>
    </w:pPr>
    <w:rPr>
      <w:rFonts w:ascii="David" w:eastAsia="Calibri" w:hAnsi="David"/>
      <w:sz w:val="22"/>
      <w:lang w:eastAsia="he-IL"/>
    </w:rPr>
  </w:style>
  <w:style w:type="paragraph" w:customStyle="1" w:styleId="gmail-msonospacing">
    <w:name w:val="gmail-msonospacing"/>
    <w:basedOn w:val="a"/>
    <w:rsid w:val="00D667FC"/>
    <w:pPr>
      <w:bidi w:val="0"/>
      <w:spacing w:before="100" w:beforeAutospacing="1" w:after="100" w:afterAutospacing="1"/>
    </w:pPr>
    <w:rPr>
      <w:rFonts w:eastAsia="Calibri" w:cs="Times New Roman"/>
    </w:rPr>
  </w:style>
  <w:style w:type="character" w:styleId="Hyperlink">
    <w:name w:val="Hyperlink"/>
    <w:rsid w:val="006328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3827604" TargetMode="External"/><Relationship Id="rId21" Type="http://schemas.openxmlformats.org/officeDocument/2006/relationships/hyperlink" Target="http://www.nevo.co.il/law/4216/6" TargetMode="External"/><Relationship Id="rId34" Type="http://schemas.openxmlformats.org/officeDocument/2006/relationships/hyperlink" Target="http://www.nevo.co.il/law/70301/40ji" TargetMode="External"/><Relationship Id="rId42" Type="http://schemas.openxmlformats.org/officeDocument/2006/relationships/hyperlink" Target="http://www.nevo.co.il/law/70301/40c.b" TargetMode="External"/><Relationship Id="rId47" Type="http://schemas.openxmlformats.org/officeDocument/2006/relationships/hyperlink" Target="http://www.nevo.co.il/case/22938500" TargetMode="External"/><Relationship Id="rId50" Type="http://schemas.openxmlformats.org/officeDocument/2006/relationships/hyperlink" Target="http://www.nevo.co.il/law/70301/40d.a" TargetMode="External"/><Relationship Id="rId55" Type="http://schemas.openxmlformats.org/officeDocument/2006/relationships/hyperlink" Target="http://www.nevo.co.il/law/70301"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f" TargetMode="External"/><Relationship Id="rId29" Type="http://schemas.openxmlformats.org/officeDocument/2006/relationships/hyperlink" Target="http://www.nevo.co.il/case/27347635" TargetMode="External"/><Relationship Id="rId11" Type="http://schemas.openxmlformats.org/officeDocument/2006/relationships/hyperlink" Target="http://www.nevo.co.il/law/70301/40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111708" TargetMode="External"/><Relationship Id="rId37" Type="http://schemas.openxmlformats.org/officeDocument/2006/relationships/hyperlink" Target="http://www.nevo.co.il/case/24366066"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d"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0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 TargetMode="External"/><Relationship Id="rId27" Type="http://schemas.openxmlformats.org/officeDocument/2006/relationships/hyperlink" Target="http://www.nevo.co.il/case/30055845" TargetMode="External"/><Relationship Id="rId30" Type="http://schemas.openxmlformats.org/officeDocument/2006/relationships/hyperlink" Target="http://www.nevo.co.il/case/26396568"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d.a" TargetMode="External"/><Relationship Id="rId56" Type="http://schemas.openxmlformats.org/officeDocument/2006/relationships/hyperlink" Target="http://www.nevo.co.il/law/70301/40d" TargetMode="External"/><Relationship Id="rId64"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g" TargetMode="External"/><Relationship Id="rId25" Type="http://schemas.openxmlformats.org/officeDocument/2006/relationships/hyperlink" Target="http://www.nevo.co.il/case/6987521" TargetMode="External"/><Relationship Id="rId33" Type="http://schemas.openxmlformats.org/officeDocument/2006/relationships/hyperlink" Target="http://www.nevo.co.il/case/27634418" TargetMode="External"/><Relationship Id="rId38" Type="http://schemas.openxmlformats.org/officeDocument/2006/relationships/hyperlink" Target="http://www.nevo.co.il/case/1811916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40g" TargetMode="External"/><Relationship Id="rId67" Type="http://schemas.openxmlformats.org/officeDocument/2006/relationships/theme" Target="theme/theme1.xml"/><Relationship Id="rId20" Type="http://schemas.openxmlformats.org/officeDocument/2006/relationships/hyperlink" Target="http://www.nevo.co.il/law/70301/40ji" TargetMode="External"/><Relationship Id="rId41" Type="http://schemas.openxmlformats.org/officeDocument/2006/relationships/hyperlink" Target="http://www.nevo.co.il/law/4216/37a" TargetMode="External"/><Relationship Id="rId54" Type="http://schemas.openxmlformats.org/officeDocument/2006/relationships/hyperlink" Target="http://www.nevo.co.il/law/70301/40a"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27502816" TargetMode="External"/><Relationship Id="rId36" Type="http://schemas.openxmlformats.org/officeDocument/2006/relationships/hyperlink" Target="http://www.nevo.co.il/case/22841413"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4345651" TargetMode="External"/><Relationship Id="rId44" Type="http://schemas.openxmlformats.org/officeDocument/2006/relationships/hyperlink" Target="http://www.nevo.co.il/law/70301/40ja" TargetMode="External"/><Relationship Id="rId52" Type="http://schemas.openxmlformats.org/officeDocument/2006/relationships/hyperlink" Target="http://www.nevo.co.il/law/70301/40a" TargetMode="External"/><Relationship Id="rId60" Type="http://schemas.openxmlformats.org/officeDocument/2006/relationships/hyperlink" Target="http://www.nevo.co.il/law/70301"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37a"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40h" TargetMode="External"/><Relationship Id="rId39" Type="http://schemas.openxmlformats.org/officeDocument/2006/relationships/hyperlink" Target="http://www.nevo.co.il/law/70301/40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3907</Words>
  <Characters>19539</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23400</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6619233</vt:i4>
      </vt:variant>
      <vt:variant>
        <vt:i4>156</vt:i4>
      </vt:variant>
      <vt:variant>
        <vt:i4>0</vt:i4>
      </vt:variant>
      <vt:variant>
        <vt:i4>5</vt:i4>
      </vt:variant>
      <vt:variant>
        <vt:lpwstr>http://www.nevo.co.il/law/70301/40g</vt:lpwstr>
      </vt:variant>
      <vt:variant>
        <vt:lpwstr/>
      </vt:variant>
      <vt:variant>
        <vt:i4>6619233</vt:i4>
      </vt:variant>
      <vt:variant>
        <vt:i4>153</vt:i4>
      </vt:variant>
      <vt:variant>
        <vt:i4>0</vt:i4>
      </vt:variant>
      <vt:variant>
        <vt:i4>5</vt:i4>
      </vt:variant>
      <vt:variant>
        <vt:lpwstr>http://www.nevo.co.il/law/70301/40f</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http://www.nevo.co.il/law/70301/40d</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4915205</vt:i4>
      </vt:variant>
      <vt:variant>
        <vt:i4>129</vt:i4>
      </vt:variant>
      <vt:variant>
        <vt:i4>0</vt:i4>
      </vt:variant>
      <vt:variant>
        <vt:i4>5</vt:i4>
      </vt:variant>
      <vt:variant>
        <vt:lpwstr>http://www.nevo.co.il/law/70301/40d.a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4915205</vt:i4>
      </vt:variant>
      <vt:variant>
        <vt:i4>123</vt:i4>
      </vt:variant>
      <vt:variant>
        <vt:i4>0</vt:i4>
      </vt:variant>
      <vt:variant>
        <vt:i4>5</vt:i4>
      </vt:variant>
      <vt:variant>
        <vt:lpwstr>http://www.nevo.co.il/law/70301/40d.a</vt:lpwstr>
      </vt:variant>
      <vt:variant>
        <vt:lpwstr/>
      </vt:variant>
      <vt:variant>
        <vt:i4>3342448</vt:i4>
      </vt:variant>
      <vt:variant>
        <vt:i4>120</vt:i4>
      </vt:variant>
      <vt:variant>
        <vt:i4>0</vt:i4>
      </vt:variant>
      <vt:variant>
        <vt:i4>5</vt:i4>
      </vt:variant>
      <vt:variant>
        <vt:lpwstr>http://www.nevo.co.il/case/22938500</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4915202</vt:i4>
      </vt:variant>
      <vt:variant>
        <vt:i4>105</vt:i4>
      </vt:variant>
      <vt:variant>
        <vt:i4>0</vt:i4>
      </vt:variant>
      <vt:variant>
        <vt:i4>5</vt:i4>
      </vt:variant>
      <vt:variant>
        <vt:lpwstr>http://www.nevo.co.il/law/70301/40c.b</vt:lpwstr>
      </vt:variant>
      <vt:variant>
        <vt:lpwstr/>
      </vt:variant>
      <vt:variant>
        <vt:i4>2883709</vt:i4>
      </vt:variant>
      <vt:variant>
        <vt:i4>102</vt:i4>
      </vt:variant>
      <vt:variant>
        <vt:i4>0</vt:i4>
      </vt:variant>
      <vt:variant>
        <vt:i4>5</vt:i4>
      </vt:variant>
      <vt:variant>
        <vt:lpwstr>http://www.nevo.co.il/law/4216/37a</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http://www.nevo.co.il/law/70301/40h</vt:lpwstr>
      </vt:variant>
      <vt:variant>
        <vt:lpwstr/>
      </vt:variant>
      <vt:variant>
        <vt:i4>4128892</vt:i4>
      </vt:variant>
      <vt:variant>
        <vt:i4>93</vt:i4>
      </vt:variant>
      <vt:variant>
        <vt:i4>0</vt:i4>
      </vt:variant>
      <vt:variant>
        <vt:i4>5</vt:i4>
      </vt:variant>
      <vt:variant>
        <vt:lpwstr>http://www.nevo.co.il/case/18119161</vt:lpwstr>
      </vt:variant>
      <vt:variant>
        <vt:lpwstr/>
      </vt:variant>
      <vt:variant>
        <vt:i4>3211382</vt:i4>
      </vt:variant>
      <vt:variant>
        <vt:i4>90</vt:i4>
      </vt:variant>
      <vt:variant>
        <vt:i4>0</vt:i4>
      </vt:variant>
      <vt:variant>
        <vt:i4>5</vt:i4>
      </vt:variant>
      <vt:variant>
        <vt:lpwstr>http://www.nevo.co.il/case/24366066</vt:lpwstr>
      </vt:variant>
      <vt:variant>
        <vt:lpwstr/>
      </vt:variant>
      <vt:variant>
        <vt:i4>3801206</vt:i4>
      </vt:variant>
      <vt:variant>
        <vt:i4>87</vt:i4>
      </vt:variant>
      <vt:variant>
        <vt:i4>0</vt:i4>
      </vt:variant>
      <vt:variant>
        <vt:i4>5</vt:i4>
      </vt:variant>
      <vt:variant>
        <vt:lpwstr>http://www.nevo.co.il/case/22841413</vt:lpwstr>
      </vt:variant>
      <vt:variant>
        <vt:lpwstr/>
      </vt:variant>
      <vt:variant>
        <vt:i4>7995492</vt:i4>
      </vt:variant>
      <vt:variant>
        <vt:i4>84</vt:i4>
      </vt:variant>
      <vt:variant>
        <vt:i4>0</vt:i4>
      </vt:variant>
      <vt:variant>
        <vt:i4>5</vt:i4>
      </vt:variant>
      <vt:variant>
        <vt:lpwstr>http://www.nevo.co.il/law/70301</vt:lpwstr>
      </vt:variant>
      <vt:variant>
        <vt:lpwstr/>
      </vt:variant>
      <vt:variant>
        <vt:i4>786443</vt:i4>
      </vt:variant>
      <vt:variant>
        <vt:i4>81</vt:i4>
      </vt:variant>
      <vt:variant>
        <vt:i4>0</vt:i4>
      </vt:variant>
      <vt:variant>
        <vt:i4>5</vt:i4>
      </vt:variant>
      <vt:variant>
        <vt:lpwstr>http://www.nevo.co.il/law/70301/40ji</vt:lpwstr>
      </vt:variant>
      <vt:variant>
        <vt:lpwstr/>
      </vt:variant>
      <vt:variant>
        <vt:i4>3211380</vt:i4>
      </vt:variant>
      <vt:variant>
        <vt:i4>78</vt:i4>
      </vt:variant>
      <vt:variant>
        <vt:i4>0</vt:i4>
      </vt:variant>
      <vt:variant>
        <vt:i4>5</vt:i4>
      </vt:variant>
      <vt:variant>
        <vt:lpwstr>http://www.nevo.co.il/case/27634418</vt:lpwstr>
      </vt:variant>
      <vt:variant>
        <vt:lpwstr/>
      </vt:variant>
      <vt:variant>
        <vt:i4>3276914</vt:i4>
      </vt:variant>
      <vt:variant>
        <vt:i4>75</vt:i4>
      </vt:variant>
      <vt:variant>
        <vt:i4>0</vt:i4>
      </vt:variant>
      <vt:variant>
        <vt:i4>5</vt:i4>
      </vt:variant>
      <vt:variant>
        <vt:lpwstr>http://www.nevo.co.il/case/20111708</vt:lpwstr>
      </vt:variant>
      <vt:variant>
        <vt:lpwstr/>
      </vt:variant>
      <vt:variant>
        <vt:i4>3211378</vt:i4>
      </vt:variant>
      <vt:variant>
        <vt:i4>72</vt:i4>
      </vt:variant>
      <vt:variant>
        <vt:i4>0</vt:i4>
      </vt:variant>
      <vt:variant>
        <vt:i4>5</vt:i4>
      </vt:variant>
      <vt:variant>
        <vt:lpwstr>http://www.nevo.co.il/case/24345651</vt:lpwstr>
      </vt:variant>
      <vt:variant>
        <vt:lpwstr/>
      </vt:variant>
      <vt:variant>
        <vt:i4>3211390</vt:i4>
      </vt:variant>
      <vt:variant>
        <vt:i4>69</vt:i4>
      </vt:variant>
      <vt:variant>
        <vt:i4>0</vt:i4>
      </vt:variant>
      <vt:variant>
        <vt:i4>5</vt:i4>
      </vt:variant>
      <vt:variant>
        <vt:lpwstr>http://www.nevo.co.il/case/26396568</vt:lpwstr>
      </vt:variant>
      <vt:variant>
        <vt:lpwstr/>
      </vt:variant>
      <vt:variant>
        <vt:i4>3473521</vt:i4>
      </vt:variant>
      <vt:variant>
        <vt:i4>66</vt:i4>
      </vt:variant>
      <vt:variant>
        <vt:i4>0</vt:i4>
      </vt:variant>
      <vt:variant>
        <vt:i4>5</vt:i4>
      </vt:variant>
      <vt:variant>
        <vt:lpwstr>http://www.nevo.co.il/case/27347635</vt:lpwstr>
      </vt:variant>
      <vt:variant>
        <vt:lpwstr/>
      </vt:variant>
      <vt:variant>
        <vt:i4>3407995</vt:i4>
      </vt:variant>
      <vt:variant>
        <vt:i4>63</vt:i4>
      </vt:variant>
      <vt:variant>
        <vt:i4>0</vt:i4>
      </vt:variant>
      <vt:variant>
        <vt:i4>5</vt:i4>
      </vt:variant>
      <vt:variant>
        <vt:lpwstr>http://www.nevo.co.il/case/27502816</vt:lpwstr>
      </vt:variant>
      <vt:variant>
        <vt:lpwstr/>
      </vt:variant>
      <vt:variant>
        <vt:i4>3276921</vt:i4>
      </vt:variant>
      <vt:variant>
        <vt:i4>60</vt:i4>
      </vt:variant>
      <vt:variant>
        <vt:i4>0</vt:i4>
      </vt:variant>
      <vt:variant>
        <vt:i4>5</vt:i4>
      </vt:variant>
      <vt:variant>
        <vt:lpwstr>http://www.nevo.co.il/case/30055845</vt:lpwstr>
      </vt:variant>
      <vt:variant>
        <vt:lpwstr/>
      </vt:variant>
      <vt:variant>
        <vt:i4>3997811</vt:i4>
      </vt:variant>
      <vt:variant>
        <vt:i4>57</vt:i4>
      </vt:variant>
      <vt:variant>
        <vt:i4>0</vt:i4>
      </vt:variant>
      <vt:variant>
        <vt:i4>5</vt:i4>
      </vt:variant>
      <vt:variant>
        <vt:lpwstr>http://www.nevo.co.il/case/23827604</vt:lpwstr>
      </vt:variant>
      <vt:variant>
        <vt:lpwstr/>
      </vt:variant>
      <vt:variant>
        <vt:i4>3801208</vt:i4>
      </vt:variant>
      <vt:variant>
        <vt:i4>54</vt:i4>
      </vt:variant>
      <vt:variant>
        <vt:i4>0</vt:i4>
      </vt:variant>
      <vt:variant>
        <vt:i4>5</vt:i4>
      </vt:variant>
      <vt:variant>
        <vt:lpwstr>http://www.nevo.co.il/case/6987521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786443</vt:i4>
      </vt:variant>
      <vt:variant>
        <vt:i4>39</vt:i4>
      </vt:variant>
      <vt:variant>
        <vt:i4>0</vt:i4>
      </vt:variant>
      <vt:variant>
        <vt:i4>5</vt:i4>
      </vt:variant>
      <vt:variant>
        <vt:lpwstr>http://www.nevo.co.il/law/70301/40ji</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http://www.nevo.co.il/law/70301/40h</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http://www.nevo.co.il/law/70301/40a</vt:lpwstr>
      </vt:variant>
      <vt:variant>
        <vt:lpwstr/>
      </vt:variant>
      <vt:variant>
        <vt:i4>7995492</vt:i4>
      </vt:variant>
      <vt:variant>
        <vt:i4>9</vt:i4>
      </vt:variant>
      <vt:variant>
        <vt:i4>0</vt:i4>
      </vt:variant>
      <vt:variant>
        <vt:i4>5</vt:i4>
      </vt:variant>
      <vt:variant>
        <vt:lpwstr>http://www.nevo.co.il/law/70301</vt:lpwstr>
      </vt:variant>
      <vt:variant>
        <vt:lpwstr/>
      </vt:variant>
      <vt:variant>
        <vt:i4>2883709</vt:i4>
      </vt:variant>
      <vt:variant>
        <vt:i4>6</vt:i4>
      </vt:variant>
      <vt:variant>
        <vt:i4>0</vt:i4>
      </vt:variant>
      <vt:variant>
        <vt:i4>5</vt:i4>
      </vt:variant>
      <vt:variant>
        <vt:lpwstr>http://www.nevo.co.il/law/4216/37a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2025-04-23T00:41:00Z</dcterms:created>
  <dcterms:modified xsi:type="dcterms:W3CDTF">2025-04-23T00:41:00Z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69400</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מור מוריס מזלטרין</vt:lpwstr>
  </property>
  <property fmtid="{D5CDD505-2E9C-101B-9397-08002B2CF9AE}" pid="10" name="LAWYER">
    <vt:lpwstr>ליבי יעקובי;בן יהודה</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20240320</vt:lpwstr>
  </property>
  <property fmtid="{D5CDD505-2E9C-101B-9397-08002B2CF9AE}" pid="14" name="TYPE_N_DATE">
    <vt:lpwstr>38020240320</vt:lpwstr>
  </property>
  <property fmtid="{D5CDD505-2E9C-101B-9397-08002B2CF9AE}" pid="15" name="WORDNUMPAGES">
    <vt:lpwstr>10</vt:lpwstr>
  </property>
  <property fmtid="{D5CDD505-2E9C-101B-9397-08002B2CF9AE}" pid="16" name="TYPE_ABS_DATE">
    <vt:lpwstr>380020240320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6987521;23827604;30055845;27502816;27347635;26396568;24345651;20111708;27634418;22841413;24366066;18119161;22938500</vt:lpwstr>
  </property>
  <property fmtid="{D5CDD505-2E9C-101B-9397-08002B2CF9AE}" pid="36" name="LAWLISTTMP1">
    <vt:lpwstr>4216/006;037a</vt:lpwstr>
  </property>
  <property fmtid="{D5CDD505-2E9C-101B-9397-08002B2CF9AE}" pid="37" name="LAWLISTTMP2">
    <vt:lpwstr>70301/040c.a;40ji;040h;040c.b;40ja;040d:2;040d.a:2;040a:2;040f;040g</vt:lpwstr>
  </property>
</Properties>
</file>