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8"/>
        <w:gridCol w:w="3665"/>
        <w:gridCol w:w="104"/>
      </w:tblGrid>
      <w:tr w:rsidR="00F00A1A" w:rsidRPr="00941AF6" w14:paraId="21234C2E" w14:textId="77777777" w:rsidTr="008D598F">
        <w:trPr>
          <w:gridAfter w:val="1"/>
          <w:wAfter w:w="99" w:type="dxa"/>
          <w:trHeight w:hRule="exact" w:val="418"/>
          <w:jc w:val="center"/>
        </w:trPr>
        <w:tc>
          <w:tcPr>
            <w:tcW w:w="8721" w:type="dxa"/>
            <w:gridSpan w:val="3"/>
          </w:tcPr>
          <w:p w14:paraId="56D76AA6" w14:textId="77777777" w:rsidR="00F00A1A" w:rsidRPr="00941AF6" w:rsidRDefault="00F00A1A" w:rsidP="002B357A">
            <w:pPr>
              <w:pStyle w:val="a3"/>
              <w:jc w:val="center"/>
              <w:rPr>
                <w:rFonts w:ascii="Tahoma" w:hAnsi="Tahoma" w:cs="Tahoma"/>
                <w:color w:val="000080"/>
                <w:rtl/>
              </w:rPr>
            </w:pPr>
            <w:r w:rsidRPr="00941AF6">
              <w:rPr>
                <w:rFonts w:ascii="Tahoma" w:hAnsi="Tahoma" w:cs="Tahoma"/>
                <w:b/>
                <w:bCs/>
                <w:color w:val="000080"/>
                <w:rtl/>
              </w:rPr>
              <w:t>בית משפט השלום בקריות</w:t>
            </w:r>
          </w:p>
        </w:tc>
      </w:tr>
      <w:tr w:rsidR="00F00A1A" w:rsidRPr="00941AF6" w14:paraId="74DF54DE" w14:textId="77777777" w:rsidTr="008D598F">
        <w:trPr>
          <w:gridAfter w:val="1"/>
          <w:wAfter w:w="99" w:type="dxa"/>
          <w:trHeight w:val="337"/>
          <w:jc w:val="center"/>
        </w:trPr>
        <w:tc>
          <w:tcPr>
            <w:tcW w:w="5054" w:type="dxa"/>
            <w:gridSpan w:val="2"/>
          </w:tcPr>
          <w:p w14:paraId="622E4D70" w14:textId="77777777" w:rsidR="00F00A1A" w:rsidRPr="00941AF6" w:rsidRDefault="00F00A1A" w:rsidP="002B357A">
            <w:pPr>
              <w:rPr>
                <w:rFonts w:cs="FrankRuehl"/>
                <w:sz w:val="28"/>
                <w:szCs w:val="28"/>
                <w:rtl/>
              </w:rPr>
            </w:pPr>
            <w:r w:rsidRPr="00941AF6">
              <w:rPr>
                <w:rFonts w:cs="FrankRuehl"/>
                <w:sz w:val="28"/>
                <w:szCs w:val="28"/>
                <w:rtl/>
              </w:rPr>
              <w:t>ת"פ</w:t>
            </w:r>
            <w:r w:rsidRPr="00941AF6">
              <w:rPr>
                <w:rFonts w:cs="FrankRuehl" w:hint="cs"/>
                <w:sz w:val="28"/>
                <w:szCs w:val="28"/>
                <w:rtl/>
              </w:rPr>
              <w:t xml:space="preserve"> </w:t>
            </w:r>
            <w:r w:rsidRPr="00941AF6">
              <w:rPr>
                <w:rFonts w:cs="FrankRuehl"/>
                <w:sz w:val="28"/>
                <w:szCs w:val="28"/>
                <w:rtl/>
              </w:rPr>
              <w:t>8287-07-20</w:t>
            </w:r>
            <w:r w:rsidRPr="00941AF6">
              <w:rPr>
                <w:rFonts w:cs="FrankRuehl" w:hint="cs"/>
                <w:sz w:val="28"/>
                <w:szCs w:val="28"/>
                <w:rtl/>
              </w:rPr>
              <w:t xml:space="preserve"> </w:t>
            </w:r>
            <w:r w:rsidRPr="00941AF6">
              <w:rPr>
                <w:rFonts w:cs="FrankRuehl"/>
                <w:sz w:val="28"/>
                <w:szCs w:val="28"/>
                <w:rtl/>
              </w:rPr>
              <w:t>מדינת ישראל נ' שטרית</w:t>
            </w:r>
          </w:p>
          <w:p w14:paraId="255D9B87" w14:textId="77777777" w:rsidR="00F00A1A" w:rsidRPr="00941AF6" w:rsidRDefault="00F00A1A" w:rsidP="002B357A">
            <w:pPr>
              <w:pStyle w:val="a3"/>
              <w:rPr>
                <w:rFonts w:cs="FrankRuehl"/>
                <w:sz w:val="28"/>
                <w:szCs w:val="28"/>
                <w:rtl/>
              </w:rPr>
            </w:pPr>
          </w:p>
        </w:tc>
        <w:tc>
          <w:tcPr>
            <w:tcW w:w="3667" w:type="dxa"/>
          </w:tcPr>
          <w:p w14:paraId="13245BB8" w14:textId="77777777" w:rsidR="00F00A1A" w:rsidRPr="00941AF6" w:rsidRDefault="00F00A1A" w:rsidP="002B357A">
            <w:pPr>
              <w:pStyle w:val="a3"/>
              <w:jc w:val="right"/>
              <w:rPr>
                <w:rFonts w:cs="FrankRuehl"/>
                <w:sz w:val="28"/>
                <w:szCs w:val="28"/>
                <w:rtl/>
              </w:rPr>
            </w:pPr>
          </w:p>
        </w:tc>
      </w:tr>
      <w:tr w:rsidR="00F00A1A" w:rsidRPr="00941AF6" w14:paraId="2FFE14FD" w14:textId="77777777" w:rsidTr="008D59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6C7BD3D" w14:textId="77777777" w:rsidR="00F00A1A" w:rsidRPr="00941AF6" w:rsidRDefault="00F00A1A" w:rsidP="00F00A1A">
            <w:pPr>
              <w:jc w:val="both"/>
              <w:rPr>
                <w:rFonts w:ascii="David" w:hAnsi="David"/>
                <w:b/>
                <w:bCs/>
              </w:rPr>
            </w:pPr>
            <w:r w:rsidRPr="00941AF6">
              <w:rPr>
                <w:rFonts w:hint="cs"/>
                <w:rtl/>
              </w:rPr>
              <w:t xml:space="preserve"> </w:t>
            </w:r>
            <w:r w:rsidRPr="00941AF6">
              <w:rPr>
                <w:rFonts w:ascii="David" w:hAnsi="David"/>
                <w:b/>
                <w:bCs/>
                <w:rtl/>
              </w:rPr>
              <w:t xml:space="preserve">בפני </w:t>
            </w:r>
          </w:p>
        </w:tc>
        <w:tc>
          <w:tcPr>
            <w:tcW w:w="7897" w:type="dxa"/>
            <w:gridSpan w:val="3"/>
            <w:tcBorders>
              <w:top w:val="nil"/>
              <w:left w:val="nil"/>
              <w:bottom w:val="nil"/>
              <w:right w:val="nil"/>
            </w:tcBorders>
            <w:shd w:val="clear" w:color="auto" w:fill="auto"/>
          </w:tcPr>
          <w:p w14:paraId="27B398EA" w14:textId="77777777" w:rsidR="00F00A1A" w:rsidRPr="00941AF6" w:rsidRDefault="00F00A1A" w:rsidP="002B357A">
            <w:pPr>
              <w:rPr>
                <w:rFonts w:ascii="David" w:hAnsi="David"/>
                <w:b/>
                <w:bCs/>
              </w:rPr>
            </w:pPr>
            <w:r w:rsidRPr="00941AF6">
              <w:rPr>
                <w:rFonts w:ascii="David" w:hAnsi="David"/>
                <w:b/>
                <w:bCs/>
                <w:rtl/>
              </w:rPr>
              <w:t>כב' השופט יוסי טורס , סגן הנשיאה</w:t>
            </w:r>
          </w:p>
        </w:tc>
      </w:tr>
      <w:tr w:rsidR="00F00A1A" w:rsidRPr="00941AF6" w14:paraId="64386D98" w14:textId="77777777" w:rsidTr="008D59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177E86E" w14:textId="77777777" w:rsidR="00F00A1A" w:rsidRPr="00941AF6" w:rsidRDefault="00F00A1A" w:rsidP="00F00A1A">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301C987B" w14:textId="77777777" w:rsidR="00F00A1A" w:rsidRPr="00941AF6" w:rsidRDefault="00F00A1A" w:rsidP="002B357A">
            <w:pPr>
              <w:rPr>
                <w:rFonts w:ascii="David" w:hAnsi="David"/>
                <w:b/>
                <w:bCs/>
              </w:rPr>
            </w:pPr>
          </w:p>
        </w:tc>
        <w:tc>
          <w:tcPr>
            <w:tcW w:w="3771" w:type="dxa"/>
            <w:gridSpan w:val="2"/>
            <w:tcBorders>
              <w:top w:val="nil"/>
              <w:left w:val="nil"/>
              <w:bottom w:val="nil"/>
              <w:right w:val="nil"/>
            </w:tcBorders>
            <w:shd w:val="clear" w:color="auto" w:fill="auto"/>
          </w:tcPr>
          <w:p w14:paraId="54127C53" w14:textId="77777777" w:rsidR="00F00A1A" w:rsidRPr="00941AF6" w:rsidRDefault="00F00A1A" w:rsidP="00F00A1A">
            <w:pPr>
              <w:jc w:val="both"/>
              <w:rPr>
                <w:rFonts w:ascii="David" w:hAnsi="David"/>
                <w:b/>
                <w:bCs/>
              </w:rPr>
            </w:pPr>
          </w:p>
        </w:tc>
      </w:tr>
      <w:tr w:rsidR="00F00A1A" w:rsidRPr="00941AF6" w14:paraId="5394B65F" w14:textId="77777777" w:rsidTr="008D59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3D13A35" w14:textId="77777777" w:rsidR="00F00A1A" w:rsidRPr="00941AF6" w:rsidRDefault="00F00A1A" w:rsidP="00F00A1A">
            <w:pPr>
              <w:jc w:val="both"/>
              <w:rPr>
                <w:rFonts w:ascii="David" w:hAnsi="David"/>
                <w:b/>
                <w:bCs/>
                <w:rtl/>
              </w:rPr>
            </w:pPr>
            <w:bookmarkStart w:id="1" w:name="FirstAppellant"/>
            <w:r w:rsidRPr="00941AF6">
              <w:rPr>
                <w:rFonts w:ascii="David" w:hAnsi="David"/>
                <w:b/>
                <w:bCs/>
                <w:rtl/>
              </w:rPr>
              <w:t>בעניין:</w:t>
            </w:r>
          </w:p>
        </w:tc>
        <w:tc>
          <w:tcPr>
            <w:tcW w:w="4126" w:type="dxa"/>
            <w:tcBorders>
              <w:top w:val="nil"/>
              <w:left w:val="nil"/>
              <w:bottom w:val="nil"/>
              <w:right w:val="nil"/>
            </w:tcBorders>
            <w:shd w:val="clear" w:color="auto" w:fill="auto"/>
          </w:tcPr>
          <w:p w14:paraId="6CB2E2DC" w14:textId="77777777" w:rsidR="00F00A1A" w:rsidRPr="00941AF6" w:rsidRDefault="00F00A1A" w:rsidP="00F00A1A">
            <w:pPr>
              <w:jc w:val="both"/>
              <w:rPr>
                <w:rFonts w:ascii="David" w:hAnsi="David"/>
                <w:b/>
                <w:bCs/>
                <w:rtl/>
              </w:rPr>
            </w:pPr>
            <w:r w:rsidRPr="00941AF6">
              <w:rPr>
                <w:rFonts w:ascii="David" w:hAnsi="David"/>
                <w:b/>
                <w:bCs/>
                <w:rtl/>
              </w:rPr>
              <w:t>מדינת ישראל</w:t>
            </w:r>
          </w:p>
        </w:tc>
        <w:tc>
          <w:tcPr>
            <w:tcW w:w="3771" w:type="dxa"/>
            <w:gridSpan w:val="2"/>
            <w:tcBorders>
              <w:top w:val="nil"/>
              <w:left w:val="nil"/>
              <w:bottom w:val="nil"/>
              <w:right w:val="nil"/>
            </w:tcBorders>
            <w:shd w:val="clear" w:color="auto" w:fill="auto"/>
          </w:tcPr>
          <w:p w14:paraId="25B6096F" w14:textId="77777777" w:rsidR="00F00A1A" w:rsidRPr="00941AF6" w:rsidRDefault="00F00A1A" w:rsidP="00F00A1A">
            <w:pPr>
              <w:jc w:val="right"/>
              <w:rPr>
                <w:rFonts w:ascii="David" w:hAnsi="David"/>
                <w:b/>
                <w:bCs/>
                <w:rtl/>
              </w:rPr>
            </w:pPr>
            <w:r w:rsidRPr="00941AF6">
              <w:rPr>
                <w:rFonts w:ascii="David" w:hAnsi="David"/>
                <w:b/>
                <w:bCs/>
                <w:rtl/>
              </w:rPr>
              <w:t>המאשימה</w:t>
            </w:r>
          </w:p>
        </w:tc>
      </w:tr>
      <w:bookmarkEnd w:id="1"/>
      <w:tr w:rsidR="00F00A1A" w:rsidRPr="00941AF6" w14:paraId="36F3FE5D" w14:textId="77777777" w:rsidTr="008D59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B254C8E" w14:textId="77777777" w:rsidR="00F00A1A" w:rsidRPr="00941AF6" w:rsidRDefault="00F00A1A" w:rsidP="00F00A1A">
            <w:pPr>
              <w:jc w:val="both"/>
              <w:rPr>
                <w:rFonts w:ascii="David" w:hAnsi="David"/>
                <w:b/>
                <w:bCs/>
                <w:rtl/>
              </w:rPr>
            </w:pPr>
          </w:p>
        </w:tc>
        <w:tc>
          <w:tcPr>
            <w:tcW w:w="7897" w:type="dxa"/>
            <w:gridSpan w:val="3"/>
            <w:tcBorders>
              <w:top w:val="nil"/>
              <w:left w:val="nil"/>
              <w:bottom w:val="nil"/>
              <w:right w:val="nil"/>
            </w:tcBorders>
            <w:shd w:val="clear" w:color="auto" w:fill="auto"/>
          </w:tcPr>
          <w:p w14:paraId="30F6A899" w14:textId="77777777" w:rsidR="00F00A1A" w:rsidRPr="00941AF6" w:rsidRDefault="00F00A1A" w:rsidP="00F00A1A">
            <w:pPr>
              <w:jc w:val="center"/>
              <w:rPr>
                <w:rFonts w:ascii="David" w:hAnsi="David"/>
                <w:b/>
                <w:bCs/>
                <w:rtl/>
              </w:rPr>
            </w:pPr>
          </w:p>
          <w:p w14:paraId="01AEB43A" w14:textId="77777777" w:rsidR="00F00A1A" w:rsidRPr="00941AF6" w:rsidRDefault="00F00A1A" w:rsidP="00F00A1A">
            <w:pPr>
              <w:jc w:val="center"/>
              <w:rPr>
                <w:rFonts w:ascii="David" w:hAnsi="David"/>
                <w:b/>
                <w:bCs/>
                <w:rtl/>
              </w:rPr>
            </w:pPr>
            <w:r w:rsidRPr="00941AF6">
              <w:rPr>
                <w:rFonts w:ascii="David" w:hAnsi="David"/>
                <w:b/>
                <w:bCs/>
                <w:rtl/>
              </w:rPr>
              <w:t>נגד</w:t>
            </w:r>
          </w:p>
          <w:p w14:paraId="2644C2DA" w14:textId="77777777" w:rsidR="00F00A1A" w:rsidRPr="00941AF6" w:rsidRDefault="00F00A1A" w:rsidP="00F00A1A">
            <w:pPr>
              <w:jc w:val="both"/>
              <w:rPr>
                <w:rFonts w:ascii="David" w:hAnsi="David"/>
                <w:b/>
                <w:bCs/>
              </w:rPr>
            </w:pPr>
          </w:p>
        </w:tc>
      </w:tr>
      <w:tr w:rsidR="00F00A1A" w:rsidRPr="00941AF6" w14:paraId="1FA0BFFA" w14:textId="77777777" w:rsidTr="008D59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972061C" w14:textId="77777777" w:rsidR="00F00A1A" w:rsidRPr="00941AF6" w:rsidRDefault="00F00A1A" w:rsidP="002B357A">
            <w:pPr>
              <w:rPr>
                <w:rFonts w:ascii="David" w:hAnsi="David"/>
                <w:b/>
                <w:bCs/>
                <w:rtl/>
              </w:rPr>
            </w:pPr>
          </w:p>
        </w:tc>
        <w:tc>
          <w:tcPr>
            <w:tcW w:w="4126" w:type="dxa"/>
            <w:tcBorders>
              <w:top w:val="nil"/>
              <w:left w:val="nil"/>
              <w:bottom w:val="nil"/>
              <w:right w:val="nil"/>
            </w:tcBorders>
            <w:shd w:val="clear" w:color="auto" w:fill="auto"/>
          </w:tcPr>
          <w:p w14:paraId="36612F39" w14:textId="77777777" w:rsidR="00F00A1A" w:rsidRPr="00941AF6" w:rsidRDefault="00F00A1A" w:rsidP="002B357A">
            <w:pPr>
              <w:rPr>
                <w:rFonts w:ascii="David" w:hAnsi="David"/>
                <w:b/>
                <w:bCs/>
                <w:rtl/>
              </w:rPr>
            </w:pPr>
            <w:r w:rsidRPr="00941AF6">
              <w:rPr>
                <w:rFonts w:ascii="David" w:hAnsi="David"/>
                <w:b/>
                <w:bCs/>
                <w:rtl/>
              </w:rPr>
              <w:t>יקיר יעקב שטרית</w:t>
            </w:r>
          </w:p>
        </w:tc>
        <w:tc>
          <w:tcPr>
            <w:tcW w:w="3771" w:type="dxa"/>
            <w:gridSpan w:val="2"/>
            <w:tcBorders>
              <w:top w:val="nil"/>
              <w:left w:val="nil"/>
              <w:bottom w:val="nil"/>
              <w:right w:val="nil"/>
            </w:tcBorders>
            <w:shd w:val="clear" w:color="auto" w:fill="auto"/>
          </w:tcPr>
          <w:p w14:paraId="495D6962" w14:textId="77777777" w:rsidR="00F00A1A" w:rsidRPr="00941AF6" w:rsidRDefault="00F00A1A" w:rsidP="00F00A1A">
            <w:pPr>
              <w:jc w:val="right"/>
              <w:rPr>
                <w:rFonts w:ascii="David" w:hAnsi="David"/>
                <w:b/>
                <w:bCs/>
              </w:rPr>
            </w:pPr>
            <w:r w:rsidRPr="00941AF6">
              <w:rPr>
                <w:rFonts w:ascii="David" w:hAnsi="David"/>
                <w:b/>
                <w:bCs/>
                <w:rtl/>
              </w:rPr>
              <w:t>הנאש</w:t>
            </w:r>
            <w:r w:rsidRPr="00941AF6">
              <w:rPr>
                <w:rFonts w:ascii="David" w:hAnsi="David" w:hint="cs"/>
                <w:b/>
                <w:bCs/>
                <w:rtl/>
              </w:rPr>
              <w:t>ם</w:t>
            </w:r>
          </w:p>
        </w:tc>
      </w:tr>
      <w:tr w:rsidR="00F00A1A" w:rsidRPr="00941AF6" w14:paraId="4659EC3E" w14:textId="77777777" w:rsidTr="008D59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4F19875" w14:textId="77777777" w:rsidR="00F00A1A" w:rsidRPr="00941AF6" w:rsidRDefault="00F00A1A" w:rsidP="00F00A1A">
            <w:pPr>
              <w:jc w:val="both"/>
              <w:rPr>
                <w:rFonts w:ascii="David" w:hAnsi="David"/>
                <w:b/>
                <w:bCs/>
                <w:rtl/>
              </w:rPr>
            </w:pPr>
          </w:p>
        </w:tc>
        <w:tc>
          <w:tcPr>
            <w:tcW w:w="4126" w:type="dxa"/>
            <w:tcBorders>
              <w:top w:val="nil"/>
              <w:left w:val="nil"/>
              <w:bottom w:val="nil"/>
              <w:right w:val="nil"/>
            </w:tcBorders>
            <w:shd w:val="clear" w:color="auto" w:fill="auto"/>
          </w:tcPr>
          <w:p w14:paraId="7372BB02" w14:textId="77777777" w:rsidR="00F00A1A" w:rsidRPr="00941AF6" w:rsidRDefault="00F00A1A" w:rsidP="00F00A1A">
            <w:pPr>
              <w:jc w:val="both"/>
              <w:rPr>
                <w:rFonts w:ascii="David" w:hAnsi="David"/>
                <w:b/>
                <w:bCs/>
                <w:rtl/>
              </w:rPr>
            </w:pPr>
          </w:p>
        </w:tc>
        <w:tc>
          <w:tcPr>
            <w:tcW w:w="3771" w:type="dxa"/>
            <w:gridSpan w:val="2"/>
            <w:tcBorders>
              <w:top w:val="nil"/>
              <w:left w:val="nil"/>
              <w:bottom w:val="nil"/>
              <w:right w:val="nil"/>
            </w:tcBorders>
            <w:shd w:val="clear" w:color="auto" w:fill="auto"/>
          </w:tcPr>
          <w:p w14:paraId="137D3B55" w14:textId="77777777" w:rsidR="00F00A1A" w:rsidRPr="00941AF6" w:rsidRDefault="00F00A1A" w:rsidP="00F00A1A">
            <w:pPr>
              <w:jc w:val="right"/>
              <w:rPr>
                <w:rFonts w:ascii="David" w:hAnsi="David"/>
                <w:b/>
                <w:bCs/>
              </w:rPr>
            </w:pPr>
          </w:p>
        </w:tc>
      </w:tr>
    </w:tbl>
    <w:p w14:paraId="02C8E17E" w14:textId="77777777" w:rsidR="008D598F" w:rsidRDefault="008D598F" w:rsidP="00941AF6">
      <w:pPr>
        <w:rPr>
          <w:rFonts w:ascii="David" w:hAnsi="David"/>
          <w:rtl/>
        </w:rPr>
      </w:pPr>
    </w:p>
    <w:p w14:paraId="6F7F3F84" w14:textId="77777777" w:rsidR="008D598F" w:rsidRPr="008D598F" w:rsidRDefault="008D598F" w:rsidP="008D598F">
      <w:pPr>
        <w:spacing w:after="120" w:line="240" w:lineRule="exact"/>
        <w:ind w:left="283" w:hanging="283"/>
        <w:jc w:val="both"/>
        <w:rPr>
          <w:rFonts w:ascii="FrankRuehl" w:hAnsi="FrankRuehl" w:cs="FrankRuehl"/>
          <w:rtl/>
        </w:rPr>
      </w:pPr>
    </w:p>
    <w:p w14:paraId="7FB49341" w14:textId="77777777" w:rsidR="004C6094" w:rsidRPr="004C6094" w:rsidRDefault="004C6094" w:rsidP="004C6094">
      <w:pPr>
        <w:spacing w:before="120" w:after="120" w:line="240" w:lineRule="exact"/>
        <w:ind w:left="283" w:hanging="283"/>
        <w:jc w:val="both"/>
        <w:rPr>
          <w:rFonts w:ascii="FrankRuehl" w:hAnsi="FrankRuehl" w:cs="FrankRuehl"/>
          <w:rtl/>
        </w:rPr>
      </w:pPr>
    </w:p>
    <w:p w14:paraId="4D820F89" w14:textId="77777777" w:rsidR="00B2784C" w:rsidRDefault="00B2784C" w:rsidP="00B2784C">
      <w:pPr>
        <w:rPr>
          <w:rFonts w:ascii="David" w:hAnsi="David"/>
          <w:rtl/>
        </w:rPr>
      </w:pPr>
      <w:bookmarkStart w:id="2" w:name="LawTable"/>
      <w:bookmarkEnd w:id="2"/>
    </w:p>
    <w:p w14:paraId="119ADC67" w14:textId="77777777" w:rsidR="00B2784C" w:rsidRPr="00B2784C" w:rsidRDefault="00B2784C" w:rsidP="00B2784C">
      <w:pPr>
        <w:spacing w:before="120" w:after="120" w:line="240" w:lineRule="exact"/>
        <w:ind w:left="283" w:hanging="283"/>
        <w:jc w:val="both"/>
        <w:rPr>
          <w:rFonts w:ascii="FrankRuehl" w:hAnsi="FrankRuehl" w:cs="FrankRuehl"/>
          <w:rtl/>
        </w:rPr>
      </w:pPr>
    </w:p>
    <w:p w14:paraId="7D0628E4" w14:textId="77777777" w:rsidR="00B2784C" w:rsidRPr="00B2784C" w:rsidRDefault="00B2784C" w:rsidP="00B2784C">
      <w:pPr>
        <w:spacing w:before="120" w:after="120" w:line="240" w:lineRule="exact"/>
        <w:ind w:left="283" w:hanging="283"/>
        <w:jc w:val="both"/>
        <w:rPr>
          <w:rFonts w:ascii="FrankRuehl" w:hAnsi="FrankRuehl" w:cs="FrankRuehl"/>
          <w:rtl/>
        </w:rPr>
      </w:pPr>
    </w:p>
    <w:p w14:paraId="705BABFC" w14:textId="77777777" w:rsidR="00B2784C" w:rsidRPr="00B2784C" w:rsidRDefault="00B2784C" w:rsidP="00B2784C">
      <w:pPr>
        <w:spacing w:before="120" w:after="120" w:line="240" w:lineRule="exact"/>
        <w:ind w:left="283" w:hanging="283"/>
        <w:jc w:val="both"/>
        <w:rPr>
          <w:rFonts w:ascii="FrankRuehl" w:hAnsi="FrankRuehl" w:cs="FrankRuehl"/>
          <w:rtl/>
        </w:rPr>
      </w:pPr>
      <w:r w:rsidRPr="00B2784C">
        <w:rPr>
          <w:rFonts w:ascii="FrankRuehl" w:hAnsi="FrankRuehl" w:cs="FrankRuehl"/>
          <w:rtl/>
        </w:rPr>
        <w:t xml:space="preserve">חקיקה שאוזכרה: </w:t>
      </w:r>
    </w:p>
    <w:p w14:paraId="07E1D7D0" w14:textId="77777777" w:rsidR="00B2784C" w:rsidRPr="00B2784C" w:rsidRDefault="00B2784C" w:rsidP="00B2784C">
      <w:pPr>
        <w:spacing w:before="120" w:after="120" w:line="240" w:lineRule="exact"/>
        <w:ind w:left="283" w:hanging="283"/>
        <w:jc w:val="both"/>
        <w:rPr>
          <w:rFonts w:ascii="FrankRuehl" w:hAnsi="FrankRuehl" w:cs="FrankRuehl"/>
          <w:rtl/>
        </w:rPr>
      </w:pPr>
      <w:hyperlink r:id="rId7" w:history="1">
        <w:r w:rsidRPr="00B2784C">
          <w:rPr>
            <w:rFonts w:ascii="FrankRuehl" w:hAnsi="FrankRuehl" w:cs="FrankRuehl"/>
            <w:color w:val="0000FF"/>
            <w:rtl/>
          </w:rPr>
          <w:t>פקודת הסמים המסוכנים [נוסח חדש], תשל"ג-1973</w:t>
        </w:r>
      </w:hyperlink>
      <w:r w:rsidRPr="00B2784C">
        <w:rPr>
          <w:rFonts w:ascii="FrankRuehl" w:hAnsi="FrankRuehl" w:cs="FrankRuehl"/>
          <w:rtl/>
        </w:rPr>
        <w:t xml:space="preserve">: סע'  </w:t>
      </w:r>
      <w:hyperlink r:id="rId8" w:history="1">
        <w:r w:rsidRPr="00B2784C">
          <w:rPr>
            <w:rFonts w:ascii="FrankRuehl" w:hAnsi="FrankRuehl" w:cs="FrankRuehl"/>
            <w:color w:val="0000FF"/>
            <w:rtl/>
          </w:rPr>
          <w:t>13</w:t>
        </w:r>
      </w:hyperlink>
    </w:p>
    <w:p w14:paraId="7E210460" w14:textId="77777777" w:rsidR="00B2784C" w:rsidRPr="00B2784C" w:rsidRDefault="00B2784C" w:rsidP="00B2784C">
      <w:pPr>
        <w:spacing w:before="120" w:after="120" w:line="240" w:lineRule="exact"/>
        <w:ind w:left="283" w:hanging="283"/>
        <w:jc w:val="both"/>
        <w:rPr>
          <w:rFonts w:ascii="FrankRuehl" w:hAnsi="FrankRuehl" w:cs="FrankRuehl"/>
          <w:rtl/>
        </w:rPr>
      </w:pPr>
      <w:hyperlink r:id="rId9" w:history="1">
        <w:r w:rsidRPr="00B2784C">
          <w:rPr>
            <w:rFonts w:ascii="FrankRuehl" w:hAnsi="FrankRuehl" w:cs="FrankRuehl"/>
            <w:color w:val="0000FF"/>
            <w:rtl/>
          </w:rPr>
          <w:t>חוק העונשין, תשל"ז-1977</w:t>
        </w:r>
      </w:hyperlink>
      <w:r w:rsidRPr="00B2784C">
        <w:rPr>
          <w:rFonts w:ascii="FrankRuehl" w:hAnsi="FrankRuehl" w:cs="FrankRuehl"/>
          <w:rtl/>
        </w:rPr>
        <w:t xml:space="preserve">: סע'  </w:t>
      </w:r>
      <w:hyperlink r:id="rId10" w:history="1">
        <w:r w:rsidRPr="00B2784C">
          <w:rPr>
            <w:rFonts w:ascii="FrankRuehl" w:hAnsi="FrankRuehl" w:cs="FrankRuehl"/>
            <w:color w:val="0000FF"/>
            <w:rtl/>
          </w:rPr>
          <w:t>40ד'</w:t>
        </w:r>
      </w:hyperlink>
    </w:p>
    <w:p w14:paraId="53B1D175" w14:textId="77777777" w:rsidR="00B2784C" w:rsidRPr="00B2784C" w:rsidRDefault="00B2784C" w:rsidP="00B2784C">
      <w:pPr>
        <w:spacing w:before="120" w:after="120" w:line="240" w:lineRule="exact"/>
        <w:ind w:left="283" w:hanging="283"/>
        <w:jc w:val="both"/>
        <w:rPr>
          <w:rFonts w:ascii="FrankRuehl" w:hAnsi="FrankRuehl" w:cs="FrankRuehl"/>
          <w:rtl/>
        </w:rPr>
      </w:pPr>
      <w:hyperlink r:id="rId11" w:history="1">
        <w:r w:rsidRPr="00B2784C">
          <w:rPr>
            <w:rFonts w:ascii="FrankRuehl" w:hAnsi="FrankRuehl" w:cs="FrankRuehl"/>
            <w:color w:val="0000FF"/>
            <w:rtl/>
          </w:rPr>
          <w:t>חוק המרשם הפלילי ותקנת השבים, תשמ"א-1981</w:t>
        </w:r>
      </w:hyperlink>
      <w:r w:rsidRPr="00B2784C">
        <w:rPr>
          <w:rFonts w:ascii="FrankRuehl" w:hAnsi="FrankRuehl" w:cs="FrankRuehl"/>
          <w:rtl/>
        </w:rPr>
        <w:t xml:space="preserve">: סע'  </w:t>
      </w:r>
      <w:hyperlink r:id="rId12" w:history="1">
        <w:r w:rsidRPr="00B2784C">
          <w:rPr>
            <w:rFonts w:ascii="FrankRuehl" w:hAnsi="FrankRuehl" w:cs="FrankRuehl"/>
            <w:color w:val="0000FF"/>
            <w:rtl/>
          </w:rPr>
          <w:t>16</w:t>
        </w:r>
      </w:hyperlink>
    </w:p>
    <w:p w14:paraId="67BD55A3" w14:textId="77777777" w:rsidR="00B2784C" w:rsidRPr="00B2784C" w:rsidRDefault="00B2784C" w:rsidP="00B2784C">
      <w:pPr>
        <w:spacing w:before="120" w:after="120" w:line="240" w:lineRule="exact"/>
        <w:ind w:left="283" w:hanging="283"/>
        <w:jc w:val="both"/>
        <w:rPr>
          <w:rFonts w:ascii="FrankRuehl" w:hAnsi="FrankRuehl" w:cs="FrankRuehl"/>
          <w:rtl/>
        </w:rPr>
      </w:pPr>
      <w:hyperlink r:id="rId13" w:history="1">
        <w:r w:rsidRPr="00B2784C">
          <w:rPr>
            <w:rFonts w:ascii="FrankRuehl" w:hAnsi="FrankRuehl" w:cs="FrankRuehl"/>
            <w:color w:val="0000FF"/>
            <w:rtl/>
          </w:rPr>
          <w:t>חוק בתי המשפט [נוסח משולב], תשמ"ד-1984</w:t>
        </w:r>
      </w:hyperlink>
      <w:r w:rsidRPr="00B2784C">
        <w:rPr>
          <w:rFonts w:ascii="FrankRuehl" w:hAnsi="FrankRuehl" w:cs="FrankRuehl"/>
          <w:rtl/>
        </w:rPr>
        <w:t xml:space="preserve">: סע'  </w:t>
      </w:r>
      <w:hyperlink r:id="rId14" w:history="1">
        <w:r w:rsidRPr="00B2784C">
          <w:rPr>
            <w:rFonts w:ascii="FrankRuehl" w:hAnsi="FrankRuehl" w:cs="FrankRuehl"/>
            <w:color w:val="0000FF"/>
            <w:rtl/>
          </w:rPr>
          <w:t>51(א)(1)(ב)</w:t>
        </w:r>
      </w:hyperlink>
    </w:p>
    <w:p w14:paraId="658B29C6" w14:textId="77777777" w:rsidR="00B2784C" w:rsidRPr="00B2784C" w:rsidRDefault="00B2784C" w:rsidP="00B2784C">
      <w:pPr>
        <w:rPr>
          <w:rFonts w:ascii="David" w:hAnsi="David"/>
          <w:rtl/>
        </w:rPr>
      </w:pPr>
      <w:bookmarkStart w:id="3" w:name="LawTable_End"/>
      <w:bookmarkEnd w:id="3"/>
    </w:p>
    <w:p w14:paraId="26CE8FC9" w14:textId="77777777" w:rsidR="00F00A1A" w:rsidRPr="004C6094" w:rsidRDefault="00F00A1A" w:rsidP="004C6094">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00A1A" w:rsidRPr="005F36A8" w14:paraId="7540FD9D" w14:textId="77777777" w:rsidTr="00F00A1A">
        <w:trPr>
          <w:trHeight w:val="355"/>
          <w:jc w:val="center"/>
        </w:trPr>
        <w:tc>
          <w:tcPr>
            <w:tcW w:w="8820" w:type="dxa"/>
            <w:tcBorders>
              <w:top w:val="nil"/>
              <w:left w:val="nil"/>
              <w:bottom w:val="nil"/>
              <w:right w:val="nil"/>
            </w:tcBorders>
            <w:shd w:val="clear" w:color="auto" w:fill="auto"/>
          </w:tcPr>
          <w:p w14:paraId="5D6ED95A" w14:textId="77777777" w:rsidR="00941AF6" w:rsidRPr="00941AF6" w:rsidRDefault="00941AF6" w:rsidP="00941AF6">
            <w:pPr>
              <w:jc w:val="center"/>
              <w:rPr>
                <w:rFonts w:ascii="David" w:hAnsi="David"/>
                <w:b/>
                <w:bCs/>
                <w:u w:val="single"/>
                <w:rtl/>
              </w:rPr>
            </w:pPr>
            <w:bookmarkStart w:id="4" w:name="PsakDin" w:colFirst="0" w:colLast="0"/>
            <w:r w:rsidRPr="00941AF6">
              <w:rPr>
                <w:rFonts w:ascii="David" w:hAnsi="David"/>
                <w:b/>
                <w:bCs/>
                <w:u w:val="single"/>
                <w:rtl/>
              </w:rPr>
              <w:t>גזר דין</w:t>
            </w:r>
          </w:p>
          <w:p w14:paraId="0095288B" w14:textId="77777777" w:rsidR="00F00A1A" w:rsidRPr="00941AF6" w:rsidRDefault="00F00A1A" w:rsidP="00941AF6">
            <w:pPr>
              <w:jc w:val="center"/>
              <w:rPr>
                <w:rFonts w:ascii="David" w:hAnsi="David"/>
                <w:b/>
                <w:bCs/>
                <w:u w:val="single"/>
                <w:rtl/>
              </w:rPr>
            </w:pPr>
          </w:p>
        </w:tc>
      </w:tr>
      <w:bookmarkEnd w:id="4"/>
    </w:tbl>
    <w:p w14:paraId="594E54D0" w14:textId="77777777" w:rsidR="00F00A1A" w:rsidRPr="005F36A8" w:rsidRDefault="00F00A1A" w:rsidP="00F00A1A">
      <w:pPr>
        <w:rPr>
          <w:rFonts w:ascii="David" w:hAnsi="David"/>
          <w:b/>
          <w:bCs/>
          <w:rtl/>
        </w:rPr>
      </w:pPr>
    </w:p>
    <w:p w14:paraId="2D18A0C8" w14:textId="77777777" w:rsidR="00F00A1A" w:rsidRDefault="00F00A1A" w:rsidP="00F00A1A">
      <w:pPr>
        <w:rPr>
          <w:rFonts w:ascii="David" w:hAnsi="David"/>
          <w:b/>
          <w:bCs/>
          <w:u w:val="single"/>
          <w:rtl/>
        </w:rPr>
      </w:pPr>
      <w:r>
        <w:rPr>
          <w:rFonts w:ascii="David" w:hAnsi="David" w:hint="cs"/>
          <w:b/>
          <w:bCs/>
          <w:u w:val="single"/>
          <w:rtl/>
        </w:rPr>
        <w:t>כתב האישום</w:t>
      </w:r>
    </w:p>
    <w:p w14:paraId="24DCDDBE" w14:textId="77777777" w:rsidR="00F00A1A" w:rsidRDefault="00F00A1A" w:rsidP="00F00A1A">
      <w:pPr>
        <w:rPr>
          <w:rFonts w:ascii="David" w:hAnsi="David"/>
          <w:b/>
          <w:bCs/>
          <w:u w:val="single"/>
          <w:rtl/>
        </w:rPr>
      </w:pPr>
    </w:p>
    <w:p w14:paraId="483387A2" w14:textId="77777777" w:rsidR="00F00A1A" w:rsidRDefault="00F00A1A" w:rsidP="00F00A1A">
      <w:pPr>
        <w:pStyle w:val="a9"/>
        <w:numPr>
          <w:ilvl w:val="0"/>
          <w:numId w:val="1"/>
        </w:numPr>
        <w:spacing w:line="360" w:lineRule="auto"/>
        <w:jc w:val="both"/>
        <w:rPr>
          <w:rFonts w:ascii="David" w:hAnsi="David"/>
        </w:rPr>
      </w:pPr>
      <w:bookmarkStart w:id="5" w:name="ABSTRACT_START"/>
      <w:bookmarkEnd w:id="5"/>
      <w:r>
        <w:rPr>
          <w:rFonts w:ascii="David" w:hAnsi="David" w:hint="cs"/>
          <w:rtl/>
        </w:rPr>
        <w:t xml:space="preserve">הנאשם הורשע על פי הודאתו בכתב אישום מתוקן בעבירה של סחר בסם מסוכן, לפי </w:t>
      </w:r>
      <w:hyperlink r:id="rId15" w:history="1">
        <w:r w:rsidR="008D598F" w:rsidRPr="008D598F">
          <w:rPr>
            <w:rStyle w:val="Hyperlink"/>
            <w:rFonts w:ascii="David" w:hAnsi="David" w:hint="eastAsia"/>
            <w:rtl/>
          </w:rPr>
          <w:t>סעיף</w:t>
        </w:r>
        <w:r w:rsidR="008D598F" w:rsidRPr="008D598F">
          <w:rPr>
            <w:rStyle w:val="Hyperlink"/>
            <w:rFonts w:ascii="David" w:hAnsi="David"/>
            <w:rtl/>
          </w:rPr>
          <w:t xml:space="preserve"> 13</w:t>
        </w:r>
      </w:hyperlink>
      <w:r>
        <w:rPr>
          <w:rFonts w:ascii="David" w:hAnsi="David" w:hint="cs"/>
          <w:rtl/>
        </w:rPr>
        <w:t xml:space="preserve"> </w:t>
      </w:r>
      <w:r w:rsidRPr="00C166C5">
        <w:rPr>
          <w:rFonts w:ascii="David" w:hAnsi="David"/>
          <w:rtl/>
        </w:rPr>
        <w:t>ל</w:t>
      </w:r>
      <w:hyperlink r:id="rId16" w:history="1">
        <w:r w:rsidR="00941AF6" w:rsidRPr="00941AF6">
          <w:rPr>
            <w:rFonts w:ascii="David" w:hAnsi="David"/>
            <w:color w:val="0000FF"/>
            <w:u w:val="single"/>
            <w:rtl/>
          </w:rPr>
          <w:t>פקודת הסמים המסוכנים</w:t>
        </w:r>
      </w:hyperlink>
      <w:r w:rsidRPr="00C166C5">
        <w:rPr>
          <w:rFonts w:ascii="David" w:hAnsi="David"/>
          <w:rtl/>
        </w:rPr>
        <w:t xml:space="preserve"> [נוסח חדש], תשל"ג- 1973 (להלן – </w:t>
      </w:r>
      <w:r w:rsidRPr="00C166C5">
        <w:rPr>
          <w:rFonts w:ascii="David" w:hAnsi="David" w:cs="Miriam"/>
          <w:rtl/>
        </w:rPr>
        <w:t xml:space="preserve">פקודת </w:t>
      </w:r>
      <w:r w:rsidRPr="004B22C2">
        <w:rPr>
          <w:rFonts w:ascii="David" w:hAnsi="David" w:cs="Miriam"/>
          <w:rtl/>
        </w:rPr>
        <w:t>הסמים</w:t>
      </w:r>
      <w:r>
        <w:rPr>
          <w:rFonts w:ascii="David" w:hAnsi="David"/>
          <w:rtl/>
        </w:rPr>
        <w:t>)</w:t>
      </w:r>
      <w:r>
        <w:rPr>
          <w:rFonts w:ascii="David" w:hAnsi="David" w:hint="cs"/>
          <w:rtl/>
        </w:rPr>
        <w:t xml:space="preserve">. כתב האישום המתוקן מתאר כי ביום 9.12.19 יצר פלוני (להלן </w:t>
      </w:r>
      <w:r>
        <w:rPr>
          <w:rFonts w:ascii="David" w:hAnsi="David"/>
          <w:rtl/>
        </w:rPr>
        <w:t>–</w:t>
      </w:r>
      <w:r>
        <w:rPr>
          <w:rFonts w:ascii="David" w:hAnsi="David" w:hint="cs"/>
          <w:rtl/>
        </w:rPr>
        <w:t xml:space="preserve"> </w:t>
      </w:r>
      <w:r w:rsidRPr="00176526">
        <w:rPr>
          <w:rFonts w:ascii="Miriam" w:hAnsi="Miriam" w:cs="Miriam"/>
          <w:rtl/>
        </w:rPr>
        <w:t>הקונה</w:t>
      </w:r>
      <w:r>
        <w:rPr>
          <w:rFonts w:ascii="David" w:hAnsi="David" w:hint="cs"/>
          <w:rtl/>
        </w:rPr>
        <w:t xml:space="preserve">) קשר עם אדם שאינו ידוע למאשימה ובעקבות כך מסר הנאשם לקונה סם מסוכן מסוג קנביס במשקל 19.83 גרם נטו בתמורה ל-1,400 ₪. </w:t>
      </w:r>
    </w:p>
    <w:p w14:paraId="7BE721DF" w14:textId="77777777" w:rsidR="00F00A1A" w:rsidRDefault="00F00A1A" w:rsidP="00F00A1A">
      <w:pPr>
        <w:pStyle w:val="a9"/>
        <w:ind w:left="0"/>
        <w:jc w:val="both"/>
        <w:rPr>
          <w:rFonts w:ascii="David" w:hAnsi="David"/>
          <w:rtl/>
        </w:rPr>
      </w:pPr>
    </w:p>
    <w:p w14:paraId="6D0B67E9" w14:textId="77777777" w:rsidR="00F00A1A" w:rsidRDefault="00F00A1A" w:rsidP="00F00A1A">
      <w:pPr>
        <w:pStyle w:val="a9"/>
        <w:spacing w:line="360" w:lineRule="auto"/>
        <w:ind w:left="0"/>
        <w:jc w:val="both"/>
        <w:rPr>
          <w:rFonts w:ascii="David" w:hAnsi="David"/>
          <w:b/>
          <w:bCs/>
          <w:u w:val="single"/>
          <w:rtl/>
        </w:rPr>
      </w:pPr>
      <w:bookmarkStart w:id="6" w:name="ABSTRACT_END"/>
      <w:bookmarkEnd w:id="6"/>
      <w:r>
        <w:rPr>
          <w:rFonts w:ascii="David" w:hAnsi="David" w:hint="cs"/>
          <w:b/>
          <w:bCs/>
          <w:u w:val="single"/>
          <w:rtl/>
        </w:rPr>
        <w:t>תסקיר שירות המבחן</w:t>
      </w:r>
    </w:p>
    <w:p w14:paraId="699E583E" w14:textId="77777777" w:rsidR="00F00A1A" w:rsidRPr="00E54790" w:rsidRDefault="00F00A1A" w:rsidP="00F00A1A">
      <w:pPr>
        <w:pStyle w:val="a9"/>
        <w:ind w:left="0"/>
        <w:jc w:val="both"/>
        <w:rPr>
          <w:rFonts w:ascii="David" w:hAnsi="David"/>
          <w:b/>
          <w:bCs/>
          <w:u w:val="single"/>
        </w:rPr>
      </w:pPr>
    </w:p>
    <w:p w14:paraId="7AAC3370" w14:textId="77777777" w:rsidR="00F00A1A" w:rsidRDefault="00F00A1A" w:rsidP="00F00A1A">
      <w:pPr>
        <w:pStyle w:val="a9"/>
        <w:numPr>
          <w:ilvl w:val="0"/>
          <w:numId w:val="1"/>
        </w:numPr>
        <w:spacing w:line="360" w:lineRule="auto"/>
        <w:jc w:val="both"/>
      </w:pPr>
      <w:r w:rsidRPr="008C451D">
        <w:rPr>
          <w:rFonts w:ascii="David" w:hAnsi="David"/>
          <w:rtl/>
        </w:rPr>
        <w:t xml:space="preserve">מטעמים של צנעת הפרט לא אפרט יתר על המידה את האמור בתסקיר (ראו: </w:t>
      </w:r>
      <w:hyperlink r:id="rId17" w:history="1">
        <w:r w:rsidR="00941AF6" w:rsidRPr="00941AF6">
          <w:rPr>
            <w:rFonts w:ascii="David" w:hAnsi="David"/>
            <w:color w:val="0000FF"/>
            <w:u w:val="single"/>
            <w:rtl/>
          </w:rPr>
          <w:t>ע"א 6356/20</w:t>
        </w:r>
      </w:hyperlink>
      <w:r w:rsidRPr="008C451D">
        <w:rPr>
          <w:rFonts w:ascii="David" w:hAnsi="David"/>
          <w:rtl/>
        </w:rPr>
        <w:t xml:space="preserve"> </w:t>
      </w:r>
      <w:r w:rsidRPr="008C451D">
        <w:rPr>
          <w:rFonts w:ascii="David" w:hAnsi="David"/>
          <w:b/>
          <w:bCs/>
          <w:rtl/>
        </w:rPr>
        <w:t>פלוני נ' מדינת ישראל</w:t>
      </w:r>
      <w:r w:rsidRPr="008C451D">
        <w:rPr>
          <w:rFonts w:ascii="David" w:hAnsi="David"/>
          <w:rtl/>
        </w:rPr>
        <w:t xml:space="preserve"> (21.10.2021)). בתמצית ייאמר שהנאשם רווק כבן</w:t>
      </w:r>
      <w:r w:rsidRPr="008C451D">
        <w:rPr>
          <w:rFonts w:ascii="David" w:hAnsi="David" w:hint="cs"/>
          <w:rtl/>
        </w:rPr>
        <w:t xml:space="preserve"> 22, שירת בצה"ל במשך תקופה קצרה </w:t>
      </w:r>
      <w:r>
        <w:rPr>
          <w:rFonts w:ascii="David" w:hAnsi="David" w:hint="cs"/>
          <w:rtl/>
        </w:rPr>
        <w:t>ולאחר מכן שוחרר</w:t>
      </w:r>
      <w:r w:rsidRPr="008C451D">
        <w:rPr>
          <w:rFonts w:ascii="David" w:hAnsi="David" w:hint="cs"/>
          <w:rtl/>
        </w:rPr>
        <w:t xml:space="preserve">. במשך השנים עבד הנאשם בעבודות מזדמנות ולפני כשלושה חודשים השתלב </w:t>
      </w:r>
      <w:r>
        <w:rPr>
          <w:rFonts w:ascii="David" w:hAnsi="David" w:hint="cs"/>
          <w:rtl/>
        </w:rPr>
        <w:t>כמתלמד</w:t>
      </w:r>
      <w:r w:rsidRPr="008C451D">
        <w:rPr>
          <w:rFonts w:ascii="David" w:hAnsi="David" w:hint="cs"/>
          <w:rtl/>
        </w:rPr>
        <w:t xml:space="preserve"> בתחום התיווך ו</w:t>
      </w:r>
      <w:r>
        <w:rPr>
          <w:rFonts w:ascii="David" w:hAnsi="David" w:hint="cs"/>
          <w:rtl/>
        </w:rPr>
        <w:t xml:space="preserve">כן </w:t>
      </w:r>
      <w:r w:rsidRPr="008C451D">
        <w:rPr>
          <w:rFonts w:ascii="David" w:hAnsi="David" w:hint="cs"/>
          <w:rtl/>
        </w:rPr>
        <w:t xml:space="preserve">החל לימודי תעודה בתחום מיגון ואבטחה. הנאשם </w:t>
      </w:r>
      <w:r w:rsidRPr="008C451D">
        <w:rPr>
          <w:rFonts w:ascii="David" w:hAnsi="David" w:hint="cs"/>
          <w:rtl/>
        </w:rPr>
        <w:lastRenderedPageBreak/>
        <w:t xml:space="preserve">מסר </w:t>
      </w:r>
      <w:r>
        <w:rPr>
          <w:rFonts w:ascii="David" w:hAnsi="David" w:hint="cs"/>
          <w:rtl/>
        </w:rPr>
        <w:t>ש</w:t>
      </w:r>
      <w:r w:rsidRPr="008C451D">
        <w:rPr>
          <w:rFonts w:ascii="David" w:hAnsi="David" w:hint="cs"/>
          <w:rtl/>
        </w:rPr>
        <w:t>לאחר לימודי</w:t>
      </w:r>
      <w:r>
        <w:rPr>
          <w:rFonts w:ascii="David" w:hAnsi="David" w:hint="cs"/>
          <w:rtl/>
        </w:rPr>
        <w:t>ו</w:t>
      </w:r>
      <w:r w:rsidRPr="008C451D">
        <w:rPr>
          <w:rFonts w:ascii="David" w:hAnsi="David" w:hint="cs"/>
          <w:rtl/>
        </w:rPr>
        <w:t xml:space="preserve"> בכוונתו להשלים בגרויות, להשתלב בלימודי הנדסת חשמל ובמקביל לעסוק כעצמאי בהתקנת דלתות (בדומה להוריו המתפרנסים מעסק זה). הנאשם הביע צער וחרטה על מעשיו, הבין את חומרת</w:t>
      </w:r>
      <w:r>
        <w:rPr>
          <w:rFonts w:ascii="David" w:hAnsi="David" w:hint="cs"/>
          <w:rtl/>
        </w:rPr>
        <w:t>ם</w:t>
      </w:r>
      <w:r w:rsidRPr="008C451D">
        <w:rPr>
          <w:rFonts w:ascii="David" w:hAnsi="David" w:hint="cs"/>
          <w:rtl/>
        </w:rPr>
        <w:t xml:space="preserve"> וציין כי התקשה לעמוד בפיתוי </w:t>
      </w:r>
      <w:r>
        <w:rPr>
          <w:rFonts w:ascii="David" w:hAnsi="David" w:hint="cs"/>
          <w:rtl/>
        </w:rPr>
        <w:t>הכספי</w:t>
      </w:r>
      <w:r w:rsidRPr="008C451D">
        <w:rPr>
          <w:rFonts w:ascii="David" w:hAnsi="David" w:hint="cs"/>
          <w:rtl/>
        </w:rPr>
        <w:t xml:space="preserve">. </w:t>
      </w:r>
      <w:r w:rsidRPr="008C451D">
        <w:rPr>
          <w:rFonts w:ascii="David" w:hAnsi="David"/>
          <w:rtl/>
        </w:rPr>
        <w:t>בדיקות השתן שמסר נמצאו נקיות מסמים</w:t>
      </w:r>
      <w:r w:rsidRPr="008C451D">
        <w:rPr>
          <w:rFonts w:ascii="David" w:hAnsi="David" w:hint="cs"/>
          <w:rtl/>
        </w:rPr>
        <w:t xml:space="preserve"> ושירות המבחן התרשם </w:t>
      </w:r>
      <w:r>
        <w:rPr>
          <w:rFonts w:ascii="David" w:hAnsi="David" w:hint="cs"/>
          <w:rtl/>
        </w:rPr>
        <w:t xml:space="preserve">שהנאשם </w:t>
      </w:r>
      <w:r w:rsidRPr="008C451D">
        <w:rPr>
          <w:rFonts w:ascii="David" w:hAnsi="David" w:hint="cs"/>
          <w:rtl/>
        </w:rPr>
        <w:t>עורך מאמצים לשנות את אורחות חייו ומבטא רצון להשתלב בטיפול במטרה לרכוש כלים לעתיד</w:t>
      </w:r>
      <w:r w:rsidRPr="008C451D">
        <w:rPr>
          <w:rFonts w:ascii="David" w:hAnsi="David"/>
          <w:rtl/>
        </w:rPr>
        <w:t>.</w:t>
      </w:r>
      <w:r w:rsidRPr="008C451D">
        <w:rPr>
          <w:rFonts w:ascii="David" w:hAnsi="David" w:hint="cs"/>
          <w:rtl/>
        </w:rPr>
        <w:t xml:space="preserve"> שירות המבחן ציין כי קיים סיכון להישנות עבירות דומות בעתיד ואולם יש בתוכנית הטיפול המוצעת לתרום להפחתת רמת הסיכון. לאור כך המליצה קצינת המבחן על העמדת</w:t>
      </w:r>
      <w:r>
        <w:rPr>
          <w:rFonts w:ascii="David" w:hAnsi="David" w:hint="cs"/>
          <w:rtl/>
        </w:rPr>
        <w:t xml:space="preserve"> הנאשם</w:t>
      </w:r>
      <w:r w:rsidRPr="008C451D">
        <w:rPr>
          <w:rFonts w:ascii="David" w:hAnsi="David" w:hint="cs"/>
          <w:rtl/>
        </w:rPr>
        <w:t xml:space="preserve"> בצו מבחן למשך 18 חודשים, לצד צו של"צ. </w:t>
      </w:r>
      <w:r>
        <w:rPr>
          <w:rtl/>
        </w:rPr>
        <w:t xml:space="preserve">שירות המבחן נדרש גם לשאלת ביטול ההרשעה וסבר </w:t>
      </w:r>
      <w:r>
        <w:rPr>
          <w:rFonts w:hint="cs"/>
          <w:rtl/>
        </w:rPr>
        <w:t>ש</w:t>
      </w:r>
      <w:r>
        <w:rPr>
          <w:rtl/>
        </w:rPr>
        <w:t xml:space="preserve">נוכח האפשרות שעתידו המקצועי ייפגע, בעטיה של הרשעה, ולאור </w:t>
      </w:r>
      <w:r>
        <w:rPr>
          <w:rFonts w:hint="cs"/>
          <w:rtl/>
        </w:rPr>
        <w:t>ההתרשמות כי ההליך המשפטי היווה גורם הרתעתי עבורו</w:t>
      </w:r>
      <w:r>
        <w:rPr>
          <w:rtl/>
        </w:rPr>
        <w:t xml:space="preserve">, ראוי לשקול את ביטול ההרשעה. </w:t>
      </w:r>
    </w:p>
    <w:p w14:paraId="3B3E45A0" w14:textId="77777777" w:rsidR="00F00A1A" w:rsidRDefault="00F00A1A" w:rsidP="00F00A1A">
      <w:pPr>
        <w:spacing w:line="360" w:lineRule="auto"/>
        <w:jc w:val="both"/>
        <w:rPr>
          <w:b/>
          <w:bCs/>
          <w:u w:val="single"/>
          <w:rtl/>
        </w:rPr>
      </w:pPr>
    </w:p>
    <w:p w14:paraId="5F01E15E" w14:textId="77777777" w:rsidR="00F00A1A" w:rsidRDefault="00F00A1A" w:rsidP="00F00A1A">
      <w:pPr>
        <w:spacing w:line="360" w:lineRule="auto"/>
        <w:jc w:val="both"/>
        <w:rPr>
          <w:b/>
          <w:bCs/>
          <w:u w:val="single"/>
          <w:rtl/>
        </w:rPr>
      </w:pPr>
    </w:p>
    <w:p w14:paraId="662FAF9C" w14:textId="77777777" w:rsidR="00F00A1A" w:rsidRDefault="00F00A1A" w:rsidP="00F00A1A">
      <w:pPr>
        <w:spacing w:line="360" w:lineRule="auto"/>
        <w:jc w:val="both"/>
        <w:rPr>
          <w:b/>
          <w:bCs/>
          <w:u w:val="single"/>
          <w:rtl/>
        </w:rPr>
      </w:pPr>
    </w:p>
    <w:p w14:paraId="4E70D30E" w14:textId="77777777" w:rsidR="00F00A1A" w:rsidRDefault="00F00A1A" w:rsidP="00F00A1A">
      <w:pPr>
        <w:spacing w:line="360" w:lineRule="auto"/>
        <w:jc w:val="both"/>
        <w:rPr>
          <w:b/>
          <w:bCs/>
          <w:u w:val="single"/>
          <w:rtl/>
        </w:rPr>
      </w:pPr>
    </w:p>
    <w:p w14:paraId="595DA2B1" w14:textId="77777777" w:rsidR="00F00A1A" w:rsidRDefault="00F00A1A" w:rsidP="00F00A1A">
      <w:pPr>
        <w:spacing w:line="360" w:lineRule="auto"/>
        <w:jc w:val="both"/>
        <w:rPr>
          <w:b/>
          <w:bCs/>
          <w:u w:val="single"/>
          <w:rtl/>
        </w:rPr>
      </w:pPr>
    </w:p>
    <w:p w14:paraId="78373BA3" w14:textId="77777777" w:rsidR="00F00A1A" w:rsidRDefault="00F00A1A" w:rsidP="00F00A1A">
      <w:pPr>
        <w:spacing w:line="360" w:lineRule="auto"/>
        <w:jc w:val="both"/>
        <w:rPr>
          <w:b/>
          <w:bCs/>
          <w:u w:val="single"/>
        </w:rPr>
      </w:pPr>
      <w:r>
        <w:rPr>
          <w:b/>
          <w:bCs/>
          <w:u w:val="single"/>
          <w:rtl/>
        </w:rPr>
        <w:t>טיעוני הצדדים לעונש ולשאלת ההרשעה</w:t>
      </w:r>
    </w:p>
    <w:p w14:paraId="79F7C629" w14:textId="77777777" w:rsidR="00F00A1A" w:rsidRDefault="00F00A1A" w:rsidP="00F00A1A">
      <w:pPr>
        <w:pStyle w:val="a9"/>
        <w:ind w:left="0"/>
        <w:jc w:val="both"/>
        <w:rPr>
          <w:rFonts w:ascii="David" w:hAnsi="David"/>
        </w:rPr>
      </w:pPr>
    </w:p>
    <w:p w14:paraId="317A0D1B" w14:textId="77777777" w:rsidR="00F00A1A" w:rsidRDefault="00F00A1A" w:rsidP="00F00A1A">
      <w:pPr>
        <w:pStyle w:val="a9"/>
        <w:numPr>
          <w:ilvl w:val="0"/>
          <w:numId w:val="1"/>
        </w:numPr>
        <w:spacing w:line="360" w:lineRule="auto"/>
        <w:jc w:val="both"/>
        <w:rPr>
          <w:rFonts w:ascii="David" w:hAnsi="David"/>
        </w:rPr>
      </w:pPr>
      <w:r>
        <w:rPr>
          <w:rFonts w:ascii="David" w:hAnsi="David" w:hint="cs"/>
          <w:rtl/>
        </w:rPr>
        <w:t>אמו של הנאשם העידה לעונש. האם סיפרה על התמיכה שמעניק הנאשם לעסק המשפחתי ועל כך שהביע בפניה צער וחרטה על מעשיו.</w:t>
      </w:r>
    </w:p>
    <w:p w14:paraId="3255822D" w14:textId="77777777" w:rsidR="00F00A1A" w:rsidRPr="00D52280" w:rsidRDefault="00F00A1A" w:rsidP="00F00A1A">
      <w:pPr>
        <w:pStyle w:val="a9"/>
        <w:ind w:left="0"/>
        <w:jc w:val="both"/>
        <w:rPr>
          <w:rFonts w:ascii="David" w:hAnsi="David"/>
        </w:rPr>
      </w:pPr>
    </w:p>
    <w:p w14:paraId="156FC920" w14:textId="77777777" w:rsidR="00F00A1A" w:rsidRDefault="00F00A1A" w:rsidP="00F00A1A">
      <w:pPr>
        <w:pStyle w:val="a9"/>
        <w:numPr>
          <w:ilvl w:val="0"/>
          <w:numId w:val="1"/>
        </w:numPr>
        <w:spacing w:line="360" w:lineRule="auto"/>
        <w:jc w:val="both"/>
        <w:rPr>
          <w:rFonts w:ascii="David" w:hAnsi="David"/>
        </w:rPr>
      </w:pPr>
      <w:r>
        <w:rPr>
          <w:rtl/>
        </w:rPr>
        <w:t>ב"כ המאשימה עמד על חומרתן של עבירות הסמים והדגיש את פגיעתן הרבה בבריאות הציבור ושלומו.</w:t>
      </w:r>
      <w:r>
        <w:rPr>
          <w:rFonts w:ascii="David" w:hAnsi="David" w:hint="cs"/>
          <w:rtl/>
        </w:rPr>
        <w:t xml:space="preserve"> ציון כי על אף שמדובר באירוע בודד, יש לתת את הדעת לכמות הסם המשמעותית ולכך שמדובר בעבירה שמטרתה הפקת רווח כספי. </w:t>
      </w:r>
      <w:r>
        <w:rPr>
          <w:rtl/>
        </w:rPr>
        <w:t>ביחס לשאלת ההרשעה נטען כי קיים אינטרס ציבורי בהרשעה בעבירות סמים</w:t>
      </w:r>
      <w:r>
        <w:rPr>
          <w:rFonts w:hint="cs"/>
          <w:rtl/>
        </w:rPr>
        <w:t xml:space="preserve"> ובכל מקרה הנזק הנטען הוא בבחינת </w:t>
      </w:r>
      <w:r>
        <w:rPr>
          <w:rtl/>
        </w:rPr>
        <w:t>תרחיש עתידי בלבד</w:t>
      </w:r>
      <w:r>
        <w:rPr>
          <w:rFonts w:hint="cs"/>
          <w:rtl/>
        </w:rPr>
        <w:t xml:space="preserve"> שאינו עומד במבחני הפסיקה בדבר </w:t>
      </w:r>
      <w:r>
        <w:rPr>
          <w:rtl/>
        </w:rPr>
        <w:t>פגיעה קונקרטית ומשמעותית. ביחס למתחם העונש ההולם הפנתה המאשימה לפסיקה וטענה כי הוא נע בין</w:t>
      </w:r>
      <w:r>
        <w:rPr>
          <w:rFonts w:ascii="David" w:hAnsi="David" w:hint="cs"/>
          <w:rtl/>
        </w:rPr>
        <w:t xml:space="preserve"> 6 חודשי מאסר ועד 14 חודשי מאסר בפועל וכי בנסיבות המקרה הכוללות ובפרט לאור קבלת האחריות, גילו הצעיר ועברו הקל יש להשית על הנאשם עונש מאסר בפועל למשך 8 חודשים, שיכול וירוצה בדרך של עבודות שירות, לצד מאסר על תנאי, קנס, פסילה על תנאי וחילוט סך של 1,400 ₪. </w:t>
      </w:r>
    </w:p>
    <w:p w14:paraId="7C837CC1" w14:textId="77777777" w:rsidR="00F00A1A" w:rsidRPr="00831573" w:rsidRDefault="00F00A1A" w:rsidP="00F00A1A">
      <w:pPr>
        <w:pStyle w:val="a9"/>
        <w:ind w:left="0"/>
        <w:jc w:val="both"/>
        <w:rPr>
          <w:rFonts w:ascii="David" w:hAnsi="David"/>
        </w:rPr>
      </w:pPr>
    </w:p>
    <w:p w14:paraId="5B55F7CA" w14:textId="77777777" w:rsidR="00F00A1A" w:rsidRPr="009B1604" w:rsidRDefault="00F00A1A" w:rsidP="00F00A1A">
      <w:pPr>
        <w:pStyle w:val="a9"/>
        <w:numPr>
          <w:ilvl w:val="0"/>
          <w:numId w:val="1"/>
        </w:numPr>
        <w:spacing w:line="360" w:lineRule="auto"/>
        <w:jc w:val="both"/>
        <w:rPr>
          <w:rFonts w:ascii="David" w:hAnsi="David"/>
        </w:rPr>
      </w:pPr>
      <w:r>
        <w:rPr>
          <w:rFonts w:ascii="David" w:hAnsi="David" w:hint="cs"/>
          <w:rtl/>
        </w:rPr>
        <w:t xml:space="preserve">ב"כ הנאשם הפנה לגילו הצעיר של הנאשם ולעברו הקל הכולל הרשעה בודדת שהתיישנה, בגין היעדר מן השירות. נטען כי מדובר באירוע בודד וכי הנאשם הודה בהזדמנות הראשונה והביע חרטה על מעשיו. </w:t>
      </w:r>
      <w:r>
        <w:rPr>
          <w:rtl/>
        </w:rPr>
        <w:t xml:space="preserve">ביחס לשאלת ההרשעה נטען </w:t>
      </w:r>
      <w:r>
        <w:rPr>
          <w:rFonts w:hint="cs"/>
          <w:rtl/>
        </w:rPr>
        <w:t>ש</w:t>
      </w:r>
      <w:r>
        <w:rPr>
          <w:rtl/>
        </w:rPr>
        <w:t xml:space="preserve">קיים סיכוי של ממש שהנאשם ישתקם והרשעתו בדין עלולה לפגוע בעתידו המקצועי, לאור </w:t>
      </w:r>
      <w:r>
        <w:rPr>
          <w:rFonts w:hint="cs"/>
          <w:rtl/>
        </w:rPr>
        <w:t xml:space="preserve">השתלבותו בלימודים. </w:t>
      </w:r>
      <w:r>
        <w:rPr>
          <w:rtl/>
        </w:rPr>
        <w:t>ביחס למתחם העונש ההולם נטען כי הוא נע בין</w:t>
      </w:r>
      <w:r>
        <w:rPr>
          <w:rFonts w:hint="cs"/>
          <w:rtl/>
        </w:rPr>
        <w:t xml:space="preserve"> מספר חודשי מאסר שניתן לשאת בדרך של עבודות שירות ועד 12 חודשי מאסר בפועל. </w:t>
      </w:r>
      <w:r>
        <w:rPr>
          <w:rtl/>
        </w:rPr>
        <w:t>בסיכומו של דבר, ביקשה ההגנה לבטל את ההרשעה ולאמץ את המלצת שירות המבחן.</w:t>
      </w:r>
    </w:p>
    <w:p w14:paraId="0C0FEE02" w14:textId="77777777" w:rsidR="00F00A1A" w:rsidRPr="009B1604" w:rsidRDefault="00F00A1A" w:rsidP="00F00A1A">
      <w:pPr>
        <w:pStyle w:val="a9"/>
        <w:rPr>
          <w:rFonts w:ascii="David" w:hAnsi="David"/>
          <w:rtl/>
        </w:rPr>
      </w:pPr>
    </w:p>
    <w:p w14:paraId="5A2A6C3C" w14:textId="77777777" w:rsidR="00F00A1A" w:rsidRDefault="00F00A1A" w:rsidP="00F00A1A">
      <w:pPr>
        <w:pStyle w:val="a9"/>
        <w:numPr>
          <w:ilvl w:val="0"/>
          <w:numId w:val="1"/>
        </w:numPr>
        <w:spacing w:line="360" w:lineRule="auto"/>
        <w:jc w:val="both"/>
        <w:rPr>
          <w:rFonts w:ascii="David" w:hAnsi="David"/>
        </w:rPr>
      </w:pPr>
      <w:r>
        <w:rPr>
          <w:rtl/>
        </w:rPr>
        <w:lastRenderedPageBreak/>
        <w:t xml:space="preserve">הנאשם בדברו האחרון </w:t>
      </w:r>
      <w:r>
        <w:rPr>
          <w:rFonts w:hint="cs"/>
          <w:rtl/>
        </w:rPr>
        <w:t>טען כי מדובר במעידה חד פעמית</w:t>
      </w:r>
      <w:r>
        <w:rPr>
          <w:rtl/>
        </w:rPr>
        <w:t xml:space="preserve"> וביקש לבטל </w:t>
      </w:r>
      <w:r>
        <w:rPr>
          <w:rFonts w:hint="cs"/>
          <w:rtl/>
        </w:rPr>
        <w:t xml:space="preserve">את </w:t>
      </w:r>
      <w:r>
        <w:rPr>
          <w:rtl/>
        </w:rPr>
        <w:t xml:space="preserve">הרשעתו, </w:t>
      </w:r>
      <w:r>
        <w:rPr>
          <w:rFonts w:hint="cs"/>
          <w:rtl/>
        </w:rPr>
        <w:t xml:space="preserve">על מנת שזו לא תפריע לתכניותיו </w:t>
      </w:r>
      <w:r>
        <w:rPr>
          <w:rtl/>
        </w:rPr>
        <w:t>להמשיך בלימודי</w:t>
      </w:r>
      <w:r>
        <w:rPr>
          <w:rFonts w:ascii="David" w:hAnsi="David" w:hint="cs"/>
          <w:rtl/>
        </w:rPr>
        <w:t>ם ולרכוש מקצוע.</w:t>
      </w:r>
    </w:p>
    <w:p w14:paraId="28872BC4" w14:textId="77777777" w:rsidR="00F00A1A" w:rsidRPr="00831573" w:rsidRDefault="00F00A1A" w:rsidP="00F00A1A">
      <w:pPr>
        <w:rPr>
          <w:rFonts w:ascii="David" w:hAnsi="David"/>
          <w:rtl/>
        </w:rPr>
      </w:pPr>
    </w:p>
    <w:p w14:paraId="64A6BC3E" w14:textId="77777777" w:rsidR="00F00A1A" w:rsidRDefault="00F00A1A" w:rsidP="00F00A1A">
      <w:pPr>
        <w:spacing w:line="360" w:lineRule="auto"/>
        <w:jc w:val="both"/>
        <w:rPr>
          <w:b/>
          <w:bCs/>
          <w:u w:val="single"/>
          <w:rtl/>
        </w:rPr>
      </w:pPr>
      <w:r>
        <w:rPr>
          <w:b/>
          <w:bCs/>
          <w:u w:val="single"/>
          <w:rtl/>
        </w:rPr>
        <w:t>דיון והכרעה</w:t>
      </w:r>
    </w:p>
    <w:p w14:paraId="6B907FA5" w14:textId="77777777" w:rsidR="00F00A1A" w:rsidRDefault="00F00A1A" w:rsidP="00F00A1A">
      <w:pPr>
        <w:jc w:val="both"/>
        <w:rPr>
          <w:b/>
          <w:bCs/>
          <w:u w:val="single"/>
        </w:rPr>
      </w:pPr>
    </w:p>
    <w:p w14:paraId="217DD714" w14:textId="77777777" w:rsidR="00F00A1A" w:rsidRPr="00B851DD" w:rsidRDefault="00F00A1A" w:rsidP="00F00A1A">
      <w:pPr>
        <w:pStyle w:val="a9"/>
        <w:numPr>
          <w:ilvl w:val="0"/>
          <w:numId w:val="2"/>
        </w:numPr>
        <w:spacing w:line="360" w:lineRule="auto"/>
        <w:rPr>
          <w:b/>
          <w:bCs/>
          <w:u w:val="single"/>
        </w:rPr>
      </w:pPr>
      <w:r w:rsidRPr="00B851DD">
        <w:rPr>
          <w:b/>
          <w:bCs/>
          <w:u w:val="single"/>
          <w:rtl/>
        </w:rPr>
        <w:t>הדרישה לביטול ההרשעה</w:t>
      </w:r>
    </w:p>
    <w:p w14:paraId="73B0D0BC" w14:textId="77777777" w:rsidR="00F00A1A" w:rsidRPr="00251AD8" w:rsidRDefault="00F00A1A" w:rsidP="00F00A1A">
      <w:pPr>
        <w:rPr>
          <w:rFonts w:ascii="David" w:hAnsi="David"/>
          <w:rtl/>
        </w:rPr>
      </w:pPr>
    </w:p>
    <w:p w14:paraId="6144BE85" w14:textId="77777777" w:rsidR="00F00A1A" w:rsidRPr="00BF6D19" w:rsidRDefault="00F00A1A" w:rsidP="00F00A1A">
      <w:pPr>
        <w:pStyle w:val="a9"/>
        <w:numPr>
          <w:ilvl w:val="0"/>
          <w:numId w:val="1"/>
        </w:numPr>
        <w:spacing w:line="360" w:lineRule="auto"/>
        <w:jc w:val="both"/>
        <w:rPr>
          <w:rFonts w:ascii="David" w:hAnsi="David"/>
        </w:rPr>
      </w:pPr>
      <w:r>
        <w:rPr>
          <w:rtl/>
        </w:rPr>
        <w:t xml:space="preserve">משנמצא אדם אשם בביצוע עבירה פלילית הכלל הוא שיש להרשיעו. נקבע לא אחת כי  </w:t>
      </w:r>
      <w:r>
        <w:rPr>
          <w:rFonts w:cs="Miriam"/>
          <w:rtl/>
        </w:rPr>
        <w:t>"מושכלות</w:t>
      </w:r>
      <w:r>
        <w:rPr>
          <w:rFonts w:ascii="Calibri" w:hAnsi="Calibri" w:cs="Miriam"/>
          <w:rtl/>
        </w:rPr>
        <w:t xml:space="preserve"> </w:t>
      </w:r>
      <w:r>
        <w:rPr>
          <w:rFonts w:cs="Miriam"/>
          <w:rtl/>
        </w:rPr>
        <w:t>ראשונים</w:t>
      </w:r>
      <w:r>
        <w:rPr>
          <w:rFonts w:ascii="Calibri" w:hAnsi="Calibri" w:cs="Miriam"/>
          <w:rtl/>
        </w:rPr>
        <w:t xml:space="preserve"> </w:t>
      </w:r>
      <w:r>
        <w:rPr>
          <w:rFonts w:cs="Miriam"/>
          <w:rtl/>
        </w:rPr>
        <w:t>הם</w:t>
      </w:r>
      <w:r>
        <w:rPr>
          <w:rFonts w:ascii="Calibri" w:hAnsi="Calibri" w:cs="Miriam"/>
          <w:rtl/>
        </w:rPr>
        <w:t xml:space="preserve"> </w:t>
      </w:r>
      <w:r>
        <w:rPr>
          <w:rFonts w:cs="Miriam"/>
          <w:rtl/>
        </w:rPr>
        <w:t>כי</w:t>
      </w:r>
      <w:r>
        <w:rPr>
          <w:rFonts w:ascii="Calibri" w:hAnsi="Calibri" w:cs="Miriam"/>
          <w:rtl/>
        </w:rPr>
        <w:t xml:space="preserve"> </w:t>
      </w:r>
      <w:r>
        <w:rPr>
          <w:rFonts w:cs="Miriam"/>
          <w:rtl/>
        </w:rPr>
        <w:t>דרך</w:t>
      </w:r>
      <w:r>
        <w:rPr>
          <w:rFonts w:ascii="Calibri" w:hAnsi="Calibri" w:cs="Miriam"/>
          <w:rtl/>
        </w:rPr>
        <w:t xml:space="preserve"> </w:t>
      </w:r>
      <w:r>
        <w:rPr>
          <w:rFonts w:cs="Miriam"/>
          <w:rtl/>
        </w:rPr>
        <w:t>כלל, בית</w:t>
      </w:r>
      <w:r>
        <w:rPr>
          <w:rFonts w:ascii="Calibri" w:hAnsi="Calibri" w:cs="Miriam"/>
          <w:rtl/>
        </w:rPr>
        <w:t xml:space="preserve"> </w:t>
      </w:r>
      <w:r>
        <w:rPr>
          <w:rFonts w:cs="Miriam"/>
          <w:rtl/>
        </w:rPr>
        <w:t>משפט</w:t>
      </w:r>
      <w:r>
        <w:rPr>
          <w:rFonts w:ascii="Calibri" w:hAnsi="Calibri" w:cs="Miriam"/>
          <w:rtl/>
        </w:rPr>
        <w:t xml:space="preserve"> </w:t>
      </w:r>
      <w:r>
        <w:rPr>
          <w:rFonts w:cs="Miriam"/>
          <w:rtl/>
        </w:rPr>
        <w:t>אשר</w:t>
      </w:r>
      <w:r>
        <w:rPr>
          <w:rFonts w:ascii="Calibri" w:hAnsi="Calibri" w:cs="Miriam"/>
          <w:rtl/>
        </w:rPr>
        <w:t xml:space="preserve"> </w:t>
      </w:r>
      <w:r>
        <w:rPr>
          <w:rFonts w:cs="Miriam"/>
          <w:rtl/>
        </w:rPr>
        <w:t>קבע</w:t>
      </w:r>
      <w:r>
        <w:rPr>
          <w:rFonts w:ascii="Calibri" w:hAnsi="Calibri" w:cs="Miriam"/>
          <w:rtl/>
        </w:rPr>
        <w:t xml:space="preserve"> </w:t>
      </w:r>
      <w:r>
        <w:rPr>
          <w:rFonts w:cs="Miriam"/>
          <w:rtl/>
        </w:rPr>
        <w:t>כי</w:t>
      </w:r>
      <w:r>
        <w:rPr>
          <w:rFonts w:ascii="Calibri" w:hAnsi="Calibri" w:cs="Miriam"/>
          <w:rtl/>
        </w:rPr>
        <w:t xml:space="preserve"> </w:t>
      </w:r>
      <w:r>
        <w:rPr>
          <w:rFonts w:cs="Miriam"/>
          <w:rtl/>
        </w:rPr>
        <w:t>נאשם</w:t>
      </w:r>
      <w:r>
        <w:rPr>
          <w:rFonts w:ascii="Calibri" w:hAnsi="Calibri" w:cs="Miriam"/>
          <w:rtl/>
        </w:rPr>
        <w:t xml:space="preserve"> </w:t>
      </w:r>
      <w:r>
        <w:rPr>
          <w:rFonts w:cs="Miriam"/>
          <w:rtl/>
        </w:rPr>
        <w:t>ביצע</w:t>
      </w:r>
      <w:r>
        <w:rPr>
          <w:rFonts w:ascii="Calibri" w:hAnsi="Calibri" w:cs="Miriam"/>
          <w:rtl/>
        </w:rPr>
        <w:t xml:space="preserve"> </w:t>
      </w:r>
      <w:r>
        <w:rPr>
          <w:rFonts w:cs="Miriam"/>
          <w:rtl/>
        </w:rPr>
        <w:t>את</w:t>
      </w:r>
      <w:r>
        <w:rPr>
          <w:rFonts w:ascii="Calibri" w:hAnsi="Calibri" w:cs="Miriam"/>
          <w:rtl/>
        </w:rPr>
        <w:t xml:space="preserve"> </w:t>
      </w:r>
      <w:r>
        <w:rPr>
          <w:rFonts w:cs="Miriam"/>
          <w:rtl/>
        </w:rPr>
        <w:t>העבירה</w:t>
      </w:r>
      <w:r>
        <w:rPr>
          <w:rFonts w:ascii="Calibri" w:hAnsi="Calibri" w:cs="Miriam"/>
          <w:rtl/>
        </w:rPr>
        <w:t xml:space="preserve"> </w:t>
      </w:r>
      <w:r>
        <w:rPr>
          <w:rFonts w:cs="Miriam"/>
          <w:rtl/>
        </w:rPr>
        <w:t>המיוחסת</w:t>
      </w:r>
      <w:r>
        <w:rPr>
          <w:rFonts w:ascii="Calibri" w:hAnsi="Calibri" w:cs="Miriam"/>
          <w:rtl/>
        </w:rPr>
        <w:t xml:space="preserve"> </w:t>
      </w:r>
      <w:r w:rsidRPr="00BF6D19">
        <w:rPr>
          <w:rFonts w:cs="Miriam"/>
          <w:rtl/>
        </w:rPr>
        <w:t>לו</w:t>
      </w:r>
      <w:r w:rsidRPr="00BF6D19">
        <w:rPr>
          <w:rFonts w:ascii="Calibri" w:hAnsi="Calibri" w:cs="Miriam"/>
          <w:rtl/>
        </w:rPr>
        <w:t xml:space="preserve"> </w:t>
      </w:r>
      <w:r w:rsidRPr="00BF6D19">
        <w:rPr>
          <w:rFonts w:cs="Miriam"/>
          <w:rtl/>
        </w:rPr>
        <w:t>ירשיעו</w:t>
      </w:r>
      <w:r w:rsidRPr="00BF6D19">
        <w:rPr>
          <w:rFonts w:ascii="Calibri" w:hAnsi="Calibri" w:cs="Miriam"/>
          <w:rtl/>
        </w:rPr>
        <w:t xml:space="preserve"> </w:t>
      </w:r>
      <w:r w:rsidRPr="00BF6D19">
        <w:rPr>
          <w:rFonts w:cs="Miriam"/>
          <w:rtl/>
        </w:rPr>
        <w:t>בדין. ככלל, משנמצא</w:t>
      </w:r>
      <w:r w:rsidRPr="00BF6D19">
        <w:rPr>
          <w:rFonts w:ascii="Calibri" w:hAnsi="Calibri" w:cs="Miriam"/>
          <w:rtl/>
        </w:rPr>
        <w:t xml:space="preserve"> </w:t>
      </w:r>
      <w:r w:rsidRPr="00BF6D19">
        <w:rPr>
          <w:rFonts w:cs="Miriam"/>
          <w:rtl/>
        </w:rPr>
        <w:t>כי</w:t>
      </w:r>
      <w:r w:rsidRPr="00BF6D19">
        <w:rPr>
          <w:rFonts w:ascii="Calibri" w:hAnsi="Calibri" w:cs="Miriam"/>
          <w:rtl/>
        </w:rPr>
        <w:t xml:space="preserve"> </w:t>
      </w:r>
      <w:r w:rsidRPr="00BF6D19">
        <w:rPr>
          <w:rFonts w:cs="Miriam"/>
          <w:rtl/>
        </w:rPr>
        <w:t>אדם</w:t>
      </w:r>
      <w:r w:rsidRPr="00BF6D19">
        <w:rPr>
          <w:rFonts w:ascii="Calibri" w:hAnsi="Calibri" w:cs="Miriam"/>
          <w:rtl/>
        </w:rPr>
        <w:t xml:space="preserve"> </w:t>
      </w:r>
      <w:r w:rsidRPr="00BF6D19">
        <w:rPr>
          <w:rFonts w:cs="Miriam"/>
          <w:rtl/>
        </w:rPr>
        <w:t>עבר</w:t>
      </w:r>
      <w:r w:rsidRPr="00BF6D19">
        <w:rPr>
          <w:rFonts w:ascii="Calibri" w:hAnsi="Calibri" w:cs="Miriam"/>
          <w:rtl/>
        </w:rPr>
        <w:t xml:space="preserve"> </w:t>
      </w:r>
      <w:r w:rsidRPr="00BF6D19">
        <w:rPr>
          <w:rFonts w:cs="Miriam"/>
          <w:rtl/>
        </w:rPr>
        <w:t>עבירה, מתחייב</w:t>
      </w:r>
      <w:r w:rsidRPr="00BF6D19">
        <w:rPr>
          <w:rFonts w:ascii="Calibri" w:hAnsi="Calibri" w:cs="Miriam"/>
          <w:rtl/>
        </w:rPr>
        <w:t xml:space="preserve"> </w:t>
      </w:r>
      <w:r w:rsidRPr="00BF6D19">
        <w:rPr>
          <w:rFonts w:cs="Miriam"/>
          <w:rtl/>
        </w:rPr>
        <w:t>כי</w:t>
      </w:r>
      <w:r w:rsidRPr="00BF6D19">
        <w:rPr>
          <w:rFonts w:ascii="Calibri" w:hAnsi="Calibri" w:cs="Miriam"/>
          <w:rtl/>
        </w:rPr>
        <w:t xml:space="preserve"> </w:t>
      </w:r>
      <w:r w:rsidRPr="00BF6D19">
        <w:rPr>
          <w:rFonts w:cs="Miriam"/>
          <w:rtl/>
        </w:rPr>
        <w:t>ההליך</w:t>
      </w:r>
      <w:r w:rsidRPr="00BF6D19">
        <w:rPr>
          <w:rFonts w:ascii="Calibri" w:hAnsi="Calibri" w:cs="Miriam"/>
          <w:rtl/>
        </w:rPr>
        <w:t xml:space="preserve"> </w:t>
      </w:r>
      <w:r w:rsidRPr="00BF6D19">
        <w:rPr>
          <w:rFonts w:cs="Miriam"/>
          <w:rtl/>
        </w:rPr>
        <w:t>הפלילי</w:t>
      </w:r>
      <w:r w:rsidRPr="00BF6D19">
        <w:rPr>
          <w:rFonts w:ascii="Calibri" w:hAnsi="Calibri" w:cs="Miriam"/>
          <w:rtl/>
        </w:rPr>
        <w:t xml:space="preserve"> </w:t>
      </w:r>
      <w:r w:rsidRPr="00BF6D19">
        <w:rPr>
          <w:rFonts w:cs="Miriam"/>
          <w:rtl/>
        </w:rPr>
        <w:t>כנגדו</w:t>
      </w:r>
      <w:r w:rsidRPr="00BF6D19">
        <w:rPr>
          <w:rFonts w:ascii="Calibri" w:hAnsi="Calibri" w:cs="Miriam"/>
          <w:rtl/>
        </w:rPr>
        <w:t xml:space="preserve"> </w:t>
      </w:r>
      <w:r w:rsidRPr="00BF6D19">
        <w:rPr>
          <w:rFonts w:cs="Miriam"/>
          <w:rtl/>
        </w:rPr>
        <w:t>ימוצה</w:t>
      </w:r>
      <w:r w:rsidRPr="00BF6D19">
        <w:rPr>
          <w:rFonts w:ascii="Calibri" w:hAnsi="Calibri" w:cs="Miriam"/>
          <w:rtl/>
        </w:rPr>
        <w:t xml:space="preserve"> </w:t>
      </w:r>
      <w:r w:rsidRPr="00BF6D19">
        <w:rPr>
          <w:rFonts w:cs="Miriam"/>
          <w:rtl/>
        </w:rPr>
        <w:t>בדרך</w:t>
      </w:r>
      <w:r w:rsidRPr="00BF6D19">
        <w:rPr>
          <w:rFonts w:ascii="Calibri" w:hAnsi="Calibri" w:cs="Miriam"/>
          <w:rtl/>
        </w:rPr>
        <w:t xml:space="preserve"> </w:t>
      </w:r>
      <w:r w:rsidRPr="00BF6D19">
        <w:rPr>
          <w:rFonts w:cs="Miriam"/>
          <w:rtl/>
        </w:rPr>
        <w:t>של</w:t>
      </w:r>
      <w:r w:rsidRPr="00BF6D19">
        <w:rPr>
          <w:rFonts w:ascii="Calibri" w:hAnsi="Calibri" w:cs="Miriam"/>
          <w:rtl/>
        </w:rPr>
        <w:t xml:space="preserve"> </w:t>
      </w:r>
      <w:r w:rsidRPr="00BF6D19">
        <w:rPr>
          <w:rFonts w:cs="Miriam"/>
          <w:rtl/>
        </w:rPr>
        <w:t>הרשעתו</w:t>
      </w:r>
      <w:r w:rsidRPr="00BF6D19">
        <w:rPr>
          <w:rFonts w:ascii="Calibri" w:hAnsi="Calibri" w:cs="Miriam"/>
          <w:rtl/>
        </w:rPr>
        <w:t xml:space="preserve"> </w:t>
      </w:r>
      <w:r w:rsidRPr="00BF6D19">
        <w:rPr>
          <w:rFonts w:cs="Miriam"/>
          <w:rtl/>
        </w:rPr>
        <w:t>וענישת</w:t>
      </w:r>
      <w:r w:rsidRPr="00BF6D19">
        <w:rPr>
          <w:rFonts w:ascii="Calibri" w:hAnsi="Calibri" w:cs="Miriam"/>
          <w:rtl/>
        </w:rPr>
        <w:t xml:space="preserve"> </w:t>
      </w:r>
      <w:r w:rsidRPr="00BF6D19">
        <w:rPr>
          <w:rFonts w:cs="Miriam"/>
          <w:rtl/>
        </w:rPr>
        <w:t>ומציאות</w:t>
      </w:r>
      <w:r w:rsidRPr="00BF6D19">
        <w:rPr>
          <w:rFonts w:ascii="Calibri" w:hAnsi="Calibri" w:cs="Miriam"/>
          <w:rtl/>
        </w:rPr>
        <w:t xml:space="preserve"> </w:t>
      </w:r>
      <w:r w:rsidRPr="00BF6D19">
        <w:rPr>
          <w:rFonts w:cs="Miriam"/>
          <w:rtl/>
        </w:rPr>
        <w:t>זו</w:t>
      </w:r>
      <w:r w:rsidRPr="00BF6D19">
        <w:rPr>
          <w:rFonts w:ascii="Calibri" w:hAnsi="Calibri" w:cs="Miriam"/>
          <w:rtl/>
        </w:rPr>
        <w:t xml:space="preserve"> </w:t>
      </w:r>
      <w:r w:rsidRPr="00BF6D19">
        <w:rPr>
          <w:rFonts w:cs="Miriam"/>
          <w:rtl/>
        </w:rPr>
        <w:t>עומדת</w:t>
      </w:r>
      <w:r w:rsidRPr="00BF6D19">
        <w:rPr>
          <w:rFonts w:ascii="Calibri" w:hAnsi="Calibri" w:cs="Miriam"/>
          <w:rtl/>
        </w:rPr>
        <w:t xml:space="preserve"> </w:t>
      </w:r>
      <w:r w:rsidRPr="00BF6D19">
        <w:rPr>
          <w:rFonts w:cs="Miriam"/>
          <w:rtl/>
        </w:rPr>
        <w:t>ביסוד</w:t>
      </w:r>
      <w:r w:rsidRPr="00BF6D19">
        <w:rPr>
          <w:rFonts w:ascii="Calibri" w:hAnsi="Calibri" w:cs="Miriam"/>
          <w:rtl/>
        </w:rPr>
        <w:t xml:space="preserve"> </w:t>
      </w:r>
      <w:r w:rsidRPr="00BF6D19">
        <w:rPr>
          <w:rFonts w:cs="Miriam"/>
          <w:rtl/>
        </w:rPr>
        <w:t>הליך</w:t>
      </w:r>
      <w:r w:rsidRPr="00BF6D19">
        <w:rPr>
          <w:rFonts w:ascii="Calibri" w:hAnsi="Calibri" w:cs="Miriam"/>
          <w:rtl/>
        </w:rPr>
        <w:t xml:space="preserve"> </w:t>
      </w:r>
      <w:r w:rsidRPr="00BF6D19">
        <w:rPr>
          <w:rFonts w:cs="Miriam"/>
          <w:rtl/>
        </w:rPr>
        <w:t>אכיפת</w:t>
      </w:r>
      <w:r w:rsidRPr="00BF6D19">
        <w:rPr>
          <w:rFonts w:ascii="Calibri" w:hAnsi="Calibri" w:cs="Miriam"/>
          <w:rtl/>
        </w:rPr>
        <w:t xml:space="preserve"> </w:t>
      </w:r>
      <w:r w:rsidRPr="00BF6D19">
        <w:rPr>
          <w:rFonts w:cs="Miriam"/>
          <w:rtl/>
        </w:rPr>
        <w:t>חוק</w:t>
      </w:r>
      <w:r w:rsidRPr="00BF6D19">
        <w:rPr>
          <w:rFonts w:ascii="Calibri" w:hAnsi="Calibri" w:cs="Miriam"/>
          <w:rtl/>
        </w:rPr>
        <w:t xml:space="preserve"> </w:t>
      </w:r>
      <w:r w:rsidRPr="00BF6D19">
        <w:rPr>
          <w:rFonts w:cs="Miriam"/>
          <w:rtl/>
        </w:rPr>
        <w:t>תקין</w:t>
      </w:r>
      <w:r w:rsidRPr="00BF6D19">
        <w:rPr>
          <w:rFonts w:ascii="Calibri" w:hAnsi="Calibri" w:cs="Miriam"/>
          <w:rtl/>
        </w:rPr>
        <w:t xml:space="preserve"> </w:t>
      </w:r>
      <w:r w:rsidRPr="00BF6D19">
        <w:rPr>
          <w:rFonts w:cs="Miriam"/>
          <w:rtl/>
        </w:rPr>
        <w:t>ושוויוני</w:t>
      </w:r>
      <w:r w:rsidRPr="00BF6D19">
        <w:rPr>
          <w:rFonts w:ascii="Calibri" w:hAnsi="Calibri" w:cs="Miriam"/>
        </w:rPr>
        <w:t>.</w:t>
      </w:r>
      <w:r w:rsidRPr="00BF6D19">
        <w:rPr>
          <w:rFonts w:cs="Miriam"/>
          <w:rtl/>
        </w:rPr>
        <w:t>"</w:t>
      </w:r>
      <w:r w:rsidRPr="00BF6D19">
        <w:rPr>
          <w:rtl/>
        </w:rPr>
        <w:t xml:space="preserve"> (</w:t>
      </w:r>
      <w:hyperlink r:id="rId18" w:history="1">
        <w:r w:rsidR="00941AF6" w:rsidRPr="00941AF6">
          <w:rPr>
            <w:color w:val="0000FF"/>
            <w:u w:val="single"/>
            <w:rtl/>
          </w:rPr>
          <w:t>ע"פ 2669/00</w:t>
        </w:r>
      </w:hyperlink>
      <w:r w:rsidRPr="00BF6D19">
        <w:rPr>
          <w:rtl/>
        </w:rPr>
        <w:t xml:space="preserve"> </w:t>
      </w:r>
      <w:r w:rsidRPr="00BF6D19">
        <w:rPr>
          <w:rFonts w:hint="cs"/>
          <w:b/>
          <w:bCs/>
          <w:rtl/>
        </w:rPr>
        <w:t>פלוני נ' מדינת ישראל</w:t>
      </w:r>
      <w:r w:rsidRPr="00BF6D19">
        <w:rPr>
          <w:rFonts w:hint="cs"/>
          <w:rtl/>
        </w:rPr>
        <w:t xml:space="preserve"> (17.8.00)). עם זאת, נקבע בפסיקה </w:t>
      </w:r>
      <w:r>
        <w:rPr>
          <w:rFonts w:hint="cs"/>
          <w:rtl/>
        </w:rPr>
        <w:t>ש</w:t>
      </w:r>
      <w:r w:rsidRPr="00BF6D19">
        <w:rPr>
          <w:rFonts w:hint="cs"/>
          <w:rtl/>
        </w:rPr>
        <w:t>ניתן יהיה להימנע מהרשעת נאשם בנסיבות חריגות, בהן נמצא שקיים יחס בלתי סביר בין הנזק שיגרם לו מהרשעתו בדין, לבין האינטרס החברתי שבמיצוי הדין עמו ובתועלת הציבורית שתושג מכך (</w:t>
      </w:r>
      <w:hyperlink r:id="rId19" w:history="1">
        <w:r w:rsidR="00941AF6" w:rsidRPr="00941AF6">
          <w:rPr>
            <w:b/>
            <w:bCs/>
            <w:color w:val="0000FF"/>
            <w:u w:val="single"/>
            <w:rtl/>
          </w:rPr>
          <w:t>ע"פ 2083/96</w:t>
        </w:r>
      </w:hyperlink>
      <w:r w:rsidRPr="00941AF6">
        <w:rPr>
          <w:b/>
          <w:bCs/>
          <w:color w:val="000000"/>
          <w:rtl/>
        </w:rPr>
        <w:t xml:space="preserve"> כתב נ' מדינת ישראל</w:t>
      </w:r>
      <w:r w:rsidRPr="00941AF6">
        <w:rPr>
          <w:color w:val="000000"/>
          <w:rtl/>
        </w:rPr>
        <w:t>, פ"ד נב</w:t>
      </w:r>
      <w:r>
        <w:rPr>
          <w:rtl/>
        </w:rPr>
        <w:t xml:space="preserve"> (3) 337)). חריג זה נועד לאפשר לבית המשפט להימנע מפגיעה חמורה בֵנאשם, אשר </w:t>
      </w:r>
      <w:r w:rsidRPr="00BF6D19">
        <w:rPr>
          <w:rtl/>
        </w:rPr>
        <w:t>עניינו הכולל אינו מתאים לעיקרון העונשי הכללי, בשל נסיבות אישיות מיוחדות אל מול מהותה של העבירה. יפים לעניין זה הדברים שנאמרו ב</w:t>
      </w:r>
      <w:hyperlink r:id="rId20" w:history="1">
        <w:r w:rsidR="00941AF6" w:rsidRPr="00941AF6">
          <w:rPr>
            <w:color w:val="0000FF"/>
            <w:u w:val="single"/>
            <w:rtl/>
          </w:rPr>
          <w:t>ע"פ 9893/06</w:t>
        </w:r>
      </w:hyperlink>
      <w:r w:rsidRPr="00BF6D19">
        <w:rPr>
          <w:rtl/>
        </w:rPr>
        <w:t xml:space="preserve"> </w:t>
      </w:r>
      <w:r w:rsidRPr="00BF6D19">
        <w:rPr>
          <w:rFonts w:hint="cs"/>
          <w:b/>
          <w:bCs/>
          <w:rtl/>
        </w:rPr>
        <w:t>לאופר נ' מדינת ישראל</w:t>
      </w:r>
      <w:r w:rsidRPr="00BF6D19">
        <w:rPr>
          <w:rFonts w:hint="cs"/>
          <w:rtl/>
        </w:rPr>
        <w:t xml:space="preserve"> (31.12.07):</w:t>
      </w:r>
      <w:r w:rsidRPr="00BF6D19">
        <w:rPr>
          <w:rFonts w:ascii="David" w:hAnsi="David" w:hint="cs"/>
          <w:rtl/>
        </w:rPr>
        <w:t xml:space="preserve"> </w:t>
      </w:r>
    </w:p>
    <w:p w14:paraId="254DE8D5" w14:textId="77777777" w:rsidR="00F00A1A" w:rsidRDefault="00F00A1A" w:rsidP="00F00A1A">
      <w:pPr>
        <w:pStyle w:val="a9"/>
        <w:spacing w:line="360" w:lineRule="auto"/>
        <w:ind w:left="0"/>
        <w:jc w:val="both"/>
        <w:rPr>
          <w:rFonts w:ascii="David" w:hAnsi="David"/>
          <w:rtl/>
        </w:rPr>
      </w:pPr>
    </w:p>
    <w:p w14:paraId="38E9F82A" w14:textId="77777777" w:rsidR="00F00A1A" w:rsidRDefault="00F00A1A" w:rsidP="00F00A1A">
      <w:pPr>
        <w:overflowPunct w:val="0"/>
        <w:autoSpaceDE w:val="0"/>
        <w:autoSpaceDN w:val="0"/>
        <w:adjustRightInd w:val="0"/>
        <w:ind w:left="2160" w:right="1843"/>
        <w:jc w:val="both"/>
        <w:rPr>
          <w:rFonts w:cs="Miriam"/>
          <w:spacing w:val="10"/>
        </w:rPr>
      </w:pPr>
      <w:r>
        <w:rPr>
          <w:rFonts w:cs="Miriam"/>
          <w:spacing w:val="10"/>
          <w:rtl/>
        </w:rPr>
        <w:t>"המשפט מניח, כי במורכבות החיים האנושיים על תהפוכותיהם, בהשתקפותם בהליך הפלילי, עשויים להיווצר מצבים קיצוניים אשר אינם מתאימים להחלת העקרון העונשי הרחב, המחייב הרשעה פלילית בעקבות הוכחת אשמה. במצבים חריגים מיוחדים ויוצאי דופן, כאשר עלול להיווצר פער בלתי נסבל בין עוצמת פגיעתה של ההרשעה הפלילית בנאשם האינדיבידואלי לבין תועלתה של ההרשעה לאינטרס הציבורי-חברתי הכללי, נתון בידי בית המשפט הכח להחליט כי, חרף אשמתו של הנאשם, הוא לא יורשע בדין."</w:t>
      </w:r>
    </w:p>
    <w:p w14:paraId="02E2335C" w14:textId="77777777" w:rsidR="00F00A1A" w:rsidRDefault="00F00A1A" w:rsidP="00F00A1A">
      <w:pPr>
        <w:pStyle w:val="a9"/>
        <w:ind w:left="0"/>
        <w:jc w:val="both"/>
        <w:rPr>
          <w:rFonts w:ascii="David" w:hAnsi="David"/>
          <w:rtl/>
        </w:rPr>
      </w:pPr>
    </w:p>
    <w:p w14:paraId="3AD90A91" w14:textId="77777777" w:rsidR="00F00A1A" w:rsidRDefault="00F00A1A" w:rsidP="00F00A1A">
      <w:pPr>
        <w:spacing w:line="360" w:lineRule="auto"/>
        <w:jc w:val="both"/>
        <w:rPr>
          <w:rFonts w:ascii="David" w:hAnsi="David"/>
        </w:rPr>
      </w:pPr>
      <w:r>
        <w:rPr>
          <w:rFonts w:ascii="David" w:hAnsi="David"/>
          <w:rtl/>
        </w:rPr>
        <w:tab/>
        <w:t xml:space="preserve">וראו גם: </w:t>
      </w:r>
    </w:p>
    <w:p w14:paraId="337734B8" w14:textId="77777777" w:rsidR="00F00A1A" w:rsidRDefault="00F00A1A" w:rsidP="00F00A1A">
      <w:pPr>
        <w:jc w:val="both"/>
        <w:rPr>
          <w:rFonts w:ascii="David" w:hAnsi="David"/>
          <w:rtl/>
        </w:rPr>
      </w:pPr>
    </w:p>
    <w:p w14:paraId="7F2E51BA" w14:textId="77777777" w:rsidR="00F00A1A" w:rsidRDefault="00F00A1A" w:rsidP="00F00A1A">
      <w:pPr>
        <w:ind w:left="2160" w:right="1843"/>
        <w:jc w:val="both"/>
        <w:rPr>
          <w:rFonts w:ascii="David" w:hAnsi="David" w:cs="Miriam"/>
          <w:rtl/>
        </w:rPr>
      </w:pPr>
      <w:r>
        <w:rPr>
          <w:rFonts w:ascii="David" w:hAnsi="David" w:cs="Miriam"/>
          <w:rtl/>
        </w:rPr>
        <w:t>"דרך המלך היא כי יש להרשיע מי שנקבע כי ביצע את העבירה שבגינה הועמד לדין. יחד עם זאת, הדין מכיר במפורש גם באפשרות של אי-הרשעה חרף הקביעה שנאשם ביצע עבירה (סעיף 71א(ב) ל</w:t>
      </w:r>
      <w:hyperlink r:id="rId21" w:history="1">
        <w:r w:rsidR="00941AF6" w:rsidRPr="00941AF6">
          <w:rPr>
            <w:rFonts w:ascii="David" w:hAnsi="David" w:cs="Miriam"/>
            <w:color w:val="0000FF"/>
            <w:u w:val="single"/>
            <w:rtl/>
          </w:rPr>
          <w:t>חוק העונשין</w:t>
        </w:r>
      </w:hyperlink>
      <w:r>
        <w:rPr>
          <w:rFonts w:ascii="David" w:hAnsi="David" w:cs="Miriam"/>
          <w:rtl/>
        </w:rPr>
        <w:t>, התשל"ז-1977). לא מדובר בכלל אלא בחריג, לפחות ביחס לבגירים (</w:t>
      </w:r>
      <w:hyperlink r:id="rId22" w:history="1">
        <w:r w:rsidR="00941AF6" w:rsidRPr="00941AF6">
          <w:rPr>
            <w:rFonts w:ascii="David" w:hAnsi="David" w:cs="Miriam"/>
            <w:color w:val="0000FF"/>
            <w:u w:val="single"/>
            <w:rtl/>
          </w:rPr>
          <w:t>רע"פ 8487/11</w:t>
        </w:r>
      </w:hyperlink>
      <w:r>
        <w:rPr>
          <w:rFonts w:ascii="David" w:hAnsi="David" w:cs="Miriam"/>
          <w:rtl/>
        </w:rPr>
        <w:t xml:space="preserve"> </w:t>
      </w:r>
      <w:r>
        <w:rPr>
          <w:rFonts w:ascii="David" w:hAnsi="David" w:cs="Miriam"/>
          <w:b/>
          <w:bCs/>
          <w:rtl/>
        </w:rPr>
        <w:t>חברת נמלי ישראל נ' מדינת ישראל</w:t>
      </w:r>
      <w:r>
        <w:rPr>
          <w:rFonts w:ascii="David" w:hAnsi="David" w:cs="Miriam"/>
          <w:rtl/>
        </w:rPr>
        <w:t>, פסקה ל"ח (23.10.2012)). עניין זה בא לידי ביטוי בהלכה הפסוקה לפיה האפשרות של אי-הרשעה מותנית בשני תנאים מצטברים: ראשית, העניין רלוונטי רק כאשר סוג העבירה שביצע הנאשם מאפשר שלא להרשיעו מבלי לפגוע בשיקולי הענישה הרחבים. לשון אחר, המבט צריך להיות מופנה כלפי האינטרס הציבורי הרחב, שמתבטא גם בצורך בהרתעת הרבים, ולהשפעת אי-ההרשעה עליו. שנית, יש לבחון עד כמה עלול הנאשם להיפגע כתוצאה מעצם ההרשעה" (</w:t>
      </w:r>
      <w:hyperlink r:id="rId23" w:history="1">
        <w:r w:rsidR="00941AF6" w:rsidRPr="00941AF6">
          <w:rPr>
            <w:rFonts w:ascii="David" w:hAnsi="David"/>
            <w:color w:val="0000FF"/>
            <w:u w:val="single"/>
            <w:rtl/>
          </w:rPr>
          <w:t>ע"פ 8169/20</w:t>
        </w:r>
      </w:hyperlink>
      <w:r>
        <w:rPr>
          <w:rFonts w:ascii="David" w:hAnsi="David"/>
          <w:rtl/>
        </w:rPr>
        <w:t xml:space="preserve"> </w:t>
      </w:r>
      <w:r>
        <w:rPr>
          <w:rFonts w:ascii="David" w:hAnsi="David"/>
          <w:b/>
          <w:bCs/>
          <w:rtl/>
        </w:rPr>
        <w:t>חיים שלום נ' מדינת ישראל</w:t>
      </w:r>
      <w:r>
        <w:rPr>
          <w:rFonts w:ascii="David" w:hAnsi="David"/>
          <w:rtl/>
        </w:rPr>
        <w:t xml:space="preserve"> (26.8.2021); להלן – </w:t>
      </w:r>
      <w:r>
        <w:rPr>
          <w:rFonts w:ascii="David" w:hAnsi="David"/>
          <w:b/>
          <w:bCs/>
          <w:rtl/>
        </w:rPr>
        <w:t>עניין שלום</w:t>
      </w:r>
      <w:r>
        <w:rPr>
          <w:rFonts w:ascii="David" w:hAnsi="David"/>
          <w:rtl/>
        </w:rPr>
        <w:t>)).</w:t>
      </w:r>
    </w:p>
    <w:p w14:paraId="2F025970" w14:textId="77777777" w:rsidR="00F00A1A" w:rsidRPr="00B7206F" w:rsidRDefault="00F00A1A" w:rsidP="00F00A1A">
      <w:pPr>
        <w:pStyle w:val="a9"/>
        <w:ind w:left="0" w:right="1276"/>
        <w:jc w:val="both"/>
        <w:rPr>
          <w:rFonts w:cs="Miriam"/>
          <w:rtl/>
        </w:rPr>
      </w:pPr>
    </w:p>
    <w:p w14:paraId="082DE3C0" w14:textId="77777777" w:rsidR="00F00A1A" w:rsidRPr="00E66A7E" w:rsidRDefault="00F00A1A" w:rsidP="00F00A1A">
      <w:pPr>
        <w:pStyle w:val="a9"/>
        <w:numPr>
          <w:ilvl w:val="0"/>
          <w:numId w:val="1"/>
        </w:numPr>
        <w:spacing w:line="360" w:lineRule="auto"/>
        <w:jc w:val="both"/>
        <w:rPr>
          <w:rFonts w:ascii="David" w:hAnsi="David"/>
        </w:rPr>
      </w:pPr>
      <w:r>
        <w:rPr>
          <w:rFonts w:hint="cs"/>
          <w:rtl/>
        </w:rPr>
        <w:t xml:space="preserve">טרם דיון אציין שלנאשם הרשעה קודמת (בשל היעדר מהשירות). על פני הדברים עשויה להישמע טענה שאין טעם מעשי בביטול ההרשעה בתיק זה, שכן הנזק ממילא ייגרם בשל ההרשעה הקודמת. טענה זו יפה במישור העקרוני אך משקלה נמוך במקרה זה, לאור כך שההרשעה אמורה להימחק בשנת 2024 </w:t>
      </w:r>
      <w:r>
        <w:rPr>
          <w:rFonts w:ascii="David" w:hAnsi="David" w:hint="cs"/>
          <w:rtl/>
        </w:rPr>
        <w:t xml:space="preserve">ומכאן שהרשעה כעת תדחה את מחיקתה לשנים רבות, בעוד שאי הרשעה תאפשר את מחיקתה במועד (ראו </w:t>
      </w:r>
      <w:hyperlink r:id="rId24" w:history="1">
        <w:r w:rsidR="008D598F" w:rsidRPr="008D598F">
          <w:rPr>
            <w:rStyle w:val="Hyperlink"/>
            <w:rFonts w:ascii="David" w:hAnsi="David" w:hint="eastAsia"/>
            <w:rtl/>
          </w:rPr>
          <w:t>סעיף</w:t>
        </w:r>
        <w:r w:rsidR="008D598F" w:rsidRPr="008D598F">
          <w:rPr>
            <w:rStyle w:val="Hyperlink"/>
            <w:rFonts w:ascii="David" w:hAnsi="David"/>
            <w:rtl/>
          </w:rPr>
          <w:t xml:space="preserve"> 16</w:t>
        </w:r>
      </w:hyperlink>
      <w:r>
        <w:rPr>
          <w:rFonts w:ascii="David" w:hAnsi="David" w:hint="cs"/>
          <w:rtl/>
        </w:rPr>
        <w:t xml:space="preserve"> ל</w:t>
      </w:r>
      <w:hyperlink r:id="rId25" w:history="1">
        <w:r w:rsidR="00941AF6" w:rsidRPr="00941AF6">
          <w:rPr>
            <w:color w:val="0000FF"/>
            <w:u w:val="single"/>
            <w:rtl/>
          </w:rPr>
          <w:t>חוק המרשם הפלילי ותקנת השבים</w:t>
        </w:r>
      </w:hyperlink>
      <w:r w:rsidRPr="00E66A7E">
        <w:rPr>
          <w:rtl/>
        </w:rPr>
        <w:t>, תשמ"א-1981</w:t>
      </w:r>
      <w:r>
        <w:rPr>
          <w:rFonts w:hint="cs"/>
          <w:rtl/>
        </w:rPr>
        <w:t>).</w:t>
      </w:r>
    </w:p>
    <w:p w14:paraId="6386E9DB" w14:textId="77777777" w:rsidR="00F00A1A" w:rsidRPr="00E66A7E" w:rsidRDefault="00F00A1A" w:rsidP="00F00A1A">
      <w:pPr>
        <w:pStyle w:val="a9"/>
        <w:spacing w:line="360" w:lineRule="auto"/>
        <w:ind w:left="0"/>
        <w:jc w:val="both"/>
        <w:rPr>
          <w:rFonts w:ascii="David" w:hAnsi="David"/>
        </w:rPr>
      </w:pPr>
    </w:p>
    <w:p w14:paraId="49C65DBC" w14:textId="77777777" w:rsidR="00F00A1A" w:rsidRDefault="00F00A1A" w:rsidP="00F00A1A">
      <w:pPr>
        <w:pStyle w:val="a9"/>
        <w:numPr>
          <w:ilvl w:val="0"/>
          <w:numId w:val="1"/>
        </w:numPr>
        <w:spacing w:line="360" w:lineRule="auto"/>
        <w:jc w:val="both"/>
        <w:rPr>
          <w:rFonts w:ascii="David" w:hAnsi="David"/>
        </w:rPr>
      </w:pPr>
      <w:r>
        <w:rPr>
          <w:rFonts w:hint="cs"/>
          <w:rtl/>
        </w:rPr>
        <w:t xml:space="preserve">וכעת לגופו של עניין. </w:t>
      </w:r>
      <w:r>
        <w:rPr>
          <w:rtl/>
        </w:rPr>
        <w:t>על פני הדברים, ניצבת בפני הנאשם משוכה גבוהה כבר בשאלת מהות העבירה. מדובר בעבירה חמורה שעונשה המרבי</w:t>
      </w:r>
      <w:r w:rsidRPr="00BA7764">
        <w:rPr>
          <w:rFonts w:ascii="David" w:hAnsi="David" w:hint="cs"/>
          <w:rtl/>
        </w:rPr>
        <w:t xml:space="preserve"> </w:t>
      </w:r>
      <w:r>
        <w:rPr>
          <w:rtl/>
        </w:rPr>
        <w:t xml:space="preserve">20 שנות מאסר (ומובן שכאשר הועמד הנאשם לדין </w:t>
      </w:r>
      <w:r w:rsidRPr="00B7206F">
        <w:rPr>
          <w:rtl/>
        </w:rPr>
        <w:t>בבית משפט שלום, עונשה המרבי הוא 7 שנות מאסר בלבד (</w:t>
      </w:r>
      <w:hyperlink r:id="rId26" w:history="1">
        <w:r w:rsidR="008D598F" w:rsidRPr="008D598F">
          <w:rPr>
            <w:rStyle w:val="Hyperlink"/>
            <w:rtl/>
          </w:rPr>
          <w:t>סעיף 51(א)(1)(ב)</w:t>
        </w:r>
      </w:hyperlink>
      <w:r w:rsidRPr="00B7206F">
        <w:rPr>
          <w:rtl/>
        </w:rPr>
        <w:t xml:space="preserve"> ל</w:t>
      </w:r>
      <w:hyperlink r:id="rId27" w:history="1">
        <w:r w:rsidR="00941AF6" w:rsidRPr="00941AF6">
          <w:rPr>
            <w:color w:val="0000FF"/>
            <w:u w:val="single"/>
            <w:rtl/>
          </w:rPr>
          <w:t>חוק בתי המשפט</w:t>
        </w:r>
      </w:hyperlink>
      <w:r w:rsidRPr="00B7206F">
        <w:rPr>
          <w:rtl/>
        </w:rPr>
        <w:t>)).</w:t>
      </w:r>
      <w:r w:rsidRPr="00BA7764">
        <w:rPr>
          <w:rFonts w:ascii="David" w:hAnsi="David" w:hint="cs"/>
          <w:rtl/>
        </w:rPr>
        <w:t xml:space="preserve"> </w:t>
      </w:r>
      <w:r>
        <w:rPr>
          <w:rtl/>
        </w:rPr>
        <w:t>עם זאת, יש לתת את הדעת</w:t>
      </w:r>
      <w:r w:rsidRPr="00BA7764">
        <w:rPr>
          <w:rFonts w:ascii="David" w:hAnsi="David" w:hint="cs"/>
          <w:rtl/>
        </w:rPr>
        <w:t xml:space="preserve"> לנסיבות ביצוע העבירה, </w:t>
      </w:r>
      <w:r>
        <w:rPr>
          <w:rFonts w:ascii="David" w:hAnsi="David" w:hint="cs"/>
          <w:rtl/>
        </w:rPr>
        <w:t>ובכלל זה שמדובר</w:t>
      </w:r>
      <w:r w:rsidRPr="00BA7764">
        <w:rPr>
          <w:rFonts w:ascii="David" w:hAnsi="David" w:hint="cs"/>
          <w:rtl/>
        </w:rPr>
        <w:t xml:space="preserve"> </w:t>
      </w:r>
      <w:r>
        <w:rPr>
          <w:rFonts w:ascii="David" w:hAnsi="David" w:hint="cs"/>
          <w:rtl/>
        </w:rPr>
        <w:t>ב</w:t>
      </w:r>
      <w:r w:rsidRPr="00BA7764">
        <w:rPr>
          <w:rFonts w:ascii="David" w:hAnsi="David" w:hint="cs"/>
          <w:rtl/>
        </w:rPr>
        <w:t xml:space="preserve">עבירה בודדת כאשר הנאשם שימש כשליח </w:t>
      </w:r>
      <w:r>
        <w:rPr>
          <w:rFonts w:ascii="David" w:hAnsi="David" w:hint="cs"/>
          <w:rtl/>
        </w:rPr>
        <w:t xml:space="preserve">למסירת הסם </w:t>
      </w:r>
      <w:r w:rsidRPr="00BA7764">
        <w:rPr>
          <w:rFonts w:ascii="David" w:hAnsi="David" w:hint="cs"/>
          <w:rtl/>
        </w:rPr>
        <w:t>בלבד. משכך, אינני סבור שנית</w:t>
      </w:r>
      <w:r>
        <w:rPr>
          <w:rFonts w:ascii="David" w:hAnsi="David" w:hint="cs"/>
          <w:rtl/>
        </w:rPr>
        <w:t>ן</w:t>
      </w:r>
      <w:r w:rsidRPr="00BA7764">
        <w:rPr>
          <w:rFonts w:ascii="David" w:hAnsi="David" w:hint="cs"/>
          <w:rtl/>
        </w:rPr>
        <w:t xml:space="preserve"> לומר שמדובר בעבירה שב</w:t>
      </w:r>
      <w:r>
        <w:rPr>
          <w:rFonts w:ascii="David" w:hAnsi="David" w:hint="cs"/>
          <w:rtl/>
        </w:rPr>
        <w:t>נ</w:t>
      </w:r>
      <w:r w:rsidRPr="00BA7764">
        <w:rPr>
          <w:rFonts w:ascii="David" w:hAnsi="David" w:hint="cs"/>
          <w:rtl/>
        </w:rPr>
        <w:t>סיבות ביצועה אין לשקול כלל ביטול הרשעה</w:t>
      </w:r>
      <w:r>
        <w:rPr>
          <w:rFonts w:ascii="David" w:hAnsi="David" w:hint="cs"/>
          <w:rtl/>
        </w:rPr>
        <w:t>,</w:t>
      </w:r>
      <w:r w:rsidRPr="00BA7764">
        <w:rPr>
          <w:rFonts w:ascii="David" w:hAnsi="David" w:hint="cs"/>
          <w:rtl/>
        </w:rPr>
        <w:t xml:space="preserve"> והדגש יושם אפוא </w:t>
      </w:r>
      <w:r>
        <w:rPr>
          <w:rFonts w:ascii="David" w:hAnsi="David" w:hint="cs"/>
          <w:rtl/>
        </w:rPr>
        <w:t>ב</w:t>
      </w:r>
      <w:r w:rsidRPr="00BA7764">
        <w:rPr>
          <w:rFonts w:ascii="David" w:hAnsi="David"/>
          <w:rtl/>
        </w:rPr>
        <w:t>שאלה</w:t>
      </w:r>
      <w:r w:rsidRPr="00BA7764">
        <w:rPr>
          <w:rFonts w:ascii="David" w:hAnsi="David" w:hint="cs"/>
          <w:rtl/>
        </w:rPr>
        <w:t xml:space="preserve"> </w:t>
      </w:r>
      <w:r w:rsidRPr="00BA7764">
        <w:rPr>
          <w:rFonts w:ascii="David" w:hAnsi="David"/>
          <w:rtl/>
        </w:rPr>
        <w:t>"</w:t>
      </w:r>
      <w:r w:rsidRPr="00BA7764">
        <w:rPr>
          <w:rFonts w:ascii="Miriam" w:hAnsi="Miriam" w:cs="Miriam"/>
          <w:rtl/>
        </w:rPr>
        <w:t>עד כמה עלול הנאשם להיפגע כתוצאה מעצם ההרשעה</w:t>
      </w:r>
      <w:r w:rsidRPr="00BA7764">
        <w:rPr>
          <w:rFonts w:ascii="David" w:hAnsi="David"/>
          <w:rtl/>
        </w:rPr>
        <w:t xml:space="preserve">" (עניין </w:t>
      </w:r>
      <w:r w:rsidRPr="00BA7764">
        <w:rPr>
          <w:rFonts w:ascii="David" w:hAnsi="David"/>
          <w:b/>
          <w:bCs/>
          <w:rtl/>
        </w:rPr>
        <w:t>שלום</w:t>
      </w:r>
      <w:r w:rsidRPr="00BA7764">
        <w:rPr>
          <w:rFonts w:ascii="David" w:hAnsi="David"/>
          <w:rtl/>
        </w:rPr>
        <w:t>).</w:t>
      </w:r>
      <w:r w:rsidRPr="00BA7764">
        <w:rPr>
          <w:rFonts w:ascii="David" w:hAnsi="David"/>
        </w:rPr>
        <w:t xml:space="preserve"> </w:t>
      </w:r>
    </w:p>
    <w:p w14:paraId="5A06D3B5" w14:textId="77777777" w:rsidR="00F00A1A" w:rsidRDefault="00F00A1A" w:rsidP="00F00A1A">
      <w:pPr>
        <w:pStyle w:val="a9"/>
        <w:ind w:left="0"/>
        <w:jc w:val="both"/>
        <w:rPr>
          <w:rFonts w:ascii="David" w:hAnsi="David"/>
        </w:rPr>
      </w:pPr>
    </w:p>
    <w:p w14:paraId="52F49B7F" w14:textId="77777777" w:rsidR="00F00A1A" w:rsidRPr="00BA7764" w:rsidRDefault="00F00A1A" w:rsidP="00F00A1A">
      <w:pPr>
        <w:pStyle w:val="a9"/>
        <w:numPr>
          <w:ilvl w:val="0"/>
          <w:numId w:val="1"/>
        </w:numPr>
        <w:spacing w:line="360" w:lineRule="auto"/>
        <w:jc w:val="both"/>
        <w:rPr>
          <w:rFonts w:ascii="David" w:hAnsi="David"/>
        </w:rPr>
      </w:pPr>
      <w:r w:rsidRPr="00BA7764">
        <w:rPr>
          <w:rFonts w:ascii="Arial" w:hAnsi="Arial"/>
          <w:rtl/>
        </w:rPr>
        <w:t>ענייננו עוסק בפגיעה תעסוקתית אפשרית ובנושא זה נקבע כי</w:t>
      </w:r>
      <w:r w:rsidRPr="00BA7764">
        <w:rPr>
          <w:rFonts w:ascii="Calibri" w:hAnsi="Calibri"/>
          <w:rtl/>
        </w:rPr>
        <w:t xml:space="preserve"> </w:t>
      </w:r>
      <w:r w:rsidRPr="00BA7764">
        <w:rPr>
          <w:rFonts w:ascii="David" w:hAnsi="David" w:cs="Miriam"/>
          <w:rtl/>
        </w:rPr>
        <w:t xml:space="preserve">"השיקול שלא לפגוע בעתיד </w:t>
      </w:r>
      <w:r>
        <w:rPr>
          <w:rFonts w:ascii="David" w:hAnsi="David" w:cs="Miriam" w:hint="cs"/>
          <w:rtl/>
        </w:rPr>
        <w:t>ה</w:t>
      </w:r>
      <w:r w:rsidRPr="00BA7764">
        <w:rPr>
          <w:rFonts w:ascii="David" w:hAnsi="David" w:cs="Miriam"/>
          <w:rtl/>
        </w:rPr>
        <w:t>תעסוקתי של נאשם הינו שיקול ראוי שיש להביא בחשבון במסגרת מכלול השיקולים לעניין הימנעות מהרשעה"</w:t>
      </w:r>
      <w:r w:rsidRPr="00BA7764">
        <w:rPr>
          <w:rFonts w:ascii="David" w:hAnsi="David"/>
          <w:rtl/>
        </w:rPr>
        <w:t xml:space="preserve"> (</w:t>
      </w:r>
      <w:hyperlink r:id="rId28" w:history="1">
        <w:r w:rsidR="00941AF6" w:rsidRPr="00941AF6">
          <w:rPr>
            <w:rFonts w:ascii="David" w:hAnsi="David"/>
            <w:color w:val="0000FF"/>
            <w:u w:val="single"/>
            <w:rtl/>
          </w:rPr>
          <w:t>עפ"ג 28110-10-15</w:t>
        </w:r>
      </w:hyperlink>
      <w:r w:rsidRPr="00BA7764">
        <w:rPr>
          <w:rFonts w:ascii="David" w:hAnsi="David"/>
          <w:rtl/>
        </w:rPr>
        <w:t xml:space="preserve"> </w:t>
      </w:r>
      <w:r w:rsidRPr="00BA7764">
        <w:rPr>
          <w:rFonts w:ascii="David" w:hAnsi="David"/>
          <w:b/>
          <w:bCs/>
          <w:rtl/>
        </w:rPr>
        <w:t>מדינת ישראל נ' עידן דוד</w:t>
      </w:r>
      <w:r w:rsidRPr="00BA7764">
        <w:rPr>
          <w:rFonts w:ascii="David" w:hAnsi="David"/>
          <w:rtl/>
        </w:rPr>
        <w:t xml:space="preserve"> (17.12.2015)).</w:t>
      </w:r>
      <w:r w:rsidRPr="00BA7764">
        <w:rPr>
          <w:rFonts w:ascii="David" w:hAnsi="David"/>
          <w:b/>
          <w:bCs/>
          <w:rtl/>
        </w:rPr>
        <w:t xml:space="preserve"> </w:t>
      </w:r>
      <w:r w:rsidRPr="00BA7764">
        <w:rPr>
          <w:rFonts w:ascii="David" w:hAnsi="David"/>
          <w:rtl/>
        </w:rPr>
        <w:t>עם זאת</w:t>
      </w:r>
      <w:r>
        <w:rPr>
          <w:rFonts w:ascii="David" w:hAnsi="David" w:hint="cs"/>
          <w:rtl/>
        </w:rPr>
        <w:t>,</w:t>
      </w:r>
      <w:r w:rsidRPr="00BA7764">
        <w:rPr>
          <w:rFonts w:ascii="David" w:hAnsi="David"/>
          <w:rtl/>
        </w:rPr>
        <w:t xml:space="preserve"> לא כל פגיעה אפשרית מצדיקה הימנעות מהרשעה, אלא תוצאה זו תתאפשר רק בנסיבות חריגות בהן יוכח שהנזק שיגרם לנאשם מההרשעה גבוה יותר מהתועלת שתצמח ממיצוי הדין עמו</w:t>
      </w:r>
      <w:r>
        <w:rPr>
          <w:rFonts w:ascii="David" w:hAnsi="David" w:hint="cs"/>
          <w:rtl/>
        </w:rPr>
        <w:t>,</w:t>
      </w:r>
      <w:r w:rsidRPr="00BA7764">
        <w:rPr>
          <w:rFonts w:ascii="David" w:hAnsi="David"/>
          <w:rtl/>
        </w:rPr>
        <w:t xml:space="preserve"> עד כי מתקיים יחס בלתי סביר בין נזק זה לבין חומרת העבירה (ראו: </w:t>
      </w:r>
      <w:hyperlink r:id="rId29" w:history="1">
        <w:r w:rsidR="00941AF6" w:rsidRPr="00941AF6">
          <w:rPr>
            <w:rFonts w:ascii="David" w:hAnsi="David"/>
            <w:color w:val="0000FF"/>
            <w:u w:val="single"/>
            <w:rtl/>
          </w:rPr>
          <w:t>ע"פ 2555/13</w:t>
        </w:r>
      </w:hyperlink>
      <w:r w:rsidRPr="00BA7764">
        <w:rPr>
          <w:rFonts w:ascii="David" w:hAnsi="David"/>
          <w:rtl/>
        </w:rPr>
        <w:t xml:space="preserve"> </w:t>
      </w:r>
      <w:r w:rsidRPr="00BA7764">
        <w:rPr>
          <w:rFonts w:ascii="David" w:hAnsi="David" w:hint="cs"/>
          <w:b/>
          <w:bCs/>
          <w:rtl/>
        </w:rPr>
        <w:t>חי נחמיאס נ' מדינת ישראל</w:t>
      </w:r>
      <w:r>
        <w:rPr>
          <w:rtl/>
        </w:rPr>
        <w:t xml:space="preserve"> </w:t>
      </w:r>
      <w:r w:rsidRPr="00BA7764">
        <w:rPr>
          <w:rFonts w:ascii="David" w:hAnsi="David"/>
          <w:rtl/>
        </w:rPr>
        <w:t xml:space="preserve">(9.1.2014); </w:t>
      </w:r>
      <w:hyperlink r:id="rId30" w:history="1">
        <w:r w:rsidR="00941AF6" w:rsidRPr="00941AF6">
          <w:rPr>
            <w:rFonts w:ascii="David" w:hAnsi="David"/>
            <w:color w:val="0000FF"/>
            <w:u w:val="single"/>
            <w:rtl/>
          </w:rPr>
          <w:t>רע"פ 3852/14</w:t>
        </w:r>
      </w:hyperlink>
      <w:r w:rsidRPr="00BA7764">
        <w:rPr>
          <w:rFonts w:ascii="David" w:hAnsi="David"/>
          <w:rtl/>
        </w:rPr>
        <w:t xml:space="preserve"> </w:t>
      </w:r>
      <w:r w:rsidRPr="00BA7764">
        <w:rPr>
          <w:rFonts w:ascii="David" w:hAnsi="David" w:hint="cs"/>
          <w:b/>
          <w:bCs/>
          <w:rtl/>
        </w:rPr>
        <w:t>אלכסנדר זיסמן ורשואר נ' מדינת ישראל</w:t>
      </w:r>
      <w:r w:rsidRPr="00BA7764">
        <w:rPr>
          <w:rFonts w:ascii="David" w:hAnsi="David" w:hint="cs"/>
          <w:rtl/>
        </w:rPr>
        <w:t xml:space="preserve"> (18.8.2014); </w:t>
      </w:r>
      <w:hyperlink r:id="rId31" w:history="1">
        <w:r w:rsidR="00941AF6" w:rsidRPr="00941AF6">
          <w:rPr>
            <w:rFonts w:ascii="David" w:hAnsi="David"/>
            <w:color w:val="0000FF"/>
            <w:u w:val="single"/>
            <w:rtl/>
          </w:rPr>
          <w:t>רע"פ 2180/14</w:t>
        </w:r>
      </w:hyperlink>
      <w:r w:rsidRPr="00BA7764">
        <w:rPr>
          <w:rFonts w:ascii="David" w:hAnsi="David"/>
          <w:rtl/>
        </w:rPr>
        <w:t xml:space="preserve"> </w:t>
      </w:r>
      <w:r w:rsidRPr="00BA7764">
        <w:rPr>
          <w:rFonts w:ascii="David" w:hAnsi="David" w:hint="cs"/>
          <w:b/>
          <w:bCs/>
          <w:rtl/>
        </w:rPr>
        <w:t>ספיר שמואלי נ' מדינת ישראל</w:t>
      </w:r>
      <w:r w:rsidRPr="00BA7764">
        <w:rPr>
          <w:rFonts w:ascii="David" w:hAnsi="David" w:hint="cs"/>
          <w:rtl/>
        </w:rPr>
        <w:t xml:space="preserve"> (24.4.2014); </w:t>
      </w:r>
      <w:hyperlink r:id="rId32" w:history="1">
        <w:r w:rsidR="00941AF6" w:rsidRPr="00941AF6">
          <w:rPr>
            <w:rFonts w:ascii="David" w:hAnsi="David"/>
            <w:color w:val="0000FF"/>
            <w:u w:val="single"/>
            <w:rtl/>
          </w:rPr>
          <w:t>רע"פ 8627/12</w:t>
        </w:r>
      </w:hyperlink>
      <w:r w:rsidRPr="00BA7764">
        <w:rPr>
          <w:rFonts w:ascii="David" w:hAnsi="David"/>
          <w:rtl/>
        </w:rPr>
        <w:t xml:space="preserve"> </w:t>
      </w:r>
      <w:r w:rsidRPr="00BA7764">
        <w:rPr>
          <w:rFonts w:ascii="David" w:hAnsi="David" w:hint="cs"/>
          <w:b/>
          <w:bCs/>
          <w:rtl/>
        </w:rPr>
        <w:t>יוסף הנסב נ' מדינת ישראל</w:t>
      </w:r>
      <w:r w:rsidRPr="00BA7764">
        <w:rPr>
          <w:rFonts w:ascii="David" w:hAnsi="David" w:hint="cs"/>
          <w:rtl/>
        </w:rPr>
        <w:t xml:space="preserve"> (31.12.2012); </w:t>
      </w:r>
      <w:hyperlink r:id="rId33" w:history="1">
        <w:r w:rsidR="00941AF6" w:rsidRPr="00941AF6">
          <w:rPr>
            <w:rFonts w:ascii="David" w:hAnsi="David"/>
            <w:color w:val="0000FF"/>
            <w:u w:val="single"/>
            <w:rtl/>
          </w:rPr>
          <w:t>עפ"ג 1576-02-18</w:t>
        </w:r>
      </w:hyperlink>
      <w:r w:rsidRPr="00BA7764">
        <w:rPr>
          <w:rFonts w:ascii="David" w:hAnsi="David" w:hint="cs"/>
          <w:color w:val="000000"/>
          <w:rtl/>
        </w:rPr>
        <w:t xml:space="preserve"> </w:t>
      </w:r>
      <w:r w:rsidRPr="00BA7764">
        <w:rPr>
          <w:rFonts w:ascii="David" w:hAnsi="David" w:hint="cs"/>
          <w:b/>
          <w:bCs/>
          <w:color w:val="000000"/>
          <w:rtl/>
        </w:rPr>
        <w:t>שלמה לזמי נ' מדינת ישראל</w:t>
      </w:r>
      <w:r w:rsidRPr="00BA7764">
        <w:rPr>
          <w:rFonts w:ascii="David" w:hAnsi="David" w:hint="cs"/>
          <w:rtl/>
        </w:rPr>
        <w:t xml:space="preserve"> (31.5.2018)). </w:t>
      </w:r>
    </w:p>
    <w:p w14:paraId="0CFE41B0" w14:textId="77777777" w:rsidR="00F00A1A" w:rsidRPr="00740942" w:rsidRDefault="00F00A1A" w:rsidP="00F00A1A">
      <w:pPr>
        <w:pStyle w:val="a9"/>
        <w:ind w:left="0"/>
        <w:jc w:val="both"/>
        <w:rPr>
          <w:rFonts w:ascii="David" w:hAnsi="David"/>
          <w:rtl/>
        </w:rPr>
      </w:pPr>
    </w:p>
    <w:p w14:paraId="112ABBA8" w14:textId="77777777" w:rsidR="00F00A1A" w:rsidRDefault="00F00A1A" w:rsidP="00F00A1A">
      <w:pPr>
        <w:pStyle w:val="a9"/>
        <w:numPr>
          <w:ilvl w:val="0"/>
          <w:numId w:val="1"/>
        </w:numPr>
        <w:spacing w:line="360" w:lineRule="auto"/>
        <w:jc w:val="both"/>
        <w:rPr>
          <w:rFonts w:ascii="David" w:hAnsi="David"/>
        </w:rPr>
      </w:pPr>
      <w:r>
        <w:rPr>
          <w:rFonts w:ascii="David" w:hAnsi="David"/>
          <w:rtl/>
        </w:rPr>
        <w:t xml:space="preserve">אין חולק </w:t>
      </w:r>
      <w:r>
        <w:rPr>
          <w:rtl/>
        </w:rPr>
        <w:t xml:space="preserve">שהרשעה עלולה להשפיע על עתידו התעסוקתי של </w:t>
      </w:r>
      <w:r>
        <w:rPr>
          <w:rFonts w:hint="cs"/>
          <w:rtl/>
        </w:rPr>
        <w:t>כל אדם</w:t>
      </w:r>
      <w:r>
        <w:rPr>
          <w:rtl/>
        </w:rPr>
        <w:t>, שכן לעולם נלוות להרשעה פגיעה אינהרנטית</w:t>
      </w:r>
      <w:r>
        <w:rPr>
          <w:rFonts w:hint="cs"/>
          <w:rtl/>
        </w:rPr>
        <w:t>, לרבות</w:t>
      </w:r>
      <w:r>
        <w:rPr>
          <w:rtl/>
        </w:rPr>
        <w:t xml:space="preserve"> באופן בו רואה זאת הציבור כולו</w:t>
      </w:r>
      <w:r>
        <w:rPr>
          <w:rFonts w:hint="cs"/>
          <w:rtl/>
        </w:rPr>
        <w:t>,</w:t>
      </w:r>
      <w:r>
        <w:rPr>
          <w:rtl/>
        </w:rPr>
        <w:t xml:space="preserve"> ובכלל זה מעסיק פוטנציאלי.</w:t>
      </w:r>
      <w:r>
        <w:rPr>
          <w:rFonts w:ascii="David" w:hAnsi="David"/>
          <w:rtl/>
        </w:rPr>
        <w:t xml:space="preserve"> משכך, יש לבחון את מידת הוודאות שתיגרם פגיעה ואת חומרתה, שכן </w:t>
      </w:r>
      <w:r>
        <w:rPr>
          <w:rtl/>
        </w:rPr>
        <w:t xml:space="preserve">לא כל פגיעה אפשרית ותיאורטית מצדיקה ביטול הרשעה. </w:t>
      </w:r>
      <w:r>
        <w:rPr>
          <w:rFonts w:hint="cs"/>
          <w:rtl/>
        </w:rPr>
        <w:t xml:space="preserve">בענייננו, </w:t>
      </w:r>
      <w:r>
        <w:rPr>
          <w:rFonts w:ascii="David" w:hAnsi="David"/>
          <w:rtl/>
        </w:rPr>
        <w:t>הנאשם לא הוכיח פגיעה קונקרטית שתגרם לו בעטיה של הרשעה ואין די בתוכניות עתידיות להשתלב</w:t>
      </w:r>
      <w:r>
        <w:rPr>
          <w:rFonts w:ascii="David" w:hAnsi="David" w:hint="cs"/>
          <w:rtl/>
        </w:rPr>
        <w:t xml:space="preserve"> בלימודים או בעיסוק בתחום כזה או אחר (</w:t>
      </w:r>
      <w:hyperlink r:id="rId34" w:history="1">
        <w:r w:rsidR="00941AF6" w:rsidRPr="00941AF6">
          <w:rPr>
            <w:rFonts w:ascii="David" w:hAnsi="David"/>
            <w:color w:val="0000FF"/>
            <w:u w:val="single"/>
            <w:rtl/>
          </w:rPr>
          <w:t>רע"פ 8755/21</w:t>
        </w:r>
      </w:hyperlink>
      <w:r>
        <w:rPr>
          <w:rFonts w:ascii="David" w:hAnsi="David" w:hint="cs"/>
          <w:rtl/>
        </w:rPr>
        <w:t xml:space="preserve"> </w:t>
      </w:r>
      <w:r w:rsidRPr="00580BE9">
        <w:rPr>
          <w:rFonts w:ascii="David" w:hAnsi="David" w:hint="cs"/>
          <w:b/>
          <w:bCs/>
          <w:rtl/>
        </w:rPr>
        <w:t>פלוני נ' מדינת ישראל</w:t>
      </w:r>
      <w:r>
        <w:rPr>
          <w:rFonts w:ascii="David" w:hAnsi="David" w:hint="cs"/>
          <w:rtl/>
        </w:rPr>
        <w:t xml:space="preserve"> (23.12.2021)). בכל מקרה, על רקע עיסוקו של הנאשם וחרף תכניותיו העתידיות, לא שוכנעתי שאכן תגרם לו פגיעה תעסוקתית בשל הרשעה, בוודאי שלא פגיעה ממשית. הנאשם עבד עד כה בעבודות מזדמנות ולטענתו החל לאחרונה לעבוד כמתלמד אצל מכר של הוריו בתחום התיווך. </w:t>
      </w:r>
      <w:r>
        <w:rPr>
          <w:rFonts w:ascii="David" w:hAnsi="David"/>
          <w:rtl/>
        </w:rPr>
        <w:t xml:space="preserve">בפני שירות המבחן ציין הנאשם </w:t>
      </w:r>
      <w:r>
        <w:rPr>
          <w:rFonts w:ascii="David" w:hAnsi="David" w:hint="cs"/>
          <w:rtl/>
        </w:rPr>
        <w:t>ש</w:t>
      </w:r>
      <w:r>
        <w:rPr>
          <w:rFonts w:ascii="David" w:hAnsi="David"/>
          <w:rtl/>
        </w:rPr>
        <w:t xml:space="preserve">הוא שואף להיות עצמאי </w:t>
      </w:r>
      <w:r>
        <w:rPr>
          <w:rFonts w:ascii="David" w:hAnsi="David" w:hint="cs"/>
          <w:rtl/>
        </w:rPr>
        <w:t xml:space="preserve">ואמו ציינה בטיעונים לעונש שהוא עובד בעסק המשפחתי. </w:t>
      </w:r>
      <w:r>
        <w:rPr>
          <w:rFonts w:ascii="David" w:hAnsi="David"/>
          <w:rtl/>
        </w:rPr>
        <w:t>אף נתון זה מעמיד בספק את הפגיעה שעלולה להיגרם לו בעטיה של הרשעה</w:t>
      </w:r>
      <w:r>
        <w:rPr>
          <w:rFonts w:ascii="David" w:hAnsi="David" w:hint="cs"/>
          <w:rtl/>
        </w:rPr>
        <w:t xml:space="preserve">. </w:t>
      </w:r>
    </w:p>
    <w:p w14:paraId="2F6DD0C8" w14:textId="77777777" w:rsidR="00F00A1A" w:rsidRPr="00EF63DD" w:rsidRDefault="00F00A1A" w:rsidP="00F00A1A">
      <w:pPr>
        <w:pStyle w:val="a9"/>
        <w:rPr>
          <w:rFonts w:ascii="David" w:hAnsi="David"/>
          <w:rtl/>
        </w:rPr>
      </w:pPr>
    </w:p>
    <w:p w14:paraId="22EF5DB4" w14:textId="77777777" w:rsidR="00F00A1A" w:rsidRDefault="00F00A1A" w:rsidP="00F00A1A">
      <w:pPr>
        <w:pStyle w:val="a9"/>
        <w:numPr>
          <w:ilvl w:val="0"/>
          <w:numId w:val="1"/>
        </w:numPr>
        <w:spacing w:line="360" w:lineRule="auto"/>
        <w:jc w:val="both"/>
        <w:rPr>
          <w:rFonts w:ascii="David" w:hAnsi="David"/>
        </w:rPr>
      </w:pPr>
      <w:r>
        <w:rPr>
          <w:rFonts w:ascii="David" w:hAnsi="David"/>
          <w:rtl/>
        </w:rPr>
        <w:t xml:space="preserve">סיכומו של דבר, גם אם הרשעה עשויה להוות מכשול עבור הנאשם, קשה לראות פגיעה קונקרטית וחמורה שתגרם לו. </w:t>
      </w:r>
      <w:r>
        <w:rPr>
          <w:rFonts w:ascii="David" w:hAnsi="David" w:hint="cs"/>
          <w:rtl/>
        </w:rPr>
        <w:t xml:space="preserve">בנתונים אלו אין כל הצדקה לביטול ההרשעה </w:t>
      </w:r>
      <w:r w:rsidRPr="006E378B">
        <w:rPr>
          <w:rFonts w:ascii="David" w:hAnsi="David"/>
          <w:rtl/>
        </w:rPr>
        <w:t>(ראו בהשוואה</w:t>
      </w:r>
      <w:r>
        <w:rPr>
          <w:rFonts w:ascii="David" w:hAnsi="David" w:hint="cs"/>
          <w:rtl/>
        </w:rPr>
        <w:t>, בשינויים המחויבים</w:t>
      </w:r>
      <w:r w:rsidRPr="006E378B">
        <w:rPr>
          <w:rFonts w:ascii="David" w:hAnsi="David"/>
          <w:rtl/>
        </w:rPr>
        <w:t>:</w:t>
      </w:r>
      <w:r w:rsidRPr="006E378B">
        <w:rPr>
          <w:rFonts w:ascii="David" w:hAnsi="David" w:hint="cs"/>
          <w:rtl/>
        </w:rPr>
        <w:t xml:space="preserve"> </w:t>
      </w:r>
      <w:hyperlink r:id="rId35" w:history="1">
        <w:r w:rsidR="00941AF6" w:rsidRPr="00941AF6">
          <w:rPr>
            <w:rFonts w:ascii="David" w:hAnsi="David"/>
            <w:color w:val="0000FF"/>
            <w:u w:val="single"/>
            <w:rtl/>
          </w:rPr>
          <w:t>ע"פ 36257-09-20</w:t>
        </w:r>
      </w:hyperlink>
      <w:r>
        <w:rPr>
          <w:rFonts w:ascii="David" w:hAnsi="David"/>
          <w:color w:val="000000"/>
          <w:rtl/>
        </w:rPr>
        <w:t>‏</w:t>
      </w:r>
      <w:r w:rsidRPr="006E378B">
        <w:rPr>
          <w:rFonts w:ascii="David" w:hAnsi="David"/>
          <w:color w:val="000000"/>
          <w:rtl/>
        </w:rPr>
        <w:t xml:space="preserve"> </w:t>
      </w:r>
      <w:r w:rsidRPr="006E378B">
        <w:rPr>
          <w:rFonts w:ascii="David" w:hAnsi="David"/>
          <w:b/>
          <w:bCs/>
          <w:color w:val="000000"/>
          <w:rtl/>
        </w:rPr>
        <w:t>מדינת ישראל נ' יפה טויזר</w:t>
      </w:r>
      <w:r>
        <w:rPr>
          <w:rFonts w:ascii="David" w:hAnsi="David" w:hint="cs"/>
          <w:rtl/>
        </w:rPr>
        <w:t xml:space="preserve"> (21.4.2021; </w:t>
      </w:r>
      <w:hyperlink r:id="rId36" w:history="1">
        <w:r w:rsidR="00941AF6" w:rsidRPr="00941AF6">
          <w:rPr>
            <w:rFonts w:ascii="David" w:hAnsi="David"/>
            <w:color w:val="0000FF"/>
            <w:u w:val="single"/>
            <w:rtl/>
          </w:rPr>
          <w:t>רע"פ 5018/18</w:t>
        </w:r>
      </w:hyperlink>
      <w:r w:rsidRPr="00857FCF">
        <w:rPr>
          <w:rFonts w:ascii="David" w:hAnsi="David"/>
          <w:rtl/>
        </w:rPr>
        <w:t xml:space="preserve"> </w:t>
      </w:r>
      <w:r w:rsidRPr="00857FCF">
        <w:rPr>
          <w:rFonts w:ascii="David" w:hAnsi="David"/>
          <w:b/>
          <w:bCs/>
          <w:rtl/>
        </w:rPr>
        <w:t>בוזגלו נ' מדינת ישראל</w:t>
      </w:r>
      <w:r w:rsidRPr="00857FCF">
        <w:rPr>
          <w:rFonts w:ascii="David" w:hAnsi="David"/>
          <w:rtl/>
        </w:rPr>
        <w:t xml:space="preserve"> (21.10.</w:t>
      </w:r>
      <w:r>
        <w:rPr>
          <w:rFonts w:ascii="David" w:hAnsi="David" w:hint="cs"/>
          <w:rtl/>
        </w:rPr>
        <w:t>2018</w:t>
      </w:r>
      <w:r w:rsidRPr="00857FCF">
        <w:rPr>
          <w:rFonts w:ascii="David" w:hAnsi="David"/>
          <w:rtl/>
        </w:rPr>
        <w:t>)‏‏</w:t>
      </w:r>
      <w:r>
        <w:rPr>
          <w:rFonts w:ascii="David" w:hAnsi="David" w:hint="cs"/>
          <w:rtl/>
        </w:rPr>
        <w:t xml:space="preserve">; </w:t>
      </w:r>
      <w:hyperlink r:id="rId37" w:history="1">
        <w:r w:rsidR="00941AF6" w:rsidRPr="00941AF6">
          <w:rPr>
            <w:rFonts w:ascii="David" w:hAnsi="David"/>
            <w:color w:val="0000FF"/>
            <w:u w:val="single"/>
            <w:rtl/>
          </w:rPr>
          <w:t>עפ"ג 32899-05-21</w:t>
        </w:r>
      </w:hyperlink>
      <w:r>
        <w:rPr>
          <w:rFonts w:ascii="David" w:hAnsi="David"/>
          <w:rtl/>
        </w:rPr>
        <w:t>‏ ‏</w:t>
      </w:r>
      <w:r w:rsidRPr="00857FCF">
        <w:rPr>
          <w:rFonts w:ascii="David" w:hAnsi="David"/>
          <w:b/>
          <w:bCs/>
          <w:rtl/>
        </w:rPr>
        <w:t>מדינת ישראל נ' מיכאל אליעזר חי</w:t>
      </w:r>
      <w:r>
        <w:rPr>
          <w:rFonts w:ascii="David" w:hAnsi="David" w:hint="cs"/>
          <w:rtl/>
        </w:rPr>
        <w:t xml:space="preserve"> (3.11.2021)</w:t>
      </w:r>
      <w:r w:rsidRPr="006E378B">
        <w:rPr>
          <w:rFonts w:ascii="David" w:hAnsi="David" w:hint="cs"/>
          <w:rtl/>
        </w:rPr>
        <w:t xml:space="preserve">). </w:t>
      </w:r>
      <w:r>
        <w:rPr>
          <w:rFonts w:ascii="David" w:hAnsi="David" w:hint="cs"/>
          <w:rtl/>
        </w:rPr>
        <w:t>ודוק: לא התעלמתי מ</w:t>
      </w:r>
      <w:r>
        <w:rPr>
          <w:rFonts w:ascii="David" w:hAnsi="David"/>
          <w:rtl/>
        </w:rPr>
        <w:t xml:space="preserve">המלצת שירות המבחן, </w:t>
      </w:r>
      <w:r>
        <w:rPr>
          <w:rFonts w:ascii="David" w:hAnsi="David" w:hint="cs"/>
          <w:rtl/>
        </w:rPr>
        <w:t xml:space="preserve">אך זו </w:t>
      </w:r>
      <w:r>
        <w:rPr>
          <w:rFonts w:ascii="David" w:hAnsi="David"/>
          <w:rtl/>
        </w:rPr>
        <w:t>כידוע, כשמה כן היא – המלצה, ובית המשפט אינו מחויב לקבלה (</w:t>
      </w:r>
      <w:hyperlink r:id="rId38" w:history="1">
        <w:r w:rsidR="00941AF6" w:rsidRPr="00941AF6">
          <w:rPr>
            <w:rFonts w:ascii="David" w:hAnsi="David"/>
            <w:color w:val="0000FF"/>
            <w:u w:val="single"/>
            <w:rtl/>
          </w:rPr>
          <w:t>רע"פ 5115/13</w:t>
        </w:r>
      </w:hyperlink>
      <w:r>
        <w:rPr>
          <w:rFonts w:ascii="David" w:hAnsi="David"/>
          <w:rtl/>
        </w:rPr>
        <w:t xml:space="preserve"> </w:t>
      </w:r>
      <w:r>
        <w:rPr>
          <w:rFonts w:ascii="David" w:hAnsi="David"/>
          <w:b/>
          <w:bCs/>
          <w:rtl/>
        </w:rPr>
        <w:t>מנחם שרון נ' מדינת ישראל</w:t>
      </w:r>
      <w:r>
        <w:rPr>
          <w:rFonts w:ascii="David" w:hAnsi="David"/>
          <w:rtl/>
        </w:rPr>
        <w:t xml:space="preserve"> (8.9.2013)</w:t>
      </w:r>
      <w:r>
        <w:rPr>
          <w:rFonts w:ascii="David" w:hAnsi="David" w:hint="cs"/>
          <w:rtl/>
        </w:rPr>
        <w:t xml:space="preserve">; </w:t>
      </w:r>
      <w:hyperlink r:id="rId39" w:history="1">
        <w:r w:rsidR="00941AF6" w:rsidRPr="00941AF6">
          <w:rPr>
            <w:rFonts w:ascii="David" w:hAnsi="David"/>
            <w:color w:val="0000FF"/>
            <w:u w:val="single"/>
            <w:rtl/>
          </w:rPr>
          <w:t>רע"פ 9269/17</w:t>
        </w:r>
      </w:hyperlink>
      <w:r w:rsidRPr="005700CB">
        <w:rPr>
          <w:rFonts w:ascii="David" w:hAnsi="David"/>
        </w:rPr>
        <w:t xml:space="preserve"> </w:t>
      </w:r>
      <w:r w:rsidRPr="005700CB">
        <w:rPr>
          <w:rFonts w:ascii="David" w:hAnsi="David"/>
          <w:b/>
          <w:bCs/>
          <w:rtl/>
        </w:rPr>
        <w:t>אבו</w:t>
      </w:r>
      <w:r w:rsidRPr="005700CB">
        <w:rPr>
          <w:rFonts w:ascii="David" w:hAnsi="David"/>
          <w:b/>
          <w:bCs/>
        </w:rPr>
        <w:t xml:space="preserve"> </w:t>
      </w:r>
      <w:r w:rsidRPr="005700CB">
        <w:rPr>
          <w:rFonts w:ascii="David" w:hAnsi="David"/>
          <w:b/>
          <w:bCs/>
          <w:rtl/>
        </w:rPr>
        <w:t>עישא</w:t>
      </w:r>
      <w:r w:rsidRPr="005700CB">
        <w:rPr>
          <w:rFonts w:ascii="David" w:hAnsi="David"/>
          <w:b/>
          <w:bCs/>
        </w:rPr>
        <w:t xml:space="preserve"> </w:t>
      </w:r>
      <w:r w:rsidRPr="005700CB">
        <w:rPr>
          <w:rFonts w:ascii="David" w:hAnsi="David"/>
          <w:b/>
          <w:bCs/>
          <w:rtl/>
        </w:rPr>
        <w:t>נגד</w:t>
      </w:r>
      <w:r w:rsidRPr="005700CB">
        <w:rPr>
          <w:rFonts w:ascii="David" w:hAnsi="David"/>
          <w:b/>
          <w:bCs/>
        </w:rPr>
        <w:t xml:space="preserve"> </w:t>
      </w:r>
      <w:r>
        <w:rPr>
          <w:rFonts w:ascii="David" w:hAnsi="David"/>
          <w:b/>
          <w:bCs/>
          <w:rtl/>
        </w:rPr>
        <w:t>מדינ</w:t>
      </w:r>
      <w:r>
        <w:rPr>
          <w:rFonts w:ascii="David" w:hAnsi="David" w:hint="cs"/>
          <w:b/>
          <w:bCs/>
          <w:rtl/>
        </w:rPr>
        <w:t xml:space="preserve">ת ישראל </w:t>
      </w:r>
      <w:r>
        <w:rPr>
          <w:rFonts w:ascii="David" w:hAnsi="David" w:hint="cs"/>
          <w:rtl/>
        </w:rPr>
        <w:t xml:space="preserve">(15.1.2018)). </w:t>
      </w:r>
    </w:p>
    <w:p w14:paraId="53EA7C16" w14:textId="77777777" w:rsidR="00F00A1A" w:rsidRPr="006D4129" w:rsidRDefault="00F00A1A" w:rsidP="00F00A1A">
      <w:pPr>
        <w:pStyle w:val="a9"/>
        <w:rPr>
          <w:rFonts w:ascii="David" w:hAnsi="David"/>
          <w:rtl/>
        </w:rPr>
      </w:pPr>
    </w:p>
    <w:p w14:paraId="65A72C96" w14:textId="77777777" w:rsidR="00F00A1A" w:rsidRDefault="00F00A1A" w:rsidP="00F00A1A">
      <w:pPr>
        <w:pStyle w:val="a9"/>
        <w:spacing w:line="360" w:lineRule="auto"/>
        <w:ind w:left="0" w:firstLine="720"/>
        <w:jc w:val="both"/>
        <w:rPr>
          <w:rFonts w:ascii="David" w:hAnsi="David"/>
          <w:rtl/>
        </w:rPr>
      </w:pPr>
      <w:r>
        <w:rPr>
          <w:rFonts w:ascii="David" w:hAnsi="David"/>
          <w:rtl/>
        </w:rPr>
        <w:t xml:space="preserve">אני דוחה </w:t>
      </w:r>
      <w:r>
        <w:rPr>
          <w:rFonts w:ascii="David" w:hAnsi="David" w:hint="cs"/>
          <w:rtl/>
        </w:rPr>
        <w:t xml:space="preserve">אפוא </w:t>
      </w:r>
      <w:r>
        <w:rPr>
          <w:rFonts w:ascii="David" w:hAnsi="David"/>
          <w:rtl/>
        </w:rPr>
        <w:t>את הבקשה לביטול ההרשעה.</w:t>
      </w:r>
    </w:p>
    <w:p w14:paraId="5966531A" w14:textId="77777777" w:rsidR="00F00A1A" w:rsidRDefault="00F00A1A" w:rsidP="00F00A1A">
      <w:pPr>
        <w:pStyle w:val="a9"/>
        <w:ind w:left="0" w:firstLine="720"/>
        <w:jc w:val="both"/>
        <w:rPr>
          <w:rFonts w:ascii="David" w:hAnsi="David"/>
          <w:rtl/>
        </w:rPr>
      </w:pPr>
    </w:p>
    <w:p w14:paraId="458EF9C4" w14:textId="77777777" w:rsidR="00F00A1A" w:rsidRDefault="00F00A1A" w:rsidP="00F00A1A">
      <w:pPr>
        <w:pStyle w:val="a9"/>
        <w:numPr>
          <w:ilvl w:val="0"/>
          <w:numId w:val="2"/>
        </w:numPr>
        <w:spacing w:line="360" w:lineRule="auto"/>
        <w:jc w:val="both"/>
        <w:rPr>
          <w:rFonts w:ascii="David" w:hAnsi="David"/>
          <w:b/>
          <w:bCs/>
          <w:u w:val="single"/>
        </w:rPr>
      </w:pPr>
      <w:r>
        <w:rPr>
          <w:rFonts w:ascii="David" w:hAnsi="David"/>
          <w:b/>
          <w:bCs/>
          <w:u w:val="single"/>
          <w:rtl/>
        </w:rPr>
        <w:t>קביעת מתחם העונש</w:t>
      </w:r>
    </w:p>
    <w:p w14:paraId="1910AE92" w14:textId="77777777" w:rsidR="00F00A1A" w:rsidRDefault="00F00A1A" w:rsidP="00F00A1A">
      <w:pPr>
        <w:pStyle w:val="a9"/>
        <w:jc w:val="both"/>
        <w:rPr>
          <w:rFonts w:ascii="David" w:hAnsi="David"/>
        </w:rPr>
      </w:pPr>
    </w:p>
    <w:p w14:paraId="3005CCC4" w14:textId="77777777" w:rsidR="00F00A1A" w:rsidRDefault="00F00A1A" w:rsidP="00F00A1A">
      <w:pPr>
        <w:pStyle w:val="a9"/>
        <w:numPr>
          <w:ilvl w:val="0"/>
          <w:numId w:val="1"/>
        </w:numPr>
        <w:spacing w:line="360" w:lineRule="auto"/>
        <w:jc w:val="both"/>
        <w:rPr>
          <w:rFonts w:ascii="David" w:hAnsi="David"/>
        </w:rPr>
      </w:pPr>
      <w:r>
        <w:rPr>
          <w:rFonts w:ascii="David" w:hAnsi="David"/>
          <w:b/>
          <w:bCs/>
          <w:rtl/>
        </w:rPr>
        <w:t>הערכים המוגנים בבסיס העביר</w:t>
      </w:r>
      <w:r>
        <w:rPr>
          <w:rFonts w:ascii="David" w:hAnsi="David" w:hint="cs"/>
          <w:b/>
          <w:bCs/>
          <w:rtl/>
        </w:rPr>
        <w:t>ה</w:t>
      </w:r>
      <w:r>
        <w:rPr>
          <w:rFonts w:ascii="David" w:hAnsi="David" w:hint="cs"/>
          <w:rtl/>
        </w:rPr>
        <w:t>:</w:t>
      </w:r>
      <w:r>
        <w:rPr>
          <w:rFonts w:ascii="David" w:hAnsi="David"/>
          <w:rtl/>
        </w:rPr>
        <w:t xml:space="preserve"> נגע הסמים מכלה כל חלקה טובה בחברה. על נזקיו הבריאותיים, החברתיים והכלכליים, אין צורך להכביר מילים (</w:t>
      </w:r>
      <w:hyperlink r:id="rId40" w:history="1">
        <w:r w:rsidR="00941AF6" w:rsidRPr="00941AF6">
          <w:rPr>
            <w:color w:val="0000FF"/>
            <w:u w:val="single"/>
            <w:rtl/>
          </w:rPr>
          <w:t>ע"פ 11220/03</w:t>
        </w:r>
      </w:hyperlink>
      <w:r>
        <w:rPr>
          <w:rFonts w:ascii="David" w:hAnsi="David"/>
          <w:rtl/>
        </w:rPr>
        <w:t xml:space="preserve"> </w:t>
      </w:r>
      <w:r>
        <w:rPr>
          <w:rFonts w:ascii="David" w:hAnsi="David"/>
          <w:b/>
          <w:bCs/>
          <w:rtl/>
        </w:rPr>
        <w:t>פלוני נ' מדינת ישראל</w:t>
      </w:r>
      <w:r>
        <w:rPr>
          <w:rFonts w:ascii="David" w:hAnsi="David"/>
          <w:rtl/>
        </w:rPr>
        <w:t xml:space="preserve"> (6.7.2005); </w:t>
      </w:r>
      <w:hyperlink r:id="rId41" w:history="1">
        <w:r w:rsidR="00941AF6" w:rsidRPr="00941AF6">
          <w:rPr>
            <w:color w:val="0000FF"/>
            <w:u w:val="single"/>
            <w:rtl/>
          </w:rPr>
          <w:t>ע"פ 4998/95</w:t>
        </w:r>
      </w:hyperlink>
      <w:r>
        <w:rPr>
          <w:rtl/>
        </w:rPr>
        <w:t xml:space="preserve"> </w:t>
      </w:r>
      <w:r>
        <w:rPr>
          <w:b/>
          <w:bCs/>
          <w:rtl/>
        </w:rPr>
        <w:t>קרדוסו נ' מדינת ישראל</w:t>
      </w:r>
      <w:r>
        <w:rPr>
          <w:rtl/>
        </w:rPr>
        <w:t>, פ"ד נא</w:t>
      </w:r>
      <w:r>
        <w:rPr>
          <w:rFonts w:ascii="David" w:hAnsi="David"/>
          <w:rtl/>
        </w:rPr>
        <w:t>(3), 769)). הצורך בסם מוליד מספר נזקי משנה ובהם נזקים לגופו של המשתמש בסם, ובעקיפין גם לשלום הציבור, בשל כך שלרוב מכורי הסם מבצעים עבירות רכוש על מנת לממנו.</w:t>
      </w:r>
      <w:r>
        <w:rPr>
          <w:rFonts w:ascii="David" w:hAnsi="David" w:hint="cs"/>
          <w:rtl/>
        </w:rPr>
        <w:t xml:space="preserve"> </w:t>
      </w:r>
    </w:p>
    <w:p w14:paraId="698D37BE" w14:textId="77777777" w:rsidR="00F00A1A" w:rsidRPr="0074669E" w:rsidRDefault="00F00A1A" w:rsidP="00F00A1A">
      <w:pPr>
        <w:pStyle w:val="a9"/>
        <w:spacing w:line="360" w:lineRule="auto"/>
        <w:ind w:left="0"/>
        <w:jc w:val="both"/>
        <w:rPr>
          <w:rFonts w:ascii="David" w:hAnsi="David"/>
        </w:rPr>
      </w:pPr>
    </w:p>
    <w:p w14:paraId="69A06B3B" w14:textId="77777777" w:rsidR="00F00A1A" w:rsidRDefault="00F00A1A" w:rsidP="00F00A1A">
      <w:pPr>
        <w:pStyle w:val="a9"/>
        <w:numPr>
          <w:ilvl w:val="0"/>
          <w:numId w:val="1"/>
        </w:numPr>
        <w:spacing w:line="360" w:lineRule="auto"/>
        <w:jc w:val="both"/>
        <w:rPr>
          <w:rFonts w:ascii="David" w:hAnsi="David"/>
        </w:rPr>
      </w:pPr>
      <w:r>
        <w:rPr>
          <w:rFonts w:ascii="David" w:hAnsi="David"/>
          <w:b/>
          <w:bCs/>
          <w:rtl/>
        </w:rPr>
        <w:t>נסיבות הקשורות לביצוע העביר</w:t>
      </w:r>
      <w:r>
        <w:rPr>
          <w:rFonts w:ascii="David" w:hAnsi="David" w:hint="cs"/>
          <w:b/>
          <w:bCs/>
          <w:rtl/>
        </w:rPr>
        <w:t>ה</w:t>
      </w:r>
      <w:r w:rsidRPr="0074669E">
        <w:rPr>
          <w:rFonts w:ascii="David" w:hAnsi="David" w:hint="cs"/>
          <w:rtl/>
        </w:rPr>
        <w:t>:</w:t>
      </w:r>
      <w:r>
        <w:rPr>
          <w:rFonts w:ascii="David" w:hAnsi="David"/>
          <w:rtl/>
        </w:rPr>
        <w:t xml:space="preserve"> </w:t>
      </w:r>
      <w:r>
        <w:rPr>
          <w:rFonts w:ascii="David" w:hAnsi="David" w:hint="cs"/>
          <w:rtl/>
        </w:rPr>
        <w:t>בהתאם לעובדות כתב האישום חלקו של הנאשם בעבירה הסתכם בכך שהוא נשלח למסור את הסם לקונה. הסיבה בגינה בוצעה העבירה היא מטבע הדברים כלכלית. כן יש להביא בחשבון שמדובר באירוע בודד, אך שכמות הסם אינה מבוטלת.</w:t>
      </w:r>
    </w:p>
    <w:p w14:paraId="4A3EB643" w14:textId="77777777" w:rsidR="00F00A1A" w:rsidRDefault="00F00A1A" w:rsidP="00F00A1A">
      <w:pPr>
        <w:pStyle w:val="a9"/>
        <w:rPr>
          <w:rtl/>
        </w:rPr>
      </w:pPr>
    </w:p>
    <w:p w14:paraId="62E2FD88" w14:textId="77777777" w:rsidR="00F00A1A" w:rsidRPr="00257E5B" w:rsidRDefault="00F00A1A" w:rsidP="00F00A1A">
      <w:pPr>
        <w:pStyle w:val="a9"/>
        <w:numPr>
          <w:ilvl w:val="0"/>
          <w:numId w:val="1"/>
        </w:numPr>
        <w:spacing w:line="360" w:lineRule="auto"/>
        <w:jc w:val="both"/>
        <w:rPr>
          <w:rFonts w:ascii="David" w:hAnsi="David"/>
        </w:rPr>
      </w:pPr>
      <w:r>
        <w:rPr>
          <w:rtl/>
        </w:rPr>
        <w:t>לצורך בחינת</w:t>
      </w:r>
      <w:r w:rsidRPr="00257E5B">
        <w:rPr>
          <w:b/>
          <w:bCs/>
          <w:rtl/>
        </w:rPr>
        <w:t xml:space="preserve"> הענישה הנוהגת</w:t>
      </w:r>
      <w:r>
        <w:rPr>
          <w:rtl/>
        </w:rPr>
        <w:t xml:space="preserve"> בעבירות סחר בסמים אציין כי זו משתנה ממקרה למקרה והיא תלויה בסוג הסם, בכמות שנמכרה, בהישנות המקרים ובנסיבותיו האישיות של הנאשם.</w:t>
      </w:r>
      <w:r>
        <w:rPr>
          <w:rFonts w:hint="cs"/>
          <w:rtl/>
        </w:rPr>
        <w:t xml:space="preserve"> </w:t>
      </w:r>
      <w:r>
        <w:rPr>
          <w:rtl/>
        </w:rPr>
        <w:t xml:space="preserve">בדיקת מדיניות הענישה ביחס לעבירת סחר בודדת, בכמות קטנה יחסית של </w:t>
      </w:r>
      <w:r>
        <w:rPr>
          <w:rFonts w:hint="cs"/>
          <w:rtl/>
        </w:rPr>
        <w:t>קנביס</w:t>
      </w:r>
      <w:r>
        <w:rPr>
          <w:rtl/>
        </w:rPr>
        <w:t xml:space="preserve"> (או </w:t>
      </w:r>
      <w:r>
        <w:rPr>
          <w:rFonts w:hint="cs"/>
          <w:rtl/>
        </w:rPr>
        <w:t>חשיש</w:t>
      </w:r>
      <w:r>
        <w:rPr>
          <w:rtl/>
        </w:rPr>
        <w:t xml:space="preserve">) ובתמורה נמוכה בהתאם, מלמדת כי לרוב מוטלים עונשי מאסר קצרים ובמקרים מתאימים אף בעבודות </w:t>
      </w:r>
      <w:r w:rsidRPr="00257E5B">
        <w:rPr>
          <w:rtl/>
        </w:rPr>
        <w:t xml:space="preserve">שירות. אפנה </w:t>
      </w:r>
      <w:r w:rsidRPr="00257E5B">
        <w:rPr>
          <w:rFonts w:ascii="David" w:hAnsi="David"/>
          <w:rtl/>
        </w:rPr>
        <w:t>למשל ל</w:t>
      </w:r>
      <w:hyperlink r:id="rId42" w:history="1">
        <w:r w:rsidR="00941AF6" w:rsidRPr="00941AF6">
          <w:rPr>
            <w:rFonts w:ascii="David" w:hAnsi="David"/>
            <w:color w:val="0000FF"/>
            <w:u w:val="single"/>
            <w:rtl/>
          </w:rPr>
          <w:t>רע"פ 5712/16</w:t>
        </w:r>
      </w:hyperlink>
      <w:r w:rsidRPr="00257E5B">
        <w:rPr>
          <w:rFonts w:ascii="David" w:hAnsi="David"/>
          <w:rtl/>
        </w:rPr>
        <w:t xml:space="preserve"> </w:t>
      </w:r>
      <w:r w:rsidRPr="00257E5B">
        <w:rPr>
          <w:b/>
          <w:bCs/>
          <w:rtl/>
        </w:rPr>
        <w:t>יצחק אייזנבוך נ' מדינת ישראל</w:t>
      </w:r>
      <w:r w:rsidRPr="00257E5B">
        <w:rPr>
          <w:rtl/>
        </w:rPr>
        <w:t xml:space="preserve"> (17.8.2016), בו נדחתה בקשת רשות ערעור של נאשם שהוטלו עליו 8 חודשי מאסר בגין 4 עסקאות סמים בכמויות קטנות יחסית. הנאשם היה צעיר, עברו נקי ושירות המבחן המליץ על ענישה שיקומית</w:t>
      </w:r>
      <w:r w:rsidRPr="00257E5B">
        <w:rPr>
          <w:rFonts w:ascii="David" w:hAnsi="David"/>
          <w:rtl/>
        </w:rPr>
        <w:t xml:space="preserve">; </w:t>
      </w:r>
      <w:hyperlink r:id="rId43" w:history="1">
        <w:r w:rsidR="00941AF6" w:rsidRPr="00941AF6">
          <w:rPr>
            <w:rFonts w:ascii="David" w:hAnsi="David"/>
            <w:color w:val="0000FF"/>
            <w:u w:val="single"/>
            <w:rtl/>
          </w:rPr>
          <w:t>רע"פ 3627/13</w:t>
        </w:r>
      </w:hyperlink>
      <w:r w:rsidRPr="00257E5B">
        <w:rPr>
          <w:rFonts w:ascii="David" w:hAnsi="David"/>
          <w:rtl/>
        </w:rPr>
        <w:t xml:space="preserve"> </w:t>
      </w:r>
      <w:r w:rsidRPr="00257E5B">
        <w:rPr>
          <w:rFonts w:ascii="David" w:hAnsi="David" w:hint="cs"/>
          <w:b/>
          <w:bCs/>
          <w:rtl/>
        </w:rPr>
        <w:t>שדה</w:t>
      </w:r>
      <w:r w:rsidRPr="00257E5B">
        <w:rPr>
          <w:b/>
          <w:bCs/>
          <w:rtl/>
        </w:rPr>
        <w:t xml:space="preserve"> נ' מדינת ישראל</w:t>
      </w:r>
      <w:r w:rsidRPr="00257E5B">
        <w:rPr>
          <w:rtl/>
        </w:rPr>
        <w:t xml:space="preserve"> (22.5.2013), בו נדחתה בקשת רשות ערעור של נאשם על חומרת עונשו - 7 חודשי מאסר בגין סחר בסמים מסוג קנבוס בשתי הזדמנויות במשקלים נמוכים; </w:t>
      </w:r>
      <w:hyperlink r:id="rId44" w:history="1">
        <w:r w:rsidR="00941AF6" w:rsidRPr="00941AF6">
          <w:rPr>
            <w:rFonts w:ascii="David" w:hAnsi="David"/>
            <w:color w:val="0000FF"/>
            <w:u w:val="single"/>
            <w:rtl/>
          </w:rPr>
          <w:t>ע"פ 7319-08-12</w:t>
        </w:r>
      </w:hyperlink>
      <w:r w:rsidRPr="00257E5B">
        <w:rPr>
          <w:rtl/>
        </w:rPr>
        <w:t xml:space="preserve"> </w:t>
      </w:r>
      <w:r w:rsidRPr="00257E5B">
        <w:rPr>
          <w:rFonts w:hint="cs"/>
          <w:b/>
          <w:bCs/>
          <w:rtl/>
        </w:rPr>
        <w:t>סבח נ' מדינת ישראל</w:t>
      </w:r>
      <w:r w:rsidRPr="00257E5B">
        <w:rPr>
          <w:rFonts w:hint="cs"/>
          <w:rtl/>
        </w:rPr>
        <w:t xml:space="preserve"> (25.10.2012), בו נדחה ערעור נאשם על חומרת עונשו -  18 חודשי מאסר, לאחר שהורשע בשני מקרי סחר בסם מסוכן מסוג חשיש במשקלים של 5.38 גרם ו- 2.</w:t>
      </w:r>
      <w:r w:rsidRPr="00257E5B">
        <w:rPr>
          <w:rFonts w:ascii="David" w:hAnsi="David"/>
          <w:rtl/>
        </w:rPr>
        <w:t xml:space="preserve">93 גרם; </w:t>
      </w:r>
      <w:hyperlink r:id="rId45" w:history="1">
        <w:r w:rsidR="00941AF6" w:rsidRPr="00941AF6">
          <w:rPr>
            <w:rFonts w:ascii="David" w:hAnsi="David"/>
            <w:color w:val="0000FF"/>
            <w:u w:val="single"/>
            <w:rtl/>
          </w:rPr>
          <w:t>ת"פ 26938-06-14</w:t>
        </w:r>
      </w:hyperlink>
      <w:r w:rsidRPr="00257E5B">
        <w:rPr>
          <w:rtl/>
        </w:rPr>
        <w:t xml:space="preserve"> </w:t>
      </w:r>
      <w:r w:rsidRPr="00257E5B">
        <w:rPr>
          <w:rFonts w:hint="cs"/>
          <w:b/>
          <w:bCs/>
          <w:rtl/>
        </w:rPr>
        <w:t>דורני נ' מדינת ישראל</w:t>
      </w:r>
      <w:r w:rsidRPr="00257E5B">
        <w:rPr>
          <w:rFonts w:hint="cs"/>
          <w:rtl/>
        </w:rPr>
        <w:t xml:space="preserve"> (21.9.2014), בו הוטלו על הנאשם 15 חודשי מאסר בפועל בגין הרשעתו בשני אישומים של סחר בסמים מסוג חשיש לסוכנת במשקלים של 14 ו- 29 גרם, בתמורה ל- 400 ו- 1,000 ₪ בהתאמה; </w:t>
      </w:r>
      <w:hyperlink r:id="rId46" w:history="1">
        <w:r w:rsidR="00941AF6" w:rsidRPr="00941AF6">
          <w:rPr>
            <w:rFonts w:ascii="David" w:hAnsi="David"/>
            <w:color w:val="0000FF"/>
            <w:u w:val="single"/>
            <w:rtl/>
          </w:rPr>
          <w:t>ת"פ 26650-06-14</w:t>
        </w:r>
      </w:hyperlink>
      <w:r w:rsidRPr="00257E5B">
        <w:rPr>
          <w:rFonts w:ascii="David" w:hAnsi="David"/>
          <w:rtl/>
        </w:rPr>
        <w:t xml:space="preserve"> </w:t>
      </w:r>
      <w:r w:rsidRPr="00257E5B">
        <w:rPr>
          <w:rFonts w:ascii="David" w:hAnsi="David" w:hint="cs"/>
          <w:b/>
          <w:bCs/>
          <w:rtl/>
        </w:rPr>
        <w:t>מדינת</w:t>
      </w:r>
      <w:r w:rsidRPr="00257E5B">
        <w:rPr>
          <w:b/>
          <w:bCs/>
          <w:rtl/>
        </w:rPr>
        <w:t xml:space="preserve"> ישראל נ' סלטאן</w:t>
      </w:r>
      <w:r w:rsidRPr="00257E5B">
        <w:rPr>
          <w:rtl/>
        </w:rPr>
        <w:t xml:space="preserve"> (21.9.2014), בו נידון הנאשם ל-12 חודשי מאסר בפועל לצד הפעלת מאסר מותנה בגין סחר בסם מסוכן מסוג חשיש במשקל של 9.7 גרם בתמורה ל- 400 ₪; </w:t>
      </w:r>
      <w:hyperlink r:id="rId47" w:history="1">
        <w:r w:rsidR="00941AF6" w:rsidRPr="00941AF6">
          <w:rPr>
            <w:rFonts w:ascii="David" w:hAnsi="David"/>
            <w:color w:val="0000FF"/>
            <w:u w:val="single"/>
            <w:rtl/>
          </w:rPr>
          <w:t>ת"פ 26709-06-14</w:t>
        </w:r>
      </w:hyperlink>
      <w:r w:rsidRPr="00257E5B">
        <w:rPr>
          <w:rFonts w:ascii="David" w:hAnsi="David"/>
          <w:rtl/>
        </w:rPr>
        <w:t xml:space="preserve"> </w:t>
      </w:r>
      <w:r w:rsidRPr="00257E5B">
        <w:rPr>
          <w:rFonts w:ascii="David" w:hAnsi="David" w:hint="cs"/>
          <w:b/>
          <w:bCs/>
          <w:rtl/>
        </w:rPr>
        <w:t>מדינת</w:t>
      </w:r>
      <w:r w:rsidRPr="00257E5B">
        <w:rPr>
          <w:b/>
          <w:bCs/>
          <w:rtl/>
        </w:rPr>
        <w:t xml:space="preserve"> ישראל נ' ישראלוב</w:t>
      </w:r>
      <w:r w:rsidRPr="00257E5B">
        <w:rPr>
          <w:rtl/>
        </w:rPr>
        <w:t xml:space="preserve"> (26.10.2014), בו נידון נאשם ל-11 חודשי מאסר בפועל בגין סחר בסם מסוג קנבוס בשתי הזדמנויות שונות לסוכנת משטרתית באירועים חברתיים</w:t>
      </w:r>
      <w:r>
        <w:rPr>
          <w:rFonts w:hint="cs"/>
          <w:rtl/>
        </w:rPr>
        <w:t xml:space="preserve">; </w:t>
      </w:r>
      <w:hyperlink r:id="rId48" w:history="1">
        <w:r w:rsidR="00941AF6" w:rsidRPr="00941AF6">
          <w:rPr>
            <w:rFonts w:ascii="David" w:hAnsi="David"/>
            <w:color w:val="0000FF"/>
            <w:u w:val="single"/>
            <w:rtl/>
          </w:rPr>
          <w:t>רע"פ 7150/21</w:t>
        </w:r>
      </w:hyperlink>
      <w:r>
        <w:rPr>
          <w:rFonts w:ascii="David" w:hAnsi="David"/>
          <w:rtl/>
        </w:rPr>
        <w:t xml:space="preserve"> </w:t>
      </w:r>
      <w:r>
        <w:rPr>
          <w:rFonts w:ascii="David" w:hAnsi="David"/>
          <w:b/>
          <w:bCs/>
          <w:rtl/>
        </w:rPr>
        <w:t>בניהו מנשירוב נ' מדינת ישראל</w:t>
      </w:r>
      <w:r>
        <w:rPr>
          <w:rFonts w:ascii="David" w:hAnsi="David"/>
          <w:rtl/>
        </w:rPr>
        <w:t xml:space="preserve"> (28.10.2021)</w:t>
      </w:r>
      <w:r>
        <w:rPr>
          <w:rFonts w:ascii="David" w:hAnsi="David" w:hint="cs"/>
          <w:rtl/>
        </w:rPr>
        <w:t>, בו נידון עניינו של נאשם שהורשע בריבוי עבירות סחר בסמים והחזקת סמים שלא לצריכה עצמית ונידון ל-14 חודשי מאסר בפועל, מאסר על תנאי, פסילת רישיון וקנס. ערעורו נדחה וכך גם בקשת רשות ערעור שהגיש</w:t>
      </w:r>
      <w:r>
        <w:rPr>
          <w:rFonts w:ascii="David" w:hAnsi="David"/>
          <w:rtl/>
        </w:rPr>
        <w:t xml:space="preserve">; ע"פ </w:t>
      </w:r>
      <w:hyperlink r:id="rId49" w:history="1">
        <w:r w:rsidR="004C6094" w:rsidRPr="004C6094">
          <w:rPr>
            <w:rFonts w:ascii="David" w:hAnsi="David"/>
            <w:color w:val="0000FF"/>
            <w:u w:val="single"/>
            <w:rtl/>
          </w:rPr>
          <w:t xml:space="preserve">35083-09-20 </w:t>
        </w:r>
      </w:hyperlink>
      <w:r>
        <w:rPr>
          <w:rFonts w:ascii="David" w:hAnsi="David"/>
          <w:rtl/>
        </w:rPr>
        <w:t xml:space="preserve"> </w:t>
      </w:r>
      <w:r>
        <w:rPr>
          <w:rFonts w:ascii="David" w:hAnsi="David"/>
          <w:b/>
          <w:bCs/>
          <w:rtl/>
        </w:rPr>
        <w:t>עובד נ' מדינת ישראל</w:t>
      </w:r>
      <w:r>
        <w:rPr>
          <w:rFonts w:ascii="David" w:hAnsi="David"/>
          <w:rtl/>
        </w:rPr>
        <w:t xml:space="preserve"> (20.12.2020)</w:t>
      </w:r>
      <w:r>
        <w:rPr>
          <w:rFonts w:ascii="David" w:hAnsi="David" w:hint="cs"/>
          <w:rtl/>
        </w:rPr>
        <w:t>, בו נידון עניינו של נאשם שהורשע במספר עסקות סחר בסם מסוג קנביס, בכמויות קטנות לשלושה קטינים, והחזקת סם לצריכה עצמית ונידון ל-20 חודשי מאסר בפועל, מאסר על תנאי וקנס</w:t>
      </w:r>
      <w:r w:rsidRPr="00257E5B">
        <w:rPr>
          <w:rtl/>
        </w:rPr>
        <w:t xml:space="preserve">. </w:t>
      </w:r>
    </w:p>
    <w:p w14:paraId="39253867" w14:textId="77777777" w:rsidR="00F00A1A" w:rsidRPr="00257E5B" w:rsidRDefault="00F00A1A" w:rsidP="00F00A1A">
      <w:pPr>
        <w:pStyle w:val="a9"/>
        <w:ind w:left="0"/>
        <w:jc w:val="both"/>
        <w:rPr>
          <w:rFonts w:ascii="David" w:hAnsi="David"/>
        </w:rPr>
      </w:pPr>
    </w:p>
    <w:p w14:paraId="63F193C5" w14:textId="77777777" w:rsidR="00F00A1A" w:rsidRDefault="00F00A1A" w:rsidP="00F00A1A">
      <w:pPr>
        <w:pStyle w:val="a9"/>
        <w:numPr>
          <w:ilvl w:val="0"/>
          <w:numId w:val="1"/>
        </w:numPr>
        <w:spacing w:line="360" w:lineRule="auto"/>
        <w:jc w:val="both"/>
        <w:rPr>
          <w:rFonts w:ascii="David" w:hAnsi="David"/>
        </w:rPr>
      </w:pPr>
      <w:r>
        <w:rPr>
          <w:rtl/>
        </w:rPr>
        <w:t>לאור כ</w:t>
      </w:r>
      <w:r>
        <w:rPr>
          <w:rFonts w:hint="cs"/>
          <w:rtl/>
        </w:rPr>
        <w:t>ל האמור לעיל</w:t>
      </w:r>
      <w:r>
        <w:rPr>
          <w:rtl/>
        </w:rPr>
        <w:t>, אני בדעה כי מתחם הענישה ההולם את נסיבותיו של מקרה זה</w:t>
      </w:r>
      <w:r>
        <w:rPr>
          <w:rFonts w:ascii="David" w:hAnsi="David" w:hint="cs"/>
          <w:rtl/>
        </w:rPr>
        <w:t xml:space="preserve"> נע בין מספר חודשי מאסר בפועל, שניתן לשאת בדרך של עבודות שירות, ועד 12 חודשי מאסר בפועל. </w:t>
      </w:r>
    </w:p>
    <w:p w14:paraId="45BEC9ED" w14:textId="77777777" w:rsidR="00F00A1A" w:rsidRPr="009334C4" w:rsidRDefault="00F00A1A" w:rsidP="00F00A1A">
      <w:pPr>
        <w:pStyle w:val="a9"/>
        <w:rPr>
          <w:rFonts w:ascii="David" w:hAnsi="David"/>
          <w:rtl/>
        </w:rPr>
      </w:pPr>
    </w:p>
    <w:p w14:paraId="43556F60" w14:textId="77777777" w:rsidR="00F00A1A" w:rsidRPr="009334C4" w:rsidRDefault="00F00A1A" w:rsidP="00F00A1A">
      <w:pPr>
        <w:spacing w:line="360" w:lineRule="auto"/>
        <w:jc w:val="both"/>
        <w:rPr>
          <w:b/>
          <w:bCs/>
          <w:u w:val="single"/>
        </w:rPr>
      </w:pPr>
      <w:r>
        <w:rPr>
          <w:b/>
          <w:bCs/>
          <w:u w:val="single"/>
          <w:rtl/>
        </w:rPr>
        <w:t>קביעת עונשו של הנאשם</w:t>
      </w:r>
    </w:p>
    <w:p w14:paraId="3F9E8D64" w14:textId="77777777" w:rsidR="00F00A1A" w:rsidRPr="009334C4" w:rsidRDefault="00F00A1A" w:rsidP="00F00A1A">
      <w:pPr>
        <w:pStyle w:val="a9"/>
        <w:rPr>
          <w:rFonts w:ascii="David" w:hAnsi="David"/>
          <w:rtl/>
        </w:rPr>
      </w:pPr>
    </w:p>
    <w:p w14:paraId="40A31529" w14:textId="77777777" w:rsidR="00F00A1A" w:rsidRDefault="00F00A1A" w:rsidP="00F00A1A">
      <w:pPr>
        <w:pStyle w:val="a9"/>
        <w:numPr>
          <w:ilvl w:val="0"/>
          <w:numId w:val="1"/>
        </w:numPr>
        <w:spacing w:line="360" w:lineRule="auto"/>
        <w:jc w:val="both"/>
      </w:pPr>
      <w:r>
        <w:rPr>
          <w:rtl/>
        </w:rPr>
        <w:t xml:space="preserve">אקדים ואומר כי לאחר עיון בתסקיר שירות המבחן ובחינת נסיבות המקרה בכללותו, באתי לכלל מסקנה כי ראוי במקרה זה להעדיף את הפן השיקומי ולסטות בשל כך ממתחם הענישה. אנמק. </w:t>
      </w:r>
    </w:p>
    <w:p w14:paraId="4B6FABF2" w14:textId="77777777" w:rsidR="00F00A1A" w:rsidRDefault="00F00A1A" w:rsidP="00F00A1A">
      <w:pPr>
        <w:pStyle w:val="a9"/>
        <w:ind w:left="0"/>
        <w:jc w:val="both"/>
      </w:pPr>
    </w:p>
    <w:p w14:paraId="16244BE4" w14:textId="77777777" w:rsidR="00F00A1A" w:rsidRDefault="00F00A1A" w:rsidP="00F00A1A">
      <w:pPr>
        <w:pStyle w:val="a9"/>
        <w:numPr>
          <w:ilvl w:val="0"/>
          <w:numId w:val="1"/>
        </w:numPr>
        <w:spacing w:line="360" w:lineRule="auto"/>
        <w:jc w:val="both"/>
        <w:rPr>
          <w:rFonts w:ascii="David" w:hAnsi="David"/>
        </w:rPr>
      </w:pPr>
      <w:r>
        <w:rPr>
          <w:rFonts w:ascii="David" w:hAnsi="David"/>
          <w:color w:val="000000"/>
          <w:shd w:val="clear" w:color="auto" w:fill="FFFFFF"/>
          <w:rtl/>
        </w:rPr>
        <w:t xml:space="preserve">כידוע,  </w:t>
      </w:r>
      <w:r>
        <w:rPr>
          <w:rtl/>
        </w:rPr>
        <w:t xml:space="preserve">בהתאם </w:t>
      </w:r>
      <w:hyperlink r:id="rId50" w:history="1">
        <w:r w:rsidR="008D598F" w:rsidRPr="008D598F">
          <w:rPr>
            <w:rStyle w:val="Hyperlink"/>
            <w:rtl/>
          </w:rPr>
          <w:t>לסעיף 40ד'</w:t>
        </w:r>
      </w:hyperlink>
      <w:r>
        <w:rPr>
          <w:rtl/>
        </w:rPr>
        <w:t xml:space="preserve"> ל</w:t>
      </w:r>
      <w:hyperlink r:id="rId51" w:history="1">
        <w:r w:rsidR="00941AF6" w:rsidRPr="00941AF6">
          <w:rPr>
            <w:color w:val="0000FF"/>
            <w:u w:val="single"/>
            <w:rtl/>
          </w:rPr>
          <w:t>חוק העונשין</w:t>
        </w:r>
      </w:hyperlink>
      <w:r>
        <w:rPr>
          <w:rtl/>
        </w:rPr>
        <w:t xml:space="preserve">, רשאי בית המשפט לחרוג לקולה ממתחם הענישה שקבע, אם מצא כי </w:t>
      </w:r>
      <w:r>
        <w:rPr>
          <w:rFonts w:cs="Miriam"/>
          <w:rtl/>
        </w:rPr>
        <w:t>"הנאשם השתקם או כי יש סיכוי של ממש שישתקם"</w:t>
      </w:r>
      <w:r>
        <w:rPr>
          <w:rtl/>
        </w:rPr>
        <w:t xml:space="preserve">. בעניין זה נקבע כי </w:t>
      </w:r>
      <w:r>
        <w:rPr>
          <w:rFonts w:cs="Miriam"/>
          <w:rtl/>
        </w:rPr>
        <w:t xml:space="preserve">"על קיומו של פוטנציאל זה, ניתן ללמוד, בין היתר, מעברו של הנאשם; משיתוף הפעולה שלו עם רשויות החוק ועם שירות המבחן; ומקיומה של תמיכה והתגייסות משפחתית לצידו של הנאשם." </w:t>
      </w:r>
      <w:r>
        <w:rPr>
          <w:rtl/>
        </w:rPr>
        <w:t>(</w:t>
      </w:r>
      <w:hyperlink r:id="rId52" w:history="1">
        <w:r w:rsidR="00941AF6" w:rsidRPr="00941AF6">
          <w:rPr>
            <w:color w:val="0000FF"/>
            <w:u w:val="single"/>
            <w:rtl/>
          </w:rPr>
          <w:t>רע"פ 7683/13</w:t>
        </w:r>
      </w:hyperlink>
      <w:r>
        <w:rPr>
          <w:rtl/>
        </w:rPr>
        <w:t xml:space="preserve"> </w:t>
      </w:r>
      <w:r>
        <w:rPr>
          <w:b/>
          <w:bCs/>
          <w:rtl/>
        </w:rPr>
        <w:t>דוד פרלמן נ' מדינת ישראל</w:t>
      </w:r>
      <w:r>
        <w:rPr>
          <w:rtl/>
        </w:rPr>
        <w:t xml:space="preserve"> (23.2.2014)</w:t>
      </w:r>
      <w:r>
        <w:rPr>
          <w:rFonts w:ascii="Arial TUR" w:hAnsi="Arial TUR" w:cs="Miriam"/>
          <w:spacing w:val="10"/>
          <w:rtl/>
        </w:rPr>
        <w:t xml:space="preserve">; </w:t>
      </w:r>
      <w:hyperlink r:id="rId53" w:history="1">
        <w:r w:rsidR="00941AF6" w:rsidRPr="00941AF6">
          <w:rPr>
            <w:rFonts w:ascii="Century" w:hAnsi="Century" w:hint="eastAsia"/>
            <w:color w:val="0000FF"/>
            <w:spacing w:val="10"/>
            <w:u w:val="single"/>
            <w:rtl/>
          </w:rPr>
          <w:t>ע</w:t>
        </w:r>
        <w:r w:rsidR="00941AF6" w:rsidRPr="00941AF6">
          <w:rPr>
            <w:rFonts w:ascii="Century" w:hAnsi="Century"/>
            <w:color w:val="0000FF"/>
            <w:spacing w:val="10"/>
            <w:u w:val="single"/>
            <w:rtl/>
          </w:rPr>
          <w:t>"</w:t>
        </w:r>
        <w:r w:rsidR="00941AF6" w:rsidRPr="00941AF6">
          <w:rPr>
            <w:rFonts w:ascii="Century" w:hAnsi="Century" w:hint="eastAsia"/>
            <w:color w:val="0000FF"/>
            <w:spacing w:val="10"/>
            <w:u w:val="single"/>
            <w:rtl/>
          </w:rPr>
          <w:t>פ</w:t>
        </w:r>
        <w:r w:rsidR="00941AF6" w:rsidRPr="00941AF6">
          <w:rPr>
            <w:rFonts w:ascii="Century" w:hAnsi="Century"/>
            <w:color w:val="0000FF"/>
            <w:spacing w:val="10"/>
            <w:u w:val="single"/>
            <w:rtl/>
          </w:rPr>
          <w:t xml:space="preserve"> 6637/17</w:t>
        </w:r>
      </w:hyperlink>
      <w:r>
        <w:rPr>
          <w:rFonts w:ascii="Century" w:hAnsi="Century"/>
          <w:spacing w:val="10"/>
          <w:rtl/>
        </w:rPr>
        <w:t xml:space="preserve"> </w:t>
      </w:r>
      <w:r>
        <w:rPr>
          <w:rFonts w:ascii="Century" w:hAnsi="Century"/>
          <w:b/>
          <w:bCs/>
          <w:spacing w:val="10"/>
          <w:rtl/>
        </w:rPr>
        <w:t>אליזבט קרינדל נ' מדינת ישראל</w:t>
      </w:r>
      <w:r>
        <w:rPr>
          <w:rFonts w:ascii="Century" w:hAnsi="Century"/>
          <w:spacing w:val="10"/>
          <w:rtl/>
        </w:rPr>
        <w:t xml:space="preserve"> (18.4.2018)).</w:t>
      </w:r>
      <w:r>
        <w:rPr>
          <w:rtl/>
        </w:rPr>
        <w:t xml:space="preserve"> </w:t>
      </w:r>
      <w:r>
        <w:rPr>
          <w:rFonts w:hint="cs"/>
          <w:rtl/>
        </w:rPr>
        <w:t xml:space="preserve">בענייננו </w:t>
      </w:r>
      <w:r>
        <w:rPr>
          <w:rtl/>
        </w:rPr>
        <w:t xml:space="preserve">מדובר בנאשם צעיר (כבן </w:t>
      </w:r>
      <w:r>
        <w:rPr>
          <w:rFonts w:hint="cs"/>
          <w:rtl/>
        </w:rPr>
        <w:t>22</w:t>
      </w:r>
      <w:r>
        <w:rPr>
          <w:rtl/>
        </w:rPr>
        <w:t xml:space="preserve"> היום) ששירות המבחן סבור שקיימים בעניינו סיכויי שיקום וכי יש בכוחו של טיפול להיטיב עמו</w:t>
      </w:r>
      <w:r>
        <w:rPr>
          <w:rFonts w:hint="cs"/>
          <w:rtl/>
        </w:rPr>
        <w:t xml:space="preserve">, </w:t>
      </w:r>
      <w:r>
        <w:rPr>
          <w:rtl/>
        </w:rPr>
        <w:t xml:space="preserve">ובכך אף יפחת הסיכון להתנהגות עבריינית בעתיד. </w:t>
      </w:r>
      <w:r>
        <w:rPr>
          <w:rFonts w:hint="cs"/>
          <w:rtl/>
        </w:rPr>
        <w:t xml:space="preserve">הנאשם קיבל אחריות מלאה למעשיו, הביע חרטה, </w:t>
      </w:r>
      <w:r>
        <w:rPr>
          <w:rtl/>
        </w:rPr>
        <w:t xml:space="preserve">בדיקות </w:t>
      </w:r>
      <w:r>
        <w:rPr>
          <w:rFonts w:hint="cs"/>
          <w:rtl/>
        </w:rPr>
        <w:t xml:space="preserve">השתן </w:t>
      </w:r>
      <w:r>
        <w:rPr>
          <w:rtl/>
        </w:rPr>
        <w:t xml:space="preserve">העידו על ניקיון מסמים </w:t>
      </w:r>
      <w:r>
        <w:rPr>
          <w:rFonts w:hint="cs"/>
          <w:rtl/>
        </w:rPr>
        <w:t xml:space="preserve">וההרשמות הכוללת הייתה </w:t>
      </w:r>
      <w:r>
        <w:rPr>
          <w:rtl/>
        </w:rPr>
        <w:t>מנכונות ממשית מצדו לשינוי אורחות חייו.</w:t>
      </w:r>
      <w:r>
        <w:rPr>
          <w:rFonts w:ascii="David" w:hAnsi="David" w:hint="cs"/>
          <w:rtl/>
        </w:rPr>
        <w:t xml:space="preserve"> </w:t>
      </w:r>
      <w:r>
        <w:rPr>
          <w:rtl/>
        </w:rPr>
        <w:t>לאור כך הומלץ על העמדתו בצו מבחן בצירוף צו של"צ.</w:t>
      </w:r>
      <w:r>
        <w:rPr>
          <w:rFonts w:hint="cs"/>
          <w:rtl/>
        </w:rPr>
        <w:t xml:space="preserve"> </w:t>
      </w:r>
      <w:r>
        <w:rPr>
          <w:rtl/>
        </w:rPr>
        <w:t>ראוי בעיני לעודד את הנאשם להתמיד במגמת השיפור, ולכן המלצת שירות המבחן</w:t>
      </w:r>
      <w:r>
        <w:rPr>
          <w:rFonts w:hint="cs"/>
          <w:rtl/>
        </w:rPr>
        <w:t>, בנקודה זו,</w:t>
      </w:r>
      <w:r>
        <w:rPr>
          <w:rtl/>
        </w:rPr>
        <w:t xml:space="preserve"> </w:t>
      </w:r>
      <w:r w:rsidRPr="00784625">
        <w:rPr>
          <w:rtl/>
        </w:rPr>
        <w:t>מקובלת עלי.</w:t>
      </w:r>
      <w:r w:rsidRPr="00784625">
        <w:rPr>
          <w:rFonts w:ascii="David" w:hAnsi="David" w:hint="cs"/>
          <w:rtl/>
        </w:rPr>
        <w:t xml:space="preserve"> </w:t>
      </w:r>
      <w:r>
        <w:rPr>
          <w:rtl/>
        </w:rPr>
        <w:t xml:space="preserve">שירות המבחן הוא הגוף המקצועי האמון על שיקום נאשמים ועל הערכת הסיכויים לכך. קצין המבחן משמש כזרועו הארוכה של בית המשפט לעניין זה, ועל אף שאין הכרח לאמץ את המלצתו, ברי כי להמלצת שירות המבחן משקל ממשי בבואו של בית </w:t>
      </w:r>
      <w:r w:rsidRPr="00954205">
        <w:rPr>
          <w:rtl/>
        </w:rPr>
        <w:t>המשפט לגזור את דינו של נאשם (</w:t>
      </w:r>
      <w:hyperlink r:id="rId54" w:history="1">
        <w:r w:rsidR="00941AF6" w:rsidRPr="00941AF6">
          <w:rPr>
            <w:color w:val="0000FF"/>
            <w:u w:val="single"/>
            <w:rtl/>
          </w:rPr>
          <w:t>ע"פ 3472/11</w:t>
        </w:r>
      </w:hyperlink>
      <w:r w:rsidRPr="00954205">
        <w:rPr>
          <w:rtl/>
        </w:rPr>
        <w:t xml:space="preserve"> </w:t>
      </w:r>
      <w:r w:rsidRPr="00954205">
        <w:rPr>
          <w:rFonts w:hint="cs"/>
          <w:b/>
          <w:bCs/>
          <w:rtl/>
        </w:rPr>
        <w:t>פלוני נ' מדינת ישראל</w:t>
      </w:r>
      <w:r w:rsidRPr="00954205">
        <w:rPr>
          <w:rFonts w:hint="cs"/>
          <w:rtl/>
        </w:rPr>
        <w:t xml:space="preserve"> (3.9.2012)). </w:t>
      </w:r>
    </w:p>
    <w:p w14:paraId="09802FAA" w14:textId="77777777" w:rsidR="00F00A1A" w:rsidRPr="002D5350" w:rsidRDefault="00F00A1A" w:rsidP="00F00A1A">
      <w:pPr>
        <w:pStyle w:val="a9"/>
        <w:ind w:left="0"/>
        <w:jc w:val="both"/>
        <w:rPr>
          <w:rFonts w:ascii="David" w:hAnsi="David"/>
        </w:rPr>
      </w:pPr>
    </w:p>
    <w:p w14:paraId="15B14B53" w14:textId="77777777" w:rsidR="00F00A1A" w:rsidRDefault="00F00A1A" w:rsidP="00F00A1A">
      <w:pPr>
        <w:pStyle w:val="a9"/>
        <w:numPr>
          <w:ilvl w:val="0"/>
          <w:numId w:val="1"/>
        </w:numPr>
        <w:spacing w:line="360" w:lineRule="auto"/>
        <w:jc w:val="both"/>
        <w:rPr>
          <w:rFonts w:ascii="David" w:hAnsi="David"/>
        </w:rPr>
      </w:pPr>
      <w:r w:rsidRPr="00954205">
        <w:rPr>
          <w:rFonts w:hint="cs"/>
          <w:rtl/>
        </w:rPr>
        <w:t xml:space="preserve">על חומרת העבירה </w:t>
      </w:r>
      <w:r>
        <w:rPr>
          <w:rFonts w:hint="cs"/>
          <w:rtl/>
        </w:rPr>
        <w:t xml:space="preserve">במקרה זה אין חולק ועמדתי לעיל על מדיניות הענישה הראויה בעבירות כגון אלו. עם זאת, במקרה זה סברתי שאין זה נכון להטיל על הנאשם עונש מאסר, ולו בעבודות שירות כעתירת המאשימה, שכן סברתי שענישה זו עלולה לפגוע בסיכויי שיקומו ולהסיטו מהדרך בה הוא מצוי כיום. כן אציין שהנאשם אינו בעל דפוסי התנהגות עברייניים, הוא צעיר המצוי בתחילת דרכו, ועברו קל. </w:t>
      </w:r>
      <w:r>
        <w:rPr>
          <w:rFonts w:ascii="David" w:hAnsi="David" w:hint="cs"/>
          <w:rtl/>
        </w:rPr>
        <w:t xml:space="preserve">ניכר שההליך המשפטי היווה עבורו גורם הרתעתי, הוא מבין את הפסול שבמעשיו ושיקומו יניב תועלת לא רק לו, אלא לחברה כולה. </w:t>
      </w:r>
    </w:p>
    <w:p w14:paraId="4DA37C54" w14:textId="77777777" w:rsidR="00F00A1A" w:rsidRPr="00B512BF" w:rsidRDefault="00F00A1A" w:rsidP="00F00A1A">
      <w:pPr>
        <w:pStyle w:val="a9"/>
        <w:rPr>
          <w:rFonts w:ascii="David" w:hAnsi="David"/>
          <w:rtl/>
        </w:rPr>
      </w:pPr>
    </w:p>
    <w:p w14:paraId="13E57FCE" w14:textId="77777777" w:rsidR="00F00A1A" w:rsidRDefault="00F00A1A" w:rsidP="00F00A1A">
      <w:pPr>
        <w:pStyle w:val="a9"/>
        <w:numPr>
          <w:ilvl w:val="0"/>
          <w:numId w:val="1"/>
        </w:numPr>
        <w:spacing w:line="360" w:lineRule="auto"/>
        <w:jc w:val="both"/>
      </w:pPr>
      <w:r w:rsidRPr="00B512BF">
        <w:rPr>
          <w:rFonts w:ascii="David" w:hAnsi="David" w:hint="cs"/>
          <w:rtl/>
        </w:rPr>
        <w:t>בנתונים אלו סברתי שעונש בדמות צו של"צ בשילוב מבחן</w:t>
      </w:r>
      <w:r>
        <w:rPr>
          <w:rFonts w:ascii="David" w:hAnsi="David" w:hint="cs"/>
          <w:rtl/>
        </w:rPr>
        <w:t>,</w:t>
      </w:r>
      <w:r w:rsidRPr="00B512BF">
        <w:rPr>
          <w:rFonts w:ascii="David" w:hAnsi="David" w:hint="cs"/>
          <w:rtl/>
        </w:rPr>
        <w:t xml:space="preserve"> הולם נכונה את נסיבות העושה והמעשה.</w:t>
      </w:r>
      <w:r>
        <w:rPr>
          <w:rFonts w:hint="cs"/>
          <w:rtl/>
        </w:rPr>
        <w:t xml:space="preserve"> אדגיש </w:t>
      </w:r>
      <w:r w:rsidRPr="00774A17">
        <w:rPr>
          <w:rtl/>
        </w:rPr>
        <w:t>שהנאשם אינו מסיים את ההליך כעת וככל שלא ישתף פעולה עם שירות המבחן, ובוודאי אם יעבור עבירה נוספת, יחודש ההליך נגדו והוא יישא בעונש ההולם את מעשיו (</w:t>
      </w:r>
      <w:hyperlink r:id="rId55" w:history="1">
        <w:r w:rsidR="00941AF6" w:rsidRPr="00941AF6">
          <w:rPr>
            <w:color w:val="0000FF"/>
            <w:u w:val="single"/>
            <w:rtl/>
          </w:rPr>
          <w:t>עפ"ג 39953-11-13</w:t>
        </w:r>
      </w:hyperlink>
      <w:r w:rsidRPr="00774A17">
        <w:rPr>
          <w:rtl/>
        </w:rPr>
        <w:t xml:space="preserve"> </w:t>
      </w:r>
      <w:r w:rsidRPr="00B512BF">
        <w:rPr>
          <w:rFonts w:hint="cs"/>
          <w:b/>
          <w:bCs/>
          <w:rtl/>
        </w:rPr>
        <w:t>סבח נ' מדינת ישראל</w:t>
      </w:r>
      <w:r w:rsidRPr="00774A17">
        <w:rPr>
          <w:rFonts w:hint="cs"/>
          <w:rtl/>
        </w:rPr>
        <w:t xml:space="preserve"> (23.1.2014)). אוסיף שבכוונתי להטיל על הנאשם צו של"צ בהיקף לא מבוטל המהווה ענישה</w:t>
      </w:r>
      <w:r>
        <w:rPr>
          <w:rFonts w:hint="cs"/>
          <w:rtl/>
        </w:rPr>
        <w:t xml:space="preserve"> מוחשית</w:t>
      </w:r>
      <w:r w:rsidRPr="00774A17">
        <w:rPr>
          <w:rFonts w:hint="cs"/>
          <w:rtl/>
        </w:rPr>
        <w:t xml:space="preserve">, הגם שבבסיסה </w:t>
      </w:r>
      <w:r>
        <w:rPr>
          <w:rFonts w:hint="cs"/>
          <w:rtl/>
        </w:rPr>
        <w:t>אלמנט</w:t>
      </w:r>
      <w:r w:rsidRPr="00774A17">
        <w:rPr>
          <w:rFonts w:hint="cs"/>
          <w:rtl/>
        </w:rPr>
        <w:t xml:space="preserve"> חינוכי-שיקומי. בכך ייווצר לדידי תמהיל עונשי ראוי שיש בו להשיג את תכלית הענישה בצד שמירה על סיכויי השיקום. </w:t>
      </w:r>
    </w:p>
    <w:p w14:paraId="6664BAC8" w14:textId="77777777" w:rsidR="00F00A1A" w:rsidRDefault="00F00A1A" w:rsidP="00F00A1A">
      <w:pPr>
        <w:numPr>
          <w:ilvl w:val="0"/>
          <w:numId w:val="1"/>
        </w:numPr>
        <w:spacing w:before="120" w:after="120" w:line="360" w:lineRule="auto"/>
        <w:contextualSpacing/>
        <w:jc w:val="both"/>
      </w:pPr>
      <w:r>
        <w:rPr>
          <w:rtl/>
        </w:rPr>
        <w:t>סיכומו של דבר, לאחר שבחנתי את מכלול השיקולים, הן לקולה והן לחומרה,  אני מטיל על הנאשם את העונשים הבאים:</w:t>
      </w:r>
    </w:p>
    <w:p w14:paraId="415E664B" w14:textId="77777777" w:rsidR="00F00A1A" w:rsidRDefault="00F00A1A" w:rsidP="00F00A1A">
      <w:pPr>
        <w:pStyle w:val="a9"/>
        <w:numPr>
          <w:ilvl w:val="0"/>
          <w:numId w:val="3"/>
        </w:numPr>
        <w:spacing w:before="120" w:after="120" w:line="360" w:lineRule="auto"/>
        <w:jc w:val="both"/>
      </w:pPr>
      <w:r w:rsidRPr="002E149C">
        <w:rPr>
          <w:rtl/>
        </w:rPr>
        <w:t xml:space="preserve">אני מעמיד את הנאשם בפיקוח שירות המבחן למשך </w:t>
      </w:r>
      <w:r w:rsidRPr="002E149C">
        <w:rPr>
          <w:rFonts w:hint="cs"/>
          <w:rtl/>
        </w:rPr>
        <w:t>18</w:t>
      </w:r>
      <w:r w:rsidRPr="002E149C">
        <w:rPr>
          <w:rtl/>
        </w:rPr>
        <w:t xml:space="preserve"> חודשים. הוסבר לנאשם בלשון</w:t>
      </w:r>
      <w:r>
        <w:rPr>
          <w:rtl/>
        </w:rPr>
        <w:t xml:space="preserve"> פשוטה שעליו לקיים את הוראות שירות המבחן וכי הפרה של צו הפיקוח עלולה להוביל להפקעתו ולהטלת עונשים נוספים.</w:t>
      </w:r>
    </w:p>
    <w:p w14:paraId="5D872AB4" w14:textId="77777777" w:rsidR="00F00A1A" w:rsidRDefault="00F00A1A" w:rsidP="00F00A1A">
      <w:pPr>
        <w:pStyle w:val="a9"/>
        <w:spacing w:before="120" w:after="120"/>
        <w:jc w:val="both"/>
      </w:pPr>
    </w:p>
    <w:p w14:paraId="257E24F7" w14:textId="77777777" w:rsidR="00F00A1A" w:rsidRPr="003F2225" w:rsidRDefault="00F00A1A" w:rsidP="00F00A1A">
      <w:pPr>
        <w:pStyle w:val="a9"/>
        <w:numPr>
          <w:ilvl w:val="0"/>
          <w:numId w:val="3"/>
        </w:numPr>
        <w:spacing w:before="120" w:after="120" w:line="360" w:lineRule="auto"/>
        <w:jc w:val="both"/>
        <w:rPr>
          <w:b/>
          <w:bCs/>
        </w:rPr>
      </w:pPr>
      <w:r>
        <w:rPr>
          <w:rtl/>
        </w:rPr>
        <w:t xml:space="preserve">מאסר על תנאי למשך </w:t>
      </w:r>
      <w:r>
        <w:rPr>
          <w:rFonts w:hint="cs"/>
          <w:rtl/>
        </w:rPr>
        <w:t>4</w:t>
      </w:r>
      <w:r>
        <w:rPr>
          <w:rtl/>
        </w:rPr>
        <w:t xml:space="preserve"> חודשים והתנאי הוא שהנאשם לא יעבור בתוך שנתיים כל עבירה על פקודת הסמים שהיא פשע. </w:t>
      </w:r>
    </w:p>
    <w:p w14:paraId="735CEEF2" w14:textId="77777777" w:rsidR="00F00A1A" w:rsidRPr="003F2225" w:rsidRDefault="00F00A1A" w:rsidP="00F00A1A">
      <w:pPr>
        <w:pStyle w:val="a9"/>
        <w:rPr>
          <w:b/>
          <w:bCs/>
          <w:rtl/>
        </w:rPr>
      </w:pPr>
    </w:p>
    <w:p w14:paraId="4F47A43D" w14:textId="77777777" w:rsidR="00F00A1A" w:rsidRPr="002E149C" w:rsidRDefault="00F00A1A" w:rsidP="00F00A1A">
      <w:pPr>
        <w:pStyle w:val="a9"/>
        <w:numPr>
          <w:ilvl w:val="0"/>
          <w:numId w:val="3"/>
        </w:numPr>
        <w:spacing w:before="120" w:after="120" w:line="360" w:lineRule="auto"/>
        <w:jc w:val="both"/>
      </w:pPr>
      <w:r w:rsidRPr="002E149C">
        <w:rPr>
          <w:rFonts w:hint="cs"/>
          <w:rtl/>
        </w:rPr>
        <w:t>קנס בסך 3,000 ₪. הקנס ישולם ב-5 תשלומים שווים ורצופים החל מיום 1.3.22 ; אי תשלום אחד התשלומים במועד יעמיד את היתרה לפירעון מידי.</w:t>
      </w:r>
    </w:p>
    <w:p w14:paraId="0A748869" w14:textId="77777777" w:rsidR="00F00A1A" w:rsidRDefault="00F00A1A" w:rsidP="00F00A1A">
      <w:pPr>
        <w:numPr>
          <w:ilvl w:val="0"/>
          <w:numId w:val="3"/>
        </w:numPr>
        <w:spacing w:before="240" w:after="240" w:line="360" w:lineRule="auto"/>
        <w:contextualSpacing/>
        <w:jc w:val="both"/>
      </w:pPr>
      <w:r>
        <w:rPr>
          <w:rtl/>
        </w:rPr>
        <w:t xml:space="preserve">אני מחייב את הנאשם לבצע 250 שעות של"צ. שירות המבחן יגיש תכנית של"צ בתוך 30 יום. </w:t>
      </w:r>
      <w:r>
        <w:rPr>
          <w:b/>
          <w:bCs/>
          <w:rtl/>
        </w:rPr>
        <w:t>מובהר לנאשם כי עליו לבצע את הצו על פי הוראות שירות המבחן וכי אם לא יעשה כן ניתן יהיה להפקיע את הצו ולהטיל עליו ענישה נוספת.</w:t>
      </w:r>
    </w:p>
    <w:p w14:paraId="33A1EC3A" w14:textId="77777777" w:rsidR="00F00A1A" w:rsidRPr="000957DF" w:rsidRDefault="00F00A1A" w:rsidP="00F00A1A">
      <w:pPr>
        <w:ind w:left="360"/>
        <w:rPr>
          <w:rFonts w:ascii="David" w:hAnsi="David"/>
          <w:color w:val="000000"/>
          <w:rtl/>
        </w:rPr>
      </w:pPr>
    </w:p>
    <w:p w14:paraId="65F03CDE" w14:textId="77777777" w:rsidR="00F00A1A" w:rsidRPr="000957DF" w:rsidRDefault="00F00A1A" w:rsidP="00F00A1A">
      <w:pPr>
        <w:numPr>
          <w:ilvl w:val="0"/>
          <w:numId w:val="3"/>
        </w:numPr>
        <w:spacing w:before="240" w:after="240" w:line="360" w:lineRule="auto"/>
        <w:contextualSpacing/>
        <w:jc w:val="both"/>
        <w:rPr>
          <w:rtl/>
        </w:rPr>
      </w:pPr>
      <w:r w:rsidRPr="000957DF">
        <w:rPr>
          <w:rFonts w:ascii="David" w:hAnsi="David"/>
          <w:color w:val="000000"/>
          <w:rtl/>
        </w:rPr>
        <w:t xml:space="preserve">בהתאם להסכמת הצדדים, אני מחלט את הסך של </w:t>
      </w:r>
      <w:r>
        <w:rPr>
          <w:rFonts w:ascii="David" w:hAnsi="David" w:hint="cs"/>
          <w:color w:val="000000"/>
          <w:rtl/>
        </w:rPr>
        <w:t>1,400</w:t>
      </w:r>
      <w:r w:rsidRPr="000957DF">
        <w:rPr>
          <w:rFonts w:ascii="David" w:hAnsi="David"/>
          <w:color w:val="000000"/>
          <w:rtl/>
        </w:rPr>
        <w:t xml:space="preserve"> ₪ שנתפס בידי הנאשם</w:t>
      </w:r>
      <w:r>
        <w:rPr>
          <w:rFonts w:ascii="David" w:hAnsi="David" w:hint="cs"/>
          <w:color w:val="000000"/>
          <w:rtl/>
        </w:rPr>
        <w:t>,</w:t>
      </w:r>
      <w:r w:rsidRPr="000957DF">
        <w:rPr>
          <w:rFonts w:ascii="David" w:hAnsi="David"/>
          <w:color w:val="000000"/>
          <w:rtl/>
        </w:rPr>
        <w:t xml:space="preserve"> לטובת אוצר המדינה. </w:t>
      </w:r>
    </w:p>
    <w:p w14:paraId="4C5BFBA5" w14:textId="77777777" w:rsidR="00F00A1A" w:rsidRDefault="00F00A1A" w:rsidP="00F00A1A">
      <w:pPr>
        <w:rPr>
          <w:rFonts w:ascii="David" w:hAnsi="David"/>
          <w:b/>
          <w:bCs/>
          <w:color w:val="000000"/>
          <w:u w:val="single"/>
          <w:rtl/>
        </w:rPr>
      </w:pPr>
    </w:p>
    <w:p w14:paraId="7FD1D176" w14:textId="77777777" w:rsidR="00F00A1A" w:rsidRPr="00774A17" w:rsidRDefault="00F00A1A" w:rsidP="00F00A1A">
      <w:pPr>
        <w:ind w:firstLine="360"/>
        <w:rPr>
          <w:rFonts w:ascii="David" w:hAnsi="David"/>
          <w:b/>
          <w:bCs/>
          <w:color w:val="000000"/>
          <w:u w:val="single"/>
        </w:rPr>
      </w:pPr>
      <w:r w:rsidRPr="00774A17">
        <w:rPr>
          <w:rFonts w:ascii="David" w:hAnsi="David"/>
          <w:b/>
          <w:bCs/>
          <w:color w:val="000000"/>
          <w:u w:val="single"/>
          <w:rtl/>
        </w:rPr>
        <w:t>המזכירות תשלח עותק מגזר הדין לשירות המבחן</w:t>
      </w:r>
      <w:r w:rsidRPr="00774A17">
        <w:rPr>
          <w:rFonts w:ascii="David" w:hAnsi="David"/>
          <w:b/>
          <w:bCs/>
          <w:color w:val="000000"/>
          <w:u w:val="single"/>
        </w:rPr>
        <w:t>.</w:t>
      </w:r>
    </w:p>
    <w:p w14:paraId="2F5DAAFB" w14:textId="77777777" w:rsidR="00F00A1A" w:rsidRPr="00941AF6" w:rsidRDefault="00941AF6" w:rsidP="00F00A1A">
      <w:pPr>
        <w:pStyle w:val="a9"/>
        <w:rPr>
          <w:color w:val="FFFFFF"/>
          <w:sz w:val="2"/>
          <w:szCs w:val="2"/>
          <w:rtl/>
        </w:rPr>
      </w:pPr>
      <w:r w:rsidRPr="00941AF6">
        <w:rPr>
          <w:color w:val="FFFFFF"/>
          <w:sz w:val="2"/>
          <w:szCs w:val="2"/>
          <w:rtl/>
        </w:rPr>
        <w:t>5129371</w:t>
      </w:r>
    </w:p>
    <w:p w14:paraId="377536A0" w14:textId="77777777" w:rsidR="00F00A1A" w:rsidRDefault="00941AF6" w:rsidP="00F00A1A">
      <w:pPr>
        <w:ind w:firstLine="360"/>
        <w:rPr>
          <w:rtl/>
        </w:rPr>
      </w:pPr>
      <w:r w:rsidRPr="00941AF6">
        <w:rPr>
          <w:rFonts w:ascii="David" w:hAnsi="David"/>
          <w:b/>
          <w:bCs/>
          <w:color w:val="FFFFFF"/>
          <w:sz w:val="2"/>
          <w:szCs w:val="2"/>
          <w:u w:val="single"/>
          <w:rtl/>
        </w:rPr>
        <w:t>54678313</w:t>
      </w:r>
      <w:r w:rsidR="00F00A1A" w:rsidRPr="00774A17">
        <w:rPr>
          <w:rFonts w:ascii="David" w:hAnsi="David"/>
          <w:b/>
          <w:bCs/>
          <w:color w:val="000000"/>
          <w:u w:val="single"/>
          <w:rtl/>
        </w:rPr>
        <w:t>הודעה זכות ערעור לבית המשפט המחוזי בתוך 45 יום</w:t>
      </w:r>
      <w:r w:rsidR="00F00A1A" w:rsidRPr="00774A17">
        <w:rPr>
          <w:rFonts w:ascii="David" w:hAnsi="David"/>
          <w:b/>
          <w:bCs/>
          <w:color w:val="000000"/>
          <w:u w:val="single"/>
        </w:rPr>
        <w:t>.</w:t>
      </w:r>
    </w:p>
    <w:p w14:paraId="26BD70FE" w14:textId="77777777" w:rsidR="00F00A1A" w:rsidRDefault="00F00A1A" w:rsidP="00F00A1A">
      <w:pPr>
        <w:rPr>
          <w:rFonts w:ascii="David" w:hAnsi="David"/>
          <w:b/>
          <w:bCs/>
          <w:rtl/>
        </w:rPr>
      </w:pPr>
    </w:p>
    <w:p w14:paraId="4CA48415" w14:textId="77777777" w:rsidR="00F00A1A" w:rsidRPr="005F36A8" w:rsidRDefault="00F00A1A" w:rsidP="00F00A1A">
      <w:pPr>
        <w:rPr>
          <w:rFonts w:ascii="David" w:hAnsi="David"/>
          <w:b/>
          <w:bCs/>
          <w:rtl/>
        </w:rPr>
      </w:pPr>
    </w:p>
    <w:p w14:paraId="5E6C023A" w14:textId="77777777" w:rsidR="00F00A1A" w:rsidRPr="005F36A8" w:rsidRDefault="00941AF6" w:rsidP="00941AF6">
      <w:pPr>
        <w:jc w:val="center"/>
      </w:pPr>
      <w:bookmarkStart w:id="7" w:name="Nitan"/>
      <w:r>
        <w:rPr>
          <w:rFonts w:ascii="David" w:hAnsi="David"/>
          <w:rtl/>
        </w:rPr>
        <w:t xml:space="preserve">ניתן היום,  י"ז שבט תשפ"ב, 19 ינואר 2022, במעמד הצדדים. </w:t>
      </w:r>
      <w:bookmarkEnd w:id="7"/>
      <w:r w:rsidR="00F00A1A" w:rsidRPr="005F36A8">
        <w:rPr>
          <w:rFonts w:ascii="David" w:hAnsi="David"/>
          <w:rtl/>
        </w:rPr>
        <w:t xml:space="preserve">   </w:t>
      </w:r>
      <w:r w:rsidR="00F00A1A" w:rsidRPr="005F36A8">
        <w:rPr>
          <w:rFonts w:ascii="David" w:hAnsi="David"/>
          <w:rtl/>
        </w:rPr>
        <w:tab/>
      </w:r>
      <w:r w:rsidR="00F00A1A" w:rsidRPr="005F36A8">
        <w:rPr>
          <w:rFonts w:ascii="David" w:hAnsi="David"/>
          <w:rtl/>
        </w:rPr>
        <w:tab/>
      </w:r>
      <w:r w:rsidR="00F00A1A" w:rsidRPr="005F36A8">
        <w:rPr>
          <w:rFonts w:ascii="David" w:hAnsi="David"/>
          <w:rtl/>
        </w:rPr>
        <w:tab/>
      </w:r>
      <w:r w:rsidR="00F00A1A" w:rsidRPr="005F36A8">
        <w:rPr>
          <w:rFonts w:ascii="David" w:hAnsi="David"/>
          <w:rtl/>
        </w:rPr>
        <w:tab/>
      </w:r>
      <w:r w:rsidR="00F00A1A" w:rsidRPr="005F36A8">
        <w:rPr>
          <w:rFonts w:ascii="David" w:hAnsi="David"/>
          <w:rtl/>
        </w:rPr>
        <w:tab/>
      </w:r>
    </w:p>
    <w:p w14:paraId="709E5AC9" w14:textId="77777777" w:rsidR="00F00A1A" w:rsidRPr="005F36A8" w:rsidRDefault="00F00A1A" w:rsidP="00F00A1A">
      <w:pPr>
        <w:jc w:val="center"/>
        <w:rPr>
          <w:rFonts w:ascii="David" w:hAnsi="David"/>
          <w:rtl/>
        </w:rPr>
      </w:pPr>
    </w:p>
    <w:p w14:paraId="060DCA8F" w14:textId="77777777" w:rsidR="00D41FF1" w:rsidRPr="00941AF6" w:rsidRDefault="00D41FF1" w:rsidP="00941AF6">
      <w:pPr>
        <w:keepNext/>
        <w:rPr>
          <w:rFonts w:ascii="David" w:hAnsi="David"/>
          <w:color w:val="000000"/>
          <w:sz w:val="22"/>
          <w:szCs w:val="22"/>
          <w:rtl/>
        </w:rPr>
      </w:pPr>
    </w:p>
    <w:p w14:paraId="5A20750A" w14:textId="77777777" w:rsidR="00941AF6" w:rsidRPr="00941AF6" w:rsidRDefault="00941AF6" w:rsidP="00941AF6">
      <w:pPr>
        <w:keepNext/>
        <w:rPr>
          <w:rFonts w:ascii="David" w:hAnsi="David"/>
          <w:color w:val="000000"/>
          <w:sz w:val="22"/>
          <w:szCs w:val="22"/>
          <w:rtl/>
        </w:rPr>
      </w:pPr>
      <w:r w:rsidRPr="00941AF6">
        <w:rPr>
          <w:rFonts w:ascii="David" w:hAnsi="David"/>
          <w:color w:val="000000"/>
          <w:sz w:val="22"/>
          <w:szCs w:val="22"/>
          <w:rtl/>
        </w:rPr>
        <w:t>יוסי טורס 54678313</w:t>
      </w:r>
    </w:p>
    <w:p w14:paraId="2A36D71A" w14:textId="77777777" w:rsidR="00941AF6" w:rsidRDefault="00941AF6" w:rsidP="00941AF6">
      <w:r w:rsidRPr="00941AF6">
        <w:rPr>
          <w:color w:val="000000"/>
          <w:rtl/>
        </w:rPr>
        <w:t>נוסח מסמך זה כפוף לשינויי ניסוח ועריכה</w:t>
      </w:r>
    </w:p>
    <w:p w14:paraId="14E6CB74" w14:textId="77777777" w:rsidR="00941AF6" w:rsidRDefault="00941AF6" w:rsidP="00941AF6">
      <w:pPr>
        <w:rPr>
          <w:rtl/>
        </w:rPr>
      </w:pPr>
    </w:p>
    <w:p w14:paraId="7517CDCC" w14:textId="77777777" w:rsidR="00941AF6" w:rsidRDefault="00941AF6" w:rsidP="00941AF6">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2D3EEED7" w14:textId="77777777" w:rsidR="00941AF6" w:rsidRPr="00941AF6" w:rsidRDefault="00941AF6" w:rsidP="00941AF6">
      <w:pPr>
        <w:jc w:val="center"/>
        <w:rPr>
          <w:color w:val="0000FF"/>
          <w:u w:val="single"/>
        </w:rPr>
      </w:pPr>
    </w:p>
    <w:sectPr w:rsidR="00941AF6" w:rsidRPr="00941AF6" w:rsidSect="00941AF6">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52B46" w14:textId="77777777" w:rsidR="003442F7" w:rsidRDefault="003442F7" w:rsidP="00774114">
      <w:r>
        <w:separator/>
      </w:r>
    </w:p>
  </w:endnote>
  <w:endnote w:type="continuationSeparator" w:id="0">
    <w:p w14:paraId="5436F37C" w14:textId="77777777" w:rsidR="003442F7" w:rsidRDefault="003442F7" w:rsidP="00774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0F4AC" w14:textId="77777777" w:rsidR="00941AF6" w:rsidRDefault="00941AF6" w:rsidP="00941AF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FE747C5" w14:textId="77777777" w:rsidR="002B357A" w:rsidRPr="00941AF6" w:rsidRDefault="00941AF6" w:rsidP="00941AF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E8004" w14:textId="77777777" w:rsidR="00941AF6" w:rsidRDefault="00941AF6" w:rsidP="00941AF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A1399">
      <w:rPr>
        <w:rFonts w:ascii="FrankRuehl" w:hAnsi="FrankRuehl" w:cs="FrankRuehl"/>
        <w:noProof/>
        <w:rtl/>
      </w:rPr>
      <w:t>1</w:t>
    </w:r>
    <w:r>
      <w:rPr>
        <w:rFonts w:ascii="FrankRuehl" w:hAnsi="FrankRuehl" w:cs="FrankRuehl"/>
        <w:rtl/>
      </w:rPr>
      <w:fldChar w:fldCharType="end"/>
    </w:r>
  </w:p>
  <w:p w14:paraId="3F31D28D" w14:textId="77777777" w:rsidR="002B357A" w:rsidRPr="00941AF6" w:rsidRDefault="00941AF6" w:rsidP="00941AF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1C5AB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C301B" w14:textId="77777777" w:rsidR="003442F7" w:rsidRDefault="003442F7" w:rsidP="00774114">
      <w:r>
        <w:separator/>
      </w:r>
    </w:p>
  </w:footnote>
  <w:footnote w:type="continuationSeparator" w:id="0">
    <w:p w14:paraId="2CE65AFF" w14:textId="77777777" w:rsidR="003442F7" w:rsidRDefault="003442F7" w:rsidP="007741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F8CCB" w14:textId="77777777" w:rsidR="00941AF6" w:rsidRPr="00941AF6" w:rsidRDefault="00941AF6" w:rsidP="00941A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8287-07-20</w:t>
    </w:r>
    <w:r>
      <w:rPr>
        <w:rFonts w:ascii="David" w:hAnsi="David"/>
        <w:color w:val="000000"/>
        <w:sz w:val="22"/>
        <w:szCs w:val="22"/>
        <w:rtl/>
      </w:rPr>
      <w:tab/>
      <w:t xml:space="preserve"> מדינת ישראל נ' יקיר יעקב שטרית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F3141" w14:textId="77777777" w:rsidR="00941AF6" w:rsidRPr="00941AF6" w:rsidRDefault="00941AF6" w:rsidP="00941AF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8287-07-20</w:t>
    </w:r>
    <w:r>
      <w:rPr>
        <w:rFonts w:ascii="David" w:hAnsi="David"/>
        <w:color w:val="000000"/>
        <w:sz w:val="22"/>
        <w:szCs w:val="22"/>
        <w:rtl/>
      </w:rPr>
      <w:tab/>
      <w:t xml:space="preserve"> מדינת ישראל נ' יקיר יעקב שטרית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3F198D"/>
    <w:multiLevelType w:val="hybridMultilevel"/>
    <w:tmpl w:val="CAF6DD9A"/>
    <w:lvl w:ilvl="0" w:tplc="D0BC3144">
      <w:start w:val="1"/>
      <w:numFmt w:val="decimal"/>
      <w:lvlText w:val="%1."/>
      <w:lvlJc w:val="left"/>
      <w:pPr>
        <w:tabs>
          <w:tab w:val="num" w:pos="567"/>
        </w:tabs>
        <w:ind w:left="0" w:firstLine="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750D0"/>
    <w:multiLevelType w:val="hybridMultilevel"/>
    <w:tmpl w:val="4B9E5FF4"/>
    <w:lvl w:ilvl="0" w:tplc="86B6854A">
      <w:start w:val="1"/>
      <w:numFmt w:val="hebrew1"/>
      <w:lvlText w:val="%1."/>
      <w:lvlJc w:val="center"/>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F0008B"/>
    <w:multiLevelType w:val="hybridMultilevel"/>
    <w:tmpl w:val="C2B673A8"/>
    <w:lvl w:ilvl="0" w:tplc="60982F88">
      <w:start w:val="1"/>
      <w:numFmt w:val="hebrew1"/>
      <w:lvlText w:val="%1."/>
      <w:lvlJc w:val="center"/>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166984">
    <w:abstractNumId w:val="0"/>
  </w:num>
  <w:num w:numId="2" w16cid:durableId="2093312664">
    <w:abstractNumId w:val="2"/>
  </w:num>
  <w:num w:numId="3" w16cid:durableId="536628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00A1A"/>
    <w:rsid w:val="0013208A"/>
    <w:rsid w:val="0022196D"/>
    <w:rsid w:val="002B357A"/>
    <w:rsid w:val="003442F7"/>
    <w:rsid w:val="003A1399"/>
    <w:rsid w:val="00473667"/>
    <w:rsid w:val="004C6094"/>
    <w:rsid w:val="00774114"/>
    <w:rsid w:val="008D598F"/>
    <w:rsid w:val="00941AF6"/>
    <w:rsid w:val="009A4E4C"/>
    <w:rsid w:val="00A74456"/>
    <w:rsid w:val="00AC428A"/>
    <w:rsid w:val="00B2784C"/>
    <w:rsid w:val="00D41FF1"/>
    <w:rsid w:val="00F00A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EAF0F53"/>
  <w15:chartTrackingRefBased/>
  <w15:docId w15:val="{29C269E7-885C-4AFC-A3BC-2775DC3D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0A1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00A1A"/>
    <w:pPr>
      <w:tabs>
        <w:tab w:val="center" w:pos="4153"/>
        <w:tab w:val="right" w:pos="8306"/>
      </w:tabs>
    </w:pPr>
  </w:style>
  <w:style w:type="character" w:customStyle="1" w:styleId="a4">
    <w:name w:val="כותרת עליונה תו"/>
    <w:link w:val="a3"/>
    <w:rsid w:val="00F00A1A"/>
    <w:rPr>
      <w:rFonts w:ascii="Times New Roman" w:eastAsia="Times New Roman" w:hAnsi="Times New Roman" w:cs="David"/>
      <w:sz w:val="24"/>
      <w:szCs w:val="24"/>
    </w:rPr>
  </w:style>
  <w:style w:type="paragraph" w:styleId="a5">
    <w:name w:val="footer"/>
    <w:basedOn w:val="a"/>
    <w:link w:val="a6"/>
    <w:rsid w:val="00F00A1A"/>
    <w:pPr>
      <w:tabs>
        <w:tab w:val="center" w:pos="4153"/>
        <w:tab w:val="right" w:pos="8306"/>
      </w:tabs>
    </w:pPr>
  </w:style>
  <w:style w:type="character" w:customStyle="1" w:styleId="a6">
    <w:name w:val="כותרת תחתונה תו"/>
    <w:link w:val="a5"/>
    <w:rsid w:val="00F00A1A"/>
    <w:rPr>
      <w:rFonts w:ascii="Times New Roman" w:eastAsia="Times New Roman" w:hAnsi="Times New Roman" w:cs="David"/>
      <w:sz w:val="24"/>
      <w:szCs w:val="24"/>
    </w:rPr>
  </w:style>
  <w:style w:type="table" w:styleId="a7">
    <w:name w:val="Table Grid"/>
    <w:basedOn w:val="a1"/>
    <w:rsid w:val="00F00A1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00A1A"/>
  </w:style>
  <w:style w:type="paragraph" w:styleId="a9">
    <w:name w:val="List Paragraph"/>
    <w:basedOn w:val="a"/>
    <w:qFormat/>
    <w:rsid w:val="00F00A1A"/>
    <w:pPr>
      <w:ind w:left="720"/>
      <w:contextualSpacing/>
    </w:pPr>
  </w:style>
  <w:style w:type="character" w:styleId="Hyperlink">
    <w:name w:val="Hyperlink"/>
    <w:rsid w:val="00F00A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849" TargetMode="External"/><Relationship Id="rId18" Type="http://schemas.openxmlformats.org/officeDocument/2006/relationships/hyperlink" Target="http://www.nevo.co.il/case/5849797" TargetMode="External"/><Relationship Id="rId26" Type="http://schemas.openxmlformats.org/officeDocument/2006/relationships/hyperlink" Target="http://www.nevo.co.il/law/74849/51.a.1.b" TargetMode="External"/><Relationship Id="rId39" Type="http://schemas.openxmlformats.org/officeDocument/2006/relationships/hyperlink" Target="http://www.nevo.co.il/case/2350674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8190926" TargetMode="External"/><Relationship Id="rId42" Type="http://schemas.openxmlformats.org/officeDocument/2006/relationships/hyperlink" Target="http://www.nevo.co.il/case/21477472" TargetMode="External"/><Relationship Id="rId47" Type="http://schemas.openxmlformats.org/officeDocument/2006/relationships/hyperlink" Target="http://www.nevo.co.il/case/17011278" TargetMode="External"/><Relationship Id="rId50" Type="http://schemas.openxmlformats.org/officeDocument/2006/relationships/hyperlink" Target="http://www.nevo.co.il/law/70301/40d" TargetMode="External"/><Relationship Id="rId55" Type="http://schemas.openxmlformats.org/officeDocument/2006/relationships/hyperlink" Target="http://www.nevo.co.il/case/10520794"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6879736" TargetMode="External"/><Relationship Id="rId11" Type="http://schemas.openxmlformats.org/officeDocument/2006/relationships/hyperlink" Target="http://www.nevo.co.il/law/70302" TargetMode="External"/><Relationship Id="rId24" Type="http://schemas.openxmlformats.org/officeDocument/2006/relationships/hyperlink" Target="http://www.nevo.co.il/law/70302/16" TargetMode="External"/><Relationship Id="rId32" Type="http://schemas.openxmlformats.org/officeDocument/2006/relationships/hyperlink" Target="http://www.nevo.co.il/case/5603186" TargetMode="External"/><Relationship Id="rId37" Type="http://schemas.openxmlformats.org/officeDocument/2006/relationships/hyperlink" Target="http://www.nevo.co.il/case/27626014" TargetMode="External"/><Relationship Id="rId40" Type="http://schemas.openxmlformats.org/officeDocument/2006/relationships/hyperlink" Target="http://www.nevo.co.il/case/6241434" TargetMode="External"/><Relationship Id="rId45" Type="http://schemas.openxmlformats.org/officeDocument/2006/relationships/hyperlink" Target="http://www.nevo.co.il/case/17011540" TargetMode="External"/><Relationship Id="rId53" Type="http://schemas.openxmlformats.org/officeDocument/2006/relationships/hyperlink" Target="http://www.nevo.co.il/case/22938500"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hyperlink" Target="http://www.nevo.co.il/case/5810781" TargetMode="External"/><Relationship Id="rId14" Type="http://schemas.openxmlformats.org/officeDocument/2006/relationships/hyperlink" Target="http://www.nevo.co.il/law/74849/51.a.1.b" TargetMode="External"/><Relationship Id="rId22" Type="http://schemas.openxmlformats.org/officeDocument/2006/relationships/hyperlink" Target="http://www.nevo.co.il/case/5605692" TargetMode="External"/><Relationship Id="rId27" Type="http://schemas.openxmlformats.org/officeDocument/2006/relationships/hyperlink" Target="http://www.nevo.co.il/law/74849" TargetMode="External"/><Relationship Id="rId30" Type="http://schemas.openxmlformats.org/officeDocument/2006/relationships/hyperlink" Target="http://www.nevo.co.il/case/16975164" TargetMode="External"/><Relationship Id="rId35" Type="http://schemas.openxmlformats.org/officeDocument/2006/relationships/hyperlink" Target="http://www.nevo.co.il/case/27006461" TargetMode="External"/><Relationship Id="rId43" Type="http://schemas.openxmlformats.org/officeDocument/2006/relationships/hyperlink" Target="http://www.nevo.co.il/case/7012287" TargetMode="External"/><Relationship Id="rId48" Type="http://schemas.openxmlformats.org/officeDocument/2006/relationships/hyperlink" Target="http://www.nevo.co.il/case/28032816"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4216/13"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2/16" TargetMode="External"/><Relationship Id="rId17" Type="http://schemas.openxmlformats.org/officeDocument/2006/relationships/hyperlink" Target="http://www.nevo.co.il/case/26995435" TargetMode="External"/><Relationship Id="rId25" Type="http://schemas.openxmlformats.org/officeDocument/2006/relationships/hyperlink" Target="http://www.nevo.co.il/law/70302" TargetMode="External"/><Relationship Id="rId33" Type="http://schemas.openxmlformats.org/officeDocument/2006/relationships/hyperlink" Target="http://www.nevo.co.il/case/23599561" TargetMode="External"/><Relationship Id="rId38" Type="http://schemas.openxmlformats.org/officeDocument/2006/relationships/hyperlink" Target="http://www.nevo.co.il/case/7799679" TargetMode="External"/><Relationship Id="rId46" Type="http://schemas.openxmlformats.org/officeDocument/2006/relationships/hyperlink" Target="http://www.nevo.co.il/case/17011207" TargetMode="External"/><Relationship Id="rId59" Type="http://schemas.openxmlformats.org/officeDocument/2006/relationships/footer" Target="footer1.xml"/><Relationship Id="rId20" Type="http://schemas.openxmlformats.org/officeDocument/2006/relationships/hyperlink" Target="http://www.nevo.co.il/case/6161385" TargetMode="External"/><Relationship Id="rId41" Type="http://schemas.openxmlformats.org/officeDocument/2006/relationships/hyperlink" Target="http://www.nevo.co.il/case/5988308" TargetMode="External"/><Relationship Id="rId54" Type="http://schemas.openxmlformats.org/officeDocument/2006/relationships/hyperlink" Target="http://www.nevo.co.il/case/6244964"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27186392" TargetMode="External"/><Relationship Id="rId28" Type="http://schemas.openxmlformats.org/officeDocument/2006/relationships/hyperlink" Target="http://www.nevo.co.il/case/20632055" TargetMode="External"/><Relationship Id="rId36" Type="http://schemas.openxmlformats.org/officeDocument/2006/relationships/hyperlink" Target="http://www.nevo.co.il/case/24345651" TargetMode="External"/><Relationship Id="rId49" Type="http://schemas.openxmlformats.org/officeDocument/2006/relationships/hyperlink" Target="http://www.nevo.co.il/case/27005287" TargetMode="External"/><Relationship Id="rId57" Type="http://schemas.openxmlformats.org/officeDocument/2006/relationships/header" Target="header1.xml"/><Relationship Id="rId10" Type="http://schemas.openxmlformats.org/officeDocument/2006/relationships/hyperlink" Target="http://www.nevo.co.il/law/70301/40d" TargetMode="External"/><Relationship Id="rId31" Type="http://schemas.openxmlformats.org/officeDocument/2006/relationships/hyperlink" Target="http://www.nevo.co.il/case/16900367" TargetMode="External"/><Relationship Id="rId44" Type="http://schemas.openxmlformats.org/officeDocument/2006/relationships/hyperlink" Target="http://www.nevo.co.il/case/3892678" TargetMode="External"/><Relationship Id="rId52" Type="http://schemas.openxmlformats.org/officeDocument/2006/relationships/hyperlink" Target="http://www.nevo.co.il/case/10459128" TargetMode="External"/><Relationship Id="rId6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2854</Words>
  <Characters>14275</Characters>
  <Application>Microsoft Office Word</Application>
  <DocSecurity>0</DocSecurity>
  <Lines>118</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17095</CharactersWithSpaces>
  <SharedDoc>false</SharedDoc>
  <HLinks>
    <vt:vector size="300" baseType="variant">
      <vt:variant>
        <vt:i4>393283</vt:i4>
      </vt:variant>
      <vt:variant>
        <vt:i4>147</vt:i4>
      </vt:variant>
      <vt:variant>
        <vt:i4>0</vt:i4>
      </vt:variant>
      <vt:variant>
        <vt:i4>5</vt:i4>
      </vt:variant>
      <vt:variant>
        <vt:lpwstr>http://www.nevo.co.il/advertisements/nevo-100.doc</vt:lpwstr>
      </vt:variant>
      <vt:variant>
        <vt:lpwstr/>
      </vt:variant>
      <vt:variant>
        <vt:i4>3997809</vt:i4>
      </vt:variant>
      <vt:variant>
        <vt:i4>144</vt:i4>
      </vt:variant>
      <vt:variant>
        <vt:i4>0</vt:i4>
      </vt:variant>
      <vt:variant>
        <vt:i4>5</vt:i4>
      </vt:variant>
      <vt:variant>
        <vt:lpwstr>http://www.nevo.co.il/case/10520794</vt:lpwstr>
      </vt:variant>
      <vt:variant>
        <vt:lpwstr/>
      </vt:variant>
      <vt:variant>
        <vt:i4>4128884</vt:i4>
      </vt:variant>
      <vt:variant>
        <vt:i4>141</vt:i4>
      </vt:variant>
      <vt:variant>
        <vt:i4>0</vt:i4>
      </vt:variant>
      <vt:variant>
        <vt:i4>5</vt:i4>
      </vt:variant>
      <vt:variant>
        <vt:lpwstr>http://www.nevo.co.il/case/6244964</vt:lpwstr>
      </vt:variant>
      <vt:variant>
        <vt:lpwstr/>
      </vt:variant>
      <vt:variant>
        <vt:i4>3342448</vt:i4>
      </vt:variant>
      <vt:variant>
        <vt:i4>138</vt:i4>
      </vt:variant>
      <vt:variant>
        <vt:i4>0</vt:i4>
      </vt:variant>
      <vt:variant>
        <vt:i4>5</vt:i4>
      </vt:variant>
      <vt:variant>
        <vt:lpwstr>http://www.nevo.co.il/case/22938500</vt:lpwstr>
      </vt:variant>
      <vt:variant>
        <vt:lpwstr/>
      </vt:variant>
      <vt:variant>
        <vt:i4>4063344</vt:i4>
      </vt:variant>
      <vt:variant>
        <vt:i4>135</vt:i4>
      </vt:variant>
      <vt:variant>
        <vt:i4>0</vt:i4>
      </vt:variant>
      <vt:variant>
        <vt:i4>5</vt:i4>
      </vt:variant>
      <vt:variant>
        <vt:lpwstr>http://www.nevo.co.il/case/10459128</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6619233</vt:i4>
      </vt:variant>
      <vt:variant>
        <vt:i4>129</vt:i4>
      </vt:variant>
      <vt:variant>
        <vt:i4>0</vt:i4>
      </vt:variant>
      <vt:variant>
        <vt:i4>5</vt:i4>
      </vt:variant>
      <vt:variant>
        <vt:lpwstr>http://www.nevo.co.il/law/70301/40d</vt:lpwstr>
      </vt:variant>
      <vt:variant>
        <vt:lpwstr/>
      </vt:variant>
      <vt:variant>
        <vt:i4>4128881</vt:i4>
      </vt:variant>
      <vt:variant>
        <vt:i4>126</vt:i4>
      </vt:variant>
      <vt:variant>
        <vt:i4>0</vt:i4>
      </vt:variant>
      <vt:variant>
        <vt:i4>5</vt:i4>
      </vt:variant>
      <vt:variant>
        <vt:lpwstr>http://www.nevo.co.il/case/27005287</vt:lpwstr>
      </vt:variant>
      <vt:variant>
        <vt:lpwstr/>
      </vt:variant>
      <vt:variant>
        <vt:i4>3211383</vt:i4>
      </vt:variant>
      <vt:variant>
        <vt:i4>123</vt:i4>
      </vt:variant>
      <vt:variant>
        <vt:i4>0</vt:i4>
      </vt:variant>
      <vt:variant>
        <vt:i4>5</vt:i4>
      </vt:variant>
      <vt:variant>
        <vt:lpwstr>http://www.nevo.co.il/case/28032816</vt:lpwstr>
      </vt:variant>
      <vt:variant>
        <vt:lpwstr/>
      </vt:variant>
      <vt:variant>
        <vt:i4>3604592</vt:i4>
      </vt:variant>
      <vt:variant>
        <vt:i4>120</vt:i4>
      </vt:variant>
      <vt:variant>
        <vt:i4>0</vt:i4>
      </vt:variant>
      <vt:variant>
        <vt:i4>5</vt:i4>
      </vt:variant>
      <vt:variant>
        <vt:lpwstr>http://www.nevo.co.il/case/17011278</vt:lpwstr>
      </vt:variant>
      <vt:variant>
        <vt:lpwstr/>
      </vt:variant>
      <vt:variant>
        <vt:i4>3145840</vt:i4>
      </vt:variant>
      <vt:variant>
        <vt:i4>117</vt:i4>
      </vt:variant>
      <vt:variant>
        <vt:i4>0</vt:i4>
      </vt:variant>
      <vt:variant>
        <vt:i4>5</vt:i4>
      </vt:variant>
      <vt:variant>
        <vt:lpwstr>http://www.nevo.co.il/case/17011207</vt:lpwstr>
      </vt:variant>
      <vt:variant>
        <vt:lpwstr/>
      </vt:variant>
      <vt:variant>
        <vt:i4>3407991</vt:i4>
      </vt:variant>
      <vt:variant>
        <vt:i4>114</vt:i4>
      </vt:variant>
      <vt:variant>
        <vt:i4>0</vt:i4>
      </vt:variant>
      <vt:variant>
        <vt:i4>5</vt:i4>
      </vt:variant>
      <vt:variant>
        <vt:lpwstr>http://www.nevo.co.il/case/17011540</vt:lpwstr>
      </vt:variant>
      <vt:variant>
        <vt:lpwstr/>
      </vt:variant>
      <vt:variant>
        <vt:i4>3407993</vt:i4>
      </vt:variant>
      <vt:variant>
        <vt:i4>111</vt:i4>
      </vt:variant>
      <vt:variant>
        <vt:i4>0</vt:i4>
      </vt:variant>
      <vt:variant>
        <vt:i4>5</vt:i4>
      </vt:variant>
      <vt:variant>
        <vt:lpwstr>http://www.nevo.co.il/case/3892678</vt:lpwstr>
      </vt:variant>
      <vt:variant>
        <vt:lpwstr/>
      </vt:variant>
      <vt:variant>
        <vt:i4>3342462</vt:i4>
      </vt:variant>
      <vt:variant>
        <vt:i4>108</vt:i4>
      </vt:variant>
      <vt:variant>
        <vt:i4>0</vt:i4>
      </vt:variant>
      <vt:variant>
        <vt:i4>5</vt:i4>
      </vt:variant>
      <vt:variant>
        <vt:lpwstr>http://www.nevo.co.il/case/7012287</vt:lpwstr>
      </vt:variant>
      <vt:variant>
        <vt:lpwstr/>
      </vt:variant>
      <vt:variant>
        <vt:i4>3539062</vt:i4>
      </vt:variant>
      <vt:variant>
        <vt:i4>105</vt:i4>
      </vt:variant>
      <vt:variant>
        <vt:i4>0</vt:i4>
      </vt:variant>
      <vt:variant>
        <vt:i4>5</vt:i4>
      </vt:variant>
      <vt:variant>
        <vt:lpwstr>http://www.nevo.co.il/case/21477472</vt:lpwstr>
      </vt:variant>
      <vt:variant>
        <vt:lpwstr/>
      </vt:variant>
      <vt:variant>
        <vt:i4>3539061</vt:i4>
      </vt:variant>
      <vt:variant>
        <vt:i4>102</vt:i4>
      </vt:variant>
      <vt:variant>
        <vt:i4>0</vt:i4>
      </vt:variant>
      <vt:variant>
        <vt:i4>5</vt:i4>
      </vt:variant>
      <vt:variant>
        <vt:lpwstr>http://www.nevo.co.il/case/5988308</vt:lpwstr>
      </vt:variant>
      <vt:variant>
        <vt:lpwstr/>
      </vt:variant>
      <vt:variant>
        <vt:i4>3276916</vt:i4>
      </vt:variant>
      <vt:variant>
        <vt:i4>99</vt:i4>
      </vt:variant>
      <vt:variant>
        <vt:i4>0</vt:i4>
      </vt:variant>
      <vt:variant>
        <vt:i4>5</vt:i4>
      </vt:variant>
      <vt:variant>
        <vt:lpwstr>http://www.nevo.co.il/case/6241434</vt:lpwstr>
      </vt:variant>
      <vt:variant>
        <vt:lpwstr/>
      </vt:variant>
      <vt:variant>
        <vt:i4>3473520</vt:i4>
      </vt:variant>
      <vt:variant>
        <vt:i4>96</vt:i4>
      </vt:variant>
      <vt:variant>
        <vt:i4>0</vt:i4>
      </vt:variant>
      <vt:variant>
        <vt:i4>5</vt:i4>
      </vt:variant>
      <vt:variant>
        <vt:lpwstr>http://www.nevo.co.il/case/23506743</vt:lpwstr>
      </vt:variant>
      <vt:variant>
        <vt:lpwstr/>
      </vt:variant>
      <vt:variant>
        <vt:i4>3211389</vt:i4>
      </vt:variant>
      <vt:variant>
        <vt:i4>93</vt:i4>
      </vt:variant>
      <vt:variant>
        <vt:i4>0</vt:i4>
      </vt:variant>
      <vt:variant>
        <vt:i4>5</vt:i4>
      </vt:variant>
      <vt:variant>
        <vt:lpwstr>http://www.nevo.co.il/case/7799679</vt:lpwstr>
      </vt:variant>
      <vt:variant>
        <vt:lpwstr/>
      </vt:variant>
      <vt:variant>
        <vt:i4>3342449</vt:i4>
      </vt:variant>
      <vt:variant>
        <vt:i4>90</vt:i4>
      </vt:variant>
      <vt:variant>
        <vt:i4>0</vt:i4>
      </vt:variant>
      <vt:variant>
        <vt:i4>5</vt:i4>
      </vt:variant>
      <vt:variant>
        <vt:lpwstr>http://www.nevo.co.il/case/27626014</vt:lpwstr>
      </vt:variant>
      <vt:variant>
        <vt:lpwstr/>
      </vt:variant>
      <vt:variant>
        <vt:i4>3211378</vt:i4>
      </vt:variant>
      <vt:variant>
        <vt:i4>87</vt:i4>
      </vt:variant>
      <vt:variant>
        <vt:i4>0</vt:i4>
      </vt:variant>
      <vt:variant>
        <vt:i4>5</vt:i4>
      </vt:variant>
      <vt:variant>
        <vt:lpwstr>http://www.nevo.co.il/case/24345651</vt:lpwstr>
      </vt:variant>
      <vt:variant>
        <vt:lpwstr/>
      </vt:variant>
      <vt:variant>
        <vt:i4>3276919</vt:i4>
      </vt:variant>
      <vt:variant>
        <vt:i4>84</vt:i4>
      </vt:variant>
      <vt:variant>
        <vt:i4>0</vt:i4>
      </vt:variant>
      <vt:variant>
        <vt:i4>5</vt:i4>
      </vt:variant>
      <vt:variant>
        <vt:lpwstr>http://www.nevo.co.il/case/27006461</vt:lpwstr>
      </vt:variant>
      <vt:variant>
        <vt:lpwstr/>
      </vt:variant>
      <vt:variant>
        <vt:i4>3211388</vt:i4>
      </vt:variant>
      <vt:variant>
        <vt:i4>81</vt:i4>
      </vt:variant>
      <vt:variant>
        <vt:i4>0</vt:i4>
      </vt:variant>
      <vt:variant>
        <vt:i4>5</vt:i4>
      </vt:variant>
      <vt:variant>
        <vt:lpwstr>http://www.nevo.co.il/case/28190926</vt:lpwstr>
      </vt:variant>
      <vt:variant>
        <vt:lpwstr/>
      </vt:variant>
      <vt:variant>
        <vt:i4>3670139</vt:i4>
      </vt:variant>
      <vt:variant>
        <vt:i4>78</vt:i4>
      </vt:variant>
      <vt:variant>
        <vt:i4>0</vt:i4>
      </vt:variant>
      <vt:variant>
        <vt:i4>5</vt:i4>
      </vt:variant>
      <vt:variant>
        <vt:lpwstr>http://www.nevo.co.il/case/23599561</vt:lpwstr>
      </vt:variant>
      <vt:variant>
        <vt:lpwstr/>
      </vt:variant>
      <vt:variant>
        <vt:i4>3276921</vt:i4>
      </vt:variant>
      <vt:variant>
        <vt:i4>75</vt:i4>
      </vt:variant>
      <vt:variant>
        <vt:i4>0</vt:i4>
      </vt:variant>
      <vt:variant>
        <vt:i4>5</vt:i4>
      </vt:variant>
      <vt:variant>
        <vt:lpwstr>http://www.nevo.co.il/case/5603186</vt:lpwstr>
      </vt:variant>
      <vt:variant>
        <vt:lpwstr/>
      </vt:variant>
      <vt:variant>
        <vt:i4>4063345</vt:i4>
      </vt:variant>
      <vt:variant>
        <vt:i4>72</vt:i4>
      </vt:variant>
      <vt:variant>
        <vt:i4>0</vt:i4>
      </vt:variant>
      <vt:variant>
        <vt:i4>5</vt:i4>
      </vt:variant>
      <vt:variant>
        <vt:lpwstr>http://www.nevo.co.il/case/16900367</vt:lpwstr>
      </vt:variant>
      <vt:variant>
        <vt:lpwstr/>
      </vt:variant>
      <vt:variant>
        <vt:i4>3866740</vt:i4>
      </vt:variant>
      <vt:variant>
        <vt:i4>69</vt:i4>
      </vt:variant>
      <vt:variant>
        <vt:i4>0</vt:i4>
      </vt:variant>
      <vt:variant>
        <vt:i4>5</vt:i4>
      </vt:variant>
      <vt:variant>
        <vt:lpwstr>http://www.nevo.co.il/case/16975164</vt:lpwstr>
      </vt:variant>
      <vt:variant>
        <vt:lpwstr/>
      </vt:variant>
      <vt:variant>
        <vt:i4>3145846</vt:i4>
      </vt:variant>
      <vt:variant>
        <vt:i4>66</vt:i4>
      </vt:variant>
      <vt:variant>
        <vt:i4>0</vt:i4>
      </vt:variant>
      <vt:variant>
        <vt:i4>5</vt:i4>
      </vt:variant>
      <vt:variant>
        <vt:lpwstr>http://www.nevo.co.il/case/6879736</vt:lpwstr>
      </vt:variant>
      <vt:variant>
        <vt:lpwstr/>
      </vt:variant>
      <vt:variant>
        <vt:i4>3342455</vt:i4>
      </vt:variant>
      <vt:variant>
        <vt:i4>63</vt:i4>
      </vt:variant>
      <vt:variant>
        <vt:i4>0</vt:i4>
      </vt:variant>
      <vt:variant>
        <vt:i4>5</vt:i4>
      </vt:variant>
      <vt:variant>
        <vt:lpwstr>http://www.nevo.co.il/case/20632055</vt:lpwstr>
      </vt:variant>
      <vt:variant>
        <vt:lpwstr/>
      </vt:variant>
      <vt:variant>
        <vt:i4>7995503</vt:i4>
      </vt:variant>
      <vt:variant>
        <vt:i4>60</vt:i4>
      </vt:variant>
      <vt:variant>
        <vt:i4>0</vt:i4>
      </vt:variant>
      <vt:variant>
        <vt:i4>5</vt:i4>
      </vt:variant>
      <vt:variant>
        <vt:lpwstr>http://www.nevo.co.il/law/74849</vt:lpwstr>
      </vt:variant>
      <vt:variant>
        <vt:lpwstr/>
      </vt:variant>
      <vt:variant>
        <vt:i4>5636173</vt:i4>
      </vt:variant>
      <vt:variant>
        <vt:i4>57</vt:i4>
      </vt:variant>
      <vt:variant>
        <vt:i4>0</vt:i4>
      </vt:variant>
      <vt:variant>
        <vt:i4>5</vt:i4>
      </vt:variant>
      <vt:variant>
        <vt:lpwstr>http://www.nevo.co.il/law/74849/51.a.1.b</vt:lpwstr>
      </vt:variant>
      <vt:variant>
        <vt:lpwstr/>
      </vt:variant>
      <vt:variant>
        <vt:i4>7995492</vt:i4>
      </vt:variant>
      <vt:variant>
        <vt:i4>54</vt:i4>
      </vt:variant>
      <vt:variant>
        <vt:i4>0</vt:i4>
      </vt:variant>
      <vt:variant>
        <vt:i4>5</vt:i4>
      </vt:variant>
      <vt:variant>
        <vt:lpwstr>http://www.nevo.co.il/law/70302</vt:lpwstr>
      </vt:variant>
      <vt:variant>
        <vt:lpwstr/>
      </vt:variant>
      <vt:variant>
        <vt:i4>6488167</vt:i4>
      </vt:variant>
      <vt:variant>
        <vt:i4>51</vt:i4>
      </vt:variant>
      <vt:variant>
        <vt:i4>0</vt:i4>
      </vt:variant>
      <vt:variant>
        <vt:i4>5</vt:i4>
      </vt:variant>
      <vt:variant>
        <vt:lpwstr>http://www.nevo.co.il/law/70302/16</vt:lpwstr>
      </vt:variant>
      <vt:variant>
        <vt:lpwstr/>
      </vt:variant>
      <vt:variant>
        <vt:i4>3932280</vt:i4>
      </vt:variant>
      <vt:variant>
        <vt:i4>48</vt:i4>
      </vt:variant>
      <vt:variant>
        <vt:i4>0</vt:i4>
      </vt:variant>
      <vt:variant>
        <vt:i4>5</vt:i4>
      </vt:variant>
      <vt:variant>
        <vt:lpwstr>http://www.nevo.co.il/case/27186392</vt:lpwstr>
      </vt:variant>
      <vt:variant>
        <vt:lpwstr/>
      </vt:variant>
      <vt:variant>
        <vt:i4>3211390</vt:i4>
      </vt:variant>
      <vt:variant>
        <vt:i4>45</vt:i4>
      </vt:variant>
      <vt:variant>
        <vt:i4>0</vt:i4>
      </vt:variant>
      <vt:variant>
        <vt:i4>5</vt:i4>
      </vt:variant>
      <vt:variant>
        <vt:lpwstr>http://www.nevo.co.il/case/5605692</vt:lpwstr>
      </vt:variant>
      <vt:variant>
        <vt:lpwstr/>
      </vt:variant>
      <vt:variant>
        <vt:i4>7995492</vt:i4>
      </vt:variant>
      <vt:variant>
        <vt:i4>42</vt:i4>
      </vt:variant>
      <vt:variant>
        <vt:i4>0</vt:i4>
      </vt:variant>
      <vt:variant>
        <vt:i4>5</vt:i4>
      </vt:variant>
      <vt:variant>
        <vt:lpwstr>http://www.nevo.co.il/law/70301</vt:lpwstr>
      </vt:variant>
      <vt:variant>
        <vt:lpwstr/>
      </vt:variant>
      <vt:variant>
        <vt:i4>3539068</vt:i4>
      </vt:variant>
      <vt:variant>
        <vt:i4>39</vt:i4>
      </vt:variant>
      <vt:variant>
        <vt:i4>0</vt:i4>
      </vt:variant>
      <vt:variant>
        <vt:i4>5</vt:i4>
      </vt:variant>
      <vt:variant>
        <vt:lpwstr>http://www.nevo.co.il/case/6161385</vt:lpwstr>
      </vt:variant>
      <vt:variant>
        <vt:lpwstr/>
      </vt:variant>
      <vt:variant>
        <vt:i4>3276916</vt:i4>
      </vt:variant>
      <vt:variant>
        <vt:i4>36</vt:i4>
      </vt:variant>
      <vt:variant>
        <vt:i4>0</vt:i4>
      </vt:variant>
      <vt:variant>
        <vt:i4>5</vt:i4>
      </vt:variant>
      <vt:variant>
        <vt:lpwstr>http://www.nevo.co.il/case/5810781</vt:lpwstr>
      </vt:variant>
      <vt:variant>
        <vt:lpwstr/>
      </vt:variant>
      <vt:variant>
        <vt:i4>3211388</vt:i4>
      </vt:variant>
      <vt:variant>
        <vt:i4>33</vt:i4>
      </vt:variant>
      <vt:variant>
        <vt:i4>0</vt:i4>
      </vt:variant>
      <vt:variant>
        <vt:i4>5</vt:i4>
      </vt:variant>
      <vt:variant>
        <vt:lpwstr>http://www.nevo.co.il/case/5849797</vt:lpwstr>
      </vt:variant>
      <vt:variant>
        <vt:lpwstr/>
      </vt:variant>
      <vt:variant>
        <vt:i4>3997823</vt:i4>
      </vt:variant>
      <vt:variant>
        <vt:i4>30</vt:i4>
      </vt:variant>
      <vt:variant>
        <vt:i4>0</vt:i4>
      </vt:variant>
      <vt:variant>
        <vt:i4>5</vt:i4>
      </vt:variant>
      <vt:variant>
        <vt:lpwstr>http://www.nevo.co.il/case/26995435</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http://www.nevo.co.il/law/4216/13</vt:lpwstr>
      </vt:variant>
      <vt:variant>
        <vt:lpwstr/>
      </vt:variant>
      <vt:variant>
        <vt:i4>5636173</vt:i4>
      </vt:variant>
      <vt:variant>
        <vt:i4>21</vt:i4>
      </vt:variant>
      <vt:variant>
        <vt:i4>0</vt:i4>
      </vt:variant>
      <vt:variant>
        <vt:i4>5</vt:i4>
      </vt:variant>
      <vt:variant>
        <vt:lpwstr>http://www.nevo.co.il/law/74849/51.a.1.b</vt:lpwstr>
      </vt:variant>
      <vt:variant>
        <vt:lpwstr/>
      </vt:variant>
      <vt:variant>
        <vt:i4>7995503</vt:i4>
      </vt:variant>
      <vt:variant>
        <vt:i4>18</vt:i4>
      </vt:variant>
      <vt:variant>
        <vt:i4>0</vt:i4>
      </vt:variant>
      <vt:variant>
        <vt:i4>5</vt:i4>
      </vt:variant>
      <vt:variant>
        <vt:lpwstr>http://www.nevo.co.il/law/74849</vt:lpwstr>
      </vt:variant>
      <vt:variant>
        <vt:lpwstr/>
      </vt:variant>
      <vt:variant>
        <vt:i4>6488167</vt:i4>
      </vt:variant>
      <vt:variant>
        <vt:i4>15</vt:i4>
      </vt:variant>
      <vt:variant>
        <vt:i4>0</vt:i4>
      </vt:variant>
      <vt:variant>
        <vt:i4>5</vt:i4>
      </vt:variant>
      <vt:variant>
        <vt:lpwstr>http://www.nevo.co.il/law/70302/16</vt:lpwstr>
      </vt:variant>
      <vt:variant>
        <vt:lpwstr/>
      </vt:variant>
      <vt:variant>
        <vt:i4>7995492</vt:i4>
      </vt:variant>
      <vt:variant>
        <vt:i4>12</vt:i4>
      </vt:variant>
      <vt:variant>
        <vt:i4>0</vt:i4>
      </vt:variant>
      <vt:variant>
        <vt:i4>5</vt:i4>
      </vt:variant>
      <vt:variant>
        <vt:lpwstr>http://www.nevo.co.il/law/70302</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2025-04-23T00:42:00Z</dcterms:created>
  <dcterms:modified xsi:type="dcterms:W3CDTF">2025-04-23T00:42:00Z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8287</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יקיר יעקב שטרית</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20220119</vt:lpwstr>
  </property>
  <property fmtid="{D5CDD505-2E9C-101B-9397-08002B2CF9AE}" pid="13" name="TYPE_N_DATE">
    <vt:lpwstr>38020220119</vt:lpwstr>
  </property>
  <property fmtid="{D5CDD505-2E9C-101B-9397-08002B2CF9AE}" pid="14" name="WORDNUMPAGES">
    <vt:lpwstr>8</vt:lpwstr>
  </property>
  <property fmtid="{D5CDD505-2E9C-101B-9397-08002B2CF9AE}" pid="15" name="TYPE_ABS_DATE">
    <vt:lpwstr>380020220119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26995435;5849797;5810781;6161385;5605692;27186392;20632055;6879736;16975164;16900367;5603186;23599561;28190926;27006461;24345651;27626014;7799679;23506743;6241434;5988308;21477472;7012287;3892678;17011540;17011207;17011278;28032816;27005287;10459128</vt:lpwstr>
  </property>
  <property fmtid="{D5CDD505-2E9C-101B-9397-08002B2CF9AE}" pid="36" name="CASESLISTTMP2">
    <vt:lpwstr>22938500;6244964;10520794</vt:lpwstr>
  </property>
  <property fmtid="{D5CDD505-2E9C-101B-9397-08002B2CF9AE}" pid="37" name="LAWLISTTMP1">
    <vt:lpwstr>4216/013</vt:lpwstr>
  </property>
  <property fmtid="{D5CDD505-2E9C-101B-9397-08002B2CF9AE}" pid="38" name="LAWLISTTMP2">
    <vt:lpwstr>70301/040d</vt:lpwstr>
  </property>
  <property fmtid="{D5CDD505-2E9C-101B-9397-08002B2CF9AE}" pid="39" name="LAWLISTTMP3">
    <vt:lpwstr>70302/016</vt:lpwstr>
  </property>
  <property fmtid="{D5CDD505-2E9C-101B-9397-08002B2CF9AE}" pid="40" name="LAWLISTTMP4">
    <vt:lpwstr>74849/051.a.1.b</vt:lpwstr>
  </property>
</Properties>
</file>