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10"/>
        <w:gridCol w:w="785"/>
        <w:gridCol w:w="2881"/>
        <w:gridCol w:w="99"/>
      </w:tblGrid>
      <w:tr w:rsidR="00EB6C98" w:rsidRPr="003E7C39" w14:paraId="7BBB3FAF" w14:textId="77777777" w:rsidTr="003A709F">
        <w:trPr>
          <w:gridAfter w:val="1"/>
          <w:wAfter w:w="99" w:type="dxa"/>
          <w:trHeight w:hRule="exact" w:val="418"/>
          <w:jc w:val="center"/>
        </w:trPr>
        <w:tc>
          <w:tcPr>
            <w:tcW w:w="8721" w:type="dxa"/>
            <w:gridSpan w:val="4"/>
          </w:tcPr>
          <w:p w14:paraId="78F8CC1C" w14:textId="77777777" w:rsidR="00EB6C98" w:rsidRPr="003E7C39" w:rsidRDefault="00EB6C98" w:rsidP="00B13DA1">
            <w:pPr>
              <w:pStyle w:val="a3"/>
              <w:jc w:val="center"/>
              <w:rPr>
                <w:rFonts w:ascii="David" w:hAnsi="David"/>
                <w:b/>
                <w:bCs/>
                <w:color w:val="000080"/>
                <w:sz w:val="28"/>
                <w:szCs w:val="28"/>
                <w:rtl/>
              </w:rPr>
            </w:pPr>
            <w:bookmarkStart w:id="0" w:name="FirstLawyer"/>
            <w:bookmarkStart w:id="1" w:name="LastJudge"/>
            <w:r w:rsidRPr="003E7C39">
              <w:rPr>
                <w:rFonts w:ascii="David" w:hAnsi="David"/>
                <w:b/>
                <w:bCs/>
                <w:color w:val="000080"/>
                <w:sz w:val="28"/>
                <w:szCs w:val="28"/>
                <w:rtl/>
              </w:rPr>
              <w:t>בית משפט השלום בירושלים</w:t>
            </w:r>
          </w:p>
        </w:tc>
      </w:tr>
      <w:tr w:rsidR="00EB6C98" w:rsidRPr="003E7C39" w14:paraId="5B35C0D7" w14:textId="77777777" w:rsidTr="003A709F">
        <w:trPr>
          <w:gridAfter w:val="1"/>
          <w:wAfter w:w="99" w:type="dxa"/>
          <w:trHeight w:val="337"/>
          <w:jc w:val="center"/>
        </w:trPr>
        <w:tc>
          <w:tcPr>
            <w:tcW w:w="5055" w:type="dxa"/>
            <w:gridSpan w:val="2"/>
          </w:tcPr>
          <w:p w14:paraId="598723F8" w14:textId="77777777" w:rsidR="00EB6C98" w:rsidRPr="003E7C39" w:rsidRDefault="00EB6C98" w:rsidP="00B13DA1">
            <w:pPr>
              <w:rPr>
                <w:rFonts w:ascii="David" w:hAnsi="David"/>
                <w:b/>
                <w:bCs/>
                <w:sz w:val="28"/>
                <w:szCs w:val="28"/>
                <w:rtl/>
              </w:rPr>
            </w:pPr>
            <w:r w:rsidRPr="003E7C39">
              <w:rPr>
                <w:rFonts w:ascii="David" w:hAnsi="David"/>
                <w:b/>
                <w:bCs/>
                <w:sz w:val="28"/>
                <w:szCs w:val="28"/>
                <w:rtl/>
              </w:rPr>
              <w:t>ת"פ 37803-08-20 מדינת ישראל נ' חדידה</w:t>
            </w:r>
          </w:p>
          <w:p w14:paraId="307BC3A0" w14:textId="77777777" w:rsidR="00EB6C98" w:rsidRPr="003E7C39" w:rsidRDefault="00EB6C98" w:rsidP="00B13DA1">
            <w:pPr>
              <w:pStyle w:val="a3"/>
              <w:rPr>
                <w:rFonts w:ascii="David" w:hAnsi="David"/>
                <w:b/>
                <w:bCs/>
                <w:sz w:val="28"/>
                <w:szCs w:val="28"/>
                <w:rtl/>
              </w:rPr>
            </w:pPr>
          </w:p>
        </w:tc>
        <w:tc>
          <w:tcPr>
            <w:tcW w:w="3666" w:type="dxa"/>
            <w:gridSpan w:val="2"/>
          </w:tcPr>
          <w:p w14:paraId="170CA57F" w14:textId="77777777" w:rsidR="00EB6C98" w:rsidRPr="003E7C39" w:rsidRDefault="00EB6C98" w:rsidP="00B13DA1">
            <w:pPr>
              <w:pStyle w:val="a3"/>
              <w:jc w:val="right"/>
              <w:rPr>
                <w:rFonts w:cs="FrankRuehl"/>
                <w:sz w:val="28"/>
                <w:szCs w:val="28"/>
                <w:rtl/>
              </w:rPr>
            </w:pPr>
          </w:p>
        </w:tc>
      </w:tr>
      <w:tr w:rsidR="00EB6C98" w:rsidRPr="003E7C39" w14:paraId="475C8B81"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3833F1CA" w14:textId="77777777" w:rsidR="00EB6C98" w:rsidRPr="003E7C39" w:rsidRDefault="00EB6C98" w:rsidP="00EB6C98">
            <w:pPr>
              <w:jc w:val="both"/>
              <w:rPr>
                <w:rFonts w:ascii="David" w:hAnsi="David"/>
                <w:b/>
                <w:bCs/>
                <w:sz w:val="28"/>
                <w:szCs w:val="28"/>
              </w:rPr>
            </w:pPr>
            <w:r w:rsidRPr="003E7C39">
              <w:rPr>
                <w:rFonts w:hint="cs"/>
                <w:rtl/>
              </w:rPr>
              <w:t xml:space="preserve"> </w:t>
            </w:r>
            <w:r w:rsidRPr="003E7C39">
              <w:rPr>
                <w:rFonts w:ascii="David" w:hAnsi="David"/>
                <w:b/>
                <w:bCs/>
                <w:sz w:val="28"/>
                <w:szCs w:val="28"/>
                <w:rtl/>
              </w:rPr>
              <w:t xml:space="preserve">בפני </w:t>
            </w:r>
          </w:p>
        </w:tc>
        <w:tc>
          <w:tcPr>
            <w:tcW w:w="7875" w:type="dxa"/>
            <w:gridSpan w:val="4"/>
            <w:tcBorders>
              <w:top w:val="nil"/>
              <w:left w:val="nil"/>
              <w:bottom w:val="nil"/>
              <w:right w:val="nil"/>
            </w:tcBorders>
            <w:shd w:val="clear" w:color="auto" w:fill="auto"/>
          </w:tcPr>
          <w:p w14:paraId="3BCFAB9F" w14:textId="77777777" w:rsidR="00EB6C98" w:rsidRPr="003E7C39" w:rsidRDefault="00EB6C98" w:rsidP="00B13DA1">
            <w:pPr>
              <w:rPr>
                <w:rFonts w:ascii="David" w:hAnsi="David"/>
                <w:b/>
                <w:bCs/>
                <w:sz w:val="28"/>
                <w:szCs w:val="28"/>
                <w:rtl/>
              </w:rPr>
            </w:pPr>
            <w:r w:rsidRPr="003E7C39">
              <w:rPr>
                <w:rFonts w:ascii="David" w:hAnsi="David"/>
                <w:b/>
                <w:bCs/>
                <w:sz w:val="28"/>
                <w:szCs w:val="28"/>
                <w:rtl/>
              </w:rPr>
              <w:t>כבוד השופט  דוד שאול גבאי ריכטר</w:t>
            </w:r>
          </w:p>
          <w:p w14:paraId="28F7D96A" w14:textId="77777777" w:rsidR="00EB6C98" w:rsidRPr="003E7C39" w:rsidRDefault="00EB6C98" w:rsidP="00EB6C98">
            <w:pPr>
              <w:jc w:val="both"/>
              <w:rPr>
                <w:rFonts w:ascii="David" w:hAnsi="David"/>
                <w:b/>
                <w:bCs/>
                <w:sz w:val="28"/>
                <w:szCs w:val="28"/>
              </w:rPr>
            </w:pPr>
          </w:p>
        </w:tc>
      </w:tr>
      <w:tr w:rsidR="00EB6C98" w:rsidRPr="003E7C39" w14:paraId="4C002893"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44609F17" w14:textId="77777777" w:rsidR="00EB6C98" w:rsidRPr="003E7C39" w:rsidRDefault="00EB6C98" w:rsidP="00EB6C98">
            <w:pPr>
              <w:jc w:val="both"/>
              <w:rPr>
                <w:rFonts w:ascii="David" w:hAnsi="David"/>
                <w:b/>
                <w:bCs/>
                <w:sz w:val="28"/>
                <w:szCs w:val="28"/>
              </w:rPr>
            </w:pPr>
            <w:bookmarkStart w:id="2" w:name="FirstAppellant"/>
            <w:r w:rsidRPr="003E7C39">
              <w:rPr>
                <w:rFonts w:ascii="David" w:hAnsi="David"/>
                <w:b/>
                <w:bCs/>
                <w:sz w:val="28"/>
                <w:szCs w:val="28"/>
                <w:rtl/>
              </w:rPr>
              <w:t>בעניין:</w:t>
            </w:r>
          </w:p>
        </w:tc>
        <w:tc>
          <w:tcPr>
            <w:tcW w:w="4895" w:type="dxa"/>
            <w:gridSpan w:val="2"/>
            <w:tcBorders>
              <w:top w:val="nil"/>
              <w:left w:val="nil"/>
              <w:bottom w:val="nil"/>
              <w:right w:val="nil"/>
            </w:tcBorders>
            <w:shd w:val="clear" w:color="auto" w:fill="auto"/>
          </w:tcPr>
          <w:p w14:paraId="49C41D48" w14:textId="77777777" w:rsidR="00EB6C98" w:rsidRPr="003E7C39" w:rsidRDefault="00EB6C98" w:rsidP="00B13DA1">
            <w:pPr>
              <w:rPr>
                <w:rFonts w:ascii="David" w:hAnsi="David"/>
                <w:b/>
                <w:bCs/>
                <w:sz w:val="28"/>
                <w:szCs w:val="28"/>
              </w:rPr>
            </w:pPr>
            <w:r w:rsidRPr="003E7C39">
              <w:rPr>
                <w:rFonts w:ascii="David" w:hAnsi="David"/>
                <w:b/>
                <w:bCs/>
                <w:sz w:val="28"/>
                <w:szCs w:val="28"/>
                <w:rtl/>
              </w:rPr>
              <w:t>מדינת ישראל</w:t>
            </w:r>
            <w:r w:rsidRPr="003E7C39">
              <w:rPr>
                <w:rFonts w:ascii="David" w:hAnsi="David"/>
                <w:b/>
                <w:bCs/>
                <w:sz w:val="28"/>
                <w:szCs w:val="28"/>
                <w:rtl/>
              </w:rPr>
              <w:br/>
              <w:t xml:space="preserve">ע"י </w:t>
            </w:r>
            <w:r w:rsidRPr="003E7C39">
              <w:rPr>
                <w:rFonts w:ascii="David" w:hAnsi="David" w:hint="cs"/>
                <w:b/>
                <w:bCs/>
                <w:sz w:val="28"/>
                <w:szCs w:val="28"/>
                <w:rtl/>
              </w:rPr>
              <w:t xml:space="preserve">ב"כ עו"ד נעמה ישראל </w:t>
            </w:r>
            <w:r w:rsidRPr="003E7C39">
              <w:rPr>
                <w:rFonts w:ascii="David" w:hAnsi="David"/>
                <w:b/>
                <w:bCs/>
                <w:sz w:val="28"/>
                <w:szCs w:val="28"/>
                <w:rtl/>
              </w:rPr>
              <w:t>תביעות ירושלים</w:t>
            </w:r>
          </w:p>
        </w:tc>
        <w:tc>
          <w:tcPr>
            <w:tcW w:w="2980" w:type="dxa"/>
            <w:gridSpan w:val="2"/>
            <w:tcBorders>
              <w:top w:val="nil"/>
              <w:left w:val="nil"/>
              <w:bottom w:val="nil"/>
              <w:right w:val="nil"/>
            </w:tcBorders>
            <w:shd w:val="clear" w:color="auto" w:fill="auto"/>
          </w:tcPr>
          <w:p w14:paraId="03A42A87" w14:textId="77777777" w:rsidR="00EB6C98" w:rsidRPr="003E7C39" w:rsidRDefault="00EB6C98" w:rsidP="00EB6C98">
            <w:pPr>
              <w:jc w:val="both"/>
              <w:rPr>
                <w:rFonts w:ascii="David" w:hAnsi="David"/>
                <w:b/>
                <w:bCs/>
                <w:sz w:val="28"/>
                <w:szCs w:val="28"/>
              </w:rPr>
            </w:pPr>
          </w:p>
        </w:tc>
      </w:tr>
      <w:bookmarkEnd w:id="2"/>
      <w:tr w:rsidR="00EB6C98" w:rsidRPr="003E7C39" w14:paraId="4C88412A"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D217DB3" w14:textId="77777777" w:rsidR="00EB6C98" w:rsidRPr="003E7C39" w:rsidRDefault="00EB6C98" w:rsidP="00EB6C98">
            <w:pPr>
              <w:jc w:val="both"/>
              <w:rPr>
                <w:rFonts w:ascii="David" w:hAnsi="David"/>
                <w:b/>
                <w:bCs/>
                <w:sz w:val="28"/>
                <w:szCs w:val="28"/>
                <w:rtl/>
              </w:rPr>
            </w:pPr>
          </w:p>
        </w:tc>
        <w:tc>
          <w:tcPr>
            <w:tcW w:w="4895" w:type="dxa"/>
            <w:gridSpan w:val="2"/>
            <w:tcBorders>
              <w:top w:val="nil"/>
              <w:left w:val="nil"/>
              <w:bottom w:val="nil"/>
              <w:right w:val="nil"/>
            </w:tcBorders>
            <w:shd w:val="clear" w:color="auto" w:fill="auto"/>
          </w:tcPr>
          <w:p w14:paraId="48DFFDE4" w14:textId="77777777" w:rsidR="00EB6C98" w:rsidRPr="003E7C39" w:rsidRDefault="00EB6C98" w:rsidP="00EB6C98">
            <w:pPr>
              <w:jc w:val="both"/>
              <w:rPr>
                <w:rFonts w:ascii="David" w:hAnsi="David"/>
                <w:b/>
                <w:bCs/>
                <w:sz w:val="28"/>
                <w:szCs w:val="28"/>
                <w:rtl/>
              </w:rPr>
            </w:pPr>
          </w:p>
        </w:tc>
        <w:tc>
          <w:tcPr>
            <w:tcW w:w="2980" w:type="dxa"/>
            <w:gridSpan w:val="2"/>
            <w:tcBorders>
              <w:top w:val="nil"/>
              <w:left w:val="nil"/>
              <w:bottom w:val="nil"/>
              <w:right w:val="nil"/>
            </w:tcBorders>
            <w:shd w:val="clear" w:color="auto" w:fill="auto"/>
          </w:tcPr>
          <w:p w14:paraId="541BE0B4" w14:textId="77777777" w:rsidR="00EB6C98" w:rsidRPr="003E7C39" w:rsidRDefault="00EB6C98" w:rsidP="00EB6C98">
            <w:pPr>
              <w:jc w:val="right"/>
              <w:rPr>
                <w:rFonts w:ascii="David" w:hAnsi="David"/>
                <w:b/>
                <w:bCs/>
                <w:sz w:val="28"/>
                <w:szCs w:val="28"/>
                <w:rtl/>
              </w:rPr>
            </w:pPr>
            <w:r w:rsidRPr="003E7C39">
              <w:rPr>
                <w:rFonts w:ascii="David" w:hAnsi="David"/>
                <w:b/>
                <w:bCs/>
                <w:sz w:val="28"/>
                <w:szCs w:val="28"/>
                <w:rtl/>
              </w:rPr>
              <w:t>המאשימה</w:t>
            </w:r>
          </w:p>
        </w:tc>
      </w:tr>
      <w:tr w:rsidR="00EB6C98" w:rsidRPr="003E7C39" w14:paraId="247F12F8"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238D80E" w14:textId="77777777" w:rsidR="00EB6C98" w:rsidRPr="003E7C39" w:rsidRDefault="00EB6C98" w:rsidP="00EB6C98">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79C544DC" w14:textId="77777777" w:rsidR="00EB6C98" w:rsidRPr="003E7C39" w:rsidRDefault="00EB6C98" w:rsidP="00EB6C98">
            <w:pPr>
              <w:jc w:val="center"/>
              <w:rPr>
                <w:rFonts w:ascii="David" w:hAnsi="David"/>
                <w:b/>
                <w:bCs/>
                <w:sz w:val="28"/>
                <w:szCs w:val="28"/>
                <w:rtl/>
              </w:rPr>
            </w:pPr>
          </w:p>
          <w:p w14:paraId="1FEF9978" w14:textId="77777777" w:rsidR="00EB6C98" w:rsidRPr="003E7C39" w:rsidRDefault="00EB6C98" w:rsidP="00EB6C98">
            <w:pPr>
              <w:jc w:val="center"/>
              <w:rPr>
                <w:rFonts w:ascii="David" w:hAnsi="David"/>
                <w:b/>
                <w:bCs/>
                <w:sz w:val="28"/>
                <w:szCs w:val="28"/>
                <w:rtl/>
              </w:rPr>
            </w:pPr>
            <w:r w:rsidRPr="003E7C39">
              <w:rPr>
                <w:rFonts w:ascii="David" w:hAnsi="David"/>
                <w:b/>
                <w:bCs/>
                <w:sz w:val="28"/>
                <w:szCs w:val="28"/>
                <w:rtl/>
              </w:rPr>
              <w:t>נגד</w:t>
            </w:r>
          </w:p>
          <w:p w14:paraId="45DF59A6" w14:textId="77777777" w:rsidR="00EB6C98" w:rsidRPr="003E7C39" w:rsidRDefault="00EB6C98" w:rsidP="00EB6C98">
            <w:pPr>
              <w:jc w:val="both"/>
              <w:rPr>
                <w:rFonts w:ascii="David" w:hAnsi="David"/>
                <w:b/>
                <w:bCs/>
                <w:sz w:val="28"/>
                <w:szCs w:val="28"/>
              </w:rPr>
            </w:pPr>
          </w:p>
        </w:tc>
      </w:tr>
      <w:tr w:rsidR="00EB6C98" w:rsidRPr="003E7C39" w14:paraId="4C5276B9"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A076985" w14:textId="77777777" w:rsidR="00EB6C98" w:rsidRPr="003E7C39" w:rsidRDefault="00EB6C98" w:rsidP="00B13DA1">
            <w:pPr>
              <w:rPr>
                <w:rFonts w:ascii="David" w:hAnsi="David"/>
                <w:b/>
                <w:bCs/>
                <w:sz w:val="28"/>
                <w:szCs w:val="28"/>
                <w:rtl/>
              </w:rPr>
            </w:pPr>
          </w:p>
        </w:tc>
        <w:tc>
          <w:tcPr>
            <w:tcW w:w="4895" w:type="dxa"/>
            <w:gridSpan w:val="2"/>
            <w:tcBorders>
              <w:top w:val="nil"/>
              <w:left w:val="nil"/>
              <w:bottom w:val="nil"/>
              <w:right w:val="nil"/>
            </w:tcBorders>
            <w:shd w:val="clear" w:color="auto" w:fill="auto"/>
          </w:tcPr>
          <w:p w14:paraId="4967DA59" w14:textId="77777777" w:rsidR="00EB6C98" w:rsidRPr="003E7C39" w:rsidRDefault="00EB6C98" w:rsidP="00B13DA1">
            <w:pPr>
              <w:rPr>
                <w:rFonts w:ascii="David" w:hAnsi="David"/>
                <w:b/>
                <w:bCs/>
                <w:sz w:val="28"/>
                <w:szCs w:val="28"/>
                <w:rtl/>
              </w:rPr>
            </w:pPr>
            <w:r w:rsidRPr="003E7C39">
              <w:rPr>
                <w:rFonts w:ascii="David" w:hAnsi="David"/>
                <w:b/>
                <w:bCs/>
                <w:sz w:val="28"/>
                <w:szCs w:val="28"/>
                <w:rtl/>
              </w:rPr>
              <w:t>מתן מימון חדידה</w:t>
            </w:r>
            <w:r w:rsidRPr="003E7C39">
              <w:rPr>
                <w:rFonts w:ascii="David" w:hAnsi="David"/>
                <w:b/>
                <w:bCs/>
                <w:sz w:val="28"/>
                <w:szCs w:val="28"/>
                <w:rtl/>
              </w:rPr>
              <w:br/>
              <w:t>ע"י ב"כ עוה"ד אלכס גפני</w:t>
            </w:r>
          </w:p>
        </w:tc>
        <w:tc>
          <w:tcPr>
            <w:tcW w:w="2980" w:type="dxa"/>
            <w:gridSpan w:val="2"/>
            <w:tcBorders>
              <w:top w:val="nil"/>
              <w:left w:val="nil"/>
              <w:bottom w:val="nil"/>
              <w:right w:val="nil"/>
            </w:tcBorders>
            <w:shd w:val="clear" w:color="auto" w:fill="auto"/>
          </w:tcPr>
          <w:p w14:paraId="303069AA" w14:textId="77777777" w:rsidR="00EB6C98" w:rsidRPr="003E7C39" w:rsidRDefault="00EB6C98" w:rsidP="00EB6C98">
            <w:pPr>
              <w:jc w:val="right"/>
              <w:rPr>
                <w:rFonts w:ascii="David" w:hAnsi="David"/>
                <w:b/>
                <w:bCs/>
                <w:sz w:val="28"/>
                <w:szCs w:val="28"/>
              </w:rPr>
            </w:pPr>
          </w:p>
        </w:tc>
      </w:tr>
      <w:tr w:rsidR="00EB6C98" w:rsidRPr="003E7C39" w14:paraId="30194A62" w14:textId="77777777" w:rsidTr="003A7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12A17A7D" w14:textId="77777777" w:rsidR="00EB6C98" w:rsidRPr="003E7C39" w:rsidRDefault="00EB6C98" w:rsidP="00EB6C98">
            <w:pPr>
              <w:jc w:val="both"/>
              <w:rPr>
                <w:rFonts w:ascii="David" w:hAnsi="David"/>
                <w:b/>
                <w:bCs/>
                <w:sz w:val="28"/>
                <w:szCs w:val="28"/>
                <w:rtl/>
              </w:rPr>
            </w:pPr>
          </w:p>
        </w:tc>
        <w:tc>
          <w:tcPr>
            <w:tcW w:w="4895" w:type="dxa"/>
            <w:gridSpan w:val="2"/>
            <w:tcBorders>
              <w:top w:val="nil"/>
              <w:left w:val="nil"/>
              <w:bottom w:val="nil"/>
              <w:right w:val="nil"/>
            </w:tcBorders>
            <w:shd w:val="clear" w:color="auto" w:fill="auto"/>
          </w:tcPr>
          <w:p w14:paraId="57E4DABC" w14:textId="77777777" w:rsidR="00EB6C98" w:rsidRPr="003E7C39" w:rsidRDefault="00EB6C98" w:rsidP="00EB6C98">
            <w:pPr>
              <w:jc w:val="both"/>
              <w:rPr>
                <w:rFonts w:ascii="David" w:hAnsi="David"/>
                <w:b/>
                <w:bCs/>
                <w:sz w:val="28"/>
                <w:szCs w:val="28"/>
                <w:rtl/>
              </w:rPr>
            </w:pPr>
          </w:p>
        </w:tc>
        <w:tc>
          <w:tcPr>
            <w:tcW w:w="2980" w:type="dxa"/>
            <w:gridSpan w:val="2"/>
            <w:tcBorders>
              <w:top w:val="nil"/>
              <w:left w:val="nil"/>
              <w:bottom w:val="nil"/>
              <w:right w:val="nil"/>
            </w:tcBorders>
            <w:shd w:val="clear" w:color="auto" w:fill="auto"/>
          </w:tcPr>
          <w:p w14:paraId="01A84986" w14:textId="77777777" w:rsidR="00EB6C98" w:rsidRPr="003E7C39" w:rsidRDefault="00EB6C98" w:rsidP="00EB6C98">
            <w:pPr>
              <w:jc w:val="right"/>
              <w:rPr>
                <w:rFonts w:ascii="David" w:hAnsi="David"/>
                <w:b/>
                <w:bCs/>
                <w:sz w:val="28"/>
                <w:szCs w:val="28"/>
              </w:rPr>
            </w:pPr>
            <w:r w:rsidRPr="003E7C39">
              <w:rPr>
                <w:rFonts w:ascii="David" w:hAnsi="David"/>
                <w:b/>
                <w:bCs/>
                <w:sz w:val="28"/>
                <w:szCs w:val="28"/>
                <w:rtl/>
              </w:rPr>
              <w:t>הנאשם</w:t>
            </w:r>
          </w:p>
        </w:tc>
      </w:tr>
    </w:tbl>
    <w:p w14:paraId="55476DFD" w14:textId="77777777" w:rsidR="003A709F" w:rsidRDefault="003A709F" w:rsidP="003E7C39">
      <w:pPr>
        <w:rPr>
          <w:rFonts w:ascii="David" w:hAnsi="David"/>
          <w:sz w:val="26"/>
          <w:szCs w:val="26"/>
          <w:rtl/>
        </w:rPr>
      </w:pPr>
    </w:p>
    <w:p w14:paraId="305366D4" w14:textId="77777777" w:rsidR="003A709F" w:rsidRPr="003A709F" w:rsidRDefault="003A709F" w:rsidP="003A709F">
      <w:pPr>
        <w:spacing w:after="120" w:line="240" w:lineRule="exact"/>
        <w:ind w:left="283" w:hanging="283"/>
        <w:jc w:val="both"/>
        <w:rPr>
          <w:rFonts w:ascii="FrankRuehl" w:hAnsi="FrankRuehl" w:cs="FrankRuehl"/>
          <w:rtl/>
        </w:rPr>
      </w:pPr>
    </w:p>
    <w:p w14:paraId="0A9CA1FE" w14:textId="77777777" w:rsidR="00B43507" w:rsidRPr="00B43507" w:rsidRDefault="00B43507" w:rsidP="00B43507">
      <w:pPr>
        <w:spacing w:before="120" w:after="120" w:line="240" w:lineRule="exact"/>
        <w:ind w:left="283" w:hanging="283"/>
        <w:jc w:val="both"/>
        <w:rPr>
          <w:rFonts w:ascii="FrankRuehl" w:hAnsi="FrankRuehl" w:cs="FrankRuehl"/>
          <w:rtl/>
        </w:rPr>
      </w:pPr>
    </w:p>
    <w:p w14:paraId="35FF51FC" w14:textId="77777777" w:rsidR="00B85A88" w:rsidRDefault="00B85A88" w:rsidP="00B85A88">
      <w:pPr>
        <w:rPr>
          <w:rFonts w:ascii="David" w:hAnsi="David"/>
          <w:sz w:val="26"/>
          <w:szCs w:val="26"/>
          <w:rtl/>
        </w:rPr>
      </w:pPr>
      <w:bookmarkStart w:id="3" w:name="LawTable"/>
      <w:bookmarkEnd w:id="3"/>
    </w:p>
    <w:p w14:paraId="1EF8F9AE" w14:textId="77777777" w:rsidR="00B85A88" w:rsidRPr="00B85A88" w:rsidRDefault="00B85A88" w:rsidP="00B85A88">
      <w:pPr>
        <w:spacing w:before="120" w:after="120" w:line="240" w:lineRule="exact"/>
        <w:ind w:left="283" w:hanging="283"/>
        <w:jc w:val="both"/>
        <w:rPr>
          <w:rFonts w:ascii="FrankRuehl" w:hAnsi="FrankRuehl" w:cs="FrankRuehl"/>
          <w:rtl/>
        </w:rPr>
      </w:pPr>
    </w:p>
    <w:p w14:paraId="508F467A" w14:textId="77777777" w:rsidR="00B85A88" w:rsidRPr="00B85A88" w:rsidRDefault="00B85A88" w:rsidP="00B85A88">
      <w:pPr>
        <w:spacing w:before="120" w:after="120" w:line="240" w:lineRule="exact"/>
        <w:ind w:left="283" w:hanging="283"/>
        <w:jc w:val="both"/>
        <w:rPr>
          <w:rFonts w:ascii="FrankRuehl" w:hAnsi="FrankRuehl" w:cs="FrankRuehl"/>
          <w:rtl/>
        </w:rPr>
      </w:pPr>
    </w:p>
    <w:p w14:paraId="238F8DFD" w14:textId="77777777" w:rsidR="00B85A88" w:rsidRPr="00B85A88" w:rsidRDefault="00B85A88" w:rsidP="00B85A88">
      <w:pPr>
        <w:spacing w:before="120" w:after="120" w:line="240" w:lineRule="exact"/>
        <w:ind w:left="283" w:hanging="283"/>
        <w:jc w:val="both"/>
        <w:rPr>
          <w:rFonts w:ascii="FrankRuehl" w:hAnsi="FrankRuehl" w:cs="FrankRuehl"/>
          <w:rtl/>
        </w:rPr>
      </w:pPr>
      <w:r w:rsidRPr="00B85A88">
        <w:rPr>
          <w:rFonts w:ascii="FrankRuehl" w:hAnsi="FrankRuehl" w:cs="FrankRuehl"/>
          <w:rtl/>
        </w:rPr>
        <w:t xml:space="preserve">חקיקה שאוזכרה: </w:t>
      </w:r>
    </w:p>
    <w:p w14:paraId="5546EA51" w14:textId="77777777" w:rsidR="00B85A88" w:rsidRPr="00B85A88" w:rsidRDefault="00B85A88" w:rsidP="00B85A88">
      <w:pPr>
        <w:spacing w:before="120" w:after="120" w:line="240" w:lineRule="exact"/>
        <w:ind w:left="283" w:hanging="283"/>
        <w:jc w:val="both"/>
        <w:rPr>
          <w:rFonts w:ascii="FrankRuehl" w:hAnsi="FrankRuehl" w:cs="FrankRuehl"/>
          <w:rtl/>
        </w:rPr>
      </w:pPr>
      <w:hyperlink r:id="rId7" w:history="1">
        <w:r w:rsidRPr="00B85A88">
          <w:rPr>
            <w:rFonts w:ascii="FrankRuehl" w:hAnsi="FrankRuehl" w:cs="FrankRuehl"/>
            <w:color w:val="0000FF"/>
            <w:rtl/>
          </w:rPr>
          <w:t>פקודת הסמים המסוכנים [נוסח חדש], תשל"ג-1973</w:t>
        </w:r>
      </w:hyperlink>
      <w:r w:rsidRPr="00B85A88">
        <w:rPr>
          <w:rFonts w:ascii="FrankRuehl" w:hAnsi="FrankRuehl" w:cs="FrankRuehl"/>
          <w:rtl/>
        </w:rPr>
        <w:t xml:space="preserve">: סע'  </w:t>
      </w:r>
      <w:hyperlink r:id="rId8" w:history="1">
        <w:r w:rsidRPr="00B85A88">
          <w:rPr>
            <w:rFonts w:ascii="FrankRuehl" w:hAnsi="FrankRuehl" w:cs="FrankRuehl"/>
            <w:color w:val="0000FF"/>
            <w:rtl/>
          </w:rPr>
          <w:t>7.א.</w:t>
        </w:r>
      </w:hyperlink>
      <w:r w:rsidRPr="00B85A88">
        <w:rPr>
          <w:rFonts w:ascii="FrankRuehl" w:hAnsi="FrankRuehl" w:cs="FrankRuehl"/>
          <w:rtl/>
        </w:rPr>
        <w:t xml:space="preserve">, </w:t>
      </w:r>
      <w:hyperlink r:id="rId9" w:history="1">
        <w:r w:rsidRPr="00B85A88">
          <w:rPr>
            <w:rFonts w:ascii="FrankRuehl" w:hAnsi="FrankRuehl" w:cs="FrankRuehl"/>
            <w:color w:val="0000FF"/>
            <w:rtl/>
          </w:rPr>
          <w:t>7.ג</w:t>
        </w:r>
      </w:hyperlink>
      <w:r w:rsidRPr="00B85A88">
        <w:rPr>
          <w:rFonts w:ascii="FrankRuehl" w:hAnsi="FrankRuehl" w:cs="FrankRuehl"/>
          <w:rtl/>
        </w:rPr>
        <w:t xml:space="preserve">, </w:t>
      </w:r>
      <w:hyperlink r:id="rId10" w:history="1">
        <w:r w:rsidRPr="00B85A88">
          <w:rPr>
            <w:rFonts w:ascii="FrankRuehl" w:hAnsi="FrankRuehl" w:cs="FrankRuehl"/>
            <w:color w:val="0000FF"/>
            <w:rtl/>
          </w:rPr>
          <w:t>10א</w:t>
        </w:r>
      </w:hyperlink>
    </w:p>
    <w:p w14:paraId="1C98033D" w14:textId="77777777" w:rsidR="00B85A88" w:rsidRPr="00B85A88" w:rsidRDefault="00B85A88" w:rsidP="00B85A88">
      <w:pPr>
        <w:spacing w:before="120" w:after="120" w:line="240" w:lineRule="exact"/>
        <w:ind w:left="283" w:hanging="283"/>
        <w:jc w:val="both"/>
        <w:rPr>
          <w:rFonts w:ascii="FrankRuehl" w:hAnsi="FrankRuehl" w:cs="FrankRuehl"/>
          <w:rtl/>
        </w:rPr>
      </w:pPr>
      <w:hyperlink r:id="rId11" w:history="1">
        <w:r w:rsidRPr="00B85A88">
          <w:rPr>
            <w:rFonts w:ascii="FrankRuehl" w:hAnsi="FrankRuehl" w:cs="FrankRuehl"/>
            <w:color w:val="0000FF"/>
            <w:rtl/>
          </w:rPr>
          <w:t>חוק העונשין, תשל"ז-1977</w:t>
        </w:r>
      </w:hyperlink>
      <w:r w:rsidRPr="00B85A88">
        <w:rPr>
          <w:rFonts w:ascii="FrankRuehl" w:hAnsi="FrankRuehl" w:cs="FrankRuehl"/>
          <w:rtl/>
        </w:rPr>
        <w:t xml:space="preserve">: סע'  </w:t>
      </w:r>
      <w:hyperlink r:id="rId12" w:history="1">
        <w:r w:rsidRPr="00B85A88">
          <w:rPr>
            <w:rFonts w:ascii="FrankRuehl" w:hAnsi="FrankRuehl" w:cs="FrankRuehl"/>
            <w:color w:val="0000FF"/>
            <w:rtl/>
          </w:rPr>
          <w:t>40ט'</w:t>
        </w:r>
      </w:hyperlink>
      <w:r w:rsidRPr="00B85A88">
        <w:rPr>
          <w:rFonts w:ascii="FrankRuehl" w:hAnsi="FrankRuehl" w:cs="FrankRuehl"/>
          <w:rtl/>
        </w:rPr>
        <w:t xml:space="preserve">, </w:t>
      </w:r>
      <w:hyperlink r:id="rId13" w:history="1">
        <w:r w:rsidRPr="00B85A88">
          <w:rPr>
            <w:rFonts w:ascii="FrankRuehl" w:hAnsi="FrankRuehl" w:cs="FrankRuehl"/>
            <w:color w:val="0000FF"/>
            <w:rtl/>
          </w:rPr>
          <w:t>40יא</w:t>
        </w:r>
      </w:hyperlink>
    </w:p>
    <w:p w14:paraId="0EC0FE86" w14:textId="77777777" w:rsidR="00B85A88" w:rsidRPr="00B85A88" w:rsidRDefault="00B85A88" w:rsidP="00B85A88">
      <w:pPr>
        <w:rPr>
          <w:rFonts w:ascii="David" w:hAnsi="David"/>
          <w:sz w:val="26"/>
          <w:szCs w:val="26"/>
          <w:rtl/>
        </w:rPr>
      </w:pPr>
      <w:bookmarkStart w:id="4" w:name="LawTable_End"/>
      <w:bookmarkEnd w:id="4"/>
    </w:p>
    <w:p w14:paraId="1CF11979" w14:textId="77777777" w:rsidR="00EB6C98" w:rsidRPr="00B43507" w:rsidRDefault="00EB6C98" w:rsidP="00B43507">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C98" w:rsidRPr="00A25C1C" w14:paraId="36ED1100" w14:textId="77777777" w:rsidTr="00EB6C98">
        <w:trPr>
          <w:trHeight w:val="355"/>
          <w:jc w:val="center"/>
        </w:trPr>
        <w:tc>
          <w:tcPr>
            <w:tcW w:w="8820" w:type="dxa"/>
            <w:tcBorders>
              <w:top w:val="nil"/>
              <w:left w:val="nil"/>
              <w:bottom w:val="nil"/>
              <w:right w:val="nil"/>
            </w:tcBorders>
            <w:shd w:val="clear" w:color="auto" w:fill="auto"/>
          </w:tcPr>
          <w:p w14:paraId="686AF2AC" w14:textId="77777777" w:rsidR="003E7C39" w:rsidRPr="003E7C39" w:rsidRDefault="003E7C39" w:rsidP="003E7C39">
            <w:pPr>
              <w:jc w:val="center"/>
              <w:rPr>
                <w:rFonts w:ascii="David" w:hAnsi="David"/>
                <w:b/>
                <w:bCs/>
                <w:sz w:val="32"/>
                <w:szCs w:val="32"/>
                <w:u w:val="single"/>
                <w:rtl/>
              </w:rPr>
            </w:pPr>
            <w:bookmarkStart w:id="5" w:name="PsakDin" w:colFirst="0" w:colLast="0"/>
            <w:bookmarkEnd w:id="0"/>
            <w:bookmarkEnd w:id="1"/>
            <w:r w:rsidRPr="003E7C39">
              <w:rPr>
                <w:rFonts w:ascii="David" w:hAnsi="David"/>
                <w:b/>
                <w:bCs/>
                <w:sz w:val="32"/>
                <w:szCs w:val="32"/>
                <w:u w:val="single"/>
                <w:rtl/>
              </w:rPr>
              <w:t>גזר דין</w:t>
            </w:r>
          </w:p>
          <w:p w14:paraId="69ECA7C5" w14:textId="77777777" w:rsidR="00EB6C98" w:rsidRPr="003E7C39" w:rsidRDefault="00EB6C98" w:rsidP="003E7C39">
            <w:pPr>
              <w:jc w:val="center"/>
              <w:rPr>
                <w:rFonts w:ascii="David" w:hAnsi="David"/>
                <w:b/>
                <w:bCs/>
                <w:sz w:val="32"/>
                <w:szCs w:val="32"/>
                <w:u w:val="single"/>
                <w:rtl/>
              </w:rPr>
            </w:pPr>
          </w:p>
        </w:tc>
      </w:tr>
      <w:bookmarkEnd w:id="5"/>
    </w:tbl>
    <w:p w14:paraId="3FB1FE13" w14:textId="77777777" w:rsidR="00EB6C98" w:rsidRPr="002B7D23" w:rsidRDefault="00EB6C98" w:rsidP="00EB6C98">
      <w:pPr>
        <w:rPr>
          <w:rFonts w:ascii="David" w:hAnsi="David"/>
          <w:sz w:val="26"/>
          <w:szCs w:val="26"/>
          <w:rtl/>
        </w:rPr>
      </w:pPr>
    </w:p>
    <w:p w14:paraId="2A6CE6E9" w14:textId="77777777" w:rsidR="00EB6C98" w:rsidRPr="008C1798" w:rsidRDefault="00EB6C98" w:rsidP="00EB6C98">
      <w:pPr>
        <w:spacing w:line="360" w:lineRule="auto"/>
        <w:rPr>
          <w:rFonts w:ascii="David" w:hAnsi="David"/>
          <w:b/>
          <w:bCs/>
          <w:sz w:val="26"/>
          <w:szCs w:val="26"/>
          <w:u w:val="single"/>
        </w:rPr>
      </w:pPr>
      <w:r w:rsidRPr="008C1798">
        <w:rPr>
          <w:rFonts w:ascii="David" w:hAnsi="David"/>
          <w:b/>
          <w:bCs/>
          <w:sz w:val="26"/>
          <w:szCs w:val="26"/>
          <w:u w:val="single"/>
          <w:rtl/>
        </w:rPr>
        <w:t>כתב האישום</w:t>
      </w:r>
    </w:p>
    <w:p w14:paraId="2EE3417A" w14:textId="77777777" w:rsidR="00EB6C98" w:rsidRPr="008C1798" w:rsidRDefault="00EB6C98" w:rsidP="00EB6C98">
      <w:pPr>
        <w:spacing w:line="360" w:lineRule="auto"/>
        <w:jc w:val="both"/>
        <w:rPr>
          <w:rFonts w:ascii="David" w:hAnsi="David"/>
          <w:sz w:val="26"/>
          <w:szCs w:val="26"/>
        </w:rPr>
      </w:pPr>
      <w:bookmarkStart w:id="6" w:name="ABSTRACT_START"/>
      <w:bookmarkEnd w:id="6"/>
      <w:r w:rsidRPr="008C1798">
        <w:rPr>
          <w:rFonts w:ascii="David" w:hAnsi="David"/>
          <w:sz w:val="26"/>
          <w:szCs w:val="26"/>
          <w:rtl/>
        </w:rPr>
        <w:t>הנאשם הורשע על פי הודאתו בעבירות ובעובדות המנויות בכתב האישום</w:t>
      </w:r>
      <w:r>
        <w:rPr>
          <w:rFonts w:ascii="David" w:hAnsi="David" w:hint="cs"/>
          <w:sz w:val="26"/>
          <w:szCs w:val="26"/>
          <w:rtl/>
        </w:rPr>
        <w:t xml:space="preserve"> המקורי</w:t>
      </w:r>
      <w:r w:rsidRPr="008C1798">
        <w:rPr>
          <w:rFonts w:ascii="David" w:hAnsi="David"/>
          <w:sz w:val="26"/>
          <w:szCs w:val="26"/>
          <w:rtl/>
        </w:rPr>
        <w:t xml:space="preserve">, בכך שביום 28.11.2018, החזיק הנאשם בחדר במלון </w:t>
      </w:r>
      <w:r>
        <w:rPr>
          <w:rFonts w:ascii="David" w:hAnsi="David" w:hint="cs"/>
          <w:sz w:val="26"/>
          <w:szCs w:val="26"/>
          <w:rtl/>
        </w:rPr>
        <w:t xml:space="preserve">בירושלים </w:t>
      </w:r>
      <w:r w:rsidRPr="008C1798">
        <w:rPr>
          <w:rFonts w:ascii="David" w:hAnsi="David"/>
          <w:sz w:val="26"/>
          <w:szCs w:val="26"/>
          <w:rtl/>
        </w:rPr>
        <w:t xml:space="preserve"> 6.4428 גרם נטו חשיש ו – 60.2111 גרם נטו קנב</w:t>
      </w:r>
      <w:r>
        <w:rPr>
          <w:rFonts w:ascii="David" w:hAnsi="David" w:hint="cs"/>
          <w:sz w:val="26"/>
          <w:szCs w:val="26"/>
          <w:rtl/>
        </w:rPr>
        <w:t>י</w:t>
      </w:r>
      <w:r w:rsidRPr="008C1798">
        <w:rPr>
          <w:rFonts w:ascii="David" w:hAnsi="David"/>
          <w:sz w:val="26"/>
          <w:szCs w:val="26"/>
          <w:rtl/>
        </w:rPr>
        <w:t xml:space="preserve">ס כשהם מחלוקים במקומות שונים. כן החזיק הנאשם במשקל דיגיטלי. בגין כך, הורשע הנאשם בעבירות של </w:t>
      </w:r>
      <w:r w:rsidRPr="008C1798">
        <w:rPr>
          <w:rFonts w:ascii="David" w:hAnsi="David"/>
          <w:b/>
          <w:bCs/>
          <w:sz w:val="26"/>
          <w:szCs w:val="26"/>
          <w:rtl/>
        </w:rPr>
        <w:t>החזקת סמים שלא לצריכה עצמית</w:t>
      </w:r>
      <w:r w:rsidRPr="008C1798">
        <w:rPr>
          <w:rFonts w:ascii="David" w:hAnsi="David"/>
          <w:sz w:val="26"/>
          <w:szCs w:val="26"/>
          <w:rtl/>
        </w:rPr>
        <w:t xml:space="preserve">, לפי סעיף </w:t>
      </w:r>
      <w:hyperlink r:id="rId14" w:history="1">
        <w:r w:rsidR="003A709F" w:rsidRPr="003A709F">
          <w:rPr>
            <w:rStyle w:val="Hyperlink"/>
            <w:rFonts w:ascii="David" w:hAnsi="David"/>
            <w:sz w:val="26"/>
            <w:szCs w:val="26"/>
            <w:rtl/>
          </w:rPr>
          <w:t>7(א) + 7(ג)</w:t>
        </w:r>
      </w:hyperlink>
      <w:r w:rsidRPr="008C1798">
        <w:rPr>
          <w:rFonts w:ascii="David" w:hAnsi="David"/>
          <w:sz w:val="26"/>
          <w:szCs w:val="26"/>
          <w:rtl/>
        </w:rPr>
        <w:t xml:space="preserve"> רישא ל</w:t>
      </w:r>
      <w:hyperlink r:id="rId15" w:history="1">
        <w:r w:rsidR="003E7C39" w:rsidRPr="003E7C39">
          <w:rPr>
            <w:rFonts w:ascii="David" w:hAnsi="David"/>
            <w:color w:val="0000FF"/>
            <w:sz w:val="26"/>
            <w:szCs w:val="26"/>
            <w:u w:val="single"/>
            <w:rtl/>
          </w:rPr>
          <w:t>פקודת הסמים המסוכנים</w:t>
        </w:r>
      </w:hyperlink>
      <w:r w:rsidRPr="008C1798">
        <w:rPr>
          <w:rFonts w:ascii="David" w:hAnsi="David"/>
          <w:sz w:val="26"/>
          <w:szCs w:val="26"/>
          <w:rtl/>
        </w:rPr>
        <w:t xml:space="preserve"> (נוסח חדש), תשל"ג – 1973 </w:t>
      </w:r>
      <w:r w:rsidRPr="008C1798">
        <w:rPr>
          <w:rFonts w:ascii="David" w:hAnsi="David"/>
          <w:b/>
          <w:bCs/>
          <w:sz w:val="26"/>
          <w:szCs w:val="26"/>
          <w:rtl/>
        </w:rPr>
        <w:t>והחזקת כלים להכנת סם שלא לצריכה עצמית</w:t>
      </w:r>
      <w:r w:rsidRPr="008C1798">
        <w:rPr>
          <w:rFonts w:ascii="David" w:hAnsi="David"/>
          <w:sz w:val="26"/>
          <w:szCs w:val="26"/>
          <w:rtl/>
        </w:rPr>
        <w:t xml:space="preserve">, לפי </w:t>
      </w:r>
      <w:hyperlink r:id="rId16" w:history="1">
        <w:r w:rsidR="003A709F" w:rsidRPr="003A709F">
          <w:rPr>
            <w:rStyle w:val="Hyperlink"/>
            <w:rFonts w:ascii="David" w:hAnsi="David"/>
            <w:sz w:val="26"/>
            <w:szCs w:val="26"/>
            <w:rtl/>
          </w:rPr>
          <w:t>סעיף 10א</w:t>
        </w:r>
      </w:hyperlink>
      <w:r w:rsidRPr="008C1798">
        <w:rPr>
          <w:rFonts w:ascii="David" w:hAnsi="David"/>
          <w:sz w:val="26"/>
          <w:szCs w:val="26"/>
          <w:rtl/>
        </w:rPr>
        <w:t xml:space="preserve"> רישא לפקודת הסמים.</w:t>
      </w:r>
    </w:p>
    <w:p w14:paraId="5F53AE13" w14:textId="77777777" w:rsidR="00EB6C98" w:rsidRPr="008C1798" w:rsidRDefault="00EB6C98" w:rsidP="00EB6C98">
      <w:pPr>
        <w:spacing w:line="360" w:lineRule="auto"/>
        <w:jc w:val="both"/>
        <w:rPr>
          <w:rFonts w:ascii="David" w:hAnsi="David"/>
          <w:b/>
          <w:bCs/>
          <w:sz w:val="26"/>
          <w:szCs w:val="26"/>
          <w:u w:val="single"/>
        </w:rPr>
      </w:pPr>
      <w:bookmarkStart w:id="7" w:name="ABSTRACT_END"/>
      <w:bookmarkEnd w:id="7"/>
    </w:p>
    <w:p w14:paraId="2849F70E"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t>מהלך הדיון</w:t>
      </w:r>
    </w:p>
    <w:p w14:paraId="389799FF" w14:textId="77777777" w:rsidR="00EB6C98" w:rsidRPr="008C1798" w:rsidRDefault="00EB6C98" w:rsidP="00EB6C98">
      <w:pPr>
        <w:spacing w:line="360" w:lineRule="auto"/>
        <w:jc w:val="both"/>
        <w:rPr>
          <w:rFonts w:ascii="David" w:hAnsi="David"/>
          <w:sz w:val="26"/>
          <w:szCs w:val="26"/>
        </w:rPr>
      </w:pPr>
      <w:r w:rsidRPr="008C1798">
        <w:rPr>
          <w:rFonts w:ascii="David" w:hAnsi="David"/>
          <w:sz w:val="26"/>
          <w:szCs w:val="26"/>
          <w:rtl/>
        </w:rPr>
        <w:lastRenderedPageBreak/>
        <w:t>הנאשם הורשע על פי הודאתו בכתב האישום, במסגרת הסדר טיעון, ללא הסכמה עונשית ונשלח לשירות המבחן שיגיש תסקיר בעניינו.</w:t>
      </w:r>
    </w:p>
    <w:p w14:paraId="2AFB912C" w14:textId="77777777" w:rsidR="00EB6C98" w:rsidRPr="008C1798" w:rsidRDefault="00EB6C98" w:rsidP="00EB6C98">
      <w:pPr>
        <w:spacing w:line="360" w:lineRule="auto"/>
        <w:jc w:val="both"/>
        <w:rPr>
          <w:rFonts w:ascii="David" w:hAnsi="David"/>
          <w:b/>
          <w:bCs/>
          <w:sz w:val="26"/>
          <w:szCs w:val="26"/>
          <w:u w:val="single"/>
        </w:rPr>
      </w:pPr>
    </w:p>
    <w:p w14:paraId="0FFD0E0B" w14:textId="77777777" w:rsidR="00EB6C98" w:rsidRPr="008C1798" w:rsidRDefault="00EB6C98" w:rsidP="00EB6C98">
      <w:pPr>
        <w:spacing w:line="360" w:lineRule="auto"/>
        <w:jc w:val="both"/>
        <w:rPr>
          <w:rFonts w:ascii="David" w:hAnsi="David"/>
          <w:b/>
          <w:bCs/>
          <w:sz w:val="26"/>
          <w:szCs w:val="26"/>
          <w:u w:val="single"/>
        </w:rPr>
      </w:pPr>
      <w:r w:rsidRPr="008C1798">
        <w:rPr>
          <w:rFonts w:ascii="David" w:hAnsi="David"/>
          <w:b/>
          <w:bCs/>
          <w:sz w:val="26"/>
          <w:szCs w:val="26"/>
          <w:u w:val="single"/>
          <w:rtl/>
        </w:rPr>
        <w:t>תסקיר</w:t>
      </w:r>
      <w:r>
        <w:rPr>
          <w:rFonts w:ascii="David" w:hAnsi="David" w:hint="cs"/>
          <w:b/>
          <w:bCs/>
          <w:sz w:val="26"/>
          <w:szCs w:val="26"/>
          <w:u w:val="single"/>
          <w:rtl/>
        </w:rPr>
        <w:t>י</w:t>
      </w:r>
      <w:r w:rsidRPr="008C1798">
        <w:rPr>
          <w:rFonts w:ascii="David" w:hAnsi="David"/>
          <w:b/>
          <w:bCs/>
          <w:sz w:val="26"/>
          <w:szCs w:val="26"/>
          <w:u w:val="single"/>
          <w:rtl/>
        </w:rPr>
        <w:t xml:space="preserve"> שירות המבחן</w:t>
      </w:r>
    </w:p>
    <w:p w14:paraId="7A10734A" w14:textId="77777777" w:rsidR="00EB6C98" w:rsidRPr="00991FB7" w:rsidRDefault="00EB6C98" w:rsidP="00EB6C98">
      <w:pPr>
        <w:spacing w:line="360" w:lineRule="auto"/>
        <w:jc w:val="both"/>
        <w:rPr>
          <w:rFonts w:ascii="David" w:hAnsi="David"/>
          <w:sz w:val="26"/>
          <w:szCs w:val="26"/>
          <w:rtl/>
        </w:rPr>
      </w:pPr>
      <w:r w:rsidRPr="00991FB7">
        <w:rPr>
          <w:rFonts w:ascii="David" w:hAnsi="David" w:hint="cs"/>
          <w:sz w:val="26"/>
          <w:szCs w:val="26"/>
          <w:rtl/>
        </w:rPr>
        <w:t xml:space="preserve">בעניינו של הנאשם הוגשו שני תסקירים. </w:t>
      </w:r>
      <w:r>
        <w:rPr>
          <w:rFonts w:ascii="David" w:hAnsi="David" w:hint="cs"/>
          <w:sz w:val="26"/>
          <w:szCs w:val="26"/>
          <w:rtl/>
        </w:rPr>
        <w:t xml:space="preserve">מהתסקירים עולה כי הנאשם כבן 28 חי בזוגיות ויש לו שתי בנות. הנאשם מתגורר בשדרות ועובד במפעל כצבע מתכת. הנאשם סיים 12 שנות לימוד והיה לו קושי להשתלב במערכות החינוך. הוא התגייס לצבא ושוחרר על רקע חוסר התאמה. לאחר מכן יצא לשוק העבודה. שירות המבחן עמד על עברו הפלילי של הנאשם. הנאשם סיפר כי פעל מתוך מצוקה כלכלית ורצון לספק את צרכיו המיידיים. לאחר שחרורו ממאסר, שהיווה עבורו גורם מציב גבולות, כך לדבריו, עלה על דרך יציבה מתוך רצון לפתוח דף חדש בחייו. הנאשם שלל שימוש לרעה בחומרים משני תודעה, אך ציין כי צורך אלכוהול וסמים על רקע חברתי ושלל בעיית התמכרות. שירות המבחן סבר כי הנאשם מתקשה לערוך חשבון נפש לגבי התנהלותו וכי קיימים בקרבו דפוסי חשיבה עברייניים. יחד עם זאת ציין שירות המבחן את שאיפות הנאשם לנהל אורח חיים נורמטיבי. הנאשם לא מסר בדיקות סמים בטענה שממילא תצאנה חיוביות לשרידי סמים. בתסקיר הראשון המליץ שירות המבחן על הטלת מאסר מותנה, וקנס ובתסקיר השני נמנע כליל מהמלצה טיפולית. </w:t>
      </w:r>
    </w:p>
    <w:p w14:paraId="6423E008" w14:textId="77777777" w:rsidR="00EB6C98" w:rsidRPr="008C1798" w:rsidRDefault="00EB6C98" w:rsidP="00EB6C98">
      <w:pPr>
        <w:spacing w:line="360" w:lineRule="auto"/>
        <w:jc w:val="both"/>
        <w:rPr>
          <w:rFonts w:ascii="David" w:hAnsi="David"/>
          <w:b/>
          <w:bCs/>
          <w:sz w:val="26"/>
          <w:szCs w:val="26"/>
          <w:u w:val="single"/>
        </w:rPr>
      </w:pPr>
    </w:p>
    <w:p w14:paraId="4F568060"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t>ראיות לעונש</w:t>
      </w:r>
    </w:p>
    <w:p w14:paraId="4487CB2D" w14:textId="77777777" w:rsidR="00EB6C98" w:rsidRPr="008C1798" w:rsidRDefault="00EB6C98" w:rsidP="00EB6C98">
      <w:pPr>
        <w:spacing w:line="360" w:lineRule="auto"/>
        <w:jc w:val="both"/>
        <w:rPr>
          <w:rFonts w:ascii="David" w:hAnsi="David"/>
          <w:sz w:val="26"/>
          <w:szCs w:val="26"/>
        </w:rPr>
      </w:pPr>
      <w:r>
        <w:rPr>
          <w:rFonts w:ascii="David" w:hAnsi="David" w:hint="cs"/>
          <w:sz w:val="26"/>
          <w:szCs w:val="26"/>
          <w:rtl/>
        </w:rPr>
        <w:t xml:space="preserve">לנאשם 5 הרשעות קודמות בעבירות סמים מרמה והפרת הסדר הציבורי. הנאשם ריצה 2 תקופות מאסר, הארוכה שבהן 8 חודשים, האחרונה בשנת 2019. מאז לא הוגשו נגדו כתבי אישום חדשים והאירוע בתיק זה קודם לתיקיו האחרונים משנת 2019. </w:t>
      </w:r>
    </w:p>
    <w:p w14:paraId="288A5132" w14:textId="77777777" w:rsidR="00EB6C98" w:rsidRPr="008C1798" w:rsidRDefault="00EB6C98" w:rsidP="00EB6C98">
      <w:pPr>
        <w:spacing w:line="360" w:lineRule="auto"/>
        <w:jc w:val="both"/>
        <w:rPr>
          <w:rFonts w:ascii="David" w:hAnsi="David"/>
          <w:b/>
          <w:bCs/>
          <w:sz w:val="26"/>
          <w:szCs w:val="26"/>
          <w:u w:val="single"/>
          <w:rtl/>
        </w:rPr>
      </w:pPr>
    </w:p>
    <w:p w14:paraId="5D59A874"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t>טיעונים לעונש</w:t>
      </w:r>
    </w:p>
    <w:p w14:paraId="53A05A4F" w14:textId="77777777" w:rsidR="00EB6C98" w:rsidRPr="008C1798" w:rsidRDefault="00EB6C98" w:rsidP="00EB6C98">
      <w:pPr>
        <w:spacing w:line="360" w:lineRule="auto"/>
        <w:jc w:val="both"/>
        <w:rPr>
          <w:rFonts w:ascii="David" w:hAnsi="David"/>
          <w:sz w:val="26"/>
          <w:szCs w:val="26"/>
          <w:rtl/>
        </w:rPr>
      </w:pPr>
      <w:r w:rsidRPr="008C1798">
        <w:rPr>
          <w:rFonts w:ascii="David" w:hAnsi="David"/>
          <w:sz w:val="26"/>
          <w:szCs w:val="26"/>
          <w:rtl/>
        </w:rPr>
        <w:t xml:space="preserve">הצדדים לא הגיעו להסכמה עונשית. </w:t>
      </w:r>
    </w:p>
    <w:p w14:paraId="49B55F51" w14:textId="77777777" w:rsidR="00EB6C98" w:rsidRDefault="00EB6C98" w:rsidP="00EB6C98">
      <w:pPr>
        <w:spacing w:line="360" w:lineRule="auto"/>
        <w:jc w:val="both"/>
        <w:rPr>
          <w:rFonts w:ascii="David" w:hAnsi="David"/>
          <w:sz w:val="26"/>
          <w:szCs w:val="26"/>
          <w:rtl/>
        </w:rPr>
      </w:pPr>
      <w:r w:rsidRPr="008C1798">
        <w:rPr>
          <w:rFonts w:ascii="David" w:hAnsi="David"/>
          <w:sz w:val="26"/>
          <w:szCs w:val="26"/>
          <w:rtl/>
        </w:rPr>
        <w:t>מחד, ב"כ המאשימה</w:t>
      </w:r>
      <w:r>
        <w:rPr>
          <w:rFonts w:ascii="David" w:hAnsi="David" w:hint="cs"/>
          <w:sz w:val="26"/>
          <w:szCs w:val="26"/>
          <w:rtl/>
        </w:rPr>
        <w:t xml:space="preserve"> עתרה למתחם שבין 4 ל-12 חודשי מאסר ונוכח מכלול הנסיבות ביקשה להטיל עליו מאסר בפועל לתקופה של 8 חודשים וענישה לנווית.</w:t>
      </w:r>
    </w:p>
    <w:p w14:paraId="4E167F5D" w14:textId="77777777" w:rsidR="00EB6C98" w:rsidRPr="008C1798" w:rsidRDefault="00EB6C98" w:rsidP="00EB6C98">
      <w:pPr>
        <w:spacing w:line="360" w:lineRule="auto"/>
        <w:jc w:val="both"/>
        <w:rPr>
          <w:rFonts w:ascii="David" w:hAnsi="David"/>
          <w:sz w:val="26"/>
          <w:szCs w:val="26"/>
          <w:rtl/>
        </w:rPr>
      </w:pPr>
      <w:r w:rsidRPr="008C1798">
        <w:rPr>
          <w:rFonts w:ascii="David" w:hAnsi="David"/>
          <w:sz w:val="26"/>
          <w:szCs w:val="26"/>
          <w:rtl/>
        </w:rPr>
        <w:t xml:space="preserve">מאידך, הסניגור </w:t>
      </w:r>
      <w:r>
        <w:rPr>
          <w:rFonts w:ascii="David" w:hAnsi="David" w:hint="cs"/>
          <w:sz w:val="26"/>
          <w:szCs w:val="26"/>
          <w:rtl/>
        </w:rPr>
        <w:t xml:space="preserve">ביקש להסתפק במאסר מותנה וענישה נוספת, נוכח חלוף הזמן והעובדה שתיק זה לא צורף למכלול תיקיו של הנאשם בגינם הוטל עליו מאסר בן 8 חודשים. צוין כי לא נפתחו תיקים חדשים מאז סיים לרצות מאסרו. הסניגור היפנה לנסיבות חייו של הנאשם, ולדעתו הנאשם מנהל אורח חיים נורמטיבי בשנים האחרונות. </w:t>
      </w:r>
    </w:p>
    <w:p w14:paraId="502103ED" w14:textId="77777777" w:rsidR="00EB6C98" w:rsidRPr="008C1798" w:rsidRDefault="00EB6C98" w:rsidP="00EB6C98">
      <w:pPr>
        <w:spacing w:line="360" w:lineRule="auto"/>
        <w:jc w:val="both"/>
        <w:rPr>
          <w:rFonts w:ascii="David" w:hAnsi="David"/>
          <w:b/>
          <w:bCs/>
          <w:sz w:val="26"/>
          <w:szCs w:val="26"/>
          <w:u w:val="single"/>
          <w:rtl/>
        </w:rPr>
      </w:pPr>
    </w:p>
    <w:p w14:paraId="1DA07F94"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lastRenderedPageBreak/>
        <w:t xml:space="preserve">קביעת מתחם הענישה </w:t>
      </w:r>
      <w:r w:rsidRPr="008C1798">
        <w:rPr>
          <w:rFonts w:ascii="David" w:hAnsi="David"/>
          <w:sz w:val="26"/>
          <w:szCs w:val="26"/>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314B1A7F" w14:textId="77777777" w:rsidR="00EB6C98" w:rsidRPr="008C1798" w:rsidRDefault="00EB6C98" w:rsidP="00EB6C98">
      <w:pPr>
        <w:spacing w:line="360" w:lineRule="auto"/>
        <w:jc w:val="both"/>
        <w:rPr>
          <w:rFonts w:ascii="David" w:hAnsi="David"/>
          <w:b/>
          <w:bCs/>
          <w:sz w:val="26"/>
          <w:szCs w:val="26"/>
          <w:u w:val="single"/>
        </w:rPr>
      </w:pPr>
    </w:p>
    <w:p w14:paraId="294449CA" w14:textId="77777777" w:rsidR="00EB6C98" w:rsidRPr="008C1798" w:rsidRDefault="00EB6C98" w:rsidP="00EB6C98">
      <w:pPr>
        <w:spacing w:line="360" w:lineRule="auto"/>
        <w:jc w:val="both"/>
        <w:rPr>
          <w:rFonts w:ascii="David" w:hAnsi="David"/>
          <w:sz w:val="26"/>
          <w:szCs w:val="26"/>
          <w:rtl/>
        </w:rPr>
      </w:pPr>
      <w:r w:rsidRPr="008C1798">
        <w:rPr>
          <w:rFonts w:ascii="David" w:hAnsi="David"/>
          <w:b/>
          <w:bCs/>
          <w:sz w:val="26"/>
          <w:szCs w:val="26"/>
          <w:u w:val="single"/>
          <w:rtl/>
        </w:rPr>
        <w:t xml:space="preserve">אשר לערך המוגן </w:t>
      </w:r>
      <w:r w:rsidRPr="008C1798">
        <w:rPr>
          <w:rFonts w:ascii="David" w:hAnsi="David"/>
          <w:sz w:val="26"/>
          <w:szCs w:val="26"/>
          <w:rtl/>
        </w:rPr>
        <w:t>– העבירות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בעניינו הפגיעה בערך המוגן בינונית.</w:t>
      </w:r>
    </w:p>
    <w:p w14:paraId="3BCF8115" w14:textId="77777777" w:rsidR="00EB6C98" w:rsidRPr="008C1798" w:rsidRDefault="00EB6C98" w:rsidP="00EB6C98">
      <w:pPr>
        <w:spacing w:line="360" w:lineRule="auto"/>
        <w:jc w:val="both"/>
        <w:rPr>
          <w:rFonts w:ascii="David" w:hAnsi="David"/>
          <w:b/>
          <w:bCs/>
          <w:sz w:val="26"/>
          <w:szCs w:val="26"/>
          <w:rtl/>
        </w:rPr>
      </w:pPr>
    </w:p>
    <w:p w14:paraId="2297CD09" w14:textId="77777777" w:rsidR="00EB6C98" w:rsidRPr="008C1798" w:rsidRDefault="00EB6C98" w:rsidP="00EB6C98">
      <w:pPr>
        <w:spacing w:after="160" w:line="360" w:lineRule="auto"/>
        <w:jc w:val="both"/>
        <w:rPr>
          <w:rFonts w:ascii="David" w:hAnsi="David"/>
          <w:sz w:val="26"/>
          <w:szCs w:val="26"/>
        </w:rPr>
      </w:pPr>
      <w:r w:rsidRPr="008C1798">
        <w:rPr>
          <w:rFonts w:ascii="David" w:hAnsi="David"/>
          <w:b/>
          <w:bCs/>
          <w:sz w:val="26"/>
          <w:szCs w:val="26"/>
          <w:u w:val="single"/>
          <w:rtl/>
        </w:rPr>
        <w:t xml:space="preserve">נסיבות הקשורות בביצוע העבירה, לפי </w:t>
      </w:r>
      <w:hyperlink r:id="rId17" w:history="1">
        <w:r w:rsidR="003A709F" w:rsidRPr="003A709F">
          <w:rPr>
            <w:rStyle w:val="Hyperlink"/>
            <w:rFonts w:ascii="David" w:hAnsi="David"/>
            <w:b/>
            <w:bCs/>
            <w:sz w:val="26"/>
            <w:szCs w:val="26"/>
            <w:rtl/>
          </w:rPr>
          <w:t>סעיף 40ט'</w:t>
        </w:r>
      </w:hyperlink>
      <w:r w:rsidRPr="008C1798">
        <w:rPr>
          <w:rFonts w:ascii="David" w:hAnsi="David"/>
          <w:b/>
          <w:bCs/>
          <w:sz w:val="26"/>
          <w:szCs w:val="26"/>
          <w:u w:val="single"/>
          <w:rtl/>
        </w:rPr>
        <w:t xml:space="preserve"> ל</w:t>
      </w:r>
      <w:hyperlink r:id="rId18" w:history="1">
        <w:r w:rsidR="003E7C39" w:rsidRPr="003E7C39">
          <w:rPr>
            <w:rFonts w:ascii="David" w:hAnsi="David"/>
            <w:b/>
            <w:bCs/>
            <w:color w:val="0000FF"/>
            <w:sz w:val="26"/>
            <w:szCs w:val="26"/>
            <w:u w:val="single"/>
            <w:rtl/>
          </w:rPr>
          <w:t>חוק העונשין</w:t>
        </w:r>
      </w:hyperlink>
      <w:r w:rsidRPr="008C1798">
        <w:rPr>
          <w:rFonts w:ascii="David" w:hAnsi="David"/>
          <w:b/>
          <w:bCs/>
          <w:sz w:val="26"/>
          <w:szCs w:val="26"/>
          <w:rtl/>
        </w:rPr>
        <w:t xml:space="preserve"> – </w:t>
      </w:r>
      <w:r w:rsidRPr="008C1798">
        <w:rPr>
          <w:rFonts w:ascii="David" w:hAnsi="David"/>
          <w:sz w:val="26"/>
          <w:szCs w:val="26"/>
          <w:rtl/>
        </w:rPr>
        <w:t xml:space="preserve">בין הנסיבות הקשורות בביצוע העבירה יש לשקול את אלה, לעניין קביעת המתחם: ניתן לקבוע כי היה תכנון מוקדם לביצוע העבירות, שכן הסמים חולקו והוחבאו במקומות שונים בחדר בית המלון והחזקת המשקל יכולה להעיד על כוונת סחר. הנאשם בגיר והיה צריך להימנע מביצוע המעשים ולו האחריות הבלעדית על ביצועם. </w:t>
      </w:r>
      <w:r>
        <w:rPr>
          <w:rFonts w:ascii="David" w:hAnsi="David"/>
          <w:sz w:val="26"/>
          <w:szCs w:val="26"/>
          <w:rtl/>
        </w:rPr>
        <w:t xml:space="preserve">אמנם מדובר בכמות לא קטנה של </w:t>
      </w:r>
      <w:r w:rsidRPr="008C1798">
        <w:rPr>
          <w:rFonts w:ascii="David" w:hAnsi="David"/>
          <w:sz w:val="26"/>
          <w:szCs w:val="26"/>
          <w:rtl/>
        </w:rPr>
        <w:t xml:space="preserve">סמים, אך טיב הסם אינו מהחמורים. </w:t>
      </w:r>
      <w:r>
        <w:rPr>
          <w:rFonts w:ascii="David" w:hAnsi="David" w:hint="cs"/>
          <w:sz w:val="26"/>
          <w:szCs w:val="26"/>
          <w:rtl/>
        </w:rPr>
        <w:t xml:space="preserve">עם זאת, החזקה שלא לצריכה עצמית של כל סוג סם, עלולה להזיק מאוד לשלום הציבור ובריאותו. </w:t>
      </w:r>
    </w:p>
    <w:p w14:paraId="34A193E8" w14:textId="77777777" w:rsidR="00EB6C98" w:rsidRPr="008C1798" w:rsidRDefault="00EB6C98" w:rsidP="00EB6C98">
      <w:pPr>
        <w:spacing w:line="360" w:lineRule="auto"/>
        <w:jc w:val="both"/>
        <w:rPr>
          <w:rFonts w:ascii="David" w:hAnsi="David"/>
          <w:sz w:val="26"/>
          <w:szCs w:val="26"/>
          <w:rtl/>
        </w:rPr>
      </w:pPr>
    </w:p>
    <w:p w14:paraId="35B4099E" w14:textId="77777777" w:rsidR="00EB6C98" w:rsidRPr="008C1798" w:rsidRDefault="00EB6C98" w:rsidP="00EB6C98">
      <w:pPr>
        <w:spacing w:after="160" w:line="360" w:lineRule="auto"/>
        <w:jc w:val="both"/>
        <w:rPr>
          <w:rFonts w:ascii="David" w:hAnsi="David"/>
          <w:sz w:val="26"/>
          <w:szCs w:val="26"/>
        </w:rPr>
      </w:pPr>
      <w:r w:rsidRPr="008C1798">
        <w:rPr>
          <w:rFonts w:ascii="David" w:hAnsi="David"/>
          <w:b/>
          <w:bCs/>
          <w:sz w:val="26"/>
          <w:szCs w:val="26"/>
          <w:u w:val="single"/>
          <w:rtl/>
        </w:rPr>
        <w:t>מדיניות הענישה הנוהגת</w:t>
      </w:r>
      <w:r w:rsidRPr="008C1798">
        <w:rPr>
          <w:rFonts w:ascii="David" w:hAnsi="David"/>
          <w:b/>
          <w:bCs/>
          <w:sz w:val="26"/>
          <w:szCs w:val="26"/>
          <w:rtl/>
        </w:rPr>
        <w:t xml:space="preserve"> – </w:t>
      </w:r>
      <w:r w:rsidRPr="008C1798">
        <w:rPr>
          <w:rFonts w:ascii="David" w:hAnsi="David"/>
          <w:sz w:val="26"/>
          <w:szCs w:val="26"/>
          <w:rtl/>
        </w:rPr>
        <w:t>סקירת הפסיקה בנסיבות דומות מלמדת על טווח עונשי רחב המוטל על נאשמים. מפנה ל</w:t>
      </w:r>
      <w:hyperlink r:id="rId19" w:history="1">
        <w:r w:rsidR="003E7C39" w:rsidRPr="003E7C39">
          <w:rPr>
            <w:rFonts w:ascii="David" w:hAnsi="David"/>
            <w:color w:val="0000FF"/>
            <w:sz w:val="26"/>
            <w:szCs w:val="26"/>
            <w:u w:val="single"/>
            <w:rtl/>
          </w:rPr>
          <w:t>ת"פ (קרית שמונה) 14998-08-16</w:t>
        </w:r>
      </w:hyperlink>
      <w:r w:rsidRPr="008C1798">
        <w:rPr>
          <w:rFonts w:ascii="David" w:hAnsi="David"/>
          <w:sz w:val="26"/>
          <w:szCs w:val="26"/>
          <w:rtl/>
        </w:rPr>
        <w:t xml:space="preserve">, </w:t>
      </w:r>
      <w:r w:rsidRPr="008C1798">
        <w:rPr>
          <w:rFonts w:ascii="David" w:hAnsi="David"/>
          <w:b/>
          <w:bCs/>
          <w:sz w:val="26"/>
          <w:szCs w:val="26"/>
          <w:u w:val="single"/>
          <w:rtl/>
        </w:rPr>
        <w:t>מדינת ישראל</w:t>
      </w:r>
      <w:r w:rsidRPr="008C1798">
        <w:rPr>
          <w:rFonts w:ascii="David" w:hAnsi="David"/>
          <w:sz w:val="26"/>
          <w:szCs w:val="26"/>
          <w:rtl/>
        </w:rPr>
        <w:t xml:space="preserve"> נ' </w:t>
      </w:r>
      <w:r w:rsidRPr="008C1798">
        <w:rPr>
          <w:rFonts w:ascii="David" w:hAnsi="David"/>
          <w:b/>
          <w:bCs/>
          <w:sz w:val="26"/>
          <w:szCs w:val="26"/>
          <w:u w:val="single"/>
          <w:rtl/>
        </w:rPr>
        <w:t>כהן</w:t>
      </w:r>
      <w:r w:rsidRPr="008C1798">
        <w:rPr>
          <w:rFonts w:ascii="David" w:hAnsi="David"/>
          <w:sz w:val="26"/>
          <w:szCs w:val="26"/>
          <w:rtl/>
        </w:rPr>
        <w:t xml:space="preserve">,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w:t>
      </w:r>
      <w:hyperlink r:id="rId20" w:history="1">
        <w:r w:rsidR="00B43507" w:rsidRPr="00B43507">
          <w:rPr>
            <w:rFonts w:ascii="David" w:hAnsi="David"/>
            <w:color w:val="0000FF"/>
            <w:sz w:val="26"/>
            <w:szCs w:val="26"/>
            <w:u w:val="single"/>
            <w:rtl/>
          </w:rPr>
          <w:t xml:space="preserve">6161/16 </w:t>
        </w:r>
      </w:hyperlink>
      <w:r w:rsidRPr="008C1798">
        <w:rPr>
          <w:rFonts w:ascii="David" w:hAnsi="David"/>
          <w:sz w:val="26"/>
          <w:szCs w:val="26"/>
          <w:rtl/>
        </w:rPr>
        <w:t xml:space="preserve"> </w:t>
      </w:r>
      <w:r w:rsidRPr="008C1798">
        <w:rPr>
          <w:rFonts w:ascii="David" w:hAnsi="David"/>
          <w:b/>
          <w:bCs/>
          <w:sz w:val="26"/>
          <w:szCs w:val="26"/>
          <w:u w:val="single"/>
          <w:rtl/>
        </w:rPr>
        <w:t>יזרעאלוב</w:t>
      </w:r>
      <w:r w:rsidRPr="008C1798">
        <w:rPr>
          <w:rFonts w:ascii="David" w:hAnsi="David"/>
          <w:sz w:val="26"/>
          <w:szCs w:val="26"/>
          <w:rtl/>
        </w:rPr>
        <w:t xml:space="preserve"> נ' </w:t>
      </w:r>
      <w:r w:rsidRPr="008C1798">
        <w:rPr>
          <w:rFonts w:ascii="David" w:hAnsi="David"/>
          <w:b/>
          <w:bCs/>
          <w:sz w:val="26"/>
          <w:szCs w:val="26"/>
          <w:u w:val="single"/>
          <w:rtl/>
        </w:rPr>
        <w:t>מ"י</w:t>
      </w:r>
      <w:r w:rsidRPr="008C1798">
        <w:rPr>
          <w:rFonts w:ascii="David" w:hAnsi="David"/>
          <w:sz w:val="26"/>
          <w:szCs w:val="26"/>
          <w:rtl/>
        </w:rPr>
        <w:t xml:space="preserve"> (מיום 20.2.2017); </w:t>
      </w:r>
      <w:hyperlink r:id="rId21" w:history="1">
        <w:r w:rsidR="003E7C39" w:rsidRPr="003E7C39">
          <w:rPr>
            <w:rFonts w:ascii="David" w:hAnsi="David"/>
            <w:color w:val="0000FF"/>
            <w:sz w:val="26"/>
            <w:szCs w:val="26"/>
            <w:u w:val="single"/>
            <w:rtl/>
          </w:rPr>
          <w:t>רע"פ 5478/19</w:t>
        </w:r>
      </w:hyperlink>
      <w:r w:rsidRPr="008C1798">
        <w:rPr>
          <w:rFonts w:ascii="David" w:hAnsi="David"/>
          <w:sz w:val="26"/>
          <w:szCs w:val="26"/>
          <w:rtl/>
        </w:rPr>
        <w:t xml:space="preserve"> </w:t>
      </w:r>
      <w:r w:rsidRPr="008C1798">
        <w:rPr>
          <w:rFonts w:ascii="David" w:hAnsi="David"/>
          <w:b/>
          <w:bCs/>
          <w:sz w:val="26"/>
          <w:szCs w:val="26"/>
          <w:u w:val="single"/>
          <w:rtl/>
        </w:rPr>
        <w:t>לוין</w:t>
      </w:r>
      <w:r w:rsidRPr="008C1798">
        <w:rPr>
          <w:rFonts w:ascii="David" w:hAnsi="David"/>
          <w:sz w:val="26"/>
          <w:szCs w:val="26"/>
          <w:rtl/>
        </w:rPr>
        <w:t xml:space="preserve"> נ' </w:t>
      </w:r>
      <w:r w:rsidRPr="008C1798">
        <w:rPr>
          <w:rFonts w:ascii="David" w:hAnsi="David"/>
          <w:b/>
          <w:bCs/>
          <w:sz w:val="26"/>
          <w:szCs w:val="26"/>
          <w:u w:val="single"/>
          <w:rtl/>
        </w:rPr>
        <w:t>מ"י</w:t>
      </w:r>
      <w:r w:rsidRPr="008C1798">
        <w:rPr>
          <w:rFonts w:ascii="David" w:hAnsi="David"/>
          <w:sz w:val="26"/>
          <w:szCs w:val="26"/>
          <w:rtl/>
        </w:rPr>
        <w:t xml:space="preserve">  (מיום 25.8.2019), שם הסתפק בית המשפט העליון בעונש של של"ץ בנסיבות חמורות יותר של סחר במספר מקרים. </w:t>
      </w:r>
    </w:p>
    <w:p w14:paraId="56E1C02C" w14:textId="77777777" w:rsidR="00EB6C98" w:rsidRDefault="00EB6C98" w:rsidP="00EB6C98">
      <w:pPr>
        <w:spacing w:after="160" w:line="360" w:lineRule="auto"/>
        <w:jc w:val="both"/>
        <w:rPr>
          <w:rFonts w:ascii="David" w:hAnsi="David"/>
          <w:b/>
          <w:bCs/>
          <w:sz w:val="26"/>
          <w:szCs w:val="26"/>
          <w:u w:val="single"/>
          <w:rtl/>
        </w:rPr>
      </w:pPr>
    </w:p>
    <w:p w14:paraId="2D9646A8" w14:textId="77777777" w:rsidR="00EB6C98" w:rsidRPr="008C1798" w:rsidRDefault="00EB6C98" w:rsidP="00EB6C98">
      <w:pPr>
        <w:spacing w:after="160" w:line="360" w:lineRule="auto"/>
        <w:jc w:val="both"/>
        <w:rPr>
          <w:rFonts w:ascii="David" w:hAnsi="David"/>
          <w:sz w:val="26"/>
          <w:szCs w:val="26"/>
        </w:rPr>
      </w:pPr>
      <w:r w:rsidRPr="008C1798">
        <w:rPr>
          <w:rFonts w:ascii="David" w:hAnsi="David"/>
          <w:b/>
          <w:bCs/>
          <w:sz w:val="26"/>
          <w:szCs w:val="26"/>
          <w:u w:val="single"/>
          <w:rtl/>
        </w:rPr>
        <w:t>מתחם הענישה</w:t>
      </w:r>
      <w:r w:rsidRPr="008C1798">
        <w:rPr>
          <w:rFonts w:ascii="David" w:hAnsi="David"/>
          <w:sz w:val="26"/>
          <w:szCs w:val="26"/>
          <w:rtl/>
        </w:rPr>
        <w:t xml:space="preserve"> – לפיכך, מתחם הענישה  צריך לעמוד על מאסר על תנאי, של"ץ ועד 8 חודשי מאסר בפועל.</w:t>
      </w:r>
    </w:p>
    <w:p w14:paraId="7921595E" w14:textId="77777777" w:rsidR="00EB6C98" w:rsidRPr="008C1798" w:rsidRDefault="00EB6C98" w:rsidP="00EB6C98">
      <w:pPr>
        <w:spacing w:line="360" w:lineRule="auto"/>
        <w:jc w:val="both"/>
        <w:rPr>
          <w:rFonts w:ascii="David" w:hAnsi="David"/>
          <w:b/>
          <w:bCs/>
          <w:sz w:val="26"/>
          <w:szCs w:val="26"/>
          <w:rtl/>
        </w:rPr>
      </w:pPr>
    </w:p>
    <w:p w14:paraId="0F6E7026" w14:textId="77777777" w:rsidR="00EB6C98" w:rsidRPr="008C1798" w:rsidRDefault="00EB6C98" w:rsidP="00EB6C98">
      <w:pPr>
        <w:spacing w:line="360" w:lineRule="auto"/>
        <w:jc w:val="both"/>
        <w:rPr>
          <w:rFonts w:ascii="David" w:hAnsi="David"/>
          <w:sz w:val="26"/>
          <w:szCs w:val="26"/>
          <w:rtl/>
        </w:rPr>
      </w:pPr>
      <w:r w:rsidRPr="008C1798">
        <w:rPr>
          <w:rFonts w:ascii="David" w:hAnsi="David"/>
          <w:b/>
          <w:bCs/>
          <w:sz w:val="26"/>
          <w:szCs w:val="26"/>
          <w:u w:val="single"/>
          <w:rtl/>
        </w:rPr>
        <w:t xml:space="preserve">נסיבות שאינן קשורות בביצוע העבירה לפי </w:t>
      </w:r>
      <w:hyperlink r:id="rId22" w:history="1">
        <w:r w:rsidR="003A709F" w:rsidRPr="003A709F">
          <w:rPr>
            <w:rStyle w:val="Hyperlink"/>
            <w:rFonts w:ascii="David" w:hAnsi="David"/>
            <w:b/>
            <w:bCs/>
            <w:sz w:val="26"/>
            <w:szCs w:val="26"/>
            <w:rtl/>
          </w:rPr>
          <w:t>סעיף 40י"א</w:t>
        </w:r>
      </w:hyperlink>
      <w:r w:rsidRPr="008C1798">
        <w:rPr>
          <w:rFonts w:ascii="David" w:hAnsi="David"/>
          <w:b/>
          <w:bCs/>
          <w:sz w:val="26"/>
          <w:szCs w:val="26"/>
          <w:u w:val="single"/>
          <w:rtl/>
        </w:rPr>
        <w:t xml:space="preserve"> ל</w:t>
      </w:r>
      <w:hyperlink r:id="rId23" w:history="1">
        <w:r w:rsidR="003E7C39" w:rsidRPr="003E7C39">
          <w:rPr>
            <w:rFonts w:ascii="David" w:hAnsi="David"/>
            <w:b/>
            <w:bCs/>
            <w:color w:val="0000FF"/>
            <w:sz w:val="26"/>
            <w:szCs w:val="26"/>
            <w:u w:val="single"/>
            <w:rtl/>
          </w:rPr>
          <w:t>חוק העונשין</w:t>
        </w:r>
      </w:hyperlink>
      <w:r w:rsidRPr="008C1798">
        <w:rPr>
          <w:rFonts w:ascii="David" w:hAnsi="David"/>
          <w:b/>
          <w:bCs/>
          <w:sz w:val="26"/>
          <w:szCs w:val="26"/>
          <w:rtl/>
        </w:rPr>
        <w:t xml:space="preserve"> – </w:t>
      </w:r>
      <w:r w:rsidRPr="008C1798">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הנאשם קיבל אחריות למעשיו ובשנים האחרונות הוא מתפקד באורח נורמטיבי, מפרנס יחיד לבת זוגו ובנותיו. מאידך, לנאשם רישום פלילי רלבנטי והתנהלותו מול שירות המבחן מלמדת כי אינו מפסיק לצרוך סמים. עם זאת לא נטען כי הוא צורך סמים מעבר לקנביס, ובהתחשב בהתייחסות לסם מסוג זה כיום, המשמעות של עובדה זו מתונה. יש לקחת בחשבון את מועד ביצוע העבירה. אינני מקל עם הנאשם בשל אי צירוף התיק, אלא סבור, ששליחת הנאשם למאסר כיום, תהווה צעד מדרדר שאינו עומד בקנה אחד עם האינטרס הציבורי והפרטי כאחד.</w:t>
      </w:r>
    </w:p>
    <w:p w14:paraId="1AD1252B" w14:textId="77777777" w:rsidR="00EB6C98" w:rsidRPr="008C1798" w:rsidRDefault="00EB6C98" w:rsidP="00EB6C98">
      <w:pPr>
        <w:spacing w:line="360" w:lineRule="auto"/>
        <w:jc w:val="both"/>
        <w:rPr>
          <w:rFonts w:ascii="David" w:hAnsi="David"/>
          <w:sz w:val="26"/>
          <w:szCs w:val="26"/>
          <w:rtl/>
        </w:rPr>
      </w:pPr>
    </w:p>
    <w:p w14:paraId="648BA169"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t>המיקום במתחם</w:t>
      </w:r>
      <w:r w:rsidRPr="008C1798">
        <w:rPr>
          <w:rFonts w:ascii="David" w:hAnsi="David"/>
          <w:sz w:val="26"/>
          <w:szCs w:val="26"/>
          <w:rtl/>
        </w:rPr>
        <w:t xml:space="preserve"> </w:t>
      </w:r>
      <w:r>
        <w:rPr>
          <w:rFonts w:ascii="David" w:hAnsi="David"/>
          <w:sz w:val="26"/>
          <w:szCs w:val="26"/>
          <w:rtl/>
        </w:rPr>
        <w:t>–</w:t>
      </w:r>
      <w:r w:rsidRPr="008C1798">
        <w:rPr>
          <w:rFonts w:ascii="David" w:hAnsi="David"/>
          <w:sz w:val="26"/>
          <w:szCs w:val="26"/>
          <w:rtl/>
        </w:rPr>
        <w:t xml:space="preserve"> </w:t>
      </w:r>
      <w:r>
        <w:rPr>
          <w:rFonts w:ascii="David" w:hAnsi="David" w:hint="cs"/>
          <w:sz w:val="26"/>
          <w:szCs w:val="26"/>
          <w:rtl/>
        </w:rPr>
        <w:t xml:space="preserve">במכלול הנסיבות ניתן הסתפק בענישה בתחתית המתחם, תוך איזונה בהטלת קנס משמעותי. </w:t>
      </w:r>
    </w:p>
    <w:p w14:paraId="5BBC1B39" w14:textId="77777777" w:rsidR="00EB6C98" w:rsidRPr="008C1798" w:rsidRDefault="00EB6C98" w:rsidP="00EB6C98">
      <w:pPr>
        <w:spacing w:line="360" w:lineRule="auto"/>
        <w:jc w:val="both"/>
        <w:rPr>
          <w:rFonts w:ascii="David" w:hAnsi="David"/>
          <w:b/>
          <w:bCs/>
          <w:sz w:val="26"/>
          <w:szCs w:val="26"/>
          <w:u w:val="single"/>
          <w:rtl/>
        </w:rPr>
      </w:pPr>
      <w:r w:rsidRPr="008C1798">
        <w:rPr>
          <w:rFonts w:ascii="David" w:hAnsi="David"/>
          <w:b/>
          <w:bCs/>
          <w:sz w:val="26"/>
          <w:szCs w:val="26"/>
          <w:u w:val="single"/>
          <w:rtl/>
        </w:rPr>
        <w:t>גזירת הדין</w:t>
      </w:r>
    </w:p>
    <w:p w14:paraId="5A6D50FE" w14:textId="77777777" w:rsidR="00EB6C98" w:rsidRPr="008C1798" w:rsidRDefault="00EB6C98" w:rsidP="00EB6C98">
      <w:pPr>
        <w:spacing w:line="360" w:lineRule="auto"/>
        <w:jc w:val="both"/>
        <w:rPr>
          <w:rFonts w:ascii="David" w:hAnsi="David"/>
          <w:sz w:val="26"/>
          <w:szCs w:val="26"/>
          <w:rtl/>
        </w:rPr>
      </w:pPr>
      <w:r w:rsidRPr="008C1798">
        <w:rPr>
          <w:rFonts w:ascii="David" w:hAnsi="David"/>
          <w:sz w:val="26"/>
          <w:szCs w:val="26"/>
          <w:rtl/>
        </w:rPr>
        <w:t>לפיכך, אני מחליט לגזור על הנאשם את העונשים הבאים:</w:t>
      </w:r>
    </w:p>
    <w:p w14:paraId="2EC900B5" w14:textId="77777777" w:rsidR="00EB6C98" w:rsidRDefault="00EB6C98" w:rsidP="00EB6C98">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sidRPr="008C1798">
        <w:rPr>
          <w:rFonts w:ascii="David" w:hAnsi="David"/>
          <w:sz w:val="26"/>
          <w:szCs w:val="26"/>
          <w:rtl/>
        </w:rPr>
        <w:t xml:space="preserve">חודשי מאסר שלא ירוצו, אלא אם יעבור הנאשם </w:t>
      </w:r>
      <w:r>
        <w:rPr>
          <w:rFonts w:ascii="David" w:hAnsi="David" w:hint="cs"/>
          <w:sz w:val="26"/>
          <w:szCs w:val="26"/>
          <w:rtl/>
        </w:rPr>
        <w:t xml:space="preserve">כל עבירת פשע לפי </w:t>
      </w:r>
      <w:hyperlink r:id="rId24" w:history="1">
        <w:r w:rsidR="003E7C39" w:rsidRPr="003E7C39">
          <w:rPr>
            <w:rFonts w:ascii="David" w:hAnsi="David"/>
            <w:color w:val="0000FF"/>
            <w:sz w:val="26"/>
            <w:szCs w:val="26"/>
            <w:u w:val="single"/>
            <w:rtl/>
          </w:rPr>
          <w:t>פקודת הסמים המסוכנים</w:t>
        </w:r>
      </w:hyperlink>
      <w:r>
        <w:rPr>
          <w:rFonts w:ascii="David" w:hAnsi="David" w:hint="cs"/>
          <w:sz w:val="26"/>
          <w:szCs w:val="26"/>
          <w:rtl/>
        </w:rPr>
        <w:t xml:space="preserve"> בתוך שלוש שנים מהיום;</w:t>
      </w:r>
    </w:p>
    <w:p w14:paraId="702CF0D3" w14:textId="77777777" w:rsidR="00EB6C98" w:rsidRPr="008C1798" w:rsidRDefault="00EB6C98" w:rsidP="00EB6C98">
      <w:pPr>
        <w:numPr>
          <w:ilvl w:val="0"/>
          <w:numId w:val="1"/>
        </w:numPr>
        <w:spacing w:after="160" w:line="360" w:lineRule="auto"/>
        <w:contextualSpacing/>
        <w:jc w:val="both"/>
        <w:rPr>
          <w:rFonts w:ascii="David" w:hAnsi="David"/>
          <w:sz w:val="26"/>
          <w:szCs w:val="26"/>
          <w:rtl/>
        </w:rPr>
      </w:pPr>
      <w:r w:rsidRPr="008C1798">
        <w:rPr>
          <w:rFonts w:ascii="David" w:hAnsi="David"/>
          <w:sz w:val="26"/>
          <w:szCs w:val="26"/>
          <w:rtl/>
        </w:rPr>
        <w:t xml:space="preserve">קנס בסך  </w:t>
      </w:r>
      <w:r>
        <w:rPr>
          <w:rFonts w:ascii="David" w:hAnsi="David" w:hint="cs"/>
          <w:sz w:val="26"/>
          <w:szCs w:val="26"/>
          <w:rtl/>
        </w:rPr>
        <w:t xml:space="preserve">4,000 </w:t>
      </w:r>
      <w:r w:rsidRPr="008C1798">
        <w:rPr>
          <w:rFonts w:ascii="David" w:hAnsi="David"/>
          <w:sz w:val="26"/>
          <w:szCs w:val="26"/>
          <w:rtl/>
        </w:rPr>
        <w:t>₪, או</w:t>
      </w:r>
      <w:r>
        <w:rPr>
          <w:rFonts w:ascii="David" w:hAnsi="David" w:hint="cs"/>
          <w:sz w:val="26"/>
          <w:szCs w:val="26"/>
          <w:rtl/>
        </w:rPr>
        <w:t xml:space="preserve"> חודש מאסר תמורתו </w:t>
      </w:r>
      <w:r w:rsidRPr="008C1798">
        <w:rPr>
          <w:rFonts w:ascii="David" w:hAnsi="David"/>
          <w:sz w:val="26"/>
          <w:szCs w:val="26"/>
          <w:rtl/>
        </w:rPr>
        <w:t>אם לא ישולם. הקנס ישולם  ב-</w:t>
      </w:r>
      <w:r>
        <w:rPr>
          <w:rFonts w:ascii="David" w:hAnsi="David" w:hint="cs"/>
          <w:sz w:val="26"/>
          <w:szCs w:val="26"/>
          <w:rtl/>
        </w:rPr>
        <w:t xml:space="preserve">20 </w:t>
      </w:r>
      <w:r w:rsidRPr="008C1798">
        <w:rPr>
          <w:rFonts w:ascii="David" w:hAnsi="David"/>
          <w:sz w:val="26"/>
          <w:szCs w:val="26"/>
          <w:rtl/>
        </w:rPr>
        <w:t xml:space="preserve"> תשלומים שווים ורצופים ב-</w:t>
      </w:r>
      <w:r>
        <w:rPr>
          <w:rFonts w:ascii="David" w:hAnsi="David" w:hint="cs"/>
          <w:sz w:val="26"/>
          <w:szCs w:val="26"/>
          <w:rtl/>
        </w:rPr>
        <w:t xml:space="preserve">1 </w:t>
      </w:r>
      <w:r w:rsidRPr="008C1798">
        <w:rPr>
          <w:rFonts w:ascii="David" w:hAnsi="David"/>
          <w:sz w:val="26"/>
          <w:szCs w:val="26"/>
          <w:rtl/>
        </w:rPr>
        <w:t xml:space="preserve"> בכל  חודש</w:t>
      </w:r>
      <w:r>
        <w:rPr>
          <w:rFonts w:ascii="David" w:hAnsi="David" w:hint="cs"/>
          <w:sz w:val="26"/>
          <w:szCs w:val="26"/>
          <w:rtl/>
        </w:rPr>
        <w:t xml:space="preserve"> החל מיום 1.9.2022</w:t>
      </w:r>
      <w:r w:rsidRPr="008C1798">
        <w:rPr>
          <w:rFonts w:ascii="David" w:hAnsi="David"/>
          <w:sz w:val="26"/>
          <w:szCs w:val="26"/>
          <w:rtl/>
        </w:rPr>
        <w:t>. 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071FBD07" w14:textId="77777777" w:rsidR="00EB6C98" w:rsidRPr="008C1798" w:rsidRDefault="00EB6C98" w:rsidP="00EB6C98">
      <w:pPr>
        <w:numPr>
          <w:ilvl w:val="0"/>
          <w:numId w:val="1"/>
        </w:numPr>
        <w:spacing w:after="160" w:line="360" w:lineRule="auto"/>
        <w:contextualSpacing/>
        <w:jc w:val="both"/>
        <w:rPr>
          <w:rFonts w:ascii="David" w:hAnsi="David"/>
          <w:sz w:val="26"/>
          <w:szCs w:val="26"/>
          <w:rtl/>
        </w:rPr>
      </w:pPr>
      <w:r w:rsidRPr="008C1798">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xml:space="preserve"> ₪ שלא לעבור כל עביר</w:t>
      </w:r>
      <w:r>
        <w:rPr>
          <w:rFonts w:ascii="David" w:hAnsi="David" w:hint="cs"/>
          <w:sz w:val="26"/>
          <w:szCs w:val="26"/>
          <w:rtl/>
        </w:rPr>
        <w:t xml:space="preserve">ת פשע לפי פקודת הסמים </w:t>
      </w:r>
      <w:r w:rsidRPr="008C1798">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67A35815" w14:textId="77777777" w:rsidR="00EB6C98" w:rsidRPr="008C1798" w:rsidRDefault="00EB6C98" w:rsidP="00EB6C98">
      <w:pPr>
        <w:spacing w:line="360" w:lineRule="auto"/>
        <w:rPr>
          <w:rFonts w:ascii="David" w:hAnsi="David"/>
          <w:sz w:val="26"/>
          <w:szCs w:val="26"/>
        </w:rPr>
      </w:pPr>
    </w:p>
    <w:p w14:paraId="007713B8" w14:textId="77777777" w:rsidR="00EB6C98" w:rsidRPr="008C1798" w:rsidRDefault="00EB6C98" w:rsidP="00EB6C98">
      <w:pPr>
        <w:spacing w:line="360" w:lineRule="auto"/>
        <w:rPr>
          <w:rFonts w:ascii="David" w:hAnsi="David"/>
          <w:sz w:val="26"/>
          <w:szCs w:val="26"/>
        </w:rPr>
      </w:pPr>
      <w:r w:rsidRPr="008C1798">
        <w:rPr>
          <w:rFonts w:ascii="David" w:hAnsi="David"/>
          <w:sz w:val="26"/>
          <w:szCs w:val="26"/>
          <w:rtl/>
        </w:rPr>
        <w:t>מורה על השמדת הסמים</w:t>
      </w:r>
      <w:r>
        <w:rPr>
          <w:rFonts w:ascii="David" w:hAnsi="David" w:hint="cs"/>
          <w:sz w:val="26"/>
          <w:szCs w:val="26"/>
          <w:rtl/>
        </w:rPr>
        <w:t xml:space="preserve"> והמוצגים</w:t>
      </w:r>
      <w:r w:rsidRPr="008C1798">
        <w:rPr>
          <w:rFonts w:ascii="David" w:hAnsi="David"/>
          <w:sz w:val="26"/>
          <w:szCs w:val="26"/>
          <w:rtl/>
        </w:rPr>
        <w:t>.</w:t>
      </w:r>
    </w:p>
    <w:p w14:paraId="733C3782" w14:textId="77777777" w:rsidR="00EB6C98" w:rsidRPr="008C1798" w:rsidRDefault="00EB6C98" w:rsidP="00EB6C98">
      <w:pPr>
        <w:spacing w:line="360" w:lineRule="auto"/>
        <w:rPr>
          <w:rFonts w:ascii="David" w:hAnsi="David"/>
          <w:sz w:val="26"/>
          <w:szCs w:val="26"/>
          <w:rtl/>
        </w:rPr>
      </w:pPr>
      <w:r w:rsidRPr="008C1798">
        <w:rPr>
          <w:rFonts w:ascii="David" w:hAnsi="David"/>
          <w:sz w:val="26"/>
          <w:szCs w:val="26"/>
          <w:rtl/>
        </w:rPr>
        <w:t>יש לשלוח לשירות המבחן.</w:t>
      </w:r>
    </w:p>
    <w:p w14:paraId="682A62DF" w14:textId="77777777" w:rsidR="00EB6C98" w:rsidRDefault="00EB6C98" w:rsidP="00EB6C98">
      <w:pPr>
        <w:rPr>
          <w:rFonts w:ascii="David" w:hAnsi="David"/>
          <w:sz w:val="26"/>
          <w:szCs w:val="26"/>
          <w:rtl/>
        </w:rPr>
      </w:pPr>
    </w:p>
    <w:p w14:paraId="3D1FF8ED" w14:textId="77777777" w:rsidR="00EB6C98" w:rsidRDefault="00EB6C98" w:rsidP="00EB6C98">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E9D75DD" w14:textId="77777777" w:rsidR="00EB6C98" w:rsidRDefault="00EB6C98" w:rsidP="00EB6C98">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25"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49BF69FD" w14:textId="77777777" w:rsidR="00EB6C98" w:rsidRDefault="00EB6C98" w:rsidP="00EB6C98">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4F51EC6C" w14:textId="77777777" w:rsidR="00EB6C98" w:rsidRDefault="00EB6C98" w:rsidP="00EB6C98">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14E7B916" w14:textId="77777777" w:rsidR="00EB6C98" w:rsidRDefault="00EB6C98" w:rsidP="00EB6C98">
      <w:pPr>
        <w:spacing w:line="360" w:lineRule="auto"/>
        <w:jc w:val="both"/>
        <w:rPr>
          <w:rFonts w:ascii="David" w:hAnsi="David"/>
          <w:b/>
          <w:bCs/>
          <w:sz w:val="26"/>
          <w:szCs w:val="26"/>
          <w:rtl/>
        </w:rPr>
      </w:pPr>
      <w:r>
        <w:rPr>
          <w:rFonts w:ascii="David" w:hAnsi="David"/>
          <w:b/>
          <w:bCs/>
          <w:sz w:val="26"/>
          <w:szCs w:val="26"/>
          <w:rtl/>
        </w:rPr>
        <w:t>לא יונפקו שוברי תשלום.</w:t>
      </w:r>
    </w:p>
    <w:p w14:paraId="18B45045" w14:textId="77777777" w:rsidR="00EB6C98" w:rsidRDefault="00EB6C98" w:rsidP="00EB6C98"/>
    <w:p w14:paraId="58782149" w14:textId="77777777" w:rsidR="00EB6C98" w:rsidRDefault="00EB6C98" w:rsidP="00EB6C98">
      <w:pPr>
        <w:rPr>
          <w:rFonts w:ascii="David" w:hAnsi="David"/>
          <w:sz w:val="26"/>
          <w:szCs w:val="26"/>
          <w:rtl/>
        </w:rPr>
      </w:pPr>
    </w:p>
    <w:p w14:paraId="13A1CC88" w14:textId="77777777" w:rsidR="00EB6C98" w:rsidRPr="008C1798" w:rsidRDefault="003E7C39" w:rsidP="00EB6C98">
      <w:pPr>
        <w:rPr>
          <w:rFonts w:ascii="David" w:hAnsi="David"/>
          <w:sz w:val="26"/>
          <w:szCs w:val="26"/>
          <w:rtl/>
        </w:rPr>
      </w:pPr>
      <w:r w:rsidRPr="003E7C39">
        <w:rPr>
          <w:rFonts w:ascii="David" w:hAnsi="David"/>
          <w:color w:val="FFFFFF"/>
          <w:sz w:val="2"/>
          <w:szCs w:val="2"/>
          <w:rtl/>
        </w:rPr>
        <w:t>5129371</w:t>
      </w:r>
      <w:r w:rsidR="00EB6C98" w:rsidRPr="008C1798">
        <w:rPr>
          <w:rFonts w:ascii="David" w:hAnsi="David"/>
          <w:sz w:val="26"/>
          <w:szCs w:val="26"/>
          <w:rtl/>
        </w:rPr>
        <w:t>זכות ערעור כחוק לבית המשפט המחוזי בירושלים בתוך 45 יום מהיום.</w:t>
      </w:r>
    </w:p>
    <w:p w14:paraId="41303D2C" w14:textId="77777777" w:rsidR="00EB6C98" w:rsidRPr="003E7C39" w:rsidRDefault="003E7C39" w:rsidP="00EB6C98">
      <w:pPr>
        <w:rPr>
          <w:rFonts w:ascii="David" w:hAnsi="David"/>
          <w:color w:val="FFFFFF"/>
          <w:sz w:val="2"/>
          <w:szCs w:val="2"/>
          <w:rtl/>
        </w:rPr>
      </w:pPr>
      <w:r w:rsidRPr="003E7C39">
        <w:rPr>
          <w:rFonts w:ascii="David" w:hAnsi="David"/>
          <w:color w:val="FFFFFF"/>
          <w:sz w:val="2"/>
          <w:szCs w:val="2"/>
          <w:rtl/>
        </w:rPr>
        <w:t>54678313</w:t>
      </w:r>
    </w:p>
    <w:p w14:paraId="72A78A90" w14:textId="77777777" w:rsidR="00EB6C98" w:rsidRPr="002B7D23" w:rsidRDefault="00EB6C98" w:rsidP="00EB6C98">
      <w:pPr>
        <w:rPr>
          <w:rFonts w:ascii="David" w:hAnsi="David"/>
          <w:sz w:val="26"/>
          <w:szCs w:val="26"/>
          <w:rtl/>
        </w:rPr>
      </w:pPr>
    </w:p>
    <w:p w14:paraId="207B9E64" w14:textId="77777777" w:rsidR="00EB6C98" w:rsidRPr="002B7D23" w:rsidRDefault="003E7C39" w:rsidP="00EB6C98">
      <w:pPr>
        <w:rPr>
          <w:rFonts w:ascii="David" w:hAnsi="David"/>
          <w:sz w:val="26"/>
          <w:szCs w:val="26"/>
          <w:rtl/>
        </w:rPr>
      </w:pPr>
      <w:bookmarkStart w:id="8" w:name="Nitan"/>
      <w:r>
        <w:rPr>
          <w:rFonts w:ascii="David" w:hAnsi="David"/>
          <w:sz w:val="26"/>
          <w:szCs w:val="26"/>
          <w:rtl/>
        </w:rPr>
        <w:t xml:space="preserve">ניתן היום,  כ"ג סיוון תשפ"ב, 22 יוני 2022, במעמד הצדדים. </w:t>
      </w:r>
      <w:bookmarkEnd w:id="8"/>
    </w:p>
    <w:p w14:paraId="41782158" w14:textId="77777777" w:rsidR="003E7C39" w:rsidRDefault="003E7C39" w:rsidP="003E7C39">
      <w:pPr>
        <w:rPr>
          <w:rtl/>
        </w:rPr>
      </w:pPr>
    </w:p>
    <w:p w14:paraId="38A3FD98" w14:textId="77777777" w:rsidR="003E7C39" w:rsidRDefault="003E7C39" w:rsidP="003E7C3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64474C8" w14:textId="77777777" w:rsidR="003A709F" w:rsidRPr="003A709F" w:rsidRDefault="003A709F" w:rsidP="003A709F">
      <w:pPr>
        <w:keepNext/>
        <w:rPr>
          <w:rFonts w:ascii="David" w:hAnsi="David"/>
          <w:color w:val="000000"/>
          <w:sz w:val="22"/>
          <w:szCs w:val="22"/>
          <w:rtl/>
        </w:rPr>
      </w:pPr>
    </w:p>
    <w:p w14:paraId="0B40D7DA" w14:textId="77777777" w:rsidR="003A709F" w:rsidRPr="003A709F" w:rsidRDefault="003A709F" w:rsidP="003A709F">
      <w:pPr>
        <w:keepNext/>
        <w:rPr>
          <w:rFonts w:ascii="David" w:hAnsi="David"/>
          <w:color w:val="000000"/>
          <w:sz w:val="22"/>
          <w:szCs w:val="22"/>
          <w:rtl/>
        </w:rPr>
      </w:pPr>
      <w:r w:rsidRPr="003A709F">
        <w:rPr>
          <w:rFonts w:ascii="David" w:hAnsi="David"/>
          <w:color w:val="000000"/>
          <w:sz w:val="22"/>
          <w:szCs w:val="22"/>
          <w:rtl/>
        </w:rPr>
        <w:t>דוד שאול גבאי ריכטר 54678313-/</w:t>
      </w:r>
    </w:p>
    <w:p w14:paraId="51A58CB4" w14:textId="77777777" w:rsidR="003E7C39" w:rsidRPr="003E7C39" w:rsidRDefault="003A709F" w:rsidP="003A709F">
      <w:pPr>
        <w:rPr>
          <w:color w:val="0000FF"/>
          <w:u w:val="single"/>
        </w:rPr>
      </w:pPr>
      <w:r w:rsidRPr="003A709F">
        <w:rPr>
          <w:color w:val="000000"/>
          <w:u w:val="single"/>
          <w:rtl/>
        </w:rPr>
        <w:t>נוסח מסמך זה כפוף לשינויי ניסוח ועריכה</w:t>
      </w:r>
    </w:p>
    <w:sectPr w:rsidR="003E7C39" w:rsidRPr="003E7C39" w:rsidSect="003A709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A5145" w14:textId="77777777" w:rsidR="00EA41ED" w:rsidRDefault="00EA41ED" w:rsidP="000E2A5F">
      <w:r>
        <w:separator/>
      </w:r>
    </w:p>
  </w:endnote>
  <w:endnote w:type="continuationSeparator" w:id="0">
    <w:p w14:paraId="32BD6A65" w14:textId="77777777" w:rsidR="00EA41ED" w:rsidRDefault="00EA41ED" w:rsidP="000E2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ED48" w14:textId="77777777" w:rsidR="003A709F" w:rsidRDefault="003A709F" w:rsidP="003A70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51E2E8" w14:textId="77777777" w:rsidR="00B13DA1" w:rsidRPr="003A709F" w:rsidRDefault="003A709F" w:rsidP="003A709F">
    <w:pPr>
      <w:pStyle w:val="a5"/>
      <w:pBdr>
        <w:top w:val="single" w:sz="4" w:space="1" w:color="auto"/>
        <w:between w:val="single" w:sz="4" w:space="0" w:color="auto"/>
      </w:pBdr>
      <w:spacing w:after="60"/>
      <w:jc w:val="center"/>
      <w:rPr>
        <w:rFonts w:ascii="FrankRuehl" w:hAnsi="FrankRuehl" w:cs="FrankRuehl"/>
        <w:color w:val="000000"/>
      </w:rPr>
    </w:pPr>
    <w:r w:rsidRPr="003A70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60A3" w14:textId="77777777" w:rsidR="003A709F" w:rsidRDefault="003A709F" w:rsidP="003A70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4A08">
      <w:rPr>
        <w:rFonts w:ascii="FrankRuehl" w:hAnsi="FrankRuehl" w:cs="FrankRuehl"/>
        <w:noProof/>
        <w:rtl/>
      </w:rPr>
      <w:t>1</w:t>
    </w:r>
    <w:r>
      <w:rPr>
        <w:rFonts w:ascii="FrankRuehl" w:hAnsi="FrankRuehl" w:cs="FrankRuehl"/>
        <w:rtl/>
      </w:rPr>
      <w:fldChar w:fldCharType="end"/>
    </w:r>
  </w:p>
  <w:p w14:paraId="7AB71511" w14:textId="77777777" w:rsidR="00B13DA1" w:rsidRPr="003A709F" w:rsidRDefault="003A709F" w:rsidP="003A709F">
    <w:pPr>
      <w:pStyle w:val="a5"/>
      <w:pBdr>
        <w:top w:val="single" w:sz="4" w:space="1" w:color="auto"/>
        <w:between w:val="single" w:sz="4" w:space="0" w:color="auto"/>
      </w:pBdr>
      <w:spacing w:after="60"/>
      <w:jc w:val="center"/>
      <w:rPr>
        <w:rFonts w:ascii="FrankRuehl" w:hAnsi="FrankRuehl" w:cs="FrankRuehl"/>
        <w:color w:val="000000"/>
      </w:rPr>
    </w:pPr>
    <w:r w:rsidRPr="003A709F">
      <w:rPr>
        <w:rFonts w:ascii="FrankRuehl" w:hAnsi="FrankRuehl" w:cs="FrankRuehl"/>
        <w:color w:val="000000"/>
      </w:rPr>
      <w:pict w14:anchorId="13487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62127" w14:textId="77777777" w:rsidR="00EA41ED" w:rsidRDefault="00EA41ED" w:rsidP="000E2A5F">
      <w:r>
        <w:separator/>
      </w:r>
    </w:p>
  </w:footnote>
  <w:footnote w:type="continuationSeparator" w:id="0">
    <w:p w14:paraId="1B7687D9" w14:textId="77777777" w:rsidR="00EA41ED" w:rsidRDefault="00EA41ED" w:rsidP="000E2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27998" w14:textId="77777777" w:rsidR="003E7C39" w:rsidRPr="003A709F" w:rsidRDefault="003A709F" w:rsidP="003A70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37803-08-20</w:t>
    </w:r>
    <w:r>
      <w:rPr>
        <w:rFonts w:ascii="David" w:hAnsi="David"/>
        <w:color w:val="000000"/>
        <w:sz w:val="22"/>
        <w:szCs w:val="22"/>
        <w:rtl/>
      </w:rPr>
      <w:tab/>
      <w:t xml:space="preserve"> מדינת ישראל נ' מתן מימון חדידה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3B373" w14:textId="77777777" w:rsidR="003E7C39" w:rsidRPr="003A709F" w:rsidRDefault="003A709F" w:rsidP="003A70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37803-08-20</w:t>
    </w:r>
    <w:r>
      <w:rPr>
        <w:rFonts w:ascii="David" w:hAnsi="David"/>
        <w:color w:val="000000"/>
        <w:sz w:val="22"/>
        <w:szCs w:val="22"/>
        <w:rtl/>
      </w:rPr>
      <w:tab/>
      <w:t xml:space="preserve"> מדינת ישראל נ' מתן מימון חדידה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54081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219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C98"/>
    <w:rsid w:val="000E2A5F"/>
    <w:rsid w:val="001B5A3B"/>
    <w:rsid w:val="003A709F"/>
    <w:rsid w:val="003D20EB"/>
    <w:rsid w:val="003E7C39"/>
    <w:rsid w:val="005E02EA"/>
    <w:rsid w:val="007144E6"/>
    <w:rsid w:val="007524B4"/>
    <w:rsid w:val="00A80D3D"/>
    <w:rsid w:val="00B13DA1"/>
    <w:rsid w:val="00B43507"/>
    <w:rsid w:val="00B71A20"/>
    <w:rsid w:val="00B85A88"/>
    <w:rsid w:val="00E54A08"/>
    <w:rsid w:val="00EA41ED"/>
    <w:rsid w:val="00EB6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DD0B91"/>
  <w15:chartTrackingRefBased/>
  <w15:docId w15:val="{C2E0DE62-0CBA-4B69-BF8E-A06589FD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C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6C98"/>
    <w:pPr>
      <w:tabs>
        <w:tab w:val="center" w:pos="4153"/>
        <w:tab w:val="right" w:pos="8306"/>
      </w:tabs>
    </w:pPr>
  </w:style>
  <w:style w:type="character" w:customStyle="1" w:styleId="a4">
    <w:name w:val="כותרת עליונה תו"/>
    <w:link w:val="a3"/>
    <w:rsid w:val="00EB6C98"/>
    <w:rPr>
      <w:rFonts w:ascii="Times New Roman" w:eastAsia="Times New Roman" w:hAnsi="Times New Roman" w:cs="David"/>
      <w:sz w:val="24"/>
      <w:szCs w:val="24"/>
    </w:rPr>
  </w:style>
  <w:style w:type="paragraph" w:styleId="a5">
    <w:name w:val="footer"/>
    <w:basedOn w:val="a"/>
    <w:link w:val="a6"/>
    <w:rsid w:val="00EB6C98"/>
    <w:pPr>
      <w:tabs>
        <w:tab w:val="center" w:pos="4153"/>
        <w:tab w:val="right" w:pos="8306"/>
      </w:tabs>
    </w:pPr>
  </w:style>
  <w:style w:type="character" w:customStyle="1" w:styleId="a6">
    <w:name w:val="כותרת תחתונה תו"/>
    <w:link w:val="a5"/>
    <w:rsid w:val="00EB6C98"/>
    <w:rPr>
      <w:rFonts w:ascii="Times New Roman" w:eastAsia="Times New Roman" w:hAnsi="Times New Roman" w:cs="David"/>
      <w:sz w:val="24"/>
      <w:szCs w:val="24"/>
    </w:rPr>
  </w:style>
  <w:style w:type="table" w:styleId="a7">
    <w:name w:val="Table Grid"/>
    <w:basedOn w:val="a1"/>
    <w:rsid w:val="00EB6C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6C98"/>
  </w:style>
  <w:style w:type="character" w:styleId="Hyperlink">
    <w:name w:val="Hyperlink"/>
    <w:rsid w:val="00EB6C98"/>
    <w:rPr>
      <w:color w:val="0000FF"/>
      <w:u w:val="single"/>
    </w:rPr>
  </w:style>
  <w:style w:type="paragraph" w:styleId="a9">
    <w:name w:val="List Paragraph"/>
    <w:basedOn w:val="a"/>
    <w:qFormat/>
    <w:rsid w:val="00EB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975844"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law/4216/10a" TargetMode="External"/><Relationship Id="rId20" Type="http://schemas.openxmlformats.org/officeDocument/2006/relationships/hyperlink" Target="http://www.nevo.co.il/case/2147765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4216/10a" TargetMode="External"/><Relationship Id="rId19" Type="http://schemas.openxmlformats.org/officeDocument/2006/relationships/hyperlink" Target="http://www.nevo.co.il/case/2191452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40j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7359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7864368</vt:i4>
      </vt:variant>
      <vt:variant>
        <vt:i4>54</vt:i4>
      </vt:variant>
      <vt:variant>
        <vt:i4>0</vt:i4>
      </vt:variant>
      <vt:variant>
        <vt:i4>5</vt:i4>
      </vt:variant>
      <vt:variant>
        <vt:lpwstr>http://www.eca.gov.il/</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3801214</vt:i4>
      </vt:variant>
      <vt:variant>
        <vt:i4>42</vt:i4>
      </vt:variant>
      <vt:variant>
        <vt:i4>0</vt:i4>
      </vt:variant>
      <vt:variant>
        <vt:i4>5</vt:i4>
      </vt:variant>
      <vt:variant>
        <vt:lpwstr>http://www.nevo.co.il/case/25975844</vt:lpwstr>
      </vt:variant>
      <vt:variant>
        <vt:lpwstr/>
      </vt:variant>
      <vt:variant>
        <vt:i4>3407988</vt:i4>
      </vt:variant>
      <vt:variant>
        <vt:i4>39</vt:i4>
      </vt:variant>
      <vt:variant>
        <vt:i4>0</vt:i4>
      </vt:variant>
      <vt:variant>
        <vt:i4>5</vt:i4>
      </vt:variant>
      <vt:variant>
        <vt:lpwstr>http://www.nevo.co.il/case/21477656</vt:lpwstr>
      </vt:variant>
      <vt:variant>
        <vt:lpwstr/>
      </vt:variant>
      <vt:variant>
        <vt:i4>3997809</vt:i4>
      </vt:variant>
      <vt:variant>
        <vt:i4>36</vt:i4>
      </vt:variant>
      <vt:variant>
        <vt:i4>0</vt:i4>
      </vt:variant>
      <vt:variant>
        <vt:i4>5</vt:i4>
      </vt:variant>
      <vt:variant>
        <vt:lpwstr>http://www.nevo.co.il/case/21914524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3014778</vt:i4>
      </vt:variant>
      <vt:variant>
        <vt:i4>27</vt:i4>
      </vt:variant>
      <vt:variant>
        <vt:i4>0</vt:i4>
      </vt:variant>
      <vt:variant>
        <vt:i4>5</vt:i4>
      </vt:variant>
      <vt:variant>
        <vt:lpwstr>http://www.nevo.co.il/law/4216/10a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3014778</vt:i4>
      </vt:variant>
      <vt:variant>
        <vt:i4>9</vt:i4>
      </vt:variant>
      <vt:variant>
        <vt:i4>0</vt:i4>
      </vt:variant>
      <vt:variant>
        <vt:i4>5</vt:i4>
      </vt:variant>
      <vt:variant>
        <vt:lpwstr>http://www.nevo.co.il/law/4216/10a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37803</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מתן מימון חדידה</vt:lpwstr>
  </property>
  <property fmtid="{D5CDD505-2E9C-101B-9397-08002B2CF9AE}" pid="10" name="LAWYER">
    <vt:lpwstr>נעמה ישראל;אלכס גפני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5</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21914524;21477656;25975844</vt:lpwstr>
  </property>
  <property fmtid="{D5CDD505-2E9C-101B-9397-08002B2CF9AE}" pid="36" name="LAWLISTTMP1">
    <vt:lpwstr>4216/007.a;007.c;010a</vt:lpwstr>
  </property>
  <property fmtid="{D5CDD505-2E9C-101B-9397-08002B2CF9AE}" pid="37" name="LAWLISTTMP2">
    <vt:lpwstr>70301/040i;40ja</vt:lpwstr>
  </property>
</Properties>
</file>