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D17C30" w:rsidRPr="002E765A" w14:paraId="3FECF518" w14:textId="77777777" w:rsidTr="00303F64">
        <w:trPr>
          <w:trHeight w:hRule="exact" w:val="418"/>
          <w:jc w:val="center"/>
        </w:trPr>
        <w:tc>
          <w:tcPr>
            <w:tcW w:w="8721" w:type="dxa"/>
            <w:gridSpan w:val="2"/>
          </w:tcPr>
          <w:p w14:paraId="7E77405C" w14:textId="77777777" w:rsidR="00D17C30" w:rsidRPr="002E765A" w:rsidRDefault="00D17C30" w:rsidP="00401FA5">
            <w:pPr>
              <w:pStyle w:val="a3"/>
              <w:jc w:val="center"/>
              <w:rPr>
                <w:rFonts w:ascii="Tahoma" w:hAnsi="Tahoma" w:cs="Tahoma"/>
                <w:color w:val="000080"/>
                <w:rtl/>
              </w:rPr>
            </w:pPr>
            <w:bookmarkStart w:id="0" w:name="LastJudge"/>
            <w:r w:rsidRPr="002E765A">
              <w:rPr>
                <w:rFonts w:ascii="Tahoma" w:hAnsi="Tahoma" w:cs="Tahoma"/>
                <w:b/>
                <w:bCs/>
                <w:color w:val="000080"/>
                <w:rtl/>
              </w:rPr>
              <w:t>בית משפט השלום בתל אביב-יפו</w:t>
            </w:r>
          </w:p>
        </w:tc>
      </w:tr>
      <w:tr w:rsidR="00D17C30" w:rsidRPr="002E765A" w14:paraId="1EDE62E3" w14:textId="77777777" w:rsidTr="00303F64">
        <w:trPr>
          <w:trHeight w:val="337"/>
          <w:jc w:val="center"/>
        </w:trPr>
        <w:tc>
          <w:tcPr>
            <w:tcW w:w="5055" w:type="dxa"/>
          </w:tcPr>
          <w:p w14:paraId="00837450" w14:textId="77777777" w:rsidR="00D17C30" w:rsidRPr="002E765A" w:rsidRDefault="00D17C30" w:rsidP="00401FA5">
            <w:pPr>
              <w:rPr>
                <w:rFonts w:cs="FrankRuehl"/>
                <w:sz w:val="28"/>
                <w:szCs w:val="28"/>
                <w:rtl/>
              </w:rPr>
            </w:pPr>
            <w:r w:rsidRPr="002E765A">
              <w:rPr>
                <w:rFonts w:cs="FrankRuehl"/>
                <w:sz w:val="28"/>
                <w:szCs w:val="28"/>
                <w:rtl/>
              </w:rPr>
              <w:t>ת"פ</w:t>
            </w:r>
            <w:r w:rsidRPr="002E765A">
              <w:rPr>
                <w:rFonts w:cs="FrankRuehl" w:hint="cs"/>
                <w:sz w:val="28"/>
                <w:szCs w:val="28"/>
                <w:rtl/>
              </w:rPr>
              <w:t xml:space="preserve"> </w:t>
            </w:r>
            <w:r w:rsidRPr="002E765A">
              <w:rPr>
                <w:rFonts w:cs="FrankRuehl"/>
                <w:sz w:val="28"/>
                <w:szCs w:val="28"/>
                <w:rtl/>
              </w:rPr>
              <w:t>52729-08-20</w:t>
            </w:r>
            <w:r w:rsidRPr="002E765A">
              <w:rPr>
                <w:rFonts w:cs="FrankRuehl" w:hint="cs"/>
                <w:sz w:val="28"/>
                <w:szCs w:val="28"/>
                <w:rtl/>
              </w:rPr>
              <w:t xml:space="preserve"> </w:t>
            </w:r>
            <w:r w:rsidRPr="002E765A">
              <w:rPr>
                <w:rFonts w:cs="FrankRuehl"/>
                <w:b/>
                <w:bCs/>
                <w:sz w:val="28"/>
                <w:szCs w:val="28"/>
                <w:rtl/>
              </w:rPr>
              <w:t>מדינת ישראל נ' טרגנסקי</w:t>
            </w:r>
          </w:p>
          <w:p w14:paraId="4E11C554" w14:textId="77777777" w:rsidR="00D17C30" w:rsidRPr="002E765A" w:rsidRDefault="00D17C30" w:rsidP="00401FA5">
            <w:pPr>
              <w:pStyle w:val="a3"/>
              <w:rPr>
                <w:rFonts w:cs="FrankRuehl"/>
                <w:sz w:val="28"/>
                <w:szCs w:val="28"/>
                <w:rtl/>
              </w:rPr>
            </w:pPr>
          </w:p>
        </w:tc>
        <w:tc>
          <w:tcPr>
            <w:tcW w:w="3666" w:type="dxa"/>
          </w:tcPr>
          <w:p w14:paraId="1ACBFE10" w14:textId="77777777" w:rsidR="00D17C30" w:rsidRPr="002E765A" w:rsidRDefault="00D17C30" w:rsidP="00401FA5">
            <w:pPr>
              <w:pStyle w:val="a3"/>
              <w:jc w:val="right"/>
              <w:rPr>
                <w:rFonts w:cs="FrankRuehl"/>
                <w:sz w:val="28"/>
                <w:szCs w:val="28"/>
                <w:rtl/>
              </w:rPr>
            </w:pPr>
          </w:p>
        </w:tc>
      </w:tr>
    </w:tbl>
    <w:p w14:paraId="54846559" w14:textId="77777777" w:rsidR="00D17C30" w:rsidRPr="002E765A" w:rsidRDefault="00D17C30" w:rsidP="00D17C30">
      <w:pPr>
        <w:pStyle w:val="a3"/>
        <w:rPr>
          <w:rtl/>
        </w:rPr>
      </w:pPr>
      <w:r w:rsidRPr="002E765A">
        <w:rPr>
          <w:rFonts w:hint="cs"/>
          <w:rtl/>
        </w:rPr>
        <w:t xml:space="preserve"> </w:t>
      </w:r>
    </w:p>
    <w:p w14:paraId="7630DAB9" w14:textId="77777777" w:rsidR="00D17C30" w:rsidRPr="002E765A" w:rsidRDefault="00D17C30" w:rsidP="00D17C30">
      <w:pPr>
        <w:spacing w:line="360" w:lineRule="auto"/>
        <w:rPr>
          <w:rtl/>
        </w:rPr>
      </w:pPr>
    </w:p>
    <w:p w14:paraId="4B43F1C7" w14:textId="77777777" w:rsidR="00D17C30" w:rsidRPr="002E765A" w:rsidRDefault="00D17C30" w:rsidP="00D17C30">
      <w:pPr>
        <w:spacing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D17C30" w:rsidRPr="002E765A" w14:paraId="138640CA" w14:textId="77777777" w:rsidTr="00D17C30">
        <w:trPr>
          <w:trHeight w:val="295"/>
          <w:jc w:val="center"/>
        </w:trPr>
        <w:tc>
          <w:tcPr>
            <w:tcW w:w="923" w:type="dxa"/>
            <w:tcBorders>
              <w:top w:val="nil"/>
              <w:left w:val="nil"/>
              <w:bottom w:val="nil"/>
              <w:right w:val="nil"/>
            </w:tcBorders>
            <w:shd w:val="clear" w:color="auto" w:fill="auto"/>
          </w:tcPr>
          <w:p w14:paraId="089F41D4" w14:textId="77777777" w:rsidR="00D17C30" w:rsidRPr="002E765A" w:rsidRDefault="00D17C30" w:rsidP="00D17C30">
            <w:pPr>
              <w:spacing w:line="360" w:lineRule="auto"/>
              <w:jc w:val="both"/>
              <w:rPr>
                <w:rFonts w:ascii="David" w:hAnsi="David"/>
                <w:b/>
                <w:bCs/>
                <w:sz w:val="26"/>
                <w:szCs w:val="26"/>
              </w:rPr>
            </w:pPr>
            <w:r w:rsidRPr="002E765A">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60AD1005" w14:textId="77777777" w:rsidR="00D17C30" w:rsidRPr="002E765A" w:rsidRDefault="00D17C30" w:rsidP="00D17C30">
            <w:pPr>
              <w:spacing w:line="360" w:lineRule="auto"/>
              <w:rPr>
                <w:rFonts w:ascii="David" w:hAnsi="David"/>
                <w:b/>
                <w:bCs/>
                <w:sz w:val="26"/>
                <w:szCs w:val="26"/>
                <w:rtl/>
              </w:rPr>
            </w:pPr>
            <w:r w:rsidRPr="002E765A">
              <w:rPr>
                <w:rFonts w:ascii="David" w:hAnsi="David" w:hint="cs"/>
                <w:b/>
                <w:bCs/>
                <w:sz w:val="26"/>
                <w:szCs w:val="26"/>
                <w:rtl/>
              </w:rPr>
              <w:t>כבוד השופט הבכיר, שאול אבינור</w:t>
            </w:r>
          </w:p>
          <w:p w14:paraId="6A4C7DE2" w14:textId="77777777" w:rsidR="00D17C30" w:rsidRPr="002E765A" w:rsidRDefault="00D17C30" w:rsidP="00D17C30">
            <w:pPr>
              <w:spacing w:line="360" w:lineRule="auto"/>
              <w:rPr>
                <w:rFonts w:ascii="David" w:hAnsi="David"/>
                <w:sz w:val="26"/>
                <w:szCs w:val="26"/>
              </w:rPr>
            </w:pPr>
          </w:p>
        </w:tc>
      </w:tr>
      <w:tr w:rsidR="00D17C30" w:rsidRPr="002E765A" w14:paraId="06A15480" w14:textId="77777777" w:rsidTr="00D17C30">
        <w:trPr>
          <w:trHeight w:val="355"/>
          <w:jc w:val="center"/>
        </w:trPr>
        <w:tc>
          <w:tcPr>
            <w:tcW w:w="923" w:type="dxa"/>
            <w:tcBorders>
              <w:top w:val="nil"/>
              <w:left w:val="nil"/>
              <w:bottom w:val="nil"/>
              <w:right w:val="nil"/>
            </w:tcBorders>
            <w:shd w:val="clear" w:color="auto" w:fill="auto"/>
          </w:tcPr>
          <w:p w14:paraId="20703843" w14:textId="77777777" w:rsidR="00D17C30" w:rsidRPr="002E765A" w:rsidRDefault="00D17C30" w:rsidP="00D17C30">
            <w:pPr>
              <w:spacing w:line="360" w:lineRule="auto"/>
              <w:jc w:val="both"/>
              <w:rPr>
                <w:rFonts w:ascii="David" w:hAnsi="David"/>
                <w:sz w:val="26"/>
                <w:szCs w:val="26"/>
              </w:rPr>
            </w:pPr>
            <w:bookmarkStart w:id="1" w:name="FirstAppellant"/>
            <w:bookmarkStart w:id="2" w:name="FirstLawyer"/>
            <w:r w:rsidRPr="002E765A">
              <w:rPr>
                <w:rFonts w:ascii="David" w:hAnsi="David"/>
                <w:sz w:val="26"/>
                <w:szCs w:val="26"/>
                <w:rtl/>
              </w:rPr>
              <w:t>בעניין:</w:t>
            </w:r>
          </w:p>
        </w:tc>
        <w:tc>
          <w:tcPr>
            <w:tcW w:w="3219" w:type="dxa"/>
            <w:tcBorders>
              <w:top w:val="nil"/>
              <w:left w:val="nil"/>
              <w:bottom w:val="nil"/>
              <w:right w:val="nil"/>
            </w:tcBorders>
            <w:shd w:val="clear" w:color="auto" w:fill="auto"/>
          </w:tcPr>
          <w:p w14:paraId="0C2B22A2" w14:textId="77777777" w:rsidR="00D17C30" w:rsidRPr="002E765A" w:rsidRDefault="00D17C30" w:rsidP="00D17C30">
            <w:pPr>
              <w:suppressLineNumbers/>
              <w:spacing w:line="360" w:lineRule="auto"/>
            </w:pPr>
            <w:r w:rsidRPr="002E765A">
              <w:rPr>
                <w:rFonts w:ascii="Arial" w:hAnsi="Arial" w:hint="cs"/>
                <w:b/>
                <w:bCs/>
                <w:sz w:val="26"/>
                <w:szCs w:val="26"/>
                <w:rtl/>
              </w:rPr>
              <w:t>המאשימה:</w:t>
            </w:r>
          </w:p>
          <w:p w14:paraId="6DDC4E7B" w14:textId="77777777" w:rsidR="00D17C30" w:rsidRPr="002E765A" w:rsidRDefault="00D17C30" w:rsidP="00D17C30">
            <w:pPr>
              <w:spacing w:line="360" w:lineRule="auto"/>
              <w:rPr>
                <w:rFonts w:ascii="David" w:hAnsi="David"/>
                <w:sz w:val="26"/>
                <w:szCs w:val="26"/>
              </w:rPr>
            </w:pPr>
          </w:p>
        </w:tc>
        <w:tc>
          <w:tcPr>
            <w:tcW w:w="4678" w:type="dxa"/>
            <w:tcBorders>
              <w:top w:val="nil"/>
              <w:left w:val="nil"/>
              <w:bottom w:val="nil"/>
              <w:right w:val="nil"/>
            </w:tcBorders>
            <w:shd w:val="clear" w:color="auto" w:fill="auto"/>
            <w:vAlign w:val="center"/>
          </w:tcPr>
          <w:p w14:paraId="37BBB647" w14:textId="77777777" w:rsidR="00D17C30" w:rsidRPr="002E765A" w:rsidRDefault="00D17C30" w:rsidP="00D17C30">
            <w:pPr>
              <w:suppressLineNumbers/>
              <w:spacing w:line="360" w:lineRule="auto"/>
              <w:rPr>
                <w:rFonts w:ascii="Arial" w:hAnsi="Arial"/>
                <w:rtl/>
              </w:rPr>
            </w:pPr>
            <w:r w:rsidRPr="002E765A">
              <w:rPr>
                <w:rFonts w:ascii="Arial" w:hAnsi="Arial"/>
                <w:b/>
                <w:bCs/>
                <w:sz w:val="26"/>
                <w:szCs w:val="26"/>
                <w:rtl/>
              </w:rPr>
              <w:t>מדינת ישראל</w:t>
            </w:r>
            <w:r w:rsidRPr="002E765A">
              <w:rPr>
                <w:rFonts w:ascii="Arial" w:hAnsi="Arial" w:hint="cs"/>
                <w:b/>
                <w:bCs/>
                <w:sz w:val="26"/>
                <w:szCs w:val="26"/>
                <w:rtl/>
              </w:rPr>
              <w:t xml:space="preserve"> </w:t>
            </w:r>
          </w:p>
          <w:p w14:paraId="374C835B" w14:textId="77777777" w:rsidR="00D17C30" w:rsidRPr="002E765A" w:rsidRDefault="00D17C30" w:rsidP="00D17C30">
            <w:pPr>
              <w:suppressLineNumbers/>
              <w:spacing w:line="360" w:lineRule="auto"/>
            </w:pPr>
            <w:r w:rsidRPr="002E765A">
              <w:rPr>
                <w:rFonts w:ascii="Arial" w:hAnsi="Arial"/>
                <w:rtl/>
              </w:rPr>
              <w:t>ע"י</w:t>
            </w:r>
            <w:r w:rsidRPr="002E765A">
              <w:rPr>
                <w:rFonts w:ascii="Arial" w:hAnsi="Arial"/>
                <w:b/>
                <w:bCs/>
                <w:sz w:val="26"/>
                <w:szCs w:val="26"/>
                <w:rtl/>
              </w:rPr>
              <w:t xml:space="preserve"> </w:t>
            </w:r>
            <w:r w:rsidRPr="002E765A">
              <w:rPr>
                <w:rFonts w:ascii="Arial" w:hAnsi="Arial"/>
                <w:rtl/>
              </w:rPr>
              <w:t>ב"כ עו"ד</w:t>
            </w:r>
            <w:r w:rsidRPr="002E765A">
              <w:rPr>
                <w:rFonts w:hint="cs"/>
                <w:rtl/>
              </w:rPr>
              <w:t xml:space="preserve"> שני מגדי</w:t>
            </w:r>
          </w:p>
          <w:p w14:paraId="0D58116E" w14:textId="77777777" w:rsidR="00D17C30" w:rsidRPr="002E765A" w:rsidRDefault="00D17C30" w:rsidP="00D17C30">
            <w:pPr>
              <w:spacing w:line="360" w:lineRule="auto"/>
              <w:rPr>
                <w:rFonts w:ascii="David" w:hAnsi="David"/>
                <w:sz w:val="26"/>
                <w:szCs w:val="26"/>
              </w:rPr>
            </w:pPr>
          </w:p>
        </w:tc>
      </w:tr>
      <w:bookmarkEnd w:id="1"/>
      <w:bookmarkEnd w:id="2"/>
      <w:tr w:rsidR="00D17C30" w:rsidRPr="002E765A" w14:paraId="3F94CF17" w14:textId="77777777" w:rsidTr="00D17C30">
        <w:trPr>
          <w:trHeight w:val="355"/>
          <w:jc w:val="center"/>
        </w:trPr>
        <w:tc>
          <w:tcPr>
            <w:tcW w:w="923" w:type="dxa"/>
            <w:tcBorders>
              <w:top w:val="nil"/>
              <w:left w:val="nil"/>
              <w:bottom w:val="nil"/>
              <w:right w:val="nil"/>
            </w:tcBorders>
            <w:shd w:val="clear" w:color="auto" w:fill="auto"/>
          </w:tcPr>
          <w:p w14:paraId="76335411" w14:textId="77777777" w:rsidR="00D17C30" w:rsidRPr="002E765A" w:rsidRDefault="00D17C30" w:rsidP="00D17C30">
            <w:pPr>
              <w:spacing w:line="360" w:lineRule="auto"/>
              <w:jc w:val="both"/>
              <w:rPr>
                <w:rFonts w:ascii="David" w:hAnsi="David"/>
                <w:sz w:val="26"/>
                <w:szCs w:val="26"/>
                <w:rtl/>
              </w:rPr>
            </w:pPr>
          </w:p>
        </w:tc>
        <w:tc>
          <w:tcPr>
            <w:tcW w:w="7897" w:type="dxa"/>
            <w:gridSpan w:val="2"/>
            <w:tcBorders>
              <w:top w:val="nil"/>
              <w:left w:val="nil"/>
              <w:bottom w:val="nil"/>
              <w:right w:val="nil"/>
            </w:tcBorders>
            <w:shd w:val="clear" w:color="auto" w:fill="auto"/>
          </w:tcPr>
          <w:p w14:paraId="2A2CF867" w14:textId="77777777" w:rsidR="00D17C30" w:rsidRPr="002E765A" w:rsidRDefault="00D17C30" w:rsidP="00D17C30">
            <w:pPr>
              <w:spacing w:line="360" w:lineRule="auto"/>
              <w:jc w:val="center"/>
              <w:rPr>
                <w:rFonts w:ascii="David" w:hAnsi="David"/>
                <w:b/>
                <w:bCs/>
                <w:sz w:val="26"/>
                <w:szCs w:val="26"/>
                <w:rtl/>
              </w:rPr>
            </w:pPr>
          </w:p>
          <w:p w14:paraId="1A42545F" w14:textId="77777777" w:rsidR="00D17C30" w:rsidRPr="002E765A" w:rsidRDefault="00D17C30" w:rsidP="00D17C30">
            <w:pPr>
              <w:spacing w:line="360" w:lineRule="auto"/>
              <w:jc w:val="center"/>
              <w:rPr>
                <w:rFonts w:ascii="David" w:hAnsi="David"/>
                <w:b/>
                <w:bCs/>
                <w:sz w:val="26"/>
                <w:szCs w:val="26"/>
                <w:rtl/>
              </w:rPr>
            </w:pPr>
          </w:p>
          <w:p w14:paraId="7DAB88E4" w14:textId="77777777" w:rsidR="00D17C30" w:rsidRPr="002E765A" w:rsidRDefault="00D17C30" w:rsidP="00D17C30">
            <w:pPr>
              <w:spacing w:line="360" w:lineRule="auto"/>
              <w:jc w:val="center"/>
              <w:rPr>
                <w:rFonts w:ascii="David" w:hAnsi="David"/>
                <w:b/>
                <w:bCs/>
                <w:sz w:val="26"/>
                <w:szCs w:val="26"/>
                <w:rtl/>
              </w:rPr>
            </w:pPr>
            <w:r w:rsidRPr="002E765A">
              <w:rPr>
                <w:rFonts w:ascii="David" w:hAnsi="David"/>
                <w:b/>
                <w:bCs/>
                <w:sz w:val="26"/>
                <w:szCs w:val="26"/>
                <w:rtl/>
              </w:rPr>
              <w:t>נגד</w:t>
            </w:r>
          </w:p>
          <w:p w14:paraId="38AF7E80" w14:textId="77777777" w:rsidR="00D17C30" w:rsidRPr="002E765A" w:rsidRDefault="00D17C30" w:rsidP="00D17C30">
            <w:pPr>
              <w:spacing w:line="360" w:lineRule="auto"/>
              <w:jc w:val="both"/>
              <w:rPr>
                <w:rFonts w:ascii="David" w:hAnsi="David"/>
                <w:sz w:val="26"/>
                <w:szCs w:val="26"/>
              </w:rPr>
            </w:pPr>
          </w:p>
        </w:tc>
      </w:tr>
      <w:tr w:rsidR="00D17C30" w:rsidRPr="002E765A" w14:paraId="1F04604A" w14:textId="77777777" w:rsidTr="00D17C30">
        <w:trPr>
          <w:trHeight w:val="355"/>
          <w:jc w:val="center"/>
        </w:trPr>
        <w:tc>
          <w:tcPr>
            <w:tcW w:w="923" w:type="dxa"/>
            <w:tcBorders>
              <w:top w:val="nil"/>
              <w:left w:val="nil"/>
              <w:bottom w:val="nil"/>
              <w:right w:val="nil"/>
            </w:tcBorders>
            <w:shd w:val="clear" w:color="auto" w:fill="auto"/>
          </w:tcPr>
          <w:p w14:paraId="4AD96FFC" w14:textId="77777777" w:rsidR="00D17C30" w:rsidRPr="002E765A" w:rsidRDefault="00D17C30" w:rsidP="00D17C30">
            <w:pPr>
              <w:spacing w:line="360" w:lineRule="auto"/>
              <w:rPr>
                <w:rFonts w:ascii="David" w:hAnsi="David"/>
                <w:sz w:val="26"/>
                <w:szCs w:val="26"/>
                <w:rtl/>
              </w:rPr>
            </w:pPr>
          </w:p>
        </w:tc>
        <w:tc>
          <w:tcPr>
            <w:tcW w:w="3219" w:type="dxa"/>
            <w:tcBorders>
              <w:top w:val="nil"/>
              <w:left w:val="nil"/>
              <w:bottom w:val="nil"/>
              <w:right w:val="nil"/>
            </w:tcBorders>
            <w:shd w:val="clear" w:color="auto" w:fill="auto"/>
          </w:tcPr>
          <w:p w14:paraId="12A9ED18" w14:textId="77777777" w:rsidR="00D17C30" w:rsidRPr="002E765A" w:rsidRDefault="00D17C30" w:rsidP="00D17C30">
            <w:pPr>
              <w:spacing w:line="360" w:lineRule="auto"/>
              <w:rPr>
                <w:rFonts w:ascii="Arial" w:hAnsi="Arial"/>
                <w:b/>
                <w:bCs/>
                <w:sz w:val="26"/>
                <w:szCs w:val="26"/>
                <w:rtl/>
              </w:rPr>
            </w:pPr>
            <w:r w:rsidRPr="002E765A">
              <w:rPr>
                <w:rFonts w:ascii="Arial" w:hAnsi="Arial" w:hint="cs"/>
                <w:b/>
                <w:bCs/>
                <w:sz w:val="26"/>
                <w:szCs w:val="26"/>
                <w:rtl/>
              </w:rPr>
              <w:t>הנאשם:</w:t>
            </w:r>
          </w:p>
        </w:tc>
        <w:tc>
          <w:tcPr>
            <w:tcW w:w="4678" w:type="dxa"/>
            <w:tcBorders>
              <w:top w:val="nil"/>
              <w:left w:val="nil"/>
              <w:bottom w:val="nil"/>
              <w:right w:val="nil"/>
            </w:tcBorders>
            <w:shd w:val="clear" w:color="auto" w:fill="auto"/>
            <w:vAlign w:val="center"/>
          </w:tcPr>
          <w:p w14:paraId="1BF95D54" w14:textId="77777777" w:rsidR="00D17C30" w:rsidRPr="002E765A" w:rsidRDefault="00D17C30" w:rsidP="00D17C30">
            <w:pPr>
              <w:suppressLineNumbers/>
              <w:spacing w:line="360" w:lineRule="auto"/>
              <w:rPr>
                <w:rFonts w:ascii="Arial" w:hAnsi="Arial"/>
                <w:b/>
                <w:bCs/>
                <w:sz w:val="26"/>
                <w:szCs w:val="26"/>
                <w:rtl/>
              </w:rPr>
            </w:pPr>
            <w:r w:rsidRPr="002E765A">
              <w:rPr>
                <w:rFonts w:ascii="Arial" w:hAnsi="Arial"/>
                <w:b/>
                <w:bCs/>
                <w:sz w:val="26"/>
                <w:szCs w:val="26"/>
                <w:rtl/>
              </w:rPr>
              <w:t>יהודה טרגנסקי</w:t>
            </w:r>
            <w:r w:rsidRPr="002E765A">
              <w:rPr>
                <w:rFonts w:ascii="Arial" w:hAnsi="Arial" w:hint="cs"/>
                <w:b/>
                <w:bCs/>
                <w:sz w:val="26"/>
                <w:szCs w:val="26"/>
                <w:rtl/>
              </w:rPr>
              <w:t xml:space="preserve"> </w:t>
            </w:r>
          </w:p>
          <w:p w14:paraId="487E2E6A" w14:textId="77777777" w:rsidR="00D17C30" w:rsidRPr="002E765A" w:rsidRDefault="00D17C30" w:rsidP="00D17C30">
            <w:pPr>
              <w:suppressLineNumbers/>
              <w:spacing w:line="360" w:lineRule="auto"/>
            </w:pPr>
            <w:r w:rsidRPr="002E765A">
              <w:rPr>
                <w:rFonts w:ascii="Arial" w:hAnsi="Arial"/>
                <w:rtl/>
              </w:rPr>
              <w:t>ע"י</w:t>
            </w:r>
            <w:r w:rsidRPr="002E765A">
              <w:rPr>
                <w:rFonts w:ascii="Arial" w:hAnsi="Arial"/>
                <w:b/>
                <w:bCs/>
                <w:sz w:val="26"/>
                <w:szCs w:val="26"/>
                <w:rtl/>
              </w:rPr>
              <w:t xml:space="preserve"> </w:t>
            </w:r>
            <w:r w:rsidRPr="002E765A">
              <w:rPr>
                <w:rFonts w:ascii="Arial" w:hAnsi="Arial"/>
                <w:rtl/>
              </w:rPr>
              <w:t>ב"כ עו"ד</w:t>
            </w:r>
            <w:r w:rsidRPr="002E765A">
              <w:rPr>
                <w:rFonts w:ascii="Arial" w:hAnsi="Arial" w:hint="cs"/>
                <w:rtl/>
              </w:rPr>
              <w:t xml:space="preserve"> אלון בן זיו</w:t>
            </w:r>
          </w:p>
          <w:p w14:paraId="2BC77C9D" w14:textId="77777777" w:rsidR="00D17C30" w:rsidRPr="002E765A" w:rsidRDefault="00D17C30" w:rsidP="00D17C30">
            <w:pPr>
              <w:spacing w:line="360" w:lineRule="auto"/>
              <w:rPr>
                <w:rFonts w:ascii="David" w:hAnsi="David"/>
                <w:sz w:val="26"/>
                <w:szCs w:val="26"/>
              </w:rPr>
            </w:pPr>
          </w:p>
        </w:tc>
      </w:tr>
    </w:tbl>
    <w:p w14:paraId="05EEB4C7" w14:textId="77777777" w:rsidR="00053835" w:rsidRPr="00053835" w:rsidRDefault="00053835" w:rsidP="00053835">
      <w:pPr>
        <w:spacing w:before="120" w:after="120" w:line="240" w:lineRule="exact"/>
        <w:ind w:left="283" w:hanging="283"/>
        <w:jc w:val="both"/>
        <w:rPr>
          <w:rFonts w:ascii="FrankRuehl" w:hAnsi="FrankRuehl" w:cs="FrankRuehl"/>
          <w:rtl/>
        </w:rPr>
      </w:pPr>
    </w:p>
    <w:p w14:paraId="3199EB1E" w14:textId="77777777" w:rsidR="004B381F" w:rsidRDefault="004B381F" w:rsidP="004B381F">
      <w:pPr>
        <w:spacing w:line="360" w:lineRule="auto"/>
        <w:rPr>
          <w:sz w:val="26"/>
          <w:szCs w:val="26"/>
          <w:rtl/>
        </w:rPr>
      </w:pPr>
      <w:bookmarkStart w:id="3" w:name="LawTable"/>
      <w:bookmarkEnd w:id="3"/>
    </w:p>
    <w:p w14:paraId="78DDB9E8" w14:textId="77777777" w:rsidR="004B381F" w:rsidRPr="004B381F" w:rsidRDefault="004B381F" w:rsidP="004B381F">
      <w:pPr>
        <w:spacing w:before="120" w:after="120" w:line="240" w:lineRule="exact"/>
        <w:ind w:left="283" w:hanging="283"/>
        <w:jc w:val="both"/>
        <w:rPr>
          <w:rFonts w:ascii="FrankRuehl" w:hAnsi="FrankRuehl" w:cs="FrankRuehl"/>
          <w:rtl/>
        </w:rPr>
      </w:pPr>
    </w:p>
    <w:p w14:paraId="6D31FB94" w14:textId="77777777" w:rsidR="004B381F" w:rsidRPr="004B381F" w:rsidRDefault="004B381F" w:rsidP="004B381F">
      <w:pPr>
        <w:spacing w:before="120" w:after="120" w:line="240" w:lineRule="exact"/>
        <w:ind w:left="283" w:hanging="283"/>
        <w:jc w:val="both"/>
        <w:rPr>
          <w:rFonts w:ascii="FrankRuehl" w:hAnsi="FrankRuehl" w:cs="FrankRuehl"/>
          <w:rtl/>
        </w:rPr>
      </w:pPr>
    </w:p>
    <w:p w14:paraId="318D582C" w14:textId="77777777" w:rsidR="004B381F" w:rsidRPr="004B381F" w:rsidRDefault="004B381F" w:rsidP="004B381F">
      <w:pPr>
        <w:spacing w:before="120" w:after="120" w:line="240" w:lineRule="exact"/>
        <w:ind w:left="283" w:hanging="283"/>
        <w:jc w:val="both"/>
        <w:rPr>
          <w:rFonts w:ascii="FrankRuehl" w:hAnsi="FrankRuehl" w:cs="FrankRuehl"/>
          <w:rtl/>
        </w:rPr>
      </w:pPr>
      <w:r w:rsidRPr="004B381F">
        <w:rPr>
          <w:rFonts w:ascii="FrankRuehl" w:hAnsi="FrankRuehl" w:cs="FrankRuehl"/>
          <w:rtl/>
        </w:rPr>
        <w:t xml:space="preserve">חקיקה שאוזכרה: </w:t>
      </w:r>
    </w:p>
    <w:p w14:paraId="167C701F" w14:textId="77777777" w:rsidR="004B381F" w:rsidRPr="004B381F" w:rsidRDefault="004B381F" w:rsidP="004B381F">
      <w:pPr>
        <w:spacing w:before="120" w:after="120" w:line="240" w:lineRule="exact"/>
        <w:ind w:left="283" w:hanging="283"/>
        <w:jc w:val="both"/>
        <w:rPr>
          <w:rFonts w:ascii="FrankRuehl" w:hAnsi="FrankRuehl" w:cs="FrankRuehl"/>
          <w:rtl/>
        </w:rPr>
      </w:pPr>
      <w:hyperlink r:id="rId7" w:history="1">
        <w:r w:rsidRPr="004B381F">
          <w:rPr>
            <w:rFonts w:ascii="FrankRuehl" w:hAnsi="FrankRuehl" w:cs="FrankRuehl"/>
            <w:color w:val="0000FF"/>
            <w:rtl/>
          </w:rPr>
          <w:t>פקודת הסמים המסוכנים [נוסח חדש], תשל"ג-1973</w:t>
        </w:r>
      </w:hyperlink>
      <w:r w:rsidRPr="004B381F">
        <w:rPr>
          <w:rFonts w:ascii="FrankRuehl" w:hAnsi="FrankRuehl" w:cs="FrankRuehl"/>
          <w:rtl/>
        </w:rPr>
        <w:t xml:space="preserve">: סע'  </w:t>
      </w:r>
      <w:hyperlink r:id="rId8" w:history="1">
        <w:r w:rsidRPr="004B381F">
          <w:rPr>
            <w:rFonts w:ascii="FrankRuehl" w:hAnsi="FrankRuehl" w:cs="FrankRuehl"/>
            <w:color w:val="0000FF"/>
            <w:rtl/>
          </w:rPr>
          <w:t>7(א)</w:t>
        </w:r>
      </w:hyperlink>
      <w:r w:rsidRPr="004B381F">
        <w:rPr>
          <w:rFonts w:ascii="FrankRuehl" w:hAnsi="FrankRuehl" w:cs="FrankRuehl"/>
          <w:rtl/>
        </w:rPr>
        <w:t xml:space="preserve">, </w:t>
      </w:r>
      <w:hyperlink r:id="rId9" w:history="1">
        <w:r w:rsidRPr="004B381F">
          <w:rPr>
            <w:rFonts w:ascii="FrankRuehl" w:hAnsi="FrankRuehl" w:cs="FrankRuehl"/>
            <w:color w:val="0000FF"/>
            <w:rtl/>
          </w:rPr>
          <w:t>7(ג)</w:t>
        </w:r>
      </w:hyperlink>
    </w:p>
    <w:p w14:paraId="3EE60A76" w14:textId="77777777" w:rsidR="004B381F" w:rsidRPr="004B381F" w:rsidRDefault="004B381F" w:rsidP="004B381F">
      <w:pPr>
        <w:spacing w:before="120" w:after="120" w:line="240" w:lineRule="exact"/>
        <w:ind w:left="283" w:hanging="283"/>
        <w:jc w:val="both"/>
        <w:rPr>
          <w:rFonts w:ascii="FrankRuehl" w:hAnsi="FrankRuehl" w:cs="FrankRuehl"/>
          <w:rtl/>
        </w:rPr>
      </w:pPr>
      <w:hyperlink r:id="rId10" w:history="1">
        <w:r w:rsidRPr="004B381F">
          <w:rPr>
            <w:rFonts w:ascii="FrankRuehl" w:hAnsi="FrankRuehl" w:cs="FrankRuehl"/>
            <w:color w:val="0000FF"/>
            <w:rtl/>
          </w:rPr>
          <w:t>חוק העונשין, תשל"ז-1977</w:t>
        </w:r>
      </w:hyperlink>
      <w:r w:rsidRPr="004B381F">
        <w:rPr>
          <w:rFonts w:ascii="FrankRuehl" w:hAnsi="FrankRuehl" w:cs="FrankRuehl"/>
          <w:rtl/>
        </w:rPr>
        <w:t xml:space="preserve">: סע'  </w:t>
      </w:r>
      <w:hyperlink r:id="rId11" w:history="1">
        <w:r w:rsidRPr="004B381F">
          <w:rPr>
            <w:rFonts w:ascii="FrankRuehl" w:hAnsi="FrankRuehl" w:cs="FrankRuehl"/>
            <w:color w:val="0000FF"/>
            <w:rtl/>
          </w:rPr>
          <w:t>40ד</w:t>
        </w:r>
      </w:hyperlink>
      <w:r w:rsidRPr="004B381F">
        <w:rPr>
          <w:rFonts w:ascii="FrankRuehl" w:hAnsi="FrankRuehl" w:cs="FrankRuehl"/>
          <w:rtl/>
        </w:rPr>
        <w:t xml:space="preserve">, </w:t>
      </w:r>
      <w:hyperlink r:id="rId12" w:history="1">
        <w:r w:rsidRPr="004B381F">
          <w:rPr>
            <w:rFonts w:ascii="FrankRuehl" w:hAnsi="FrankRuehl" w:cs="FrankRuehl"/>
            <w:color w:val="0000FF"/>
            <w:rtl/>
          </w:rPr>
          <w:t>40ט</w:t>
        </w:r>
      </w:hyperlink>
    </w:p>
    <w:p w14:paraId="1A2C295C" w14:textId="77777777" w:rsidR="004B381F" w:rsidRPr="004B381F" w:rsidRDefault="004B381F" w:rsidP="004B381F">
      <w:pPr>
        <w:spacing w:line="360" w:lineRule="auto"/>
        <w:rPr>
          <w:sz w:val="26"/>
          <w:szCs w:val="26"/>
          <w:rtl/>
        </w:rPr>
      </w:pPr>
      <w:bookmarkStart w:id="4" w:name="LawTable_End"/>
      <w:bookmarkEnd w:id="4"/>
    </w:p>
    <w:p w14:paraId="2B3B75C1" w14:textId="77777777" w:rsidR="00D17C30" w:rsidRPr="00053835" w:rsidRDefault="00D17C30" w:rsidP="00053835">
      <w:pPr>
        <w:spacing w:line="360" w:lineRule="auto"/>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17C30" w14:paraId="7562DAD3" w14:textId="77777777" w:rsidTr="00D17C30">
        <w:trPr>
          <w:trHeight w:val="355"/>
          <w:jc w:val="center"/>
        </w:trPr>
        <w:tc>
          <w:tcPr>
            <w:tcW w:w="8820" w:type="dxa"/>
            <w:tcBorders>
              <w:top w:val="nil"/>
              <w:left w:val="nil"/>
              <w:bottom w:val="nil"/>
              <w:right w:val="nil"/>
            </w:tcBorders>
            <w:shd w:val="clear" w:color="auto" w:fill="auto"/>
          </w:tcPr>
          <w:p w14:paraId="232143F5" w14:textId="77777777" w:rsidR="002E765A" w:rsidRPr="002E765A" w:rsidRDefault="002E765A" w:rsidP="002E765A">
            <w:pPr>
              <w:spacing w:after="120" w:line="360" w:lineRule="auto"/>
              <w:jc w:val="center"/>
              <w:rPr>
                <w:rFonts w:ascii="David" w:hAnsi="David"/>
                <w:b/>
                <w:bCs/>
                <w:sz w:val="36"/>
                <w:szCs w:val="36"/>
                <w:u w:val="single"/>
                <w:rtl/>
              </w:rPr>
            </w:pPr>
            <w:bookmarkStart w:id="5" w:name="PsakDin" w:colFirst="0" w:colLast="0"/>
            <w:bookmarkEnd w:id="0"/>
            <w:r w:rsidRPr="002E765A">
              <w:rPr>
                <w:rFonts w:ascii="David" w:hAnsi="David"/>
                <w:b/>
                <w:bCs/>
                <w:sz w:val="36"/>
                <w:szCs w:val="36"/>
                <w:u w:val="single"/>
                <w:rtl/>
              </w:rPr>
              <w:t>גזר דין</w:t>
            </w:r>
          </w:p>
          <w:p w14:paraId="4E38D57C" w14:textId="77777777" w:rsidR="00D17C30" w:rsidRPr="002E765A" w:rsidRDefault="00D17C30" w:rsidP="002E765A">
            <w:pPr>
              <w:spacing w:after="120" w:line="360" w:lineRule="auto"/>
              <w:jc w:val="center"/>
              <w:rPr>
                <w:rFonts w:ascii="David" w:hAnsi="David"/>
                <w:bCs/>
                <w:sz w:val="36"/>
                <w:szCs w:val="36"/>
                <w:u w:val="single"/>
                <w:rtl/>
              </w:rPr>
            </w:pPr>
          </w:p>
        </w:tc>
      </w:tr>
    </w:tbl>
    <w:bookmarkEnd w:id="5"/>
    <w:p w14:paraId="6C71B641" w14:textId="77777777" w:rsidR="00D17C30" w:rsidRDefault="00D17C30" w:rsidP="00D17C30">
      <w:pPr>
        <w:pStyle w:val="a9"/>
        <w:numPr>
          <w:ilvl w:val="0"/>
          <w:numId w:val="1"/>
        </w:numPr>
        <w:spacing w:after="120" w:line="360" w:lineRule="auto"/>
        <w:ind w:left="360"/>
        <w:jc w:val="both"/>
        <w:rPr>
          <w:rFonts w:ascii="Tahoma" w:hAnsi="Tahoma"/>
          <w:b/>
          <w:bCs/>
          <w:u w:val="single"/>
        </w:rPr>
      </w:pPr>
      <w:r>
        <w:rPr>
          <w:rFonts w:ascii="Tahoma" w:hAnsi="Tahoma"/>
          <w:b/>
          <w:bCs/>
          <w:u w:val="single"/>
          <w:rtl/>
        </w:rPr>
        <w:t>רקע כללי והשתלשלות ההליכים המשפטיים:</w:t>
      </w:r>
    </w:p>
    <w:p w14:paraId="6169C124" w14:textId="77777777" w:rsidR="00D17C30" w:rsidRDefault="00D17C30" w:rsidP="00D17C30">
      <w:pPr>
        <w:numPr>
          <w:ilvl w:val="0"/>
          <w:numId w:val="2"/>
        </w:numPr>
        <w:spacing w:after="120" w:line="360" w:lineRule="auto"/>
        <w:ind w:left="360"/>
        <w:jc w:val="both"/>
        <w:rPr>
          <w:rFonts w:ascii="Tahoma" w:hAnsi="Tahoma"/>
          <w:rtl/>
        </w:rPr>
      </w:pPr>
      <w:bookmarkStart w:id="6" w:name="ABSTRACT_START"/>
      <w:bookmarkEnd w:id="6"/>
      <w:r>
        <w:rPr>
          <w:rFonts w:ascii="David" w:hAnsi="David"/>
          <w:rtl/>
        </w:rPr>
        <w:t xml:space="preserve">הנאשם הורשע – על יסוד הודאתו בעובדות כתב האישום המתוקן, שניתנה במסגרת הסדר טיעון דיוני </w:t>
      </w:r>
      <w:r>
        <w:rPr>
          <w:rFonts w:ascii="David" w:hAnsi="David" w:hint="cs"/>
          <w:rtl/>
        </w:rPr>
        <w:t xml:space="preserve">בעיקרו </w:t>
      </w:r>
      <w:r>
        <w:rPr>
          <w:rFonts w:ascii="David" w:hAnsi="David"/>
          <w:rtl/>
        </w:rPr>
        <w:t xml:space="preserve">– בביצוע עבירה של </w:t>
      </w:r>
      <w:r>
        <w:rPr>
          <w:rFonts w:ascii="David" w:hAnsi="David"/>
          <w:b/>
          <w:bCs/>
          <w:rtl/>
        </w:rPr>
        <w:t>החזקת סמים מסוכנים שלא לצריכה עצמית</w:t>
      </w:r>
      <w:r>
        <w:rPr>
          <w:rFonts w:ascii="David" w:hAnsi="David"/>
          <w:rtl/>
        </w:rPr>
        <w:t xml:space="preserve">, לפי </w:t>
      </w:r>
      <w:r>
        <w:rPr>
          <w:rFonts w:ascii="David" w:hAnsi="David"/>
          <w:rtl/>
        </w:rPr>
        <w:lastRenderedPageBreak/>
        <w:t xml:space="preserve">הוראות </w:t>
      </w:r>
      <w:hyperlink r:id="rId13" w:history="1">
        <w:r w:rsidR="00303F64" w:rsidRPr="00303F64">
          <w:rPr>
            <w:rStyle w:val="Hyperlink"/>
            <w:rFonts w:ascii="David" w:hAnsi="David"/>
            <w:rtl/>
          </w:rPr>
          <w:t>סעיף 7(א)</w:t>
        </w:r>
      </w:hyperlink>
      <w:r>
        <w:rPr>
          <w:rFonts w:ascii="David" w:hAnsi="David"/>
          <w:rtl/>
        </w:rPr>
        <w:t xml:space="preserve"> יחד עם </w:t>
      </w:r>
      <w:hyperlink r:id="rId14" w:history="1">
        <w:r w:rsidR="00303F64" w:rsidRPr="00303F64">
          <w:rPr>
            <w:rStyle w:val="Hyperlink"/>
            <w:rFonts w:ascii="David" w:hAnsi="David"/>
            <w:rtl/>
          </w:rPr>
          <w:t>סעיף 7(ג)</w:t>
        </w:r>
      </w:hyperlink>
      <w:r>
        <w:rPr>
          <w:rFonts w:ascii="David" w:hAnsi="David"/>
          <w:rtl/>
        </w:rPr>
        <w:t xml:space="preserve"> רישא ל</w:t>
      </w:r>
      <w:hyperlink r:id="rId15" w:history="1">
        <w:r w:rsidR="002E765A" w:rsidRPr="002E765A">
          <w:rPr>
            <w:rFonts w:ascii="David" w:hAnsi="David"/>
            <w:color w:val="0000FF"/>
            <w:u w:val="single"/>
            <w:rtl/>
          </w:rPr>
          <w:t>פקודת הסמים המסוכנים</w:t>
        </w:r>
      </w:hyperlink>
      <w:r>
        <w:rPr>
          <w:rFonts w:ascii="David" w:hAnsi="David"/>
          <w:rtl/>
        </w:rPr>
        <w:t xml:space="preserve"> [נוסח חדש], תשל"ג-1973 (להלן – פקודת הסמים המסוכנים).</w:t>
      </w:r>
    </w:p>
    <w:p w14:paraId="312360B7" w14:textId="77777777" w:rsidR="00D17C30" w:rsidRDefault="00D17C30" w:rsidP="00D17C30">
      <w:pPr>
        <w:numPr>
          <w:ilvl w:val="0"/>
          <w:numId w:val="2"/>
        </w:numPr>
        <w:spacing w:after="120" w:line="360" w:lineRule="auto"/>
        <w:ind w:left="360"/>
        <w:jc w:val="both"/>
        <w:rPr>
          <w:rFonts w:ascii="Tahoma" w:hAnsi="Tahoma"/>
        </w:rPr>
      </w:pPr>
      <w:bookmarkStart w:id="7" w:name="ABSTRACT_END"/>
      <w:bookmarkEnd w:id="7"/>
      <w:r>
        <w:rPr>
          <w:rFonts w:ascii="David" w:hAnsi="David"/>
          <w:rtl/>
        </w:rPr>
        <w:t xml:space="preserve">בעובדות כתב האישום נטען כי ביום 11.03.2020, בשעה 15:50 או בסמוך לכך, החזיק הנאשם, בדירתו </w:t>
      </w:r>
      <w:r>
        <w:rPr>
          <w:rFonts w:ascii="Tahoma" w:hAnsi="Tahoma"/>
          <w:rtl/>
        </w:rPr>
        <w:t xml:space="preserve">ברמת גן, בסמים מסוכנים </w:t>
      </w:r>
      <w:r>
        <w:rPr>
          <w:rFonts w:ascii="David" w:hAnsi="David"/>
          <w:rtl/>
        </w:rPr>
        <w:t xml:space="preserve">כמפורט להלן: בשידה בחדר השינה 8 בקבוקונים של סמים מסוכנים מסוג </w:t>
      </w:r>
      <w:r>
        <w:rPr>
          <w:rFonts w:ascii="David" w:hAnsi="David"/>
          <w:b/>
          <w:bCs/>
          <w:rtl/>
        </w:rPr>
        <w:t>קטמין</w:t>
      </w:r>
      <w:r>
        <w:rPr>
          <w:rFonts w:ascii="David" w:hAnsi="David"/>
          <w:rtl/>
        </w:rPr>
        <w:t xml:space="preserve">, בתצורת נוזל, בנפח כולל מחושב של </w:t>
      </w:r>
      <w:r>
        <w:rPr>
          <w:rFonts w:ascii="David" w:hAnsi="David"/>
          <w:b/>
          <w:bCs/>
          <w:rtl/>
        </w:rPr>
        <w:t>100 מיליליטר</w:t>
      </w:r>
      <w:r>
        <w:rPr>
          <w:rFonts w:ascii="David" w:hAnsi="David"/>
          <w:rtl/>
        </w:rPr>
        <w:t xml:space="preserve">; על שולחן הסלון בסמים מסוכנים מסוג </w:t>
      </w:r>
      <w:r>
        <w:rPr>
          <w:rFonts w:ascii="David" w:hAnsi="David"/>
          <w:b/>
          <w:bCs/>
          <w:rtl/>
        </w:rPr>
        <w:t>קטמין</w:t>
      </w:r>
      <w:r>
        <w:rPr>
          <w:rFonts w:ascii="David" w:hAnsi="David"/>
          <w:rtl/>
        </w:rPr>
        <w:t xml:space="preserve">, בתצורת אבקת לבנה, במשקל כולל של </w:t>
      </w:r>
      <w:r>
        <w:rPr>
          <w:rFonts w:ascii="David" w:hAnsi="David"/>
          <w:b/>
          <w:bCs/>
          <w:rtl/>
        </w:rPr>
        <w:t>2.06 גרם</w:t>
      </w:r>
      <w:r>
        <w:rPr>
          <w:rFonts w:ascii="David" w:hAnsi="David"/>
          <w:rtl/>
        </w:rPr>
        <w:t xml:space="preserve"> נטו; בשקית בתיקו האישי של הנאשם, ב-</w:t>
      </w:r>
      <w:r>
        <w:rPr>
          <w:rFonts w:ascii="David" w:hAnsi="David"/>
          <w:b/>
          <w:bCs/>
          <w:rtl/>
        </w:rPr>
        <w:t>25 כדורי סמים</w:t>
      </w:r>
      <w:r>
        <w:rPr>
          <w:rFonts w:ascii="David" w:hAnsi="David"/>
          <w:rtl/>
        </w:rPr>
        <w:t xml:space="preserve"> מסוכנים מסוג </w:t>
      </w:r>
      <w:r>
        <w:rPr>
          <w:rFonts w:ascii="David" w:hAnsi="David"/>
          <w:b/>
          <w:bCs/>
        </w:rPr>
        <w:t>MDMA</w:t>
      </w:r>
      <w:r>
        <w:rPr>
          <w:rFonts w:ascii="David" w:hAnsi="David"/>
          <w:rtl/>
        </w:rPr>
        <w:t>.</w:t>
      </w:r>
    </w:p>
    <w:p w14:paraId="35420FC4" w14:textId="77777777" w:rsidR="00D17C30" w:rsidRPr="00E6582B" w:rsidRDefault="00D17C30" w:rsidP="00D17C30">
      <w:pPr>
        <w:numPr>
          <w:ilvl w:val="0"/>
          <w:numId w:val="2"/>
        </w:numPr>
        <w:spacing w:after="120" w:line="360" w:lineRule="auto"/>
        <w:ind w:left="360"/>
        <w:jc w:val="both"/>
        <w:rPr>
          <w:rFonts w:ascii="Tahoma" w:hAnsi="Tahoma"/>
        </w:rPr>
      </w:pPr>
      <w:r w:rsidRPr="00E6582B">
        <w:rPr>
          <w:rFonts w:ascii="Tahoma" w:hAnsi="Tahoma"/>
          <w:rtl/>
        </w:rPr>
        <w:t xml:space="preserve">בתחילת </w:t>
      </w:r>
      <w:r w:rsidRPr="00E6582B">
        <w:rPr>
          <w:rFonts w:ascii="David" w:hAnsi="David"/>
          <w:rtl/>
        </w:rPr>
        <w:t xml:space="preserve">הדיונים המקדמיים לפניי עתר ב"כ הנאשם לבחון את התאמת הנאשם לבית המשפט הקהילתי. ואולם, בבדיקת ההתאמה שנערכה </w:t>
      </w:r>
      <w:r>
        <w:rPr>
          <w:rFonts w:ascii="David" w:hAnsi="David" w:hint="cs"/>
          <w:rtl/>
        </w:rPr>
        <w:t xml:space="preserve">על ידי שירות המבחן </w:t>
      </w:r>
      <w:r w:rsidRPr="00E6582B">
        <w:rPr>
          <w:rFonts w:ascii="David" w:hAnsi="David"/>
          <w:rtl/>
        </w:rPr>
        <w:t>(מיום 10.07.2022)</w:t>
      </w:r>
      <w:r w:rsidRPr="00E6582B">
        <w:rPr>
          <w:rFonts w:ascii="Tahoma" w:hAnsi="Tahoma"/>
          <w:rtl/>
        </w:rPr>
        <w:t xml:space="preserve"> לא נמצא הנאשם מתאים לכך. בבדיקה צוין כי הנאשם נעדר עבר פלילי</w:t>
      </w:r>
      <w:r w:rsidRPr="00E6582B">
        <w:rPr>
          <w:rFonts w:ascii="Tahoma" w:hAnsi="Tahoma" w:hint="cs"/>
          <w:rtl/>
        </w:rPr>
        <w:t xml:space="preserve">, </w:t>
      </w:r>
      <w:r w:rsidRPr="00E6582B">
        <w:rPr>
          <w:rFonts w:ascii="Tahoma" w:hAnsi="Tahoma"/>
          <w:rtl/>
        </w:rPr>
        <w:t>בעל יכול</w:t>
      </w:r>
      <w:r w:rsidRPr="00E6582B">
        <w:rPr>
          <w:rFonts w:ascii="Tahoma" w:hAnsi="Tahoma" w:hint="cs"/>
          <w:rtl/>
        </w:rPr>
        <w:t>ת</w:t>
      </w:r>
      <w:r w:rsidRPr="00E6582B">
        <w:rPr>
          <w:rFonts w:ascii="Tahoma" w:hAnsi="Tahoma"/>
          <w:rtl/>
        </w:rPr>
        <w:t xml:space="preserve"> א</w:t>
      </w:r>
      <w:r>
        <w:rPr>
          <w:rFonts w:ascii="Tahoma" w:hAnsi="Tahoma"/>
          <w:rtl/>
        </w:rPr>
        <w:t>קטיבית ועצמאית לשיקום מצבו</w:t>
      </w:r>
      <w:r>
        <w:rPr>
          <w:rFonts w:ascii="Tahoma" w:hAnsi="Tahoma" w:hint="cs"/>
          <w:rtl/>
        </w:rPr>
        <w:t xml:space="preserve"> ואף </w:t>
      </w:r>
      <w:r w:rsidRPr="00E6582B">
        <w:rPr>
          <w:rFonts w:ascii="Tahoma" w:hAnsi="Tahoma"/>
          <w:rtl/>
        </w:rPr>
        <w:t xml:space="preserve">השתלב מיוזמתו בטיפול פסיכולוגי פרטי הנותן מענה לצרכיו. בנסיבות אלה, וכאשר מדובר בנאשם עם מיעוט צרכים וסיכון נמוך למעורבות נוספת בפלילים, </w:t>
      </w:r>
      <w:r w:rsidRPr="00E6582B">
        <w:rPr>
          <w:rFonts w:ascii="Tahoma" w:hAnsi="Tahoma" w:hint="cs"/>
          <w:rtl/>
        </w:rPr>
        <w:t xml:space="preserve">הוא </w:t>
      </w:r>
      <w:r w:rsidRPr="00E6582B">
        <w:rPr>
          <w:rFonts w:ascii="Tahoma" w:hAnsi="Tahoma"/>
          <w:rtl/>
        </w:rPr>
        <w:t>לא נמצא מתאים לשילוב בתוכנית בית המשפט הקהילתי</w:t>
      </w:r>
      <w:r w:rsidRPr="00E6582B">
        <w:rPr>
          <w:rFonts w:ascii="Tahoma" w:hAnsi="Tahoma" w:hint="cs"/>
          <w:rtl/>
        </w:rPr>
        <w:t xml:space="preserve"> </w:t>
      </w:r>
      <w:r w:rsidRPr="00E6582B">
        <w:rPr>
          <w:rFonts w:ascii="Tahoma" w:hAnsi="Tahoma"/>
          <w:rtl/>
        </w:rPr>
        <w:t>–</w:t>
      </w:r>
      <w:r w:rsidRPr="00E6582B">
        <w:rPr>
          <w:rFonts w:ascii="Tahoma" w:hAnsi="Tahoma" w:hint="cs"/>
          <w:rtl/>
        </w:rPr>
        <w:t xml:space="preserve"> </w:t>
      </w:r>
      <w:r w:rsidRPr="00E6582B">
        <w:rPr>
          <w:rFonts w:ascii="Tahoma" w:hAnsi="Tahoma"/>
          <w:rtl/>
        </w:rPr>
        <w:t>אך הומלץ להפנותו לשירות המבחן ב</w:t>
      </w:r>
      <w:r>
        <w:rPr>
          <w:rFonts w:ascii="Tahoma" w:hAnsi="Tahoma" w:hint="cs"/>
          <w:rtl/>
        </w:rPr>
        <w:t>מסגרת ה</w:t>
      </w:r>
      <w:r w:rsidRPr="00E6582B">
        <w:rPr>
          <w:rFonts w:ascii="Tahoma" w:hAnsi="Tahoma"/>
          <w:rtl/>
        </w:rPr>
        <w:t>הליך הרגיל.</w:t>
      </w:r>
    </w:p>
    <w:p w14:paraId="4263B063" w14:textId="77777777" w:rsidR="00D17C30" w:rsidRDefault="00D17C30" w:rsidP="00D17C30">
      <w:pPr>
        <w:numPr>
          <w:ilvl w:val="0"/>
          <w:numId w:val="2"/>
        </w:numPr>
        <w:spacing w:after="120" w:line="360" w:lineRule="auto"/>
        <w:ind w:left="360"/>
        <w:jc w:val="both"/>
        <w:rPr>
          <w:rFonts w:ascii="Tahoma" w:hAnsi="Tahoma"/>
        </w:rPr>
      </w:pPr>
      <w:r>
        <w:rPr>
          <w:rFonts w:ascii="David" w:hAnsi="David"/>
          <w:rtl/>
        </w:rPr>
        <w:t>בהמשך ההליכים הגיעו הצדדים להסדר טיעון</w:t>
      </w:r>
      <w:r>
        <w:rPr>
          <w:rFonts w:ascii="David" w:hAnsi="David" w:hint="cs"/>
          <w:rtl/>
        </w:rPr>
        <w:t>,</w:t>
      </w:r>
      <w:r>
        <w:rPr>
          <w:rFonts w:ascii="David" w:hAnsi="David"/>
          <w:rtl/>
        </w:rPr>
        <w:t xml:space="preserve"> דיוני בעיקרו, שבמסגרתו הוגש כתב האישום המתוקן (בו הופחתו כמויות הסמים הנטענות). ב"כ הצדדים עתרו הצדדים במשותף לקבלת תסקיר שירות המבחן, תוך שהודיעו כי ישובו לשוחח  לאחר שיתקבל התסקיר.</w:t>
      </w:r>
    </w:p>
    <w:p w14:paraId="0572AC2C" w14:textId="77777777" w:rsidR="00D17C30" w:rsidRDefault="00D17C30" w:rsidP="00D17C30">
      <w:pPr>
        <w:numPr>
          <w:ilvl w:val="0"/>
          <w:numId w:val="2"/>
        </w:numPr>
        <w:spacing w:after="120" w:line="360" w:lineRule="auto"/>
        <w:ind w:left="360"/>
        <w:jc w:val="both"/>
        <w:rPr>
          <w:rFonts w:ascii="Tahoma" w:hAnsi="Tahoma"/>
        </w:rPr>
      </w:pPr>
      <w:r>
        <w:rPr>
          <w:rFonts w:ascii="David" w:hAnsi="David"/>
          <w:rtl/>
        </w:rPr>
        <w:t>הנאשם הודה</w:t>
      </w:r>
      <w:r>
        <w:rPr>
          <w:rFonts w:ascii="David" w:hAnsi="David" w:hint="cs"/>
          <w:rtl/>
        </w:rPr>
        <w:t xml:space="preserve"> אפוא </w:t>
      </w:r>
      <w:r>
        <w:rPr>
          <w:rFonts w:ascii="David" w:hAnsi="David"/>
          <w:rtl/>
        </w:rPr>
        <w:t>בעובדות כתב האישום המתוקן והורשע, על יסוד הודאה זו, בעבירה בה הואשם כאמור בפסקה 1 דלעיל. בית המשפט נעתר לבקשת הצדדים והורה על קבלת תסקיר שירות המבחן, תוך הבהרה כי אין בהחלטה זו משום קביעה לעניין העונש הראוי במקרה זה (בפרוטוקול, עמ' 11-10).</w:t>
      </w:r>
    </w:p>
    <w:p w14:paraId="1B43BE2C" w14:textId="77777777" w:rsidR="00D17C30" w:rsidRDefault="00D17C30" w:rsidP="00D17C30">
      <w:pPr>
        <w:spacing w:after="120" w:line="360" w:lineRule="auto"/>
        <w:jc w:val="both"/>
        <w:rPr>
          <w:rFonts w:ascii="Tahoma" w:hAnsi="Tahoma"/>
          <w:b/>
          <w:bCs/>
          <w:u w:val="single"/>
        </w:rPr>
      </w:pPr>
    </w:p>
    <w:p w14:paraId="10E35B94" w14:textId="77777777" w:rsidR="00D17C30" w:rsidRDefault="00D17C30" w:rsidP="00D17C30">
      <w:pPr>
        <w:pStyle w:val="a9"/>
        <w:numPr>
          <w:ilvl w:val="0"/>
          <w:numId w:val="1"/>
        </w:numPr>
        <w:spacing w:after="120" w:line="360" w:lineRule="auto"/>
        <w:ind w:left="360"/>
        <w:jc w:val="both"/>
        <w:rPr>
          <w:rFonts w:ascii="Tahoma" w:hAnsi="Tahoma"/>
          <w:b/>
          <w:bCs/>
          <w:u w:val="single"/>
        </w:rPr>
      </w:pPr>
      <w:r>
        <w:rPr>
          <w:rFonts w:ascii="Tahoma" w:hAnsi="Tahoma"/>
          <w:b/>
          <w:bCs/>
          <w:u w:val="single"/>
          <w:rtl/>
        </w:rPr>
        <w:t>עיקר תסקירי שירות המבחן:</w:t>
      </w:r>
    </w:p>
    <w:p w14:paraId="7D3CFC14" w14:textId="77777777" w:rsidR="00D17C30" w:rsidRDefault="00D17C30" w:rsidP="00D17C30">
      <w:pPr>
        <w:numPr>
          <w:ilvl w:val="0"/>
          <w:numId w:val="2"/>
        </w:numPr>
        <w:spacing w:after="120" w:line="360" w:lineRule="auto"/>
        <w:ind w:left="360"/>
        <w:jc w:val="both"/>
        <w:rPr>
          <w:rFonts w:ascii="Tahoma" w:hAnsi="Tahoma"/>
          <w:rtl/>
        </w:rPr>
      </w:pPr>
      <w:r>
        <w:rPr>
          <w:rFonts w:ascii="David" w:hAnsi="David"/>
          <w:rtl/>
        </w:rPr>
        <w:t xml:space="preserve">תסקיר שירות המבחן (מיום 22.06.2023) מפרט את נסיבותיו האישיות של הנאשם, יליד שנת 1989 (כבן 35 שנים כיום), רווק ואב לילדה </w:t>
      </w:r>
      <w:r>
        <w:rPr>
          <w:rFonts w:ascii="David" w:hAnsi="David" w:hint="cs"/>
          <w:rtl/>
        </w:rPr>
        <w:t>פעוטה</w:t>
      </w:r>
      <w:r>
        <w:rPr>
          <w:rFonts w:ascii="David" w:hAnsi="David"/>
          <w:rtl/>
        </w:rPr>
        <w:t xml:space="preserve">. הנאשם מתגורר בשכירות במושב ועובד במשרה חלקית כשף. הנאשם עלה ארצה בגיל שנה, עם אמו בלבד, וגדל בנסיבות לא פשוטות. מהצבא שוחרר לאחר כשנה בשל בעיות הסתגלות. הנאשם קיים </w:t>
      </w:r>
      <w:r>
        <w:rPr>
          <w:rFonts w:ascii="David" w:hAnsi="David" w:hint="cs"/>
          <w:rtl/>
        </w:rPr>
        <w:t xml:space="preserve">בזמנו </w:t>
      </w:r>
      <w:r>
        <w:rPr>
          <w:rFonts w:ascii="David" w:hAnsi="David"/>
          <w:rtl/>
        </w:rPr>
        <w:t>מערכת זוגית עם אם בתו, במשך תקופה מסוימת. כיום הבת מתגוררת עם האם, אך הנאשם לדבריו מעורב מאוד בחייה.</w:t>
      </w:r>
      <w:r>
        <w:rPr>
          <w:rFonts w:ascii="Tahoma" w:hAnsi="Tahoma"/>
          <w:rtl/>
        </w:rPr>
        <w:t xml:space="preserve"> </w:t>
      </w:r>
      <w:r>
        <w:rPr>
          <w:rFonts w:ascii="David" w:hAnsi="David"/>
          <w:rtl/>
        </w:rPr>
        <w:t>הנאשם סובל מבעיות גב ו</w:t>
      </w:r>
      <w:r>
        <w:rPr>
          <w:rFonts w:ascii="David" w:hAnsi="David" w:hint="cs"/>
          <w:rtl/>
        </w:rPr>
        <w:t>בשל כך נדרש ל</w:t>
      </w:r>
      <w:r>
        <w:rPr>
          <w:rFonts w:ascii="David" w:hAnsi="David"/>
          <w:rtl/>
        </w:rPr>
        <w:t>ניתוח. לדבריו, לרקע זה הוא עובד באופן חלקי בלבד</w:t>
      </w:r>
      <w:r>
        <w:rPr>
          <w:rFonts w:ascii="David" w:hAnsi="David" w:hint="cs"/>
          <w:rtl/>
        </w:rPr>
        <w:t>,</w:t>
      </w:r>
      <w:r>
        <w:rPr>
          <w:rFonts w:ascii="David" w:hAnsi="David"/>
          <w:rtl/>
        </w:rPr>
        <w:t xml:space="preserve"> כשף </w:t>
      </w:r>
      <w:r>
        <w:rPr>
          <w:rFonts w:ascii="David" w:hAnsi="David" w:hint="cs"/>
          <w:rtl/>
        </w:rPr>
        <w:t>ב</w:t>
      </w:r>
      <w:r>
        <w:rPr>
          <w:rFonts w:ascii="David" w:hAnsi="David"/>
          <w:rtl/>
        </w:rPr>
        <w:t>אירועים פרטיים.</w:t>
      </w:r>
      <w:r>
        <w:rPr>
          <w:rFonts w:ascii="Tahoma" w:hAnsi="Tahoma"/>
          <w:rtl/>
        </w:rPr>
        <w:t xml:space="preserve"> </w:t>
      </w:r>
    </w:p>
    <w:p w14:paraId="279F77C3" w14:textId="77777777" w:rsidR="00D17C30" w:rsidRDefault="00D17C30" w:rsidP="00D17C30">
      <w:pPr>
        <w:numPr>
          <w:ilvl w:val="0"/>
          <w:numId w:val="2"/>
        </w:numPr>
        <w:spacing w:after="120" w:line="360" w:lineRule="auto"/>
        <w:ind w:left="360"/>
        <w:jc w:val="both"/>
        <w:rPr>
          <w:rFonts w:ascii="Tahoma" w:hAnsi="Tahoma"/>
        </w:rPr>
      </w:pPr>
      <w:r>
        <w:rPr>
          <w:rFonts w:ascii="Tahoma" w:hAnsi="Tahoma"/>
          <w:rtl/>
        </w:rPr>
        <w:lastRenderedPageBreak/>
        <w:t xml:space="preserve">אשר לשימוש בחומרים ממכרים שיתף הנאשם כי החל בצריכתם </w:t>
      </w:r>
      <w:r>
        <w:rPr>
          <w:rFonts w:ascii="Tahoma" w:hAnsi="Tahoma" w:hint="cs"/>
          <w:rtl/>
        </w:rPr>
        <w:t xml:space="preserve">עוד </w:t>
      </w:r>
      <w:r>
        <w:rPr>
          <w:rFonts w:ascii="Tahoma" w:hAnsi="Tahoma"/>
          <w:rtl/>
        </w:rPr>
        <w:t>בנערותו</w:t>
      </w:r>
      <w:r>
        <w:rPr>
          <w:rFonts w:ascii="Tahoma" w:hAnsi="Tahoma" w:hint="cs"/>
          <w:rtl/>
        </w:rPr>
        <w:t>,</w:t>
      </w:r>
      <w:r>
        <w:rPr>
          <w:rFonts w:ascii="Tahoma" w:hAnsi="Tahoma"/>
          <w:rtl/>
        </w:rPr>
        <w:t xml:space="preserve"> בנסיבות חברתיות. לדבריו </w:t>
      </w:r>
      <w:r>
        <w:rPr>
          <w:rFonts w:ascii="Tahoma" w:hAnsi="Tahoma" w:hint="cs"/>
          <w:rtl/>
        </w:rPr>
        <w:t xml:space="preserve">הוא </w:t>
      </w:r>
      <w:r>
        <w:rPr>
          <w:rFonts w:ascii="Tahoma" w:hAnsi="Tahoma"/>
          <w:rtl/>
        </w:rPr>
        <w:t xml:space="preserve">עבר משימוש בקנבוס לשימוש בסמים קשים כדרך </w:t>
      </w:r>
      <w:r>
        <w:rPr>
          <w:rFonts w:ascii="Tahoma" w:hAnsi="Tahoma" w:hint="cs"/>
          <w:rtl/>
        </w:rPr>
        <w:t>ל</w:t>
      </w:r>
      <w:r>
        <w:rPr>
          <w:rFonts w:ascii="Tahoma" w:hAnsi="Tahoma"/>
          <w:rtl/>
        </w:rPr>
        <w:t xml:space="preserve">התמודדות </w:t>
      </w:r>
      <w:r>
        <w:rPr>
          <w:rFonts w:ascii="David" w:hAnsi="David"/>
          <w:rtl/>
        </w:rPr>
        <w:t xml:space="preserve">עם תחושות דיכאון וחרדה. עם זאת, לאחר שנעצר בגין תיק זה הפסיק הנאשם, לדבריו, את צריכת הסמים. בדיקות שתן שמסר הנאשם </w:t>
      </w:r>
      <w:r>
        <w:rPr>
          <w:rFonts w:ascii="David" w:hAnsi="David" w:hint="cs"/>
          <w:rtl/>
        </w:rPr>
        <w:t xml:space="preserve">אכן </w:t>
      </w:r>
      <w:r>
        <w:rPr>
          <w:rFonts w:ascii="David" w:hAnsi="David"/>
          <w:rtl/>
        </w:rPr>
        <w:t xml:space="preserve">נמצאו נקיות. בהתייחסותו לביצוע העבירה נטל הנאשם אחריות מלאה על ביצועה, הגם שטען כי </w:t>
      </w:r>
      <w:r>
        <w:rPr>
          <w:rFonts w:ascii="David" w:hAnsi="David" w:hint="cs"/>
          <w:rtl/>
        </w:rPr>
        <w:t xml:space="preserve">רכש את </w:t>
      </w:r>
      <w:r>
        <w:rPr>
          <w:rFonts w:ascii="David" w:hAnsi="David"/>
          <w:rtl/>
        </w:rPr>
        <w:t>הסמים לשימושו העצמי בלבד. הנאשם שיתף כי הפסיק את ההליך הטיפולי הפרטי, בו כאמור השתלב בעבר, בשל העלויות הכספיות הכרוכות בכך</w:t>
      </w:r>
      <w:r>
        <w:rPr>
          <w:rFonts w:ascii="David" w:hAnsi="David" w:hint="cs"/>
          <w:rtl/>
        </w:rPr>
        <w:t>;</w:t>
      </w:r>
      <w:r>
        <w:rPr>
          <w:rFonts w:ascii="Tahoma" w:hAnsi="Tahoma"/>
          <w:rtl/>
        </w:rPr>
        <w:t xml:space="preserve"> אך הביע רצון להשתלב בטיפול במסגרת שירות המבחן.</w:t>
      </w:r>
    </w:p>
    <w:p w14:paraId="2BC24E48" w14:textId="77777777" w:rsidR="00D17C30" w:rsidRPr="008F7930" w:rsidRDefault="00D17C30" w:rsidP="00D17C30">
      <w:pPr>
        <w:numPr>
          <w:ilvl w:val="0"/>
          <w:numId w:val="2"/>
        </w:numPr>
        <w:spacing w:after="120" w:line="360" w:lineRule="auto"/>
        <w:ind w:left="360"/>
        <w:jc w:val="both"/>
        <w:rPr>
          <w:rFonts w:ascii="Tahoma" w:hAnsi="Tahoma"/>
        </w:rPr>
      </w:pPr>
      <w:r w:rsidRPr="008F7930">
        <w:rPr>
          <w:rFonts w:ascii="David" w:hAnsi="David"/>
          <w:rtl/>
        </w:rPr>
        <w:t>שירות המבחן בחן את גורמי הסיכון והסיכוי בעניינו של הנאשם, וציין כגורמי סיכון את חומרת העבירה ואת התמכרות</w:t>
      </w:r>
      <w:r w:rsidRPr="008F7930">
        <w:rPr>
          <w:rFonts w:ascii="David" w:hAnsi="David" w:hint="cs"/>
          <w:rtl/>
        </w:rPr>
        <w:t xml:space="preserve"> הנאשם</w:t>
      </w:r>
      <w:r w:rsidRPr="008F7930">
        <w:rPr>
          <w:rFonts w:ascii="David" w:hAnsi="David"/>
          <w:rtl/>
        </w:rPr>
        <w:t xml:space="preserve"> לסמים. עם זאת, כגורמי סיכוי ציין השירות את היעדר העבר הפלילי ו</w:t>
      </w:r>
      <w:r w:rsidRPr="008F7930">
        <w:rPr>
          <w:rFonts w:ascii="David" w:hAnsi="David" w:hint="cs"/>
          <w:rtl/>
        </w:rPr>
        <w:t xml:space="preserve">את </w:t>
      </w:r>
      <w:r w:rsidRPr="008F7930">
        <w:rPr>
          <w:rFonts w:ascii="David" w:hAnsi="David"/>
          <w:rtl/>
        </w:rPr>
        <w:t>שיתוף הפעולה מול גורמי המקצוע, תוך גילוי כוחות חיוביים שבאו לידי ביטוי בהפסקת צריכת הסמים</w:t>
      </w:r>
      <w:r w:rsidRPr="008F7930">
        <w:rPr>
          <w:rFonts w:ascii="David" w:hAnsi="David" w:hint="cs"/>
          <w:rtl/>
        </w:rPr>
        <w:t xml:space="preserve">, כמו גם את </w:t>
      </w:r>
      <w:r w:rsidRPr="008F7930">
        <w:rPr>
          <w:rFonts w:ascii="David" w:hAnsi="David"/>
          <w:rtl/>
        </w:rPr>
        <w:t xml:space="preserve">הבעת </w:t>
      </w:r>
      <w:r w:rsidRPr="008F7930">
        <w:rPr>
          <w:rFonts w:ascii="David" w:hAnsi="David" w:hint="cs"/>
          <w:rtl/>
        </w:rPr>
        <w:t>ה</w:t>
      </w:r>
      <w:r w:rsidRPr="008F7930">
        <w:rPr>
          <w:rFonts w:ascii="David" w:hAnsi="David"/>
          <w:rtl/>
        </w:rPr>
        <w:t>רצון להשתת</w:t>
      </w:r>
      <w:r w:rsidRPr="008F7930">
        <w:rPr>
          <w:rFonts w:ascii="David" w:hAnsi="David" w:hint="cs"/>
          <w:rtl/>
        </w:rPr>
        <w:t>פות</w:t>
      </w:r>
      <w:r w:rsidRPr="008F7930">
        <w:rPr>
          <w:rFonts w:ascii="David" w:hAnsi="David"/>
          <w:rtl/>
        </w:rPr>
        <w:t xml:space="preserve"> בטיפול פרטני. בנסיבות אלה המליץ שירות המבחן להסתפק</w:t>
      </w:r>
      <w:r w:rsidRPr="008F7930">
        <w:rPr>
          <w:rFonts w:ascii="David" w:hAnsi="David" w:hint="cs"/>
          <w:rtl/>
        </w:rPr>
        <w:t>, בעניינו של הנאשם,</w:t>
      </w:r>
      <w:r w:rsidRPr="008F7930">
        <w:rPr>
          <w:rFonts w:ascii="David" w:hAnsi="David"/>
          <w:rtl/>
        </w:rPr>
        <w:t xml:space="preserve"> בענישה שיקומית-טיפולית –</w:t>
      </w:r>
      <w:r w:rsidRPr="008F7930">
        <w:rPr>
          <w:rFonts w:ascii="David" w:hAnsi="David" w:hint="cs"/>
          <w:rtl/>
        </w:rPr>
        <w:t xml:space="preserve"> </w:t>
      </w:r>
      <w:r w:rsidRPr="008F7930">
        <w:rPr>
          <w:rFonts w:ascii="David" w:hAnsi="David"/>
          <w:rtl/>
        </w:rPr>
        <w:t>שתכלול צו מבחן למשך שנה וצו של"צ בהיקף של 300 שעות.</w:t>
      </w:r>
    </w:p>
    <w:p w14:paraId="5841DCD9" w14:textId="77777777" w:rsidR="00D17C30" w:rsidRPr="00204414" w:rsidRDefault="00D17C30" w:rsidP="00D17C30">
      <w:pPr>
        <w:numPr>
          <w:ilvl w:val="0"/>
          <w:numId w:val="2"/>
        </w:numPr>
        <w:spacing w:after="120" w:line="360" w:lineRule="auto"/>
        <w:ind w:left="360"/>
        <w:jc w:val="both"/>
        <w:rPr>
          <w:rFonts w:ascii="Tahoma" w:hAnsi="Tahoma"/>
        </w:rPr>
      </w:pPr>
      <w:r w:rsidRPr="00204414">
        <w:rPr>
          <w:rFonts w:ascii="Tahoma" w:hAnsi="Tahoma"/>
          <w:rtl/>
        </w:rPr>
        <w:t xml:space="preserve">בנסיבות הנ"ל – כאשר </w:t>
      </w:r>
      <w:r w:rsidRPr="00204414">
        <w:rPr>
          <w:rFonts w:ascii="David" w:hAnsi="David"/>
          <w:rtl/>
        </w:rPr>
        <w:t>הנאשם טרם שולב בפועל בהליך הטיפולי, ועל מנת לבחון את השתלבותו – עתרה ההגנה בהסכמת המאשימה לקבלת תסקיר משלים.</w:t>
      </w:r>
      <w:r w:rsidRPr="00204414">
        <w:rPr>
          <w:rFonts w:ascii="Tahoma" w:hAnsi="Tahoma"/>
          <w:rtl/>
        </w:rPr>
        <w:t xml:space="preserve"> </w:t>
      </w:r>
      <w:r w:rsidRPr="00204414">
        <w:rPr>
          <w:rFonts w:ascii="David" w:hAnsi="David"/>
          <w:rtl/>
        </w:rPr>
        <w:t>בתסקיר המשלים (מיום 26.11.2023) ציין שירות המבחן כי במהלך תקופת הדחייה נוצר קשר ע</w:t>
      </w:r>
      <w:r>
        <w:rPr>
          <w:rFonts w:ascii="David" w:hAnsi="David"/>
          <w:rtl/>
        </w:rPr>
        <w:t>ם הנאשם, אך הנאשם לא הופיע לשתי</w:t>
      </w:r>
      <w:r>
        <w:rPr>
          <w:rFonts w:ascii="David" w:hAnsi="David" w:hint="cs"/>
          <w:rtl/>
        </w:rPr>
        <w:t>ים מה</w:t>
      </w:r>
      <w:r w:rsidRPr="00204414">
        <w:rPr>
          <w:rFonts w:ascii="David" w:hAnsi="David"/>
          <w:rtl/>
        </w:rPr>
        <w:t>פגישות שתואמו עמו –</w:t>
      </w:r>
      <w:r w:rsidRPr="00204414">
        <w:rPr>
          <w:rFonts w:ascii="David" w:hAnsi="David" w:hint="cs"/>
          <w:rtl/>
        </w:rPr>
        <w:t xml:space="preserve"> </w:t>
      </w:r>
      <w:r w:rsidRPr="00204414">
        <w:rPr>
          <w:rFonts w:ascii="David" w:hAnsi="David"/>
          <w:rtl/>
        </w:rPr>
        <w:t>בשל החמרה במצבו הבריאותי ובשל מצב המלחמה. עם זאת, הנאשם שמר על קשר רציף עם שירות המבחן</w:t>
      </w:r>
      <w:r w:rsidRPr="00204414">
        <w:rPr>
          <w:rFonts w:ascii="Tahoma" w:hAnsi="Tahoma"/>
          <w:rtl/>
        </w:rPr>
        <w:t xml:space="preserve">, אשר מצדו התרשם </w:t>
      </w:r>
      <w:r w:rsidRPr="00204414">
        <w:rPr>
          <w:rFonts w:ascii="David" w:hAnsi="David"/>
          <w:rtl/>
        </w:rPr>
        <w:t>כי הנאשם מגויס מאוד להליך הטיפולי ומביע מחויבות, יוזמה ורצון לקבלת כלים מתאימים לשיפור חייו. שירות המבחן חזר אפוא על המלצותיו, הגם שהעריך כי כיום לא יוכל הנאשם לבצע של"צ עקב מצבו הבריאותי.</w:t>
      </w:r>
    </w:p>
    <w:p w14:paraId="71C24F9D" w14:textId="77777777" w:rsidR="00D17C30" w:rsidRDefault="00D17C30" w:rsidP="00D17C30">
      <w:pPr>
        <w:numPr>
          <w:ilvl w:val="0"/>
          <w:numId w:val="2"/>
        </w:numPr>
        <w:spacing w:after="120" w:line="360" w:lineRule="auto"/>
        <w:ind w:left="360"/>
        <w:jc w:val="both"/>
        <w:rPr>
          <w:rFonts w:ascii="Tahoma" w:hAnsi="Tahoma"/>
        </w:rPr>
      </w:pPr>
      <w:r>
        <w:rPr>
          <w:rFonts w:ascii="David" w:hAnsi="David"/>
          <w:rtl/>
        </w:rPr>
        <w:t xml:space="preserve">בתסקיר משלים נוסף (מיום 03.06.2024) חזר שירות המבחן על התרשמותו החיובית הנ"ל, הגם שצוין כי הנאשם לא הגיע לכל הפגישות והבדיקות שנקבעו לו. שירות המבחן העריך כי הנאשם נתרם מאוד מההליך הטיפולי, כפי שמתבטא אף בשינויים קטנים בהם ניתן להבחין בין פגישה לפגישה. עוד צוין כי הנאשם עבר להתגורר עם בת זוג חדשה, אשר מצויה כיום בהיריון. שירות המבחן חזר </w:t>
      </w:r>
      <w:r>
        <w:rPr>
          <w:rFonts w:ascii="David" w:hAnsi="David" w:hint="cs"/>
          <w:rtl/>
        </w:rPr>
        <w:t xml:space="preserve">אפוא </w:t>
      </w:r>
      <w:r>
        <w:rPr>
          <w:rFonts w:ascii="David" w:hAnsi="David"/>
          <w:rtl/>
        </w:rPr>
        <w:t xml:space="preserve">על המלצותיו, הגם ששב וציין כי נוכח מצבו הרפואי של הנאשם נראה כי </w:t>
      </w:r>
      <w:r>
        <w:rPr>
          <w:rFonts w:ascii="David" w:hAnsi="David" w:hint="cs"/>
          <w:rtl/>
        </w:rPr>
        <w:t xml:space="preserve">הוא </w:t>
      </w:r>
      <w:r>
        <w:rPr>
          <w:rFonts w:ascii="David" w:hAnsi="David"/>
          <w:rtl/>
        </w:rPr>
        <w:t>לא יוכל לבצע של"צ (אם כי לא תוארה מניעה רפואית, המבוססת על תיעוד רפואי).</w:t>
      </w:r>
    </w:p>
    <w:p w14:paraId="4675319F" w14:textId="77777777" w:rsidR="00D17C30" w:rsidRPr="008F7930" w:rsidRDefault="00D17C30" w:rsidP="00D17C30">
      <w:pPr>
        <w:spacing w:after="120" w:line="360" w:lineRule="auto"/>
        <w:jc w:val="both"/>
        <w:rPr>
          <w:rFonts w:ascii="Tahoma" w:hAnsi="Tahoma"/>
          <w:b/>
          <w:bCs/>
          <w:u w:val="single"/>
        </w:rPr>
      </w:pPr>
    </w:p>
    <w:p w14:paraId="18FD76B5" w14:textId="77777777" w:rsidR="00D17C30" w:rsidRDefault="00D17C30" w:rsidP="00D17C30">
      <w:pPr>
        <w:pStyle w:val="a9"/>
        <w:numPr>
          <w:ilvl w:val="0"/>
          <w:numId w:val="1"/>
        </w:numPr>
        <w:spacing w:after="120" w:line="360" w:lineRule="auto"/>
        <w:ind w:left="360"/>
        <w:jc w:val="both"/>
        <w:rPr>
          <w:rFonts w:ascii="Tahoma" w:hAnsi="Tahoma"/>
          <w:b/>
          <w:bCs/>
          <w:u w:val="single"/>
        </w:rPr>
      </w:pPr>
      <w:r>
        <w:rPr>
          <w:rFonts w:ascii="Tahoma" w:hAnsi="Tahoma"/>
          <w:b/>
          <w:bCs/>
          <w:u w:val="single"/>
          <w:rtl/>
        </w:rPr>
        <w:t>עיקר הראיות לקביעת העונש:</w:t>
      </w:r>
    </w:p>
    <w:p w14:paraId="4EBFBE57" w14:textId="77777777" w:rsidR="00D17C30" w:rsidRDefault="00D17C30" w:rsidP="00D17C30">
      <w:pPr>
        <w:numPr>
          <w:ilvl w:val="0"/>
          <w:numId w:val="2"/>
        </w:numPr>
        <w:spacing w:after="120" w:line="360" w:lineRule="auto"/>
        <w:ind w:left="360"/>
        <w:jc w:val="both"/>
        <w:rPr>
          <w:rFonts w:ascii="Tahoma" w:hAnsi="Tahoma"/>
          <w:rtl/>
        </w:rPr>
      </w:pPr>
      <w:r>
        <w:rPr>
          <w:rFonts w:ascii="Tahoma" w:hAnsi="Tahoma"/>
          <w:rtl/>
        </w:rPr>
        <w:t xml:space="preserve">ב"כ המאשימה לא הגישה ראיות לקביעת העונש. הסניגור, להבדיל, הגיש מספר מסמכים (סומנו ס/1) וכן העיד, כעדת אופי, את זוגתו דהיום של הנאשם. </w:t>
      </w:r>
      <w:r>
        <w:rPr>
          <w:rtl/>
        </w:rPr>
        <w:t>בת הזוג</w:t>
      </w:r>
      <w:r>
        <w:rPr>
          <w:rFonts w:ascii="Tahoma" w:hAnsi="Tahoma"/>
          <w:rtl/>
        </w:rPr>
        <w:t xml:space="preserve"> סיפרה</w:t>
      </w:r>
      <w:r>
        <w:rPr>
          <w:rFonts w:ascii="Tahoma" w:hAnsi="Tahoma" w:hint="cs"/>
          <w:rtl/>
        </w:rPr>
        <w:t>,</w:t>
      </w:r>
      <w:r>
        <w:rPr>
          <w:rFonts w:ascii="Tahoma" w:hAnsi="Tahoma"/>
          <w:rtl/>
        </w:rPr>
        <w:t xml:space="preserve"> בעדותה </w:t>
      </w:r>
      <w:r>
        <w:rPr>
          <w:rFonts w:ascii="Tahoma" w:hAnsi="Tahoma" w:hint="cs"/>
          <w:rtl/>
        </w:rPr>
        <w:t xml:space="preserve">בבית המשפט, </w:t>
      </w:r>
      <w:r>
        <w:rPr>
          <w:rFonts w:ascii="Tahoma" w:hAnsi="Tahoma"/>
          <w:rtl/>
        </w:rPr>
        <w:t xml:space="preserve">כי הכירה את הנאשם בסרי לנקה בשנת 2023. מאז היא הגיעה לארץ, כיום השניים מתגוררים יחדיו והיא מצויה בהיריון מתקדם. עוד ציינה בת הזוג את התהליך שהנאשם </w:t>
      </w:r>
      <w:r>
        <w:rPr>
          <w:rFonts w:ascii="Tahoma" w:hAnsi="Tahoma" w:hint="cs"/>
          <w:rtl/>
        </w:rPr>
        <w:t>עבר ו</w:t>
      </w:r>
      <w:r>
        <w:rPr>
          <w:rFonts w:ascii="Tahoma" w:hAnsi="Tahoma"/>
          <w:rtl/>
        </w:rPr>
        <w:t xml:space="preserve">עובר במסגרת שירות המבחן, אשר </w:t>
      </w:r>
      <w:r>
        <w:rPr>
          <w:rFonts w:ascii="Tahoma" w:hAnsi="Tahoma" w:hint="cs"/>
          <w:rtl/>
        </w:rPr>
        <w:t xml:space="preserve">לדבריה </w:t>
      </w:r>
      <w:r>
        <w:rPr>
          <w:rFonts w:ascii="Tahoma" w:hAnsi="Tahoma"/>
          <w:rtl/>
        </w:rPr>
        <w:t>הפך אותו לאדם טוב יותר, שאינו משתמש בסמים או יוצא למסיבות (ר' בפרוטוקול, עמ' 14 שורה 13 ואילך).</w:t>
      </w:r>
    </w:p>
    <w:p w14:paraId="2CF5FF7A" w14:textId="77777777" w:rsidR="00D17C30" w:rsidRDefault="00D17C30" w:rsidP="00D17C30">
      <w:pPr>
        <w:numPr>
          <w:ilvl w:val="0"/>
          <w:numId w:val="2"/>
        </w:numPr>
        <w:spacing w:after="120" w:line="360" w:lineRule="auto"/>
        <w:ind w:left="360"/>
        <w:jc w:val="both"/>
        <w:rPr>
          <w:rFonts w:ascii="Tahoma" w:hAnsi="Tahoma"/>
        </w:rPr>
      </w:pPr>
      <w:r>
        <w:rPr>
          <w:rtl/>
        </w:rPr>
        <w:t>המסמכים ס/1, אותם הגיש כאמור הסניגור, הם כלהלן: (א) מכתב ממועדון "חוסן – חברה וספורט לנכים באר שבע", מיום 03.06.2024, שם מפורטת היכרותו של הנאשם עם המועדון</w:t>
      </w:r>
      <w:r>
        <w:rPr>
          <w:rFonts w:hint="cs"/>
          <w:rtl/>
        </w:rPr>
        <w:t>,</w:t>
      </w:r>
      <w:r>
        <w:rPr>
          <w:rtl/>
        </w:rPr>
        <w:t xml:space="preserve"> עוד מנערותו, כאשר בשנה האחרונה חזר הנאשם להתגורר בבאר שבע וחזר לפעילות התנדבותית</w:t>
      </w:r>
      <w:r>
        <w:rPr>
          <w:rFonts w:ascii="Tahoma" w:hAnsi="Tahoma"/>
          <w:rtl/>
        </w:rPr>
        <w:t xml:space="preserve">; (ב) מכתב שקיבל הסניגור מחטיבת התביעות, מיום 22.07.2020, בו צוין </w:t>
      </w:r>
      <w:r>
        <w:rPr>
          <w:rFonts w:ascii="Tahoma" w:hAnsi="Tahoma" w:hint="cs"/>
          <w:rtl/>
        </w:rPr>
        <w:t xml:space="preserve">כי </w:t>
      </w:r>
      <w:r>
        <w:rPr>
          <w:rFonts w:ascii="Tahoma" w:hAnsi="Tahoma"/>
          <w:rtl/>
        </w:rPr>
        <w:t xml:space="preserve">בעניינה של חשודה נוספת </w:t>
      </w:r>
      <w:r>
        <w:rPr>
          <w:rFonts w:ascii="Tahoma" w:hAnsi="Tahoma" w:hint="cs"/>
          <w:rtl/>
        </w:rPr>
        <w:t xml:space="preserve">בתיק </w:t>
      </w:r>
      <w:r>
        <w:rPr>
          <w:rFonts w:ascii="Tahoma" w:hAnsi="Tahoma"/>
          <w:rtl/>
        </w:rPr>
        <w:t xml:space="preserve">הוחלט </w:t>
      </w:r>
      <w:r>
        <w:rPr>
          <w:rFonts w:ascii="Tahoma" w:hAnsi="Tahoma" w:hint="cs"/>
          <w:rtl/>
        </w:rPr>
        <w:t>שלא להעמידה לדין</w:t>
      </w:r>
      <w:r>
        <w:rPr>
          <w:rFonts w:ascii="Tahoma" w:hAnsi="Tahoma"/>
          <w:rtl/>
        </w:rPr>
        <w:t xml:space="preserve"> משום שנסיבות העניין לא הצדיקו הגשת כתב אישום; (ג) סיכום ביקור רפואי, מיום 28.05.2024, שנערך לאחר הניתוח שעבר הנאשם ביום 13.01.2024 בשל פריצת דיסק. </w:t>
      </w:r>
      <w:r>
        <w:rPr>
          <w:rFonts w:ascii="Tahoma" w:hAnsi="Tahoma" w:hint="cs"/>
          <w:rtl/>
        </w:rPr>
        <w:t xml:space="preserve">בסיכום </w:t>
      </w:r>
      <w:r>
        <w:rPr>
          <w:rFonts w:ascii="Tahoma" w:hAnsi="Tahoma"/>
          <w:rtl/>
        </w:rPr>
        <w:t>צוין כי חל שיפור במצבו של הנאשם לאחר הניתוח, הגם שלא שב לעבודתו והומלץ להפנותו לרופא תעסוקתי.</w:t>
      </w:r>
    </w:p>
    <w:p w14:paraId="7456A610" w14:textId="77777777" w:rsidR="00D17C30" w:rsidRDefault="00D17C30" w:rsidP="00D17C30">
      <w:pPr>
        <w:spacing w:after="120" w:line="360" w:lineRule="auto"/>
        <w:jc w:val="both"/>
        <w:rPr>
          <w:rFonts w:ascii="Tahoma" w:hAnsi="Tahoma"/>
          <w:b/>
          <w:bCs/>
          <w:u w:val="single"/>
        </w:rPr>
      </w:pPr>
    </w:p>
    <w:p w14:paraId="3B2D9D3D" w14:textId="77777777" w:rsidR="00D17C30" w:rsidRDefault="00D17C30" w:rsidP="00D17C30">
      <w:pPr>
        <w:pStyle w:val="a9"/>
        <w:numPr>
          <w:ilvl w:val="0"/>
          <w:numId w:val="1"/>
        </w:numPr>
        <w:spacing w:after="120" w:line="360" w:lineRule="auto"/>
        <w:ind w:left="360"/>
        <w:jc w:val="both"/>
        <w:rPr>
          <w:rFonts w:ascii="Tahoma" w:hAnsi="Tahoma"/>
          <w:b/>
          <w:bCs/>
          <w:u w:val="single"/>
        </w:rPr>
      </w:pPr>
      <w:r>
        <w:rPr>
          <w:rFonts w:ascii="Tahoma" w:hAnsi="Tahoma"/>
          <w:b/>
          <w:bCs/>
          <w:u w:val="single"/>
          <w:rtl/>
        </w:rPr>
        <w:t>עיקר טיעוני הצדדים:</w:t>
      </w:r>
    </w:p>
    <w:p w14:paraId="5FF5F683" w14:textId="77777777" w:rsidR="00D17C30" w:rsidRDefault="00D17C30" w:rsidP="00D17C30">
      <w:pPr>
        <w:numPr>
          <w:ilvl w:val="0"/>
          <w:numId w:val="2"/>
        </w:numPr>
        <w:spacing w:after="120" w:line="360" w:lineRule="auto"/>
        <w:ind w:left="360"/>
        <w:jc w:val="both"/>
        <w:rPr>
          <w:rFonts w:ascii="Tahoma" w:hAnsi="Tahoma"/>
          <w:rtl/>
        </w:rPr>
      </w:pPr>
      <w:r>
        <w:rPr>
          <w:rFonts w:ascii="Tahoma" w:hAnsi="Tahoma"/>
          <w:rtl/>
        </w:rPr>
        <w:t xml:space="preserve">בטיעוניה לעונש עמדה ב"כ המאשימה </w:t>
      </w:r>
      <w:r>
        <w:rPr>
          <w:rtl/>
        </w:rPr>
        <w:t xml:space="preserve">על עובדות כתב האישום המתוקן בהן הודה הנאשם, תוך הדגשת היבטי החומרה העולים מהן. בהקשר זה ציינה את העובדה שמדובר בשני סוגים שונים של סמים מסוכנים קשים, ובמיוחד את העובדה שאחד הסוגים היה </w:t>
      </w:r>
      <w:r>
        <w:t>MDMA</w:t>
      </w:r>
      <w:r>
        <w:rPr>
          <w:rtl/>
        </w:rPr>
        <w:t xml:space="preserve">, שהשפעותיו הרסניות. עוד טענה </w:t>
      </w:r>
      <w:r>
        <w:rPr>
          <w:rFonts w:hint="cs"/>
          <w:rtl/>
        </w:rPr>
        <w:t xml:space="preserve">התובעת </w:t>
      </w:r>
      <w:r>
        <w:rPr>
          <w:rtl/>
        </w:rPr>
        <w:t>כי הסמים נתפסו</w:t>
      </w:r>
      <w:r>
        <w:rPr>
          <w:rFonts w:ascii="Tahoma" w:hAnsi="Tahoma"/>
          <w:rtl/>
        </w:rPr>
        <w:t xml:space="preserve"> בדירתו של הנאשם כשהם מחולקים ומוסלקים. </w:t>
      </w:r>
      <w:r>
        <w:rPr>
          <w:rtl/>
        </w:rPr>
        <w:t>אשר לערכים</w:t>
      </w:r>
      <w:r>
        <w:rPr>
          <w:rFonts w:ascii="Tahoma" w:hAnsi="Tahoma"/>
          <w:rtl/>
        </w:rPr>
        <w:t xml:space="preserve"> החברתיים, שנפגעו כתולדה מביצוע העבירה על ידי הנאשם, הדגישה התובעת את הפגיעה בהגנה על בריאות הציבור והצורך למגר את תופעת ההפצה והשימוש בסמים מסוכנים – ששימושם משליך גם על תחומי עבריינות נוספים.</w:t>
      </w:r>
    </w:p>
    <w:p w14:paraId="79FEF91F" w14:textId="77777777" w:rsidR="00D17C30" w:rsidRDefault="00D17C30" w:rsidP="00D17C30">
      <w:pPr>
        <w:numPr>
          <w:ilvl w:val="0"/>
          <w:numId w:val="2"/>
        </w:numPr>
        <w:spacing w:after="120" w:line="360" w:lineRule="auto"/>
        <w:ind w:left="360"/>
        <w:jc w:val="both"/>
        <w:rPr>
          <w:rFonts w:ascii="Tahoma" w:hAnsi="Tahoma"/>
        </w:rPr>
      </w:pPr>
      <w:r>
        <w:rPr>
          <w:rFonts w:ascii="Tahoma" w:hAnsi="Tahoma"/>
          <w:rtl/>
        </w:rPr>
        <w:t xml:space="preserve">לעניין מדיניות הענישה הנהוגה הפנתה התובעת לפסיקה. בין השאר הפנתה </w:t>
      </w:r>
      <w:r>
        <w:rPr>
          <w:rtl/>
        </w:rPr>
        <w:t>ל</w:t>
      </w:r>
      <w:hyperlink r:id="rId16" w:history="1">
        <w:r w:rsidR="002E765A" w:rsidRPr="002E765A">
          <w:rPr>
            <w:color w:val="0000FF"/>
            <w:u w:val="single"/>
            <w:rtl/>
          </w:rPr>
          <w:t>ת"פ (שלום ת"א) 31328-07-19</w:t>
        </w:r>
      </w:hyperlink>
      <w:r>
        <w:rPr>
          <w:rtl/>
        </w:rPr>
        <w:t xml:space="preserve"> </w:t>
      </w:r>
      <w:r>
        <w:rPr>
          <w:b/>
          <w:bCs/>
          <w:rtl/>
        </w:rPr>
        <w:t>מדינת ישראל נ' סכסכ</w:t>
      </w:r>
      <w:r>
        <w:rPr>
          <w:rtl/>
        </w:rPr>
        <w:t xml:space="preserve"> (10.01.2023) שם נקבע מתחם עונש הולם שבין מספר חודשי מאסר, לנשיאה בדרך של עבודות שירות, לבין 15 חודשי מאסר בפועל, במקרה של החזקת 13 יחידות של סמים מסוכנים מסוג </w:t>
      </w:r>
      <w:r>
        <w:t>MDMA</w:t>
      </w:r>
      <w:r>
        <w:rPr>
          <w:rtl/>
        </w:rPr>
        <w:t>, שלא לצריכה עצמית.</w:t>
      </w:r>
      <w:r>
        <w:rPr>
          <w:rFonts w:ascii="Tahoma" w:hAnsi="Tahoma"/>
          <w:rtl/>
        </w:rPr>
        <w:t xml:space="preserve"> עוד הפנתה ב"כ המאשימה ל</w:t>
      </w:r>
      <w:hyperlink r:id="rId17" w:history="1">
        <w:r w:rsidR="002E765A" w:rsidRPr="002E765A">
          <w:rPr>
            <w:color w:val="0000FF"/>
            <w:u w:val="single"/>
            <w:rtl/>
          </w:rPr>
          <w:t>ת"פ (שלום ת"א) 19393-03-17</w:t>
        </w:r>
      </w:hyperlink>
      <w:r>
        <w:rPr>
          <w:rtl/>
        </w:rPr>
        <w:t xml:space="preserve"> </w:t>
      </w:r>
      <w:r>
        <w:rPr>
          <w:b/>
          <w:bCs/>
          <w:rtl/>
        </w:rPr>
        <w:t>מדינת ישראל נ' סגל</w:t>
      </w:r>
      <w:r>
        <w:rPr>
          <w:rtl/>
        </w:rPr>
        <w:t xml:space="preserve"> (03.02.2019), אלא ששם דובר בנסיבות חמורות מבענייננו, </w:t>
      </w:r>
      <w:r>
        <w:rPr>
          <w:rFonts w:ascii="Tahoma" w:hAnsi="Tahoma"/>
          <w:rtl/>
        </w:rPr>
        <w:t>וכן ל</w:t>
      </w:r>
      <w:hyperlink r:id="rId18" w:history="1">
        <w:r w:rsidR="002E765A" w:rsidRPr="002E765A">
          <w:rPr>
            <w:rFonts w:ascii="Tahoma" w:hAnsi="Tahoma"/>
            <w:color w:val="0000FF"/>
            <w:u w:val="single"/>
            <w:rtl/>
          </w:rPr>
          <w:t>רע"פ 1473/18</w:t>
        </w:r>
      </w:hyperlink>
      <w:r w:rsidR="002E765A">
        <w:rPr>
          <w:rFonts w:ascii="Tahoma" w:hAnsi="Tahoma"/>
          <w:rtl/>
        </w:rPr>
        <w:t xml:space="preserve"> </w:t>
      </w:r>
      <w:r>
        <w:rPr>
          <w:rFonts w:ascii="Tahoma" w:hAnsi="Tahoma"/>
          <w:b/>
          <w:bCs/>
          <w:rtl/>
        </w:rPr>
        <w:t>אוחיון נ' מדינת ישראל</w:t>
      </w:r>
      <w:r w:rsidR="002E765A">
        <w:rPr>
          <w:rFonts w:ascii="Tahoma" w:hAnsi="Tahoma"/>
          <w:rtl/>
        </w:rPr>
        <w:t xml:space="preserve"> </w:t>
      </w:r>
      <w:r>
        <w:rPr>
          <w:rFonts w:ascii="Tahoma" w:hAnsi="Tahoma"/>
          <w:rtl/>
        </w:rPr>
        <w:t>(22.04.2018).</w:t>
      </w:r>
    </w:p>
    <w:p w14:paraId="45A80BEE" w14:textId="77777777" w:rsidR="00D17C30" w:rsidRDefault="00D17C30" w:rsidP="00D17C30">
      <w:pPr>
        <w:numPr>
          <w:ilvl w:val="0"/>
          <w:numId w:val="2"/>
        </w:numPr>
        <w:spacing w:after="120" w:line="360" w:lineRule="auto"/>
        <w:ind w:left="360"/>
        <w:jc w:val="both"/>
        <w:rPr>
          <w:rFonts w:ascii="Tahoma" w:hAnsi="Tahoma"/>
        </w:rPr>
      </w:pPr>
      <w:r>
        <w:rPr>
          <w:rFonts w:ascii="Tahoma" w:hAnsi="Tahoma"/>
          <w:rtl/>
        </w:rPr>
        <w:t xml:space="preserve">נוכח כל האמור עתרה </w:t>
      </w:r>
      <w:r>
        <w:rPr>
          <w:rtl/>
        </w:rPr>
        <w:t>ב"כ המאשימה לקביעת מתחם עונש הולם שבין 10 חודשי מאסר בפועל לבין 20 חודשי מאסר בפועל,</w:t>
      </w:r>
      <w:r>
        <w:rPr>
          <w:rFonts w:ascii="Tahoma" w:hAnsi="Tahoma"/>
          <w:rtl/>
        </w:rPr>
        <w:t xml:space="preserve"> הגם שבהקשר זה יש להעיר כי בסופו של דבר עתרה לענישה מתחת למתחם זה, </w:t>
      </w:r>
      <w:r>
        <w:rPr>
          <w:rFonts w:ascii="Tahoma" w:hAnsi="Tahoma" w:hint="cs"/>
          <w:rtl/>
        </w:rPr>
        <w:t>כלומר</w:t>
      </w:r>
      <w:r>
        <w:rPr>
          <w:rFonts w:ascii="Tahoma" w:hAnsi="Tahoma"/>
          <w:rtl/>
        </w:rPr>
        <w:t xml:space="preserve"> לענישה שתכלול 9 חודשי מאסר</w:t>
      </w:r>
      <w:r>
        <w:rPr>
          <w:rFonts w:ascii="Tahoma" w:hAnsi="Tahoma" w:hint="cs"/>
          <w:rtl/>
        </w:rPr>
        <w:t xml:space="preserve"> לנשיאה בדרך של עבודות שירות</w:t>
      </w:r>
      <w:r>
        <w:rPr>
          <w:rFonts w:ascii="Tahoma" w:hAnsi="Tahoma"/>
          <w:rtl/>
        </w:rPr>
        <w:t xml:space="preserve">. מכל מקום, לעניין גזירת עונשו של הנאשם בתוך מתחם העונש ההולם עמדה ב"כ המאשימה על נסיבות הקולה – נטילת האחריות, היעדר </w:t>
      </w:r>
      <w:r>
        <w:rPr>
          <w:rFonts w:ascii="Tahoma" w:hAnsi="Tahoma" w:hint="cs"/>
          <w:rtl/>
        </w:rPr>
        <w:t>ה</w:t>
      </w:r>
      <w:r>
        <w:rPr>
          <w:rFonts w:ascii="Tahoma" w:hAnsi="Tahoma"/>
          <w:rtl/>
        </w:rPr>
        <w:t xml:space="preserve">עבר </w:t>
      </w:r>
      <w:r>
        <w:rPr>
          <w:rFonts w:ascii="Tahoma" w:hAnsi="Tahoma" w:hint="cs"/>
          <w:rtl/>
        </w:rPr>
        <w:t>ה</w:t>
      </w:r>
      <w:r>
        <w:rPr>
          <w:rFonts w:ascii="Tahoma" w:hAnsi="Tahoma"/>
          <w:rtl/>
        </w:rPr>
        <w:t>פלילי ו</w:t>
      </w:r>
      <w:r>
        <w:rPr>
          <w:rFonts w:ascii="Tahoma" w:hAnsi="Tahoma" w:hint="cs"/>
          <w:rtl/>
        </w:rPr>
        <w:t>ה</w:t>
      </w:r>
      <w:r>
        <w:rPr>
          <w:rFonts w:ascii="Tahoma" w:hAnsi="Tahoma"/>
          <w:rtl/>
        </w:rPr>
        <w:t>השתלבות בטיפול – ועתרה להשתת עונש ברף התחתון של המתחם לו עתרה, בצירוף ענישה נלווית שתכלול מאסר מותנה, קנס כספי והתחייבות.</w:t>
      </w:r>
    </w:p>
    <w:p w14:paraId="5ADE7211" w14:textId="77777777" w:rsidR="00D17C30" w:rsidRDefault="00D17C30" w:rsidP="00D17C30">
      <w:pPr>
        <w:numPr>
          <w:ilvl w:val="0"/>
          <w:numId w:val="2"/>
        </w:numPr>
        <w:spacing w:after="120" w:line="360" w:lineRule="auto"/>
        <w:ind w:left="360"/>
        <w:jc w:val="both"/>
        <w:rPr>
          <w:rFonts w:ascii="Tahoma" w:hAnsi="Tahoma"/>
        </w:rPr>
      </w:pPr>
      <w:r>
        <w:rPr>
          <w:rtl/>
        </w:rPr>
        <w:t>ב"כ הנאשם, מצדו, טען כי הפסיקה אליה הפנתה התובעת אינה ישימה לענייננו, וטען כי בעובדות כתב האישום המתוקן לא נטענת כל הסלקה של הסמים ועל כן לא ניתן לטעון לכך כנסיבה מחמירה לעונש. לגופו של עניין עמד הסניגור על כך שהתיק במקור כלל שני חשודים – כולל חברתו דאז של הנאשם, שהתיק נגדה נסגר. בנוסף</w:t>
      </w:r>
      <w:r>
        <w:rPr>
          <w:rFonts w:hint="cs"/>
          <w:rtl/>
        </w:rPr>
        <w:t xml:space="preserve"> שהה </w:t>
      </w:r>
      <w:r>
        <w:rPr>
          <w:rtl/>
        </w:rPr>
        <w:t>הנאשם כשבוע במעצר, בשלבי החקירה, והדבר היה לו קשה מאוד בהיותו אדם נורמטיבי.</w:t>
      </w:r>
    </w:p>
    <w:p w14:paraId="22CAD064" w14:textId="77777777" w:rsidR="00D17C30" w:rsidRDefault="00D17C30" w:rsidP="00D17C30">
      <w:pPr>
        <w:numPr>
          <w:ilvl w:val="0"/>
          <w:numId w:val="2"/>
        </w:numPr>
        <w:spacing w:after="120" w:line="360" w:lineRule="auto"/>
        <w:ind w:left="360"/>
        <w:jc w:val="both"/>
        <w:rPr>
          <w:rFonts w:ascii="Tahoma" w:hAnsi="Tahoma"/>
        </w:rPr>
      </w:pPr>
      <w:r>
        <w:rPr>
          <w:rtl/>
        </w:rPr>
        <w:t xml:space="preserve">ב"כ הנאשם הרחיב </w:t>
      </w:r>
      <w:r>
        <w:rPr>
          <w:rFonts w:ascii="Tahoma" w:hAnsi="Tahoma"/>
          <w:rtl/>
        </w:rPr>
        <w:t>בהיבטים החיוביים העולים משלושת תסקירי שירות המבחן, תוך הדגשת הדרך השיקומית המשמעותית שע</w:t>
      </w:r>
      <w:r>
        <w:rPr>
          <w:rFonts w:ascii="Tahoma" w:hAnsi="Tahoma" w:hint="cs"/>
          <w:rtl/>
        </w:rPr>
        <w:t>בר</w:t>
      </w:r>
      <w:r>
        <w:rPr>
          <w:rFonts w:ascii="Tahoma" w:hAnsi="Tahoma"/>
          <w:rtl/>
        </w:rPr>
        <w:t xml:space="preserve"> הנאשם מאז ביצוע העבירה, לרבות בהפסקת השימוש בסמים מסוכנים. בנסיבות אלה – והגם שהסניגור טען כי המתחם לו </w:t>
      </w:r>
      <w:r>
        <w:rPr>
          <w:rFonts w:ascii="Tahoma" w:hAnsi="Tahoma" w:hint="cs"/>
          <w:rtl/>
        </w:rPr>
        <w:t xml:space="preserve">עתרה </w:t>
      </w:r>
      <w:r>
        <w:rPr>
          <w:rFonts w:ascii="Tahoma" w:hAnsi="Tahoma"/>
          <w:rtl/>
        </w:rPr>
        <w:t xml:space="preserve">המאשימה הוא מחמיר מדי – מדובר במקרה בו ראוי לחרוג לכף קולה ממתחם העונש ההולם, משיקולי שיקום, כפי שנעשה במקרה החמור יותר </w:t>
      </w:r>
      <w:r>
        <w:rPr>
          <w:rFonts w:ascii="Tahoma" w:hAnsi="Tahoma" w:hint="cs"/>
          <w:rtl/>
        </w:rPr>
        <w:t xml:space="preserve">של יבוא סמים, </w:t>
      </w:r>
      <w:r>
        <w:rPr>
          <w:rFonts w:ascii="Tahoma" w:hAnsi="Tahoma"/>
          <w:rtl/>
        </w:rPr>
        <w:t xml:space="preserve">מושא </w:t>
      </w:r>
      <w:hyperlink r:id="rId19" w:history="1">
        <w:r w:rsidR="002E765A" w:rsidRPr="002E765A">
          <w:rPr>
            <w:rFonts w:ascii="Tahoma" w:hAnsi="Tahoma"/>
            <w:color w:val="0000FF"/>
            <w:u w:val="single"/>
            <w:rtl/>
          </w:rPr>
          <w:t>עפ"ג (מחוזי י-ם) 39067-10-19</w:t>
        </w:r>
      </w:hyperlink>
      <w:r w:rsidR="002E765A">
        <w:rPr>
          <w:rFonts w:ascii="Tahoma" w:hAnsi="Tahoma"/>
          <w:rtl/>
        </w:rPr>
        <w:t xml:space="preserve"> </w:t>
      </w:r>
      <w:r>
        <w:rPr>
          <w:rFonts w:ascii="Tahoma" w:hAnsi="Tahoma"/>
          <w:b/>
          <w:bCs/>
          <w:rtl/>
        </w:rPr>
        <w:t>מדינת ישראל נ' זקן</w:t>
      </w:r>
      <w:r w:rsidR="002E765A">
        <w:rPr>
          <w:rFonts w:ascii="Tahoma" w:hAnsi="Tahoma"/>
          <w:rtl/>
        </w:rPr>
        <w:t xml:space="preserve"> </w:t>
      </w:r>
      <w:r>
        <w:rPr>
          <w:rFonts w:ascii="Tahoma" w:hAnsi="Tahoma"/>
          <w:rtl/>
        </w:rPr>
        <w:t>(19.02.2020).</w:t>
      </w:r>
    </w:p>
    <w:p w14:paraId="59A95A7A" w14:textId="77777777" w:rsidR="00D17C30" w:rsidRDefault="00D17C30" w:rsidP="00D17C30">
      <w:pPr>
        <w:numPr>
          <w:ilvl w:val="0"/>
          <w:numId w:val="2"/>
        </w:numPr>
        <w:spacing w:after="120" w:line="360" w:lineRule="auto"/>
        <w:ind w:left="360"/>
        <w:jc w:val="both"/>
        <w:rPr>
          <w:rFonts w:ascii="Tahoma" w:hAnsi="Tahoma"/>
        </w:rPr>
      </w:pPr>
      <w:r>
        <w:rPr>
          <w:rFonts w:ascii="Tahoma" w:hAnsi="Tahoma" w:hint="cs"/>
          <w:rtl/>
        </w:rPr>
        <w:t xml:space="preserve">בסיכומו של דבר עתר </w:t>
      </w:r>
      <w:r>
        <w:rPr>
          <w:rFonts w:ascii="Tahoma" w:hAnsi="Tahoma"/>
          <w:rtl/>
        </w:rPr>
        <w:t>ב"כ הנאשם לאימוץ המלצ</w:t>
      </w:r>
      <w:r>
        <w:rPr>
          <w:rFonts w:ascii="Tahoma" w:hAnsi="Tahoma" w:hint="cs"/>
          <w:rtl/>
        </w:rPr>
        <w:t>ו</w:t>
      </w:r>
      <w:r>
        <w:rPr>
          <w:rFonts w:ascii="Tahoma" w:hAnsi="Tahoma"/>
          <w:rtl/>
        </w:rPr>
        <w:t>ת שירות המבחן, לחריגה לכף קולה ממתחם העונש ההולם ולהשתת ענישה שיקומית. בהקשר זה הפנה ב"כ הנאשם לכך שבתסקירים המשלימים צוין שנראה כי הנאשם לא יוכל לבצע של"צ מטעמי בריאות, אך הוסיף כי ככל שבית המשפט סבור שנדרשת תכנית של"צ, "</w:t>
      </w:r>
      <w:r>
        <w:rPr>
          <w:rFonts w:ascii="Tahoma" w:hAnsi="Tahoma"/>
          <w:b/>
          <w:bCs/>
          <w:rtl/>
        </w:rPr>
        <w:t>הנאשם מסכים ומתחייב לשתף פעולה</w:t>
      </w:r>
      <w:r>
        <w:rPr>
          <w:rFonts w:ascii="Tahoma" w:hAnsi="Tahoma"/>
          <w:rtl/>
        </w:rPr>
        <w:t>" (בפרוטוקול, עמ' 15 שורה 31).</w:t>
      </w:r>
    </w:p>
    <w:p w14:paraId="5100E578" w14:textId="77777777" w:rsidR="00D17C30" w:rsidRDefault="00D17C30" w:rsidP="00D17C30">
      <w:pPr>
        <w:numPr>
          <w:ilvl w:val="0"/>
          <w:numId w:val="2"/>
        </w:numPr>
        <w:spacing w:after="120" w:line="360" w:lineRule="auto"/>
        <w:ind w:left="360"/>
        <w:jc w:val="both"/>
        <w:rPr>
          <w:rFonts w:ascii="Tahoma" w:hAnsi="Tahoma"/>
        </w:rPr>
      </w:pPr>
      <w:r>
        <w:rPr>
          <w:rtl/>
        </w:rPr>
        <w:t>לבסוף הנאשם, בדברו האחרון לעונש, אמר:</w:t>
      </w:r>
      <w:r>
        <w:rPr>
          <w:rFonts w:ascii="Tahoma" w:hAnsi="Tahoma"/>
          <w:rtl/>
        </w:rPr>
        <w:t xml:space="preserve"> "</w:t>
      </w:r>
      <w:r>
        <w:rPr>
          <w:rFonts w:ascii="Tahoma" w:hAnsi="Tahoma"/>
          <w:b/>
          <w:bCs/>
          <w:rtl/>
        </w:rPr>
        <w:t>כל המצב הזה מאוד טלטל אותי. אני לא שייך לעולם הזה. זה גרם לי מאוד להשתנות, זה ניער אותי. היה לי מאוד קשה לשבת במעצר... אני מאוד השתניתי ושיניתי את אורחות חיי. יש עוד הרבה עבודה לפנינו ואני מצטער</w:t>
      </w:r>
      <w:r>
        <w:rPr>
          <w:rFonts w:ascii="Tahoma" w:hAnsi="Tahoma"/>
          <w:rtl/>
        </w:rPr>
        <w:t xml:space="preserve">" </w:t>
      </w:r>
      <w:r>
        <w:rPr>
          <w:rtl/>
        </w:rPr>
        <w:t>(בפרוטוקול, עמ' 16 שורה 24 ואילך).</w:t>
      </w:r>
    </w:p>
    <w:p w14:paraId="2A6FFCB2" w14:textId="77777777" w:rsidR="00D17C30" w:rsidRDefault="00D17C30" w:rsidP="00D17C30">
      <w:pPr>
        <w:spacing w:after="120" w:line="360" w:lineRule="auto"/>
        <w:jc w:val="both"/>
        <w:rPr>
          <w:rFonts w:ascii="Tahoma" w:hAnsi="Tahoma"/>
          <w:b/>
          <w:bCs/>
          <w:u w:val="single"/>
        </w:rPr>
      </w:pPr>
    </w:p>
    <w:p w14:paraId="253DF2CF" w14:textId="77777777" w:rsidR="00D17C30" w:rsidRDefault="00D17C30" w:rsidP="00D17C30">
      <w:pPr>
        <w:pStyle w:val="a9"/>
        <w:numPr>
          <w:ilvl w:val="0"/>
          <w:numId w:val="1"/>
        </w:numPr>
        <w:spacing w:after="120" w:line="360" w:lineRule="auto"/>
        <w:ind w:left="360"/>
        <w:jc w:val="both"/>
        <w:rPr>
          <w:rFonts w:ascii="Tahoma" w:hAnsi="Tahoma"/>
          <w:b/>
          <w:bCs/>
          <w:u w:val="single"/>
        </w:rPr>
      </w:pPr>
      <w:r>
        <w:rPr>
          <w:rFonts w:ascii="Tahoma" w:hAnsi="Tahoma"/>
          <w:b/>
          <w:bCs/>
          <w:u w:val="single"/>
          <w:rtl/>
        </w:rPr>
        <w:t>קביעת מתחם העונש ההולם:</w:t>
      </w:r>
    </w:p>
    <w:p w14:paraId="5498C73D" w14:textId="77777777" w:rsidR="00D17C30" w:rsidRDefault="00D17C30" w:rsidP="00D17C30">
      <w:pPr>
        <w:numPr>
          <w:ilvl w:val="0"/>
          <w:numId w:val="2"/>
        </w:numPr>
        <w:spacing w:after="120" w:line="360" w:lineRule="auto"/>
        <w:ind w:left="360"/>
        <w:jc w:val="both"/>
        <w:rPr>
          <w:rFonts w:ascii="Tahoma" w:hAnsi="Tahoma"/>
          <w:rtl/>
        </w:rPr>
      </w:pPr>
      <w:r>
        <w:rPr>
          <w:rFonts w:ascii="Tahoma" w:hAnsi="Tahoma"/>
          <w:rtl/>
        </w:rPr>
        <w:t xml:space="preserve">בהתאם להוראות </w:t>
      </w:r>
      <w:hyperlink r:id="rId20" w:history="1">
        <w:r w:rsidR="002E765A" w:rsidRPr="002E765A">
          <w:rPr>
            <w:rFonts w:ascii="Tahoma" w:hAnsi="Tahoma"/>
            <w:color w:val="0000FF"/>
            <w:u w:val="single"/>
            <w:rtl/>
          </w:rPr>
          <w:t>חוק העונשין</w:t>
        </w:r>
      </w:hyperlink>
      <w:r>
        <w:rPr>
          <w:rFonts w:ascii="Tahoma" w:hAnsi="Tahoma"/>
          <w:rtl/>
        </w:rPr>
        <w:t xml:space="preserve">, תשל"ז-1977 (להלן – חוק העונשין), בעת גזירת עונשו של </w:t>
      </w:r>
      <w:r>
        <w:rPr>
          <w:rtl/>
        </w:rPr>
        <w:t xml:space="preserve">נאשם על בית המשפט לקבוע, תחילה, את מתחם העונש ההולם לאירוע העברייני שבגינו הורשע הנאשם. בקביעת המתחם יתחשב בית המשפט, בין השאר, בערכים החברתיים שנפגעו מביצוע העבירה ובמידת הפגיעה בהם, במדיניות הענישה הנהוגה ובנסיבות הקשורות בביצוע העבירה, לרבות אלה המנויות בהוראות </w:t>
      </w:r>
      <w:hyperlink r:id="rId21" w:history="1">
        <w:r w:rsidR="00303F64" w:rsidRPr="00303F64">
          <w:rPr>
            <w:rStyle w:val="Hyperlink"/>
            <w:rtl/>
          </w:rPr>
          <w:t>סעיף 40ט</w:t>
        </w:r>
      </w:hyperlink>
      <w:r>
        <w:rPr>
          <w:rtl/>
        </w:rPr>
        <w:t xml:space="preserve"> ל</w:t>
      </w:r>
      <w:hyperlink r:id="rId22" w:history="1">
        <w:r w:rsidR="002E765A" w:rsidRPr="002E765A">
          <w:rPr>
            <w:color w:val="0000FF"/>
            <w:u w:val="single"/>
            <w:rtl/>
          </w:rPr>
          <w:t>חוק העונשין</w:t>
        </w:r>
      </w:hyperlink>
      <w:r>
        <w:rPr>
          <w:rtl/>
        </w:rPr>
        <w:t>.</w:t>
      </w:r>
    </w:p>
    <w:p w14:paraId="0420596A" w14:textId="77777777" w:rsidR="00D17C30" w:rsidRDefault="00D17C30" w:rsidP="00D17C30">
      <w:pPr>
        <w:numPr>
          <w:ilvl w:val="0"/>
          <w:numId w:val="2"/>
        </w:numPr>
        <w:spacing w:after="120" w:line="360" w:lineRule="auto"/>
        <w:ind w:left="360"/>
        <w:jc w:val="both"/>
        <w:rPr>
          <w:rFonts w:ascii="Tahoma" w:hAnsi="Tahoma"/>
        </w:rPr>
      </w:pPr>
      <w:r>
        <w:rPr>
          <w:rtl/>
        </w:rPr>
        <w:t>לעניין הערכים החברתיים, שנפגעו כתולדה מביצוע העבירה, הפסיקה חוזרת ומדגישה את חומרתן של עבירות הסמים, שביצוען פוגע במידה ניכרת בערכים החברתיים של ההגנה על שלום הציבור ועל בריאותו</w:t>
      </w:r>
      <w:r>
        <w:rPr>
          <w:rFonts w:hint="cs"/>
          <w:rtl/>
        </w:rPr>
        <w:t>;</w:t>
      </w:r>
      <w:r>
        <w:rPr>
          <w:rtl/>
        </w:rPr>
        <w:t xml:space="preserve"> והדברים נכונים במיוחד כאשר מדובר בהחזקה שלא לצריכה עצמית של סמים קשים, כבענייננו. עם זאת, קביעת מתחם העונש ההולם נגזרת כאמור גם מהנסיבות הספציפיות שבהן בוצעה העבירה, כאשר בענייננו</w:t>
      </w:r>
      <w:r>
        <w:rPr>
          <w:rFonts w:ascii="Tahoma" w:hAnsi="Tahoma"/>
          <w:rtl/>
        </w:rPr>
        <w:t xml:space="preserve"> מדובר בכמויות סמים קטנות יחסית, הגם שמשני סוגים, ובהחזקה בדירת מגורים (להבדיל מהחזקה ברכב או במקום בילוי, בהם פוטנציאל ההפצה גבוה יותר).</w:t>
      </w:r>
    </w:p>
    <w:p w14:paraId="6812DA59" w14:textId="77777777" w:rsidR="00D17C30" w:rsidRDefault="00D17C30" w:rsidP="00D17C30">
      <w:pPr>
        <w:numPr>
          <w:ilvl w:val="0"/>
          <w:numId w:val="2"/>
        </w:numPr>
        <w:spacing w:after="120" w:line="360" w:lineRule="auto"/>
        <w:ind w:left="360"/>
        <w:jc w:val="both"/>
        <w:rPr>
          <w:rFonts w:ascii="Tahoma" w:hAnsi="Tahoma"/>
        </w:rPr>
      </w:pPr>
      <w:r>
        <w:rPr>
          <w:rtl/>
        </w:rPr>
        <w:t xml:space="preserve">בהתחשב במכלול נסיבות האמורות, כמו גם </w:t>
      </w:r>
      <w:r>
        <w:rPr>
          <w:rFonts w:hint="cs"/>
          <w:rtl/>
        </w:rPr>
        <w:t>ב</w:t>
      </w:r>
      <w:r>
        <w:rPr>
          <w:rtl/>
        </w:rPr>
        <w:t xml:space="preserve">מדיניות הענישה הנהוגה (בהקשר זה ר' והשווה גם </w:t>
      </w:r>
      <w:hyperlink r:id="rId23" w:history="1">
        <w:r w:rsidR="002E765A" w:rsidRPr="002E765A">
          <w:rPr>
            <w:color w:val="0000FF"/>
            <w:u w:val="single"/>
            <w:rtl/>
          </w:rPr>
          <w:t>ת"פ (שלום ת"א) 7660-03-20</w:t>
        </w:r>
      </w:hyperlink>
      <w:r>
        <w:rPr>
          <w:rtl/>
        </w:rPr>
        <w:t xml:space="preserve"> </w:t>
      </w:r>
      <w:r>
        <w:rPr>
          <w:b/>
          <w:bCs/>
          <w:rtl/>
        </w:rPr>
        <w:t>מדינת ישראל נ' אסולין</w:t>
      </w:r>
      <w:r>
        <w:rPr>
          <w:rtl/>
        </w:rPr>
        <w:t xml:space="preserve"> (25.12.2022)), אני </w:t>
      </w:r>
      <w:r>
        <w:rPr>
          <w:rFonts w:ascii="David" w:hAnsi="David"/>
          <w:color w:val="000000"/>
          <w:shd w:val="clear" w:color="auto" w:fill="FFFFFF"/>
          <w:rtl/>
        </w:rPr>
        <w:t>קובע את מתחם העונש ההולם, במקרה זה, בין מספר חודשי מאסר בפועל, שניתן לשאתם בדרך של עבודות שירות, לבין 12 חודשי מאסר בפועל.</w:t>
      </w:r>
    </w:p>
    <w:p w14:paraId="364F73EE" w14:textId="77777777" w:rsidR="00D17C30" w:rsidRDefault="00D17C30" w:rsidP="00D17C30">
      <w:pPr>
        <w:spacing w:after="120" w:line="360" w:lineRule="auto"/>
        <w:jc w:val="both"/>
        <w:rPr>
          <w:rFonts w:ascii="Tahoma" w:hAnsi="Tahoma"/>
          <w:rtl/>
        </w:rPr>
      </w:pPr>
    </w:p>
    <w:p w14:paraId="211F4502" w14:textId="77777777" w:rsidR="00D17C30" w:rsidRPr="00A7539C" w:rsidRDefault="00D17C30" w:rsidP="00D17C30">
      <w:pPr>
        <w:pStyle w:val="a9"/>
        <w:numPr>
          <w:ilvl w:val="0"/>
          <w:numId w:val="1"/>
        </w:numPr>
        <w:spacing w:after="120" w:line="360" w:lineRule="auto"/>
        <w:ind w:left="360"/>
        <w:jc w:val="both"/>
        <w:rPr>
          <w:rFonts w:ascii="Tahoma" w:hAnsi="Tahoma"/>
          <w:b/>
          <w:bCs/>
          <w:u w:val="single"/>
          <w:rtl/>
        </w:rPr>
      </w:pPr>
      <w:r w:rsidRPr="00A7539C">
        <w:rPr>
          <w:rFonts w:hint="cs"/>
          <w:b/>
          <w:bCs/>
          <w:u w:val="single"/>
          <w:rtl/>
        </w:rPr>
        <w:t>גזירת עונשו של הנאשם בתוך מתחם העונש ההולם</w:t>
      </w:r>
      <w:r>
        <w:rPr>
          <w:rFonts w:hint="cs"/>
          <w:b/>
          <w:bCs/>
          <w:u w:val="single"/>
          <w:rtl/>
        </w:rPr>
        <w:t xml:space="preserve"> והאפשרות לחריגה הימנו</w:t>
      </w:r>
      <w:r w:rsidRPr="00A7539C">
        <w:rPr>
          <w:rFonts w:hint="cs"/>
          <w:b/>
          <w:bCs/>
          <w:u w:val="single"/>
          <w:rtl/>
        </w:rPr>
        <w:t>:</w:t>
      </w:r>
    </w:p>
    <w:p w14:paraId="47A72582" w14:textId="77777777" w:rsidR="00D17C30" w:rsidRDefault="00D17C30" w:rsidP="00D17C30">
      <w:pPr>
        <w:numPr>
          <w:ilvl w:val="0"/>
          <w:numId w:val="2"/>
        </w:numPr>
        <w:spacing w:after="120" w:line="360" w:lineRule="auto"/>
        <w:ind w:left="360"/>
        <w:jc w:val="both"/>
        <w:rPr>
          <w:rFonts w:ascii="Tahoma" w:hAnsi="Tahoma"/>
        </w:rPr>
      </w:pPr>
      <w:r w:rsidRPr="00D8170E">
        <w:rPr>
          <w:rFonts w:ascii="Tahoma" w:hAnsi="Tahoma"/>
          <w:rtl/>
        </w:rPr>
        <w:t>לאחר קביעת מתחם העונש ההולם על בית המשפט לגזור את עונשו של הנאשם בתוך מתחם זה</w:t>
      </w:r>
      <w:r>
        <w:rPr>
          <w:rFonts w:ascii="Tahoma" w:hAnsi="Tahoma" w:hint="cs"/>
          <w:rtl/>
        </w:rPr>
        <w:t>,</w:t>
      </w:r>
      <w:r w:rsidRPr="00D8170E">
        <w:rPr>
          <w:rFonts w:ascii="Tahoma" w:hAnsi="Tahoma"/>
          <w:rtl/>
        </w:rPr>
        <w:t xml:space="preserve"> תוך התחשבות בנסיבות שאינן קשורות בביצוע העבירות. עם זאת, לבית המשפט סמכות לחרוג לכף קולה ממתחם העונש ההולם, משיקולי שיקום, בהתאם להוראות </w:t>
      </w:r>
      <w:hyperlink r:id="rId24" w:history="1">
        <w:r w:rsidR="00303F64" w:rsidRPr="00303F64">
          <w:rPr>
            <w:rStyle w:val="Hyperlink"/>
            <w:rFonts w:ascii="Tahoma" w:hAnsi="Tahoma"/>
            <w:rtl/>
          </w:rPr>
          <w:t>סעיף 40ד</w:t>
        </w:r>
      </w:hyperlink>
      <w:r w:rsidRPr="00D8170E">
        <w:rPr>
          <w:rFonts w:ascii="Tahoma" w:hAnsi="Tahoma"/>
          <w:rtl/>
        </w:rPr>
        <w:t xml:space="preserve"> ל</w:t>
      </w:r>
      <w:hyperlink r:id="rId25" w:history="1">
        <w:r w:rsidR="002E765A" w:rsidRPr="002E765A">
          <w:rPr>
            <w:rFonts w:ascii="Tahoma" w:hAnsi="Tahoma"/>
            <w:color w:val="0000FF"/>
            <w:u w:val="single"/>
            <w:rtl/>
          </w:rPr>
          <w:t>חוק העונשין</w:t>
        </w:r>
      </w:hyperlink>
      <w:r w:rsidRPr="00D8170E">
        <w:rPr>
          <w:rFonts w:ascii="Tahoma" w:hAnsi="Tahoma"/>
          <w:rtl/>
        </w:rPr>
        <w:t>. לפי הוראות סעיף זה, אם מצא בית המשפט כי הנאשם השתקם או כי יש סיכוי של ממש שישתקם, רשאי הוא לחרוג לכף קולה ממתחם העונש ההולם ולקבוע את עונשו של הנאשם לפי שיקולי שיקומו.</w:t>
      </w:r>
    </w:p>
    <w:p w14:paraId="7256C683" w14:textId="77777777" w:rsidR="00D17C30" w:rsidRDefault="00D17C30" w:rsidP="00D17C30">
      <w:pPr>
        <w:numPr>
          <w:ilvl w:val="0"/>
          <w:numId w:val="2"/>
        </w:numPr>
        <w:spacing w:after="120" w:line="360" w:lineRule="auto"/>
        <w:ind w:left="360"/>
        <w:jc w:val="both"/>
        <w:rPr>
          <w:rFonts w:ascii="Tahoma" w:hAnsi="Tahoma"/>
        </w:rPr>
      </w:pPr>
      <w:r w:rsidRPr="00D8170E">
        <w:rPr>
          <w:rFonts w:ascii="Tahoma" w:hAnsi="Tahoma" w:hint="cs"/>
          <w:rtl/>
        </w:rPr>
        <w:t xml:space="preserve">במקרה זה מדובר כאמור בנאשם </w:t>
      </w:r>
      <w:r w:rsidRPr="00D8170E">
        <w:rPr>
          <w:rFonts w:ascii="David" w:hAnsi="David"/>
          <w:rtl/>
        </w:rPr>
        <w:t xml:space="preserve">יליד שנת 1989 (כבן 35 שנים כיום), </w:t>
      </w:r>
      <w:r>
        <w:rPr>
          <w:rFonts w:ascii="David" w:hAnsi="David" w:hint="cs"/>
          <w:rtl/>
        </w:rPr>
        <w:t xml:space="preserve">ללא כל רישומים קודמים, שהודה בעובדות כתב האישום המתוקן ונטל אחריות על מעשיו. מעבר לכך, וזו הנקודה העיקרית כאן, נראה כי בתקופה שחלפה מאז ביצוע העבירה אכן ערך הנאשם שינוי מהותי בחייו, כמשתקף בשלושת תסקירי שירות המבחן שהתקבלו בעניינו. הנאשם גדל בנסיבות </w:t>
      </w:r>
      <w:r>
        <w:rPr>
          <w:rFonts w:ascii="Tahoma" w:hAnsi="Tahoma" w:hint="cs"/>
          <w:rtl/>
        </w:rPr>
        <w:t>לא פשוטות ואף סובל מבעיות בריאות, אך הרושם הברור הוא שהחקירה, המעצר וניהול ההליך המשפטי נגדו בפרשה זו היוו בעבורו חוויה מטלטלת ומציבת-גבולות, והוא החליט לשנות את אורחות חייו וליטול שליטה עליהם.</w:t>
      </w:r>
    </w:p>
    <w:p w14:paraId="060A8B13" w14:textId="77777777" w:rsidR="00D17C30" w:rsidRPr="00856616" w:rsidRDefault="00D17C30" w:rsidP="00D17C30">
      <w:pPr>
        <w:numPr>
          <w:ilvl w:val="0"/>
          <w:numId w:val="2"/>
        </w:numPr>
        <w:spacing w:after="120" w:line="360" w:lineRule="auto"/>
        <w:ind w:left="360"/>
        <w:jc w:val="both"/>
        <w:rPr>
          <w:rFonts w:ascii="Tahoma" w:hAnsi="Tahoma"/>
        </w:rPr>
      </w:pPr>
      <w:r w:rsidRPr="00856616">
        <w:rPr>
          <w:rFonts w:ascii="Tahoma" w:hAnsi="Tahoma" w:hint="cs"/>
          <w:rtl/>
        </w:rPr>
        <w:t xml:space="preserve">עוד בתחילת הפרשה פנה הנאשם, בעצמו, לאפיק טיפולי במסגרת פרטית, ובהמשך הדרך השתלב בהליך טיפולי במסגרת שירות המבחן, כאשר הערכת שירות המבחן היא כי הנאשם נתרם מאוד </w:t>
      </w:r>
      <w:r w:rsidRPr="00856616">
        <w:rPr>
          <w:rFonts w:ascii="David" w:hAnsi="David"/>
          <w:rtl/>
        </w:rPr>
        <w:t>מההליך</w:t>
      </w:r>
      <w:r w:rsidRPr="00856616">
        <w:rPr>
          <w:rFonts w:ascii="David" w:hAnsi="David" w:hint="cs"/>
          <w:rtl/>
        </w:rPr>
        <w:t xml:space="preserve">. כיום מתגורר הנאשם </w:t>
      </w:r>
      <w:r w:rsidRPr="00856616">
        <w:rPr>
          <w:rFonts w:ascii="David" w:hAnsi="David"/>
          <w:rtl/>
        </w:rPr>
        <w:t xml:space="preserve">עם בת זוג חדשה, </w:t>
      </w:r>
      <w:r w:rsidRPr="00856616">
        <w:rPr>
          <w:rFonts w:ascii="David" w:hAnsi="David" w:hint="cs"/>
          <w:rtl/>
        </w:rPr>
        <w:t>ה</w:t>
      </w:r>
      <w:r w:rsidRPr="00856616">
        <w:rPr>
          <w:rFonts w:ascii="David" w:hAnsi="David"/>
          <w:rtl/>
        </w:rPr>
        <w:t>מצויה בהיריון</w:t>
      </w:r>
      <w:r w:rsidRPr="00856616">
        <w:rPr>
          <w:rFonts w:ascii="David" w:hAnsi="David" w:hint="cs"/>
          <w:rtl/>
        </w:rPr>
        <w:t xml:space="preserve"> מתקדם</w:t>
      </w:r>
      <w:r w:rsidRPr="00856616">
        <w:rPr>
          <w:rFonts w:ascii="David" w:hAnsi="David"/>
          <w:rtl/>
        </w:rPr>
        <w:t xml:space="preserve">. </w:t>
      </w:r>
      <w:r w:rsidRPr="00856616">
        <w:rPr>
          <w:rFonts w:ascii="Tahoma" w:hAnsi="Tahoma" w:hint="cs"/>
          <w:rtl/>
        </w:rPr>
        <w:t>לכן, ו</w:t>
      </w:r>
      <w:r w:rsidRPr="00856616">
        <w:rPr>
          <w:rFonts w:ascii="Tahoma" w:hAnsi="Tahoma"/>
          <w:rtl/>
        </w:rPr>
        <w:t>בנסיבות אלה</w:t>
      </w:r>
      <w:r w:rsidRPr="00856616">
        <w:rPr>
          <w:rFonts w:ascii="Tahoma" w:hAnsi="Tahoma" w:hint="cs"/>
          <w:rtl/>
        </w:rPr>
        <w:t>,</w:t>
      </w:r>
      <w:r w:rsidRPr="00856616">
        <w:rPr>
          <w:rFonts w:ascii="Tahoma" w:hAnsi="Tahoma"/>
          <w:rtl/>
        </w:rPr>
        <w:t xml:space="preserve"> </w:t>
      </w:r>
      <w:r w:rsidRPr="00856616">
        <w:rPr>
          <w:rFonts w:ascii="Tahoma" w:hAnsi="Tahoma" w:hint="cs"/>
          <w:rtl/>
        </w:rPr>
        <w:t xml:space="preserve">נכון יהיה </w:t>
      </w:r>
      <w:r w:rsidRPr="00856616">
        <w:rPr>
          <w:rFonts w:ascii="Tahoma" w:hAnsi="Tahoma"/>
          <w:rtl/>
        </w:rPr>
        <w:t>לאמץ את המלצות שירות המבחן</w:t>
      </w:r>
      <w:r w:rsidRPr="00856616">
        <w:rPr>
          <w:rFonts w:ascii="Tahoma" w:hAnsi="Tahoma" w:hint="cs"/>
          <w:rtl/>
        </w:rPr>
        <w:t xml:space="preserve"> </w:t>
      </w:r>
      <w:r w:rsidRPr="00856616">
        <w:rPr>
          <w:rFonts w:ascii="Tahoma" w:hAnsi="Tahoma"/>
          <w:rtl/>
        </w:rPr>
        <w:t>–</w:t>
      </w:r>
      <w:r w:rsidRPr="00856616">
        <w:rPr>
          <w:rFonts w:ascii="Tahoma" w:hAnsi="Tahoma" w:hint="cs"/>
          <w:rtl/>
        </w:rPr>
        <w:t xml:space="preserve"> </w:t>
      </w:r>
      <w:r w:rsidRPr="00856616">
        <w:rPr>
          <w:rFonts w:ascii="Tahoma" w:hAnsi="Tahoma"/>
          <w:rtl/>
        </w:rPr>
        <w:t>גם נוכח השינויים שהנאשם כבר ערך בחייו וגם כמסר של חיזוק ודרבון ל</w:t>
      </w:r>
      <w:r w:rsidRPr="00856616">
        <w:rPr>
          <w:rFonts w:ascii="Tahoma" w:hAnsi="Tahoma" w:hint="cs"/>
          <w:rtl/>
        </w:rPr>
        <w:t xml:space="preserve">עתיד </w:t>
      </w:r>
      <w:r w:rsidRPr="00856616">
        <w:rPr>
          <w:rFonts w:ascii="Tahoma" w:hAnsi="Tahoma"/>
          <w:rtl/>
        </w:rPr>
        <w:t>–</w:t>
      </w:r>
      <w:r w:rsidRPr="00856616">
        <w:rPr>
          <w:rFonts w:ascii="Tahoma" w:hAnsi="Tahoma" w:hint="cs"/>
          <w:rtl/>
        </w:rPr>
        <w:t xml:space="preserve"> </w:t>
      </w:r>
      <w:r w:rsidRPr="00856616">
        <w:rPr>
          <w:rFonts w:ascii="Tahoma" w:hAnsi="Tahoma"/>
          <w:rtl/>
        </w:rPr>
        <w:t>ולגזור את עונשו של הנאשם לפי שיקולי שיקומו.</w:t>
      </w:r>
    </w:p>
    <w:p w14:paraId="5D861890" w14:textId="77777777" w:rsidR="00D17C30" w:rsidRDefault="00D17C30" w:rsidP="00D17C30">
      <w:pPr>
        <w:numPr>
          <w:ilvl w:val="0"/>
          <w:numId w:val="2"/>
        </w:numPr>
        <w:spacing w:after="120" w:line="360" w:lineRule="auto"/>
        <w:ind w:left="360"/>
        <w:jc w:val="both"/>
        <w:rPr>
          <w:rFonts w:ascii="Tahoma" w:hAnsi="Tahoma"/>
        </w:rPr>
      </w:pPr>
      <w:r>
        <w:rPr>
          <w:rFonts w:ascii="Tahoma" w:hAnsi="Tahoma" w:hint="cs"/>
          <w:rtl/>
        </w:rPr>
        <w:t>עם זאת, בהימנעות מהשתת עונש של מאסר בפועל, ולו לנשיאה בדרך של עבודות שירות, יש משום הקלה מהותית בהתחשב בחומרת העבירה, ולכן במכלול הנסיבות יש להשית גם עונש של של"צ לטובת הקהילה. אמנם שירות המבחן ציין בהקשר זה את מצבו הרפואי של הנאשם, אך בטיעונים לפניי הודיעה ההגנה על נכונותו לנשיאת עונש של"צ, ויש להוסיף ולציין כי מהתיעוד הרפואי שהוצג (במסגרת ס/1) לא נראה שהנאשם אינו יכול לבצע של"צ.</w:t>
      </w:r>
    </w:p>
    <w:p w14:paraId="7C694325" w14:textId="77777777" w:rsidR="00D17C30" w:rsidRPr="002059D0" w:rsidRDefault="00D17C30" w:rsidP="00D17C30">
      <w:pPr>
        <w:spacing w:after="120" w:line="360" w:lineRule="auto"/>
        <w:jc w:val="both"/>
        <w:rPr>
          <w:rFonts w:ascii="Tahoma" w:hAnsi="Tahoma"/>
          <w:rtl/>
        </w:rPr>
      </w:pPr>
    </w:p>
    <w:p w14:paraId="6D41E5CA" w14:textId="77777777" w:rsidR="00D17C30" w:rsidRDefault="00D17C30" w:rsidP="00D17C30">
      <w:pPr>
        <w:pStyle w:val="a9"/>
        <w:numPr>
          <w:ilvl w:val="0"/>
          <w:numId w:val="1"/>
        </w:numPr>
        <w:spacing w:after="120" w:line="360" w:lineRule="auto"/>
        <w:ind w:left="360"/>
        <w:jc w:val="both"/>
        <w:rPr>
          <w:rFonts w:ascii="Tahoma" w:hAnsi="Tahoma"/>
          <w:b/>
          <w:bCs/>
          <w:u w:val="single"/>
          <w:rtl/>
        </w:rPr>
      </w:pPr>
      <w:r>
        <w:rPr>
          <w:rFonts w:hint="cs"/>
          <w:b/>
          <w:bCs/>
          <w:u w:val="single"/>
          <w:rtl/>
        </w:rPr>
        <w:t>סוף דבר</w:t>
      </w:r>
      <w:r w:rsidRPr="00CE1F20">
        <w:rPr>
          <w:rFonts w:hint="cs"/>
          <w:b/>
          <w:bCs/>
          <w:u w:val="single"/>
          <w:rtl/>
        </w:rPr>
        <w:t>:</w:t>
      </w:r>
    </w:p>
    <w:p w14:paraId="14196042" w14:textId="77777777" w:rsidR="00D17C30" w:rsidRPr="002059D0" w:rsidRDefault="00D17C30" w:rsidP="00D17C30">
      <w:pPr>
        <w:numPr>
          <w:ilvl w:val="0"/>
          <w:numId w:val="2"/>
        </w:numPr>
        <w:spacing w:after="120" w:line="360" w:lineRule="auto"/>
        <w:ind w:left="360"/>
        <w:jc w:val="both"/>
        <w:rPr>
          <w:rFonts w:ascii="Tahoma" w:hAnsi="Tahoma"/>
          <w:rtl/>
        </w:rPr>
      </w:pPr>
      <w:r>
        <w:rPr>
          <w:rFonts w:hint="cs"/>
          <w:rtl/>
        </w:rPr>
        <w:t xml:space="preserve">אשר על כן </w:t>
      </w:r>
      <w:r>
        <w:rPr>
          <w:rtl/>
        </w:rPr>
        <w:t>–</w:t>
      </w:r>
      <w:r>
        <w:rPr>
          <w:rFonts w:hint="cs"/>
          <w:rtl/>
        </w:rPr>
        <w:t xml:space="preserve"> ובהתחשב בשיקולים לכף חומרה ולכף קולה, אשר פורטו לעיל </w:t>
      </w:r>
      <w:r>
        <w:rPr>
          <w:rtl/>
        </w:rPr>
        <w:t>–</w:t>
      </w:r>
      <w:r>
        <w:rPr>
          <w:rFonts w:hint="cs"/>
          <w:rtl/>
        </w:rPr>
        <w:t xml:space="preserve"> אני גוזר על הנאשם את העונשים הבאים:</w:t>
      </w:r>
    </w:p>
    <w:p w14:paraId="2C8E90C8" w14:textId="77777777" w:rsidR="00D17C30" w:rsidRDefault="00D17C30" w:rsidP="00D17C30">
      <w:pPr>
        <w:spacing w:after="120" w:line="360" w:lineRule="auto"/>
        <w:ind w:left="1080" w:hanging="720"/>
        <w:jc w:val="both"/>
        <w:rPr>
          <w:rtl/>
        </w:rPr>
      </w:pPr>
      <w:r>
        <w:rPr>
          <w:rFonts w:hint="cs"/>
          <w:rtl/>
        </w:rPr>
        <w:t>(א)</w:t>
      </w:r>
      <w:r>
        <w:rPr>
          <w:rtl/>
        </w:rPr>
        <w:tab/>
      </w:r>
      <w:r>
        <w:rPr>
          <w:rFonts w:hint="cs"/>
          <w:rtl/>
        </w:rPr>
        <w:t xml:space="preserve">מאסר על תנאי למשך 6 חודשים, אותו לא יישא הנאשם אלא אם כן יעבור, תוך שלוש שנים מהיום, עבירה לפי הוראות </w:t>
      </w:r>
      <w:hyperlink r:id="rId26" w:history="1">
        <w:r w:rsidR="002E765A" w:rsidRPr="002E765A">
          <w:rPr>
            <w:color w:val="0000FF"/>
            <w:u w:val="single"/>
            <w:rtl/>
          </w:rPr>
          <w:t>פקודת הסמים המסוכנים</w:t>
        </w:r>
      </w:hyperlink>
      <w:r>
        <w:rPr>
          <w:rFonts w:hint="cs"/>
          <w:rtl/>
        </w:rPr>
        <w:t xml:space="preserve"> מסוג פשע.</w:t>
      </w:r>
    </w:p>
    <w:p w14:paraId="74550319" w14:textId="77777777" w:rsidR="00D17C30" w:rsidRDefault="00D17C30" w:rsidP="00D17C30">
      <w:pPr>
        <w:spacing w:after="120" w:line="360" w:lineRule="auto"/>
        <w:ind w:left="1080" w:hanging="720"/>
        <w:jc w:val="both"/>
        <w:rPr>
          <w:rtl/>
        </w:rPr>
      </w:pPr>
      <w:r>
        <w:rPr>
          <w:rFonts w:hint="cs"/>
          <w:rtl/>
        </w:rPr>
        <w:t>(ב)</w:t>
      </w:r>
      <w:r>
        <w:rPr>
          <w:rtl/>
        </w:rPr>
        <w:tab/>
      </w:r>
      <w:r>
        <w:rPr>
          <w:rFonts w:hint="cs"/>
          <w:rtl/>
        </w:rPr>
        <w:t>קנס בסך של 2,000 ₪, או 7 ימי מאסר תמורתו.</w:t>
      </w:r>
    </w:p>
    <w:p w14:paraId="7C64C9FE" w14:textId="77777777" w:rsidR="00D17C30" w:rsidRDefault="00D17C30" w:rsidP="00D17C30">
      <w:pPr>
        <w:spacing w:after="120" w:line="360" w:lineRule="auto"/>
        <w:ind w:left="1080"/>
        <w:jc w:val="both"/>
        <w:rPr>
          <w:rFonts w:ascii="Tahoma" w:hAnsi="Tahoma"/>
          <w:rtl/>
        </w:rPr>
      </w:pPr>
      <w:r>
        <w:rPr>
          <w:rFonts w:hint="cs"/>
          <w:rtl/>
        </w:rPr>
        <w:t>הקנס ישולם ב-4 תשלומים חודשיים, שווים ורצופים, החל מיום 01.08.2024 ובכל אחד בחודש שלאחריו. היה והנאשם לא ישלם את אחד התשלומים במועד תועמד כל יתרת הקנס לפירעון מידי.</w:t>
      </w:r>
    </w:p>
    <w:p w14:paraId="41A6157A" w14:textId="77777777" w:rsidR="00D17C30" w:rsidRPr="009E2A50" w:rsidRDefault="00D17C30" w:rsidP="00D17C30">
      <w:pPr>
        <w:spacing w:after="120" w:line="360" w:lineRule="auto"/>
        <w:ind w:left="1080" w:hanging="720"/>
        <w:jc w:val="both"/>
        <w:rPr>
          <w:rFonts w:ascii="Tahoma" w:hAnsi="Tahoma"/>
          <w:rtl/>
        </w:rPr>
      </w:pPr>
      <w:r w:rsidRPr="00D17C30">
        <w:rPr>
          <w:rFonts w:ascii="Calibri" w:hAnsi="Calibri" w:hint="cs"/>
          <w:rtl/>
        </w:rPr>
        <w:t>(ג)</w:t>
      </w:r>
      <w:r w:rsidRPr="00D17C30">
        <w:rPr>
          <w:rFonts w:ascii="Calibri" w:hAnsi="Calibri"/>
          <w:rtl/>
        </w:rPr>
        <w:tab/>
        <w:t xml:space="preserve">שירות לתועלת הציבור בהיקף של </w:t>
      </w:r>
      <w:r w:rsidRPr="00D17C30">
        <w:rPr>
          <w:rFonts w:ascii="Calibri" w:hAnsi="Calibri" w:hint="cs"/>
          <w:rtl/>
        </w:rPr>
        <w:t>300</w:t>
      </w:r>
      <w:r w:rsidRPr="00D17C30">
        <w:rPr>
          <w:rFonts w:ascii="Calibri" w:hAnsi="Calibri"/>
          <w:rtl/>
        </w:rPr>
        <w:t xml:space="preserve"> שעות. השירות יבוצע, בהתאם</w:t>
      </w:r>
      <w:r w:rsidRPr="00D17C30">
        <w:rPr>
          <w:rFonts w:ascii="Calibri" w:hAnsi="Calibri" w:hint="cs"/>
          <w:rtl/>
        </w:rPr>
        <w:t xml:space="preserve"> </w:t>
      </w:r>
      <w:r w:rsidRPr="00D17C30">
        <w:rPr>
          <w:rFonts w:ascii="Calibri" w:hAnsi="Calibri"/>
          <w:rtl/>
        </w:rPr>
        <w:t>לתכנית ש</w:t>
      </w:r>
      <w:r w:rsidRPr="00D17C30">
        <w:rPr>
          <w:rFonts w:ascii="Calibri" w:hAnsi="Calibri" w:hint="cs"/>
          <w:rtl/>
        </w:rPr>
        <w:t>י</w:t>
      </w:r>
      <w:r w:rsidRPr="00D17C30">
        <w:rPr>
          <w:rFonts w:ascii="Calibri" w:hAnsi="Calibri"/>
          <w:rtl/>
        </w:rPr>
        <w:t>גבש שירות המבחן, ב</w:t>
      </w:r>
      <w:r w:rsidRPr="00D17C30">
        <w:rPr>
          <w:rFonts w:ascii="Calibri" w:hAnsi="Calibri" w:hint="cs"/>
          <w:rtl/>
        </w:rPr>
        <w:t>הקדם האפשרי, החל במועד שייקבע שירות המבחן.</w:t>
      </w:r>
    </w:p>
    <w:p w14:paraId="1B92BB12" w14:textId="77777777" w:rsidR="00D17C30" w:rsidRPr="00D17C30" w:rsidRDefault="00D17C30" w:rsidP="00D17C30">
      <w:pPr>
        <w:spacing w:after="120" w:line="360" w:lineRule="auto"/>
        <w:ind w:left="1080"/>
        <w:jc w:val="both"/>
        <w:rPr>
          <w:rFonts w:ascii="Calibri" w:hAnsi="Calibri"/>
          <w:rtl/>
        </w:rPr>
      </w:pPr>
      <w:r w:rsidRPr="00D17C30">
        <w:rPr>
          <w:rFonts w:ascii="Calibri" w:hAnsi="Calibri"/>
          <w:rtl/>
        </w:rPr>
        <w:t xml:space="preserve">מובהר בזה לנאשם כי אם הוא לא ימלא אחר </w:t>
      </w:r>
      <w:r w:rsidRPr="00D17C30">
        <w:rPr>
          <w:rFonts w:ascii="Calibri" w:hAnsi="Calibri" w:hint="cs"/>
          <w:rtl/>
        </w:rPr>
        <w:t xml:space="preserve">הוראות </w:t>
      </w:r>
      <w:r w:rsidRPr="00D17C30">
        <w:rPr>
          <w:rFonts w:ascii="Calibri" w:hAnsi="Calibri"/>
          <w:rtl/>
        </w:rPr>
        <w:t>צו השירות יהא בית המשפט רשאי</w:t>
      </w:r>
      <w:r w:rsidRPr="00D17C30">
        <w:rPr>
          <w:rFonts w:ascii="Calibri" w:hAnsi="Calibri" w:hint="cs"/>
          <w:rtl/>
        </w:rPr>
        <w:t xml:space="preserve"> </w:t>
      </w:r>
      <w:r w:rsidRPr="00D17C30">
        <w:rPr>
          <w:rFonts w:ascii="Calibri" w:hAnsi="Calibri"/>
          <w:rtl/>
        </w:rPr>
        <w:t>לבטל את צו השירות ולהטיל עליו, במקו</w:t>
      </w:r>
      <w:r w:rsidRPr="00D17C30">
        <w:rPr>
          <w:rFonts w:ascii="Calibri" w:hAnsi="Calibri" w:hint="cs"/>
          <w:rtl/>
        </w:rPr>
        <w:t>ם צו השירות</w:t>
      </w:r>
      <w:r w:rsidRPr="00D17C30">
        <w:rPr>
          <w:rFonts w:ascii="Calibri" w:hAnsi="Calibri"/>
          <w:rtl/>
        </w:rPr>
        <w:t>, עונש נוסף.</w:t>
      </w:r>
    </w:p>
    <w:p w14:paraId="671F5B88" w14:textId="77777777" w:rsidR="00D17C30" w:rsidRPr="00D17C30" w:rsidRDefault="00D17C30" w:rsidP="00D17C30">
      <w:pPr>
        <w:spacing w:after="120" w:line="360" w:lineRule="auto"/>
        <w:ind w:left="1080" w:hanging="720"/>
        <w:jc w:val="both"/>
        <w:rPr>
          <w:rFonts w:ascii="Calibri" w:hAnsi="Calibri"/>
          <w:rtl/>
        </w:rPr>
      </w:pPr>
      <w:r w:rsidRPr="00D17C30">
        <w:rPr>
          <w:rFonts w:ascii="Calibri" w:hAnsi="Calibri" w:hint="cs"/>
          <w:rtl/>
        </w:rPr>
        <w:t>(ד)</w:t>
      </w:r>
      <w:r w:rsidRPr="00D17C30">
        <w:rPr>
          <w:rFonts w:ascii="Calibri" w:hAnsi="Calibri"/>
          <w:rtl/>
        </w:rPr>
        <w:tab/>
      </w:r>
      <w:r w:rsidRPr="00D17C30">
        <w:rPr>
          <w:rFonts w:ascii="Calibri" w:hAnsi="Calibri" w:hint="cs"/>
          <w:rtl/>
        </w:rPr>
        <w:t>צו מבחן, לתקופה של 12 חודשים מהיום.</w:t>
      </w:r>
    </w:p>
    <w:p w14:paraId="390760E0" w14:textId="77777777" w:rsidR="00D17C30" w:rsidRPr="00D17C30" w:rsidRDefault="00D17C30" w:rsidP="00D17C30">
      <w:pPr>
        <w:spacing w:after="120" w:line="360" w:lineRule="auto"/>
        <w:ind w:left="1080"/>
        <w:jc w:val="both"/>
        <w:rPr>
          <w:rFonts w:ascii="Calibri" w:hAnsi="Calibri"/>
          <w:rtl/>
        </w:rPr>
      </w:pPr>
      <w:r w:rsidRPr="00D17C30">
        <w:rPr>
          <w:rFonts w:ascii="Calibri" w:hAnsi="Calibri"/>
          <w:rtl/>
        </w:rPr>
        <w:t xml:space="preserve">מובהר בזה לנאשם כי אם הוא לא ימלא אחר </w:t>
      </w:r>
      <w:r w:rsidRPr="00D17C30">
        <w:rPr>
          <w:rFonts w:ascii="Calibri" w:hAnsi="Calibri" w:hint="cs"/>
          <w:rtl/>
        </w:rPr>
        <w:t xml:space="preserve">הוראות </w:t>
      </w:r>
      <w:r w:rsidRPr="00D17C30">
        <w:rPr>
          <w:rFonts w:ascii="Calibri" w:hAnsi="Calibri"/>
          <w:rtl/>
        </w:rPr>
        <w:t>צו ה</w:t>
      </w:r>
      <w:r w:rsidRPr="00D17C30">
        <w:rPr>
          <w:rFonts w:ascii="Calibri" w:hAnsi="Calibri" w:hint="cs"/>
          <w:rtl/>
        </w:rPr>
        <w:t xml:space="preserve">מבחן ולא ישתף פעולה עם קצין המבחן, </w:t>
      </w:r>
      <w:r w:rsidRPr="00D17C30">
        <w:rPr>
          <w:rFonts w:ascii="Calibri" w:hAnsi="Calibri"/>
          <w:rtl/>
        </w:rPr>
        <w:t>יהא בית המשפט רשאי</w:t>
      </w:r>
      <w:r w:rsidRPr="00D17C30">
        <w:rPr>
          <w:rFonts w:ascii="Calibri" w:hAnsi="Calibri" w:hint="cs"/>
          <w:rtl/>
        </w:rPr>
        <w:t xml:space="preserve"> </w:t>
      </w:r>
      <w:r w:rsidRPr="00D17C30">
        <w:rPr>
          <w:rFonts w:ascii="Calibri" w:hAnsi="Calibri"/>
          <w:rtl/>
        </w:rPr>
        <w:t>לבטל את צו ה</w:t>
      </w:r>
      <w:r w:rsidRPr="00D17C30">
        <w:rPr>
          <w:rFonts w:ascii="Calibri" w:hAnsi="Calibri" w:hint="cs"/>
          <w:rtl/>
        </w:rPr>
        <w:t>מבחן ולגזור עליו, במקום צו המבחן, עונש נוסף.</w:t>
      </w:r>
    </w:p>
    <w:p w14:paraId="6B1C3D80" w14:textId="77777777" w:rsidR="00D17C30" w:rsidRDefault="00D17C30" w:rsidP="00D17C30">
      <w:pPr>
        <w:spacing w:after="120" w:line="360" w:lineRule="auto"/>
        <w:jc w:val="both"/>
        <w:rPr>
          <w:rtl/>
        </w:rPr>
      </w:pPr>
      <w:r w:rsidRPr="00BF022E">
        <w:rPr>
          <w:rtl/>
        </w:rPr>
        <w:t>ככל ש</w:t>
      </w:r>
      <w:r>
        <w:rPr>
          <w:rFonts w:hint="cs"/>
          <w:rtl/>
        </w:rPr>
        <w:t xml:space="preserve">נותר בתיק בית המשפט </w:t>
      </w:r>
      <w:r>
        <w:rPr>
          <w:rtl/>
        </w:rPr>
        <w:t>–</w:t>
      </w:r>
      <w:r>
        <w:rPr>
          <w:rFonts w:hint="cs"/>
          <w:rtl/>
        </w:rPr>
        <w:t xml:space="preserve"> או בתיקים קשורים </w:t>
      </w:r>
      <w:r>
        <w:rPr>
          <w:rtl/>
        </w:rPr>
        <w:t>–</w:t>
      </w:r>
      <w:r>
        <w:rPr>
          <w:rFonts w:hint="cs"/>
          <w:rtl/>
        </w:rPr>
        <w:t xml:space="preserve"> פיקדון שהופקד מטעם הנאשם, בהסכמת ההגנה יקוזז הפיקדון לתשלום הקנס, כאשר הנאשם יידרש לשלם רק את יתרת הסכום שתיוותר. ככל שתיוותר יתרת פיקדון היא תושב לנאשם או למי מטעמו, וזאת בהיעדר עיקול או מניעה אחרת על פי דין להשבת הפיקדון.</w:t>
      </w:r>
    </w:p>
    <w:p w14:paraId="35704652" w14:textId="77777777" w:rsidR="00D17C30" w:rsidRDefault="002E765A" w:rsidP="00D17C30">
      <w:pPr>
        <w:spacing w:after="120" w:line="360" w:lineRule="auto"/>
        <w:jc w:val="both"/>
        <w:rPr>
          <w:rtl/>
        </w:rPr>
      </w:pPr>
      <w:r w:rsidRPr="002E765A">
        <w:rPr>
          <w:color w:val="FFFFFF"/>
          <w:sz w:val="2"/>
          <w:szCs w:val="2"/>
          <w:rtl/>
        </w:rPr>
        <w:t>5129371</w:t>
      </w:r>
      <w:r w:rsidR="00D17C30">
        <w:rPr>
          <w:rFonts w:hint="cs"/>
          <w:rtl/>
        </w:rPr>
        <w:t xml:space="preserve">ניתן בזה צו כללי, לעניין מוצגים, לשיקול דעתו של קצין משטרה. </w:t>
      </w:r>
    </w:p>
    <w:p w14:paraId="2F468424" w14:textId="77777777" w:rsidR="00D17C30" w:rsidRDefault="002E765A" w:rsidP="00D17C30">
      <w:pPr>
        <w:snapToGrid w:val="0"/>
        <w:spacing w:after="120" w:line="360" w:lineRule="auto"/>
        <w:jc w:val="both"/>
        <w:rPr>
          <w:rtl/>
        </w:rPr>
      </w:pPr>
      <w:r w:rsidRPr="002E765A">
        <w:rPr>
          <w:color w:val="FFFFFF"/>
          <w:sz w:val="2"/>
          <w:szCs w:val="2"/>
          <w:rtl/>
        </w:rPr>
        <w:t>54678313</w:t>
      </w:r>
      <w:r w:rsidR="00D17C30">
        <w:rPr>
          <w:rFonts w:hint="cs"/>
          <w:rtl/>
        </w:rPr>
        <w:t>זכות ערעור בתוך 45 יום מהיום.</w:t>
      </w:r>
    </w:p>
    <w:p w14:paraId="3F483670" w14:textId="77777777" w:rsidR="00D17C30" w:rsidRPr="00761D70" w:rsidRDefault="00D17C30" w:rsidP="00D17C30">
      <w:pPr>
        <w:spacing w:after="120" w:line="360" w:lineRule="auto"/>
        <w:jc w:val="both"/>
        <w:rPr>
          <w:rFonts w:ascii="Tahoma" w:hAnsi="Tahoma"/>
          <w:rtl/>
        </w:rPr>
      </w:pPr>
      <w:r>
        <w:rPr>
          <w:rFonts w:hint="cs"/>
          <w:rtl/>
        </w:rPr>
        <w:t>המזכירות תמציא גזר דין זה לשירות המבחן.</w:t>
      </w:r>
    </w:p>
    <w:p w14:paraId="505D4CF7" w14:textId="77777777" w:rsidR="00D17C30" w:rsidRPr="000F2247" w:rsidRDefault="002E765A" w:rsidP="00D17C30">
      <w:pPr>
        <w:spacing w:line="360" w:lineRule="auto"/>
        <w:jc w:val="both"/>
        <w:rPr>
          <w:rFonts w:ascii="Arial" w:hAnsi="Arial"/>
          <w:b/>
          <w:bCs/>
          <w:sz w:val="26"/>
          <w:szCs w:val="26"/>
          <w:rtl/>
        </w:rPr>
      </w:pPr>
      <w:bookmarkStart w:id="8" w:name="Nitan"/>
      <w:r>
        <w:rPr>
          <w:rFonts w:ascii="Arial" w:hAnsi="Arial"/>
          <w:rtl/>
        </w:rPr>
        <w:t xml:space="preserve">ניתן היום, ד' תמוז תשפ"ד, 10 יולי 2024, במעמד הצדדים. </w:t>
      </w:r>
      <w:bookmarkEnd w:id="8"/>
      <w:r w:rsidR="00D17C30">
        <w:rPr>
          <w:rFonts w:ascii="Arial" w:hAnsi="Arial"/>
          <w:b/>
          <w:bCs/>
          <w:sz w:val="26"/>
          <w:szCs w:val="26"/>
          <w:rtl/>
        </w:rPr>
        <w:tab/>
      </w:r>
      <w:r w:rsidR="00D17C30">
        <w:rPr>
          <w:rFonts w:ascii="Arial" w:hAnsi="Arial"/>
          <w:b/>
          <w:bCs/>
          <w:sz w:val="26"/>
          <w:szCs w:val="26"/>
          <w:rtl/>
        </w:rPr>
        <w:tab/>
      </w:r>
      <w:r w:rsidR="00D17C30">
        <w:rPr>
          <w:rFonts w:ascii="Arial" w:hAnsi="Arial"/>
          <w:b/>
          <w:bCs/>
          <w:sz w:val="26"/>
          <w:szCs w:val="26"/>
          <w:rtl/>
        </w:rPr>
        <w:tab/>
      </w:r>
      <w:r w:rsidR="00D17C30">
        <w:rPr>
          <w:rFonts w:ascii="Arial" w:hAnsi="Arial"/>
          <w:b/>
          <w:bCs/>
          <w:sz w:val="26"/>
          <w:szCs w:val="26"/>
          <w:rtl/>
        </w:rPr>
        <w:tab/>
      </w:r>
      <w:r w:rsidR="00D17C30">
        <w:rPr>
          <w:rFonts w:ascii="Arial" w:hAnsi="Arial"/>
          <w:b/>
          <w:bCs/>
          <w:sz w:val="26"/>
          <w:szCs w:val="26"/>
          <w:rtl/>
        </w:rPr>
        <w:tab/>
      </w:r>
      <w:r w:rsidR="00D17C30">
        <w:rPr>
          <w:rFonts w:ascii="Arial" w:hAnsi="Arial"/>
          <w:b/>
          <w:bCs/>
          <w:sz w:val="26"/>
          <w:szCs w:val="26"/>
          <w:rtl/>
        </w:rPr>
        <w:tab/>
      </w:r>
      <w:r w:rsidR="00D17C30">
        <w:rPr>
          <w:rFonts w:ascii="Arial" w:hAnsi="Arial"/>
          <w:b/>
          <w:bCs/>
          <w:sz w:val="26"/>
          <w:szCs w:val="26"/>
          <w:rtl/>
        </w:rPr>
        <w:tab/>
      </w:r>
      <w:r w:rsidR="00D17C30">
        <w:rPr>
          <w:rFonts w:ascii="Arial" w:hAnsi="Arial" w:hint="cs"/>
          <w:b/>
          <w:bCs/>
          <w:sz w:val="26"/>
          <w:szCs w:val="26"/>
          <w:rtl/>
        </w:rPr>
        <w:t xml:space="preserve">         </w:t>
      </w:r>
    </w:p>
    <w:p w14:paraId="265E7740" w14:textId="77777777" w:rsidR="00D17C30" w:rsidRPr="000F2247" w:rsidRDefault="00D17C30" w:rsidP="002E765A">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1118BB9" w14:textId="77777777" w:rsidR="00D17C30" w:rsidRPr="000F2247" w:rsidRDefault="00D17C30" w:rsidP="00D17C30">
      <w:pPr>
        <w:jc w:val="center"/>
        <w:rPr>
          <w:rFonts w:ascii="Arial" w:hAnsi="Arial"/>
          <w:b/>
          <w:bCs/>
          <w:sz w:val="26"/>
          <w:szCs w:val="26"/>
          <w:rtl/>
        </w:rPr>
      </w:pPr>
    </w:p>
    <w:p w14:paraId="6929F7E5" w14:textId="77777777" w:rsidR="00453744" w:rsidRPr="002E765A" w:rsidRDefault="00453744" w:rsidP="002E765A">
      <w:pPr>
        <w:keepNext/>
        <w:rPr>
          <w:rFonts w:ascii="David" w:hAnsi="David"/>
          <w:color w:val="000000"/>
          <w:sz w:val="22"/>
          <w:szCs w:val="22"/>
          <w:rtl/>
        </w:rPr>
      </w:pPr>
    </w:p>
    <w:p w14:paraId="0A17F52B" w14:textId="77777777" w:rsidR="002E765A" w:rsidRPr="002E765A" w:rsidRDefault="002E765A" w:rsidP="002E765A">
      <w:pPr>
        <w:keepNext/>
        <w:rPr>
          <w:rFonts w:ascii="David" w:hAnsi="David"/>
          <w:color w:val="000000"/>
          <w:sz w:val="22"/>
          <w:szCs w:val="22"/>
          <w:rtl/>
        </w:rPr>
      </w:pPr>
      <w:r w:rsidRPr="002E765A">
        <w:rPr>
          <w:rFonts w:ascii="David" w:hAnsi="David"/>
          <w:color w:val="000000"/>
          <w:sz w:val="22"/>
          <w:szCs w:val="22"/>
          <w:rtl/>
        </w:rPr>
        <w:t>שאול אבינור 54678313</w:t>
      </w:r>
    </w:p>
    <w:p w14:paraId="54253874" w14:textId="77777777" w:rsidR="002E765A" w:rsidRDefault="002E765A" w:rsidP="002E765A">
      <w:r w:rsidRPr="002E765A">
        <w:rPr>
          <w:color w:val="000000"/>
          <w:rtl/>
        </w:rPr>
        <w:t>נוסח מסמך זה כפוף לשינויי ניסוח ועריכה</w:t>
      </w:r>
    </w:p>
    <w:p w14:paraId="32F39F12" w14:textId="77777777" w:rsidR="002E765A" w:rsidRDefault="002E765A" w:rsidP="002E765A">
      <w:pPr>
        <w:rPr>
          <w:rtl/>
        </w:rPr>
      </w:pPr>
    </w:p>
    <w:p w14:paraId="472A42B7" w14:textId="77777777" w:rsidR="002E765A" w:rsidRDefault="002E765A" w:rsidP="002E765A">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3B4E43C4" w14:textId="77777777" w:rsidR="002E765A" w:rsidRPr="002E765A" w:rsidRDefault="002E765A" w:rsidP="002E765A">
      <w:pPr>
        <w:jc w:val="center"/>
        <w:rPr>
          <w:color w:val="0000FF"/>
          <w:u w:val="single"/>
        </w:rPr>
      </w:pPr>
    </w:p>
    <w:sectPr w:rsidR="002E765A" w:rsidRPr="002E765A" w:rsidSect="002E765A">
      <w:headerReference w:type="even" r:id="rId28"/>
      <w:headerReference w:type="default" r:id="rId29"/>
      <w:footerReference w:type="even" r:id="rId30"/>
      <w:footerReference w:type="default" r:id="rId3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0E775B" w14:textId="77777777" w:rsidR="00163373" w:rsidRDefault="00163373" w:rsidP="0099300B">
      <w:r>
        <w:separator/>
      </w:r>
    </w:p>
  </w:endnote>
  <w:endnote w:type="continuationSeparator" w:id="0">
    <w:p w14:paraId="6BB9B2D8" w14:textId="77777777" w:rsidR="00163373" w:rsidRDefault="00163373" w:rsidP="00993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0721DE" w14:textId="77777777" w:rsidR="002E765A" w:rsidRDefault="002E765A" w:rsidP="002E765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CAB285F" w14:textId="77777777" w:rsidR="00401FA5" w:rsidRPr="002E765A" w:rsidRDefault="002E765A" w:rsidP="002E765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A905E" w14:textId="77777777" w:rsidR="002E765A" w:rsidRDefault="002E765A" w:rsidP="002E765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C7BAB">
      <w:rPr>
        <w:rFonts w:ascii="FrankRuehl" w:hAnsi="FrankRuehl" w:cs="FrankRuehl"/>
        <w:noProof/>
        <w:rtl/>
      </w:rPr>
      <w:t>1</w:t>
    </w:r>
    <w:r>
      <w:rPr>
        <w:rFonts w:ascii="FrankRuehl" w:hAnsi="FrankRuehl" w:cs="FrankRuehl"/>
        <w:rtl/>
      </w:rPr>
      <w:fldChar w:fldCharType="end"/>
    </w:r>
  </w:p>
  <w:p w14:paraId="5E510FBB" w14:textId="77777777" w:rsidR="00401FA5" w:rsidRPr="002E765A" w:rsidRDefault="002E765A" w:rsidP="002E765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54E60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969E3B" w14:textId="77777777" w:rsidR="00163373" w:rsidRDefault="00163373" w:rsidP="0099300B">
      <w:r>
        <w:separator/>
      </w:r>
    </w:p>
  </w:footnote>
  <w:footnote w:type="continuationSeparator" w:id="0">
    <w:p w14:paraId="1B3E829F" w14:textId="77777777" w:rsidR="00163373" w:rsidRDefault="00163373" w:rsidP="009930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4054AF" w14:textId="77777777" w:rsidR="002E765A" w:rsidRPr="002E765A" w:rsidRDefault="002E765A" w:rsidP="002E765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52729-08-20</w:t>
    </w:r>
    <w:r>
      <w:rPr>
        <w:rFonts w:ascii="David" w:hAnsi="David"/>
        <w:color w:val="000000"/>
        <w:sz w:val="22"/>
        <w:szCs w:val="22"/>
        <w:rtl/>
      </w:rPr>
      <w:tab/>
      <w:t xml:space="preserve"> מדינת ישראל נ' יהודה טרגנסקי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D4B89E" w14:textId="77777777" w:rsidR="002E765A" w:rsidRPr="002E765A" w:rsidRDefault="002E765A" w:rsidP="002E765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52729-08-20</w:t>
    </w:r>
    <w:r>
      <w:rPr>
        <w:rFonts w:ascii="David" w:hAnsi="David"/>
        <w:color w:val="000000"/>
        <w:sz w:val="22"/>
        <w:szCs w:val="22"/>
        <w:rtl/>
      </w:rPr>
      <w:tab/>
      <w:t xml:space="preserve"> מדינת ישראל נ' יהודה טרגנסקי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C4461A"/>
    <w:multiLevelType w:val="hybridMultilevel"/>
    <w:tmpl w:val="A6349440"/>
    <w:lvl w:ilvl="0" w:tplc="EF3A0AEC">
      <w:start w:val="1"/>
      <w:numFmt w:val="decimal"/>
      <w:lvlText w:val="%1."/>
      <w:lvlJc w:val="left"/>
      <w:pPr>
        <w:ind w:left="720" w:hanging="360"/>
      </w:pPr>
      <w:rPr>
        <w:sz w:val="24"/>
        <w:szCs w:val="24"/>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E696035"/>
    <w:multiLevelType w:val="hybridMultilevel"/>
    <w:tmpl w:val="0FF0C620"/>
    <w:lvl w:ilvl="0" w:tplc="64300682">
      <w:start w:val="1"/>
      <w:numFmt w:val="hebrew1"/>
      <w:lvlText w:val="%1."/>
      <w:lvlJc w:val="left"/>
      <w:pPr>
        <w:ind w:left="728" w:hanging="360"/>
      </w:pPr>
    </w:lvl>
    <w:lvl w:ilvl="1" w:tplc="04090019">
      <w:start w:val="1"/>
      <w:numFmt w:val="lowerLetter"/>
      <w:lvlText w:val="%2."/>
      <w:lvlJc w:val="left"/>
      <w:pPr>
        <w:ind w:left="1448" w:hanging="360"/>
      </w:pPr>
    </w:lvl>
    <w:lvl w:ilvl="2" w:tplc="0409001B">
      <w:start w:val="1"/>
      <w:numFmt w:val="lowerRoman"/>
      <w:lvlText w:val="%3."/>
      <w:lvlJc w:val="right"/>
      <w:pPr>
        <w:ind w:left="2168" w:hanging="180"/>
      </w:pPr>
    </w:lvl>
    <w:lvl w:ilvl="3" w:tplc="0409000F">
      <w:start w:val="1"/>
      <w:numFmt w:val="decimal"/>
      <w:lvlText w:val="%4."/>
      <w:lvlJc w:val="left"/>
      <w:pPr>
        <w:ind w:left="2888" w:hanging="360"/>
      </w:pPr>
    </w:lvl>
    <w:lvl w:ilvl="4" w:tplc="04090019">
      <w:start w:val="1"/>
      <w:numFmt w:val="lowerLetter"/>
      <w:lvlText w:val="%5."/>
      <w:lvlJc w:val="left"/>
      <w:pPr>
        <w:ind w:left="3608" w:hanging="360"/>
      </w:pPr>
    </w:lvl>
    <w:lvl w:ilvl="5" w:tplc="0409001B">
      <w:start w:val="1"/>
      <w:numFmt w:val="lowerRoman"/>
      <w:lvlText w:val="%6."/>
      <w:lvlJc w:val="right"/>
      <w:pPr>
        <w:ind w:left="4328" w:hanging="180"/>
      </w:pPr>
    </w:lvl>
    <w:lvl w:ilvl="6" w:tplc="0409000F">
      <w:start w:val="1"/>
      <w:numFmt w:val="decimal"/>
      <w:lvlText w:val="%7."/>
      <w:lvlJc w:val="left"/>
      <w:pPr>
        <w:ind w:left="5048" w:hanging="360"/>
      </w:pPr>
    </w:lvl>
    <w:lvl w:ilvl="7" w:tplc="04090019">
      <w:start w:val="1"/>
      <w:numFmt w:val="lowerLetter"/>
      <w:lvlText w:val="%8."/>
      <w:lvlJc w:val="left"/>
      <w:pPr>
        <w:ind w:left="5768" w:hanging="360"/>
      </w:pPr>
    </w:lvl>
    <w:lvl w:ilvl="8" w:tplc="0409001B">
      <w:start w:val="1"/>
      <w:numFmt w:val="lowerRoman"/>
      <w:lvlText w:val="%9."/>
      <w:lvlJc w:val="right"/>
      <w:pPr>
        <w:ind w:left="6488" w:hanging="180"/>
      </w:pPr>
    </w:lvl>
  </w:abstractNum>
  <w:num w:numId="1" w16cid:durableId="18658999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71821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17C30"/>
    <w:rsid w:val="00053835"/>
    <w:rsid w:val="00163373"/>
    <w:rsid w:val="001B5A3B"/>
    <w:rsid w:val="002B2DA3"/>
    <w:rsid w:val="002E765A"/>
    <w:rsid w:val="00303F64"/>
    <w:rsid w:val="00401FA5"/>
    <w:rsid w:val="00453744"/>
    <w:rsid w:val="004B381F"/>
    <w:rsid w:val="005C7BAB"/>
    <w:rsid w:val="005F3393"/>
    <w:rsid w:val="006E41C8"/>
    <w:rsid w:val="008C63C4"/>
    <w:rsid w:val="0099300B"/>
    <w:rsid w:val="00CB15BB"/>
    <w:rsid w:val="00D17C30"/>
    <w:rsid w:val="00DD3C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347AE8D"/>
  <w15:chartTrackingRefBased/>
  <w15:docId w15:val="{8948A171-36F2-422E-BD7D-143847308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17C3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17C30"/>
    <w:pPr>
      <w:tabs>
        <w:tab w:val="center" w:pos="4153"/>
        <w:tab w:val="right" w:pos="8306"/>
      </w:tabs>
    </w:pPr>
  </w:style>
  <w:style w:type="character" w:customStyle="1" w:styleId="a4">
    <w:name w:val="כותרת עליונה תו"/>
    <w:link w:val="a3"/>
    <w:rsid w:val="00D17C30"/>
    <w:rPr>
      <w:rFonts w:ascii="Times New Roman" w:eastAsia="Times New Roman" w:hAnsi="Times New Roman" w:cs="David"/>
      <w:sz w:val="24"/>
      <w:szCs w:val="24"/>
    </w:rPr>
  </w:style>
  <w:style w:type="paragraph" w:styleId="a5">
    <w:name w:val="footer"/>
    <w:basedOn w:val="a"/>
    <w:link w:val="a6"/>
    <w:rsid w:val="00D17C30"/>
    <w:pPr>
      <w:tabs>
        <w:tab w:val="center" w:pos="4153"/>
        <w:tab w:val="right" w:pos="8306"/>
      </w:tabs>
    </w:pPr>
  </w:style>
  <w:style w:type="character" w:customStyle="1" w:styleId="a6">
    <w:name w:val="כותרת תחתונה תו"/>
    <w:link w:val="a5"/>
    <w:rsid w:val="00D17C30"/>
    <w:rPr>
      <w:rFonts w:ascii="Times New Roman" w:eastAsia="Times New Roman" w:hAnsi="Times New Roman" w:cs="David"/>
      <w:sz w:val="24"/>
      <w:szCs w:val="24"/>
    </w:rPr>
  </w:style>
  <w:style w:type="table" w:styleId="a7">
    <w:name w:val="Table Grid"/>
    <w:basedOn w:val="a1"/>
    <w:rsid w:val="00D17C3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17C30"/>
  </w:style>
  <w:style w:type="paragraph" w:styleId="a9">
    <w:name w:val="List Paragraph"/>
    <w:basedOn w:val="a"/>
    <w:qFormat/>
    <w:rsid w:val="00D17C30"/>
    <w:pPr>
      <w:ind w:left="720"/>
      <w:contextualSpacing/>
    </w:pPr>
    <w:rPr>
      <w:rFonts w:ascii="Arial (W1)" w:hAnsi="Arial (W1)"/>
    </w:rPr>
  </w:style>
  <w:style w:type="character" w:styleId="Hyperlink">
    <w:name w:val="Hyperlink"/>
    <w:rsid w:val="002E76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case/23750765" TargetMode="External"/><Relationship Id="rId26" Type="http://schemas.openxmlformats.org/officeDocument/2006/relationships/hyperlink" Target="http://www.nevo.co.il/law/4216" TargetMode="External"/><Relationship Id="rId3" Type="http://schemas.openxmlformats.org/officeDocument/2006/relationships/settings" Target="settings.xml"/><Relationship Id="rId21" Type="http://schemas.openxmlformats.org/officeDocument/2006/relationships/hyperlink" Target="http://www.nevo.co.il/law/70301/40i"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40i" TargetMode="External"/><Relationship Id="rId17" Type="http://schemas.openxmlformats.org/officeDocument/2006/relationships/hyperlink" Target="http://www.nevo.co.il/case/22312898" TargetMode="External"/><Relationship Id="rId25" Type="http://schemas.openxmlformats.org/officeDocument/2006/relationships/hyperlink" Target="http://www.nevo.co.il/law/70301"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25864454" TargetMode="External"/><Relationship Id="rId20" Type="http://schemas.openxmlformats.org/officeDocument/2006/relationships/hyperlink" Target="http://www.nevo.co.il/law/70301"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d" TargetMode="External"/><Relationship Id="rId24" Type="http://schemas.openxmlformats.org/officeDocument/2006/relationships/hyperlink" Target="http://www.nevo.co.il/law/70301/40d"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26512065" TargetMode="External"/><Relationship Id="rId28" Type="http://schemas.openxmlformats.org/officeDocument/2006/relationships/header" Target="header1.xml"/><Relationship Id="rId10" Type="http://schemas.openxmlformats.org/officeDocument/2006/relationships/hyperlink" Target="http://www.nevo.co.il/law/70301" TargetMode="External"/><Relationship Id="rId19" Type="http://schemas.openxmlformats.org/officeDocument/2006/relationships/hyperlink" Target="http://www.nevo.co.il/case/26124159"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c" TargetMode="External"/><Relationship Id="rId22" Type="http://schemas.openxmlformats.org/officeDocument/2006/relationships/hyperlink" Target="http://www.nevo.co.il/law/70301"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2345</Words>
  <Characters>11726</Characters>
  <Application>Microsoft Office Word</Application>
  <DocSecurity>0</DocSecurity>
  <Lines>97</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14043</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8257637</vt:i4>
      </vt:variant>
      <vt:variant>
        <vt:i4>57</vt:i4>
      </vt:variant>
      <vt:variant>
        <vt:i4>0</vt:i4>
      </vt:variant>
      <vt:variant>
        <vt:i4>5</vt:i4>
      </vt:variant>
      <vt:variant>
        <vt:lpwstr>http://www.nevo.co.il/law/4216</vt:lpwstr>
      </vt:variant>
      <vt:variant>
        <vt:lpwstr/>
      </vt:variant>
      <vt:variant>
        <vt:i4>7995492</vt:i4>
      </vt:variant>
      <vt:variant>
        <vt:i4>54</vt:i4>
      </vt:variant>
      <vt:variant>
        <vt:i4>0</vt:i4>
      </vt:variant>
      <vt:variant>
        <vt:i4>5</vt:i4>
      </vt:variant>
      <vt:variant>
        <vt:lpwstr>http://www.nevo.co.il/law/70301</vt:lpwstr>
      </vt:variant>
      <vt:variant>
        <vt:lpwstr/>
      </vt:variant>
      <vt:variant>
        <vt:i4>6619233</vt:i4>
      </vt:variant>
      <vt:variant>
        <vt:i4>51</vt:i4>
      </vt:variant>
      <vt:variant>
        <vt:i4>0</vt:i4>
      </vt:variant>
      <vt:variant>
        <vt:i4>5</vt:i4>
      </vt:variant>
      <vt:variant>
        <vt:lpwstr>http://www.nevo.co.il/law/70301/40d</vt:lpwstr>
      </vt:variant>
      <vt:variant>
        <vt:lpwstr/>
      </vt:variant>
      <vt:variant>
        <vt:i4>3342451</vt:i4>
      </vt:variant>
      <vt:variant>
        <vt:i4>48</vt:i4>
      </vt:variant>
      <vt:variant>
        <vt:i4>0</vt:i4>
      </vt:variant>
      <vt:variant>
        <vt:i4>5</vt:i4>
      </vt:variant>
      <vt:variant>
        <vt:lpwstr>http://www.nevo.co.il/case/26512065</vt:lpwstr>
      </vt:variant>
      <vt:variant>
        <vt:lpwstr/>
      </vt:variant>
      <vt:variant>
        <vt:i4>7995492</vt:i4>
      </vt:variant>
      <vt:variant>
        <vt:i4>45</vt:i4>
      </vt:variant>
      <vt:variant>
        <vt:i4>0</vt:i4>
      </vt:variant>
      <vt:variant>
        <vt:i4>5</vt:i4>
      </vt:variant>
      <vt:variant>
        <vt:lpwstr>http://www.nevo.co.il/law/70301</vt:lpwstr>
      </vt:variant>
      <vt:variant>
        <vt:lpwstr/>
      </vt:variant>
      <vt:variant>
        <vt:i4>6619233</vt:i4>
      </vt:variant>
      <vt:variant>
        <vt:i4>42</vt:i4>
      </vt:variant>
      <vt:variant>
        <vt:i4>0</vt:i4>
      </vt:variant>
      <vt:variant>
        <vt:i4>5</vt:i4>
      </vt:variant>
      <vt:variant>
        <vt:lpwstr>http://www.nevo.co.il/law/70301/40i</vt:lpwstr>
      </vt:variant>
      <vt:variant>
        <vt:lpwstr/>
      </vt:variant>
      <vt:variant>
        <vt:i4>7995492</vt:i4>
      </vt:variant>
      <vt:variant>
        <vt:i4>39</vt:i4>
      </vt:variant>
      <vt:variant>
        <vt:i4>0</vt:i4>
      </vt:variant>
      <vt:variant>
        <vt:i4>5</vt:i4>
      </vt:variant>
      <vt:variant>
        <vt:lpwstr>http://www.nevo.co.il/law/70301</vt:lpwstr>
      </vt:variant>
      <vt:variant>
        <vt:lpwstr/>
      </vt:variant>
      <vt:variant>
        <vt:i4>3276913</vt:i4>
      </vt:variant>
      <vt:variant>
        <vt:i4>36</vt:i4>
      </vt:variant>
      <vt:variant>
        <vt:i4>0</vt:i4>
      </vt:variant>
      <vt:variant>
        <vt:i4>5</vt:i4>
      </vt:variant>
      <vt:variant>
        <vt:lpwstr>http://www.nevo.co.il/case/26124159</vt:lpwstr>
      </vt:variant>
      <vt:variant>
        <vt:lpwstr/>
      </vt:variant>
      <vt:variant>
        <vt:i4>3342453</vt:i4>
      </vt:variant>
      <vt:variant>
        <vt:i4>33</vt:i4>
      </vt:variant>
      <vt:variant>
        <vt:i4>0</vt:i4>
      </vt:variant>
      <vt:variant>
        <vt:i4>5</vt:i4>
      </vt:variant>
      <vt:variant>
        <vt:lpwstr>http://www.nevo.co.il/case/23750765</vt:lpwstr>
      </vt:variant>
      <vt:variant>
        <vt:lpwstr/>
      </vt:variant>
      <vt:variant>
        <vt:i4>3801215</vt:i4>
      </vt:variant>
      <vt:variant>
        <vt:i4>30</vt:i4>
      </vt:variant>
      <vt:variant>
        <vt:i4>0</vt:i4>
      </vt:variant>
      <vt:variant>
        <vt:i4>5</vt:i4>
      </vt:variant>
      <vt:variant>
        <vt:lpwstr>http://www.nevo.co.il/case/22312898</vt:lpwstr>
      </vt:variant>
      <vt:variant>
        <vt:lpwstr/>
      </vt:variant>
      <vt:variant>
        <vt:i4>3866739</vt:i4>
      </vt:variant>
      <vt:variant>
        <vt:i4>27</vt:i4>
      </vt:variant>
      <vt:variant>
        <vt:i4>0</vt:i4>
      </vt:variant>
      <vt:variant>
        <vt:i4>5</vt:i4>
      </vt:variant>
      <vt:variant>
        <vt:lpwstr>http://www.nevo.co.il/case/25864454</vt:lpwstr>
      </vt:variant>
      <vt:variant>
        <vt:lpwstr/>
      </vt:variant>
      <vt:variant>
        <vt:i4>8257637</vt:i4>
      </vt:variant>
      <vt:variant>
        <vt:i4>24</vt:i4>
      </vt:variant>
      <vt:variant>
        <vt:i4>0</vt:i4>
      </vt:variant>
      <vt:variant>
        <vt:i4>5</vt:i4>
      </vt:variant>
      <vt:variant>
        <vt:lpwstr>http://www.nevo.co.il/law/4216</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6619233</vt:i4>
      </vt:variant>
      <vt:variant>
        <vt:i4>15</vt:i4>
      </vt:variant>
      <vt:variant>
        <vt:i4>0</vt:i4>
      </vt:variant>
      <vt:variant>
        <vt:i4>5</vt:i4>
      </vt:variant>
      <vt:variant>
        <vt:lpwstr>http://www.nevo.co.il/law/70301/40i</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2025-04-23T00:43:00Z</dcterms:created>
  <dcterms:modified xsi:type="dcterms:W3CDTF">2025-04-23T00:43:00Z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52729</vt:lpwstr>
  </property>
  <property fmtid="{D5CDD505-2E9C-101B-9397-08002B2CF9AE}" pid="6" name="NEWPARTB">
    <vt:lpwstr>08</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יהודה טרגנסקי</vt:lpwstr>
  </property>
  <property fmtid="{D5CDD505-2E9C-101B-9397-08002B2CF9AE}" pid="10" name="LAWYER">
    <vt:lpwstr>שני מגדי;אלון בן זיו</vt:lpwstr>
  </property>
  <property fmtid="{D5CDD505-2E9C-101B-9397-08002B2CF9AE}" pid="11" name="JUDGE">
    <vt:lpwstr>שאול אבינור</vt:lpwstr>
  </property>
  <property fmtid="{D5CDD505-2E9C-101B-9397-08002B2CF9AE}" pid="12" name="CITY">
    <vt:lpwstr>ת"א</vt:lpwstr>
  </property>
  <property fmtid="{D5CDD505-2E9C-101B-9397-08002B2CF9AE}" pid="13" name="DATE">
    <vt:lpwstr>20240710</vt:lpwstr>
  </property>
  <property fmtid="{D5CDD505-2E9C-101B-9397-08002B2CF9AE}" pid="14" name="TYPE_N_DATE">
    <vt:lpwstr>38020240710</vt:lpwstr>
  </property>
  <property fmtid="{D5CDD505-2E9C-101B-9397-08002B2CF9AE}" pid="15" name="WORDNUMPAGES">
    <vt:lpwstr>7</vt:lpwstr>
  </property>
  <property fmtid="{D5CDD505-2E9C-101B-9397-08002B2CF9AE}" pid="16" name="TYPE_ABS_DATE">
    <vt:lpwstr>380020240710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25864454;22312898;23750765;26124159;26512065</vt:lpwstr>
  </property>
  <property fmtid="{D5CDD505-2E9C-101B-9397-08002B2CF9AE}" pid="36" name="LAWLISTTMP1">
    <vt:lpwstr>4216/007.a;007.c</vt:lpwstr>
  </property>
  <property fmtid="{D5CDD505-2E9C-101B-9397-08002B2CF9AE}" pid="37" name="LAWLISTTMP2">
    <vt:lpwstr>70301/040i;040d</vt:lpwstr>
  </property>
</Properties>
</file>