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46524" w:rsidRPr="006B1485" w14:paraId="6EDC238D" w14:textId="77777777" w:rsidTr="00D34690">
        <w:trPr>
          <w:trHeight w:hRule="exact" w:val="418"/>
          <w:jc w:val="center"/>
        </w:trPr>
        <w:tc>
          <w:tcPr>
            <w:tcW w:w="8721" w:type="dxa"/>
            <w:gridSpan w:val="2"/>
          </w:tcPr>
          <w:p w14:paraId="13102EB2" w14:textId="77777777" w:rsidR="00B46524" w:rsidRPr="006B1485" w:rsidRDefault="00B46524" w:rsidP="002A0FC5">
            <w:pPr>
              <w:pStyle w:val="a3"/>
              <w:jc w:val="center"/>
              <w:rPr>
                <w:rFonts w:ascii="Tahoma" w:hAnsi="Tahoma" w:cs="Tahoma"/>
                <w:color w:val="000080"/>
                <w:rtl/>
              </w:rPr>
            </w:pPr>
            <w:bookmarkStart w:id="0" w:name="LastJudge"/>
            <w:r w:rsidRPr="006B1485">
              <w:rPr>
                <w:rFonts w:ascii="Tahoma" w:hAnsi="Tahoma" w:cs="Tahoma"/>
                <w:b/>
                <w:bCs/>
                <w:color w:val="000080"/>
                <w:rtl/>
              </w:rPr>
              <w:t>בית משפט השלום בבאר שבע</w:t>
            </w:r>
          </w:p>
        </w:tc>
      </w:tr>
      <w:tr w:rsidR="00B46524" w:rsidRPr="006B1485" w14:paraId="7627DF07" w14:textId="77777777" w:rsidTr="00D34690">
        <w:trPr>
          <w:trHeight w:val="337"/>
          <w:jc w:val="center"/>
        </w:trPr>
        <w:tc>
          <w:tcPr>
            <w:tcW w:w="5055" w:type="dxa"/>
          </w:tcPr>
          <w:p w14:paraId="0E4CBD9B" w14:textId="77777777" w:rsidR="00B46524" w:rsidRPr="006B1485" w:rsidRDefault="00B46524" w:rsidP="002A0FC5">
            <w:pPr>
              <w:rPr>
                <w:rFonts w:cs="FrankRuehl"/>
                <w:sz w:val="28"/>
                <w:szCs w:val="28"/>
                <w:rtl/>
              </w:rPr>
            </w:pPr>
            <w:r w:rsidRPr="006B1485">
              <w:rPr>
                <w:rFonts w:cs="FrankRuehl"/>
                <w:sz w:val="28"/>
                <w:szCs w:val="28"/>
                <w:rtl/>
              </w:rPr>
              <w:t>ת"פ</w:t>
            </w:r>
            <w:r w:rsidRPr="006B1485">
              <w:rPr>
                <w:rFonts w:cs="FrankRuehl" w:hint="cs"/>
                <w:sz w:val="28"/>
                <w:szCs w:val="28"/>
                <w:rtl/>
              </w:rPr>
              <w:t xml:space="preserve"> </w:t>
            </w:r>
            <w:r w:rsidRPr="006B1485">
              <w:rPr>
                <w:rFonts w:cs="FrankRuehl"/>
                <w:sz w:val="28"/>
                <w:szCs w:val="28"/>
                <w:rtl/>
              </w:rPr>
              <w:t>56566-08-20</w:t>
            </w:r>
            <w:r w:rsidRPr="006B1485">
              <w:rPr>
                <w:rFonts w:cs="FrankRuehl" w:hint="cs"/>
                <w:sz w:val="28"/>
                <w:szCs w:val="28"/>
                <w:rtl/>
              </w:rPr>
              <w:t xml:space="preserve"> </w:t>
            </w:r>
            <w:r w:rsidRPr="006B1485">
              <w:rPr>
                <w:rFonts w:cs="FrankRuehl"/>
                <w:sz w:val="28"/>
                <w:szCs w:val="28"/>
                <w:rtl/>
              </w:rPr>
              <w:t>מדינת ישראל נ' הואשלה</w:t>
            </w:r>
          </w:p>
          <w:p w14:paraId="31128DA5" w14:textId="77777777" w:rsidR="00B46524" w:rsidRPr="006B1485" w:rsidRDefault="00B46524" w:rsidP="002A0FC5">
            <w:pPr>
              <w:pStyle w:val="a3"/>
              <w:rPr>
                <w:rFonts w:cs="FrankRuehl"/>
                <w:sz w:val="28"/>
                <w:szCs w:val="28"/>
                <w:rtl/>
              </w:rPr>
            </w:pPr>
          </w:p>
        </w:tc>
        <w:tc>
          <w:tcPr>
            <w:tcW w:w="3666" w:type="dxa"/>
          </w:tcPr>
          <w:p w14:paraId="2FD0BE78" w14:textId="77777777" w:rsidR="00B46524" w:rsidRPr="006B1485" w:rsidRDefault="00B46524" w:rsidP="002A0FC5">
            <w:pPr>
              <w:pStyle w:val="a3"/>
              <w:jc w:val="right"/>
              <w:rPr>
                <w:rFonts w:cs="FrankRuehl"/>
                <w:sz w:val="28"/>
                <w:szCs w:val="28"/>
                <w:rtl/>
              </w:rPr>
            </w:pPr>
          </w:p>
        </w:tc>
      </w:tr>
    </w:tbl>
    <w:p w14:paraId="72A3FCC9" w14:textId="77777777" w:rsidR="00B46524" w:rsidRPr="006B1485" w:rsidRDefault="00B46524" w:rsidP="00B46524">
      <w:pPr>
        <w:pStyle w:val="a3"/>
        <w:rPr>
          <w:rtl/>
        </w:rPr>
      </w:pPr>
      <w:r w:rsidRPr="006B1485">
        <w:rPr>
          <w:rFonts w:hint="cs"/>
          <w:rtl/>
        </w:rPr>
        <w:t xml:space="preserve"> </w:t>
      </w:r>
    </w:p>
    <w:p w14:paraId="1825A4EE" w14:textId="77777777" w:rsidR="00B46524" w:rsidRPr="006B1485" w:rsidRDefault="00B46524" w:rsidP="00B46524">
      <w:pPr>
        <w:rPr>
          <w:rtl/>
        </w:rPr>
      </w:pPr>
    </w:p>
    <w:p w14:paraId="77350650" w14:textId="77777777" w:rsidR="00B46524" w:rsidRPr="006B1485" w:rsidRDefault="00B46524" w:rsidP="00B4652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46524" w:rsidRPr="006B1485" w14:paraId="6F6BE726" w14:textId="77777777" w:rsidTr="00B46524">
        <w:trPr>
          <w:trHeight w:val="295"/>
          <w:jc w:val="center"/>
        </w:trPr>
        <w:tc>
          <w:tcPr>
            <w:tcW w:w="923" w:type="dxa"/>
            <w:tcBorders>
              <w:top w:val="nil"/>
              <w:left w:val="nil"/>
              <w:bottom w:val="nil"/>
              <w:right w:val="nil"/>
            </w:tcBorders>
            <w:shd w:val="clear" w:color="auto" w:fill="auto"/>
          </w:tcPr>
          <w:p w14:paraId="484032AF" w14:textId="77777777" w:rsidR="00B46524" w:rsidRPr="006B1485" w:rsidRDefault="00B46524" w:rsidP="00B46524">
            <w:pPr>
              <w:jc w:val="both"/>
              <w:rPr>
                <w:rFonts w:ascii="David" w:hAnsi="David"/>
                <w:sz w:val="26"/>
                <w:szCs w:val="26"/>
              </w:rPr>
            </w:pPr>
            <w:r w:rsidRPr="006B1485">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1E534B8" w14:textId="77777777" w:rsidR="00B46524" w:rsidRPr="006B1485" w:rsidRDefault="00B46524" w:rsidP="002A0FC5">
            <w:pPr>
              <w:rPr>
                <w:rFonts w:ascii="David" w:hAnsi="David"/>
                <w:b/>
                <w:bCs/>
                <w:sz w:val="26"/>
                <w:szCs w:val="26"/>
                <w:rtl/>
              </w:rPr>
            </w:pPr>
            <w:r w:rsidRPr="006B1485">
              <w:rPr>
                <w:rFonts w:ascii="David" w:hAnsi="David"/>
                <w:b/>
                <w:bCs/>
                <w:sz w:val="26"/>
                <w:szCs w:val="26"/>
                <w:rtl/>
              </w:rPr>
              <w:t>כבוד השופטת  אחינעם צוריאל</w:t>
            </w:r>
          </w:p>
          <w:p w14:paraId="31246C2F" w14:textId="77777777" w:rsidR="00B46524" w:rsidRPr="006B1485" w:rsidRDefault="00B46524" w:rsidP="002A0FC5">
            <w:pPr>
              <w:rPr>
                <w:rFonts w:ascii="David" w:hAnsi="David"/>
                <w:sz w:val="26"/>
                <w:szCs w:val="26"/>
                <w:rtl/>
              </w:rPr>
            </w:pPr>
          </w:p>
          <w:p w14:paraId="5D570BC8" w14:textId="77777777" w:rsidR="00B46524" w:rsidRPr="006B1485" w:rsidRDefault="00B46524" w:rsidP="00B46524">
            <w:pPr>
              <w:jc w:val="both"/>
              <w:rPr>
                <w:rFonts w:ascii="David" w:hAnsi="David"/>
                <w:sz w:val="26"/>
                <w:szCs w:val="26"/>
              </w:rPr>
            </w:pPr>
          </w:p>
        </w:tc>
      </w:tr>
      <w:tr w:rsidR="00B46524" w:rsidRPr="006B1485" w14:paraId="5F070781" w14:textId="77777777" w:rsidTr="00B46524">
        <w:trPr>
          <w:trHeight w:val="355"/>
          <w:jc w:val="center"/>
        </w:trPr>
        <w:tc>
          <w:tcPr>
            <w:tcW w:w="923" w:type="dxa"/>
            <w:tcBorders>
              <w:top w:val="nil"/>
              <w:left w:val="nil"/>
              <w:bottom w:val="nil"/>
              <w:right w:val="nil"/>
            </w:tcBorders>
            <w:shd w:val="clear" w:color="auto" w:fill="auto"/>
          </w:tcPr>
          <w:p w14:paraId="198F8170" w14:textId="77777777" w:rsidR="00B46524" w:rsidRPr="006B1485" w:rsidRDefault="00B46524" w:rsidP="00B46524">
            <w:pPr>
              <w:jc w:val="both"/>
              <w:rPr>
                <w:rFonts w:ascii="David" w:hAnsi="David"/>
                <w:sz w:val="26"/>
                <w:szCs w:val="26"/>
              </w:rPr>
            </w:pPr>
            <w:bookmarkStart w:id="1" w:name="FirstAppellant"/>
            <w:r w:rsidRPr="006B1485">
              <w:rPr>
                <w:rFonts w:ascii="David" w:hAnsi="David"/>
                <w:sz w:val="26"/>
                <w:szCs w:val="26"/>
                <w:rtl/>
              </w:rPr>
              <w:t>בעניין:</w:t>
            </w:r>
          </w:p>
        </w:tc>
        <w:tc>
          <w:tcPr>
            <w:tcW w:w="3219" w:type="dxa"/>
            <w:tcBorders>
              <w:top w:val="nil"/>
              <w:left w:val="nil"/>
              <w:bottom w:val="nil"/>
              <w:right w:val="nil"/>
            </w:tcBorders>
            <w:shd w:val="clear" w:color="auto" w:fill="auto"/>
          </w:tcPr>
          <w:p w14:paraId="31655711" w14:textId="77777777" w:rsidR="00B46524" w:rsidRPr="006B1485" w:rsidRDefault="00B46524" w:rsidP="00B46524">
            <w:pPr>
              <w:suppressLineNumbers/>
            </w:pPr>
            <w:r w:rsidRPr="006B1485">
              <w:rPr>
                <w:rFonts w:ascii="Arial" w:hAnsi="Arial" w:hint="cs"/>
                <w:b/>
                <w:bCs/>
                <w:sz w:val="26"/>
                <w:szCs w:val="26"/>
                <w:rtl/>
              </w:rPr>
              <w:t>ה</w:t>
            </w:r>
            <w:r w:rsidRPr="006B1485">
              <w:rPr>
                <w:rFonts w:ascii="Arial" w:hAnsi="Arial"/>
                <w:b/>
                <w:bCs/>
                <w:sz w:val="26"/>
                <w:szCs w:val="26"/>
                <w:rtl/>
              </w:rPr>
              <w:t>מאשימה</w:t>
            </w:r>
          </w:p>
          <w:p w14:paraId="17C9F58E" w14:textId="77777777" w:rsidR="00B46524" w:rsidRPr="006B1485" w:rsidRDefault="00B46524" w:rsidP="002A0FC5">
            <w:pPr>
              <w:rPr>
                <w:rFonts w:ascii="David" w:hAnsi="David"/>
                <w:sz w:val="26"/>
                <w:szCs w:val="26"/>
              </w:rPr>
            </w:pPr>
          </w:p>
        </w:tc>
        <w:tc>
          <w:tcPr>
            <w:tcW w:w="4678" w:type="dxa"/>
            <w:tcBorders>
              <w:top w:val="nil"/>
              <w:left w:val="nil"/>
              <w:bottom w:val="nil"/>
              <w:right w:val="nil"/>
            </w:tcBorders>
            <w:shd w:val="clear" w:color="auto" w:fill="auto"/>
            <w:vAlign w:val="center"/>
          </w:tcPr>
          <w:p w14:paraId="39DDFBEA" w14:textId="77777777" w:rsidR="00B46524" w:rsidRPr="006B1485" w:rsidRDefault="00B46524" w:rsidP="00B46524">
            <w:pPr>
              <w:suppressLineNumbers/>
              <w:rPr>
                <w:rFonts w:ascii="Arial" w:hAnsi="Arial"/>
                <w:b/>
                <w:bCs/>
                <w:sz w:val="26"/>
                <w:szCs w:val="26"/>
                <w:rtl/>
              </w:rPr>
            </w:pPr>
            <w:r w:rsidRPr="006B1485">
              <w:rPr>
                <w:rFonts w:ascii="Arial" w:hAnsi="Arial"/>
                <w:b/>
                <w:bCs/>
                <w:sz w:val="26"/>
                <w:szCs w:val="26"/>
                <w:rtl/>
              </w:rPr>
              <w:t>מדינת ישראל</w:t>
            </w:r>
            <w:r w:rsidRPr="006B1485">
              <w:rPr>
                <w:rFonts w:ascii="Arial" w:hAnsi="Arial" w:hint="cs"/>
                <w:b/>
                <w:bCs/>
                <w:sz w:val="26"/>
                <w:szCs w:val="26"/>
                <w:rtl/>
              </w:rPr>
              <w:t xml:space="preserve"> </w:t>
            </w:r>
          </w:p>
          <w:p w14:paraId="141603BF" w14:textId="77777777" w:rsidR="00B46524" w:rsidRPr="006B1485" w:rsidRDefault="00B46524" w:rsidP="00B46524">
            <w:pPr>
              <w:suppressLineNumbers/>
            </w:pPr>
            <w:r w:rsidRPr="006B1485">
              <w:rPr>
                <w:rFonts w:ascii="Arial" w:hAnsi="Arial"/>
                <w:b/>
                <w:bCs/>
                <w:sz w:val="26"/>
                <w:szCs w:val="26"/>
                <w:rtl/>
              </w:rPr>
              <w:t>ע"י</w:t>
            </w:r>
            <w:r w:rsidRPr="006B1485">
              <w:rPr>
                <w:rFonts w:ascii="Arial" w:hAnsi="Arial" w:hint="cs"/>
                <w:b/>
                <w:bCs/>
                <w:sz w:val="26"/>
                <w:szCs w:val="26"/>
                <w:rtl/>
              </w:rPr>
              <w:t xml:space="preserve"> תביעות נגב</w:t>
            </w:r>
          </w:p>
          <w:p w14:paraId="2B9A71A8" w14:textId="77777777" w:rsidR="00B46524" w:rsidRPr="006B1485" w:rsidRDefault="00B46524" w:rsidP="002A0FC5">
            <w:pPr>
              <w:rPr>
                <w:rFonts w:ascii="David" w:hAnsi="David"/>
                <w:sz w:val="26"/>
                <w:szCs w:val="26"/>
              </w:rPr>
            </w:pPr>
          </w:p>
        </w:tc>
      </w:tr>
      <w:bookmarkEnd w:id="1"/>
      <w:tr w:rsidR="00B46524" w:rsidRPr="006B1485" w14:paraId="0029FF0C" w14:textId="77777777" w:rsidTr="00B46524">
        <w:trPr>
          <w:trHeight w:val="355"/>
          <w:jc w:val="center"/>
        </w:trPr>
        <w:tc>
          <w:tcPr>
            <w:tcW w:w="923" w:type="dxa"/>
            <w:tcBorders>
              <w:top w:val="nil"/>
              <w:left w:val="nil"/>
              <w:bottom w:val="nil"/>
              <w:right w:val="nil"/>
            </w:tcBorders>
            <w:shd w:val="clear" w:color="auto" w:fill="auto"/>
          </w:tcPr>
          <w:p w14:paraId="2BB7D906" w14:textId="77777777" w:rsidR="00B46524" w:rsidRPr="006B1485" w:rsidRDefault="00B46524" w:rsidP="00B4652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70D8A01" w14:textId="77777777" w:rsidR="00B46524" w:rsidRPr="006B1485" w:rsidRDefault="00B46524" w:rsidP="00B46524">
            <w:pPr>
              <w:jc w:val="center"/>
              <w:rPr>
                <w:rFonts w:ascii="David" w:hAnsi="David"/>
                <w:b/>
                <w:bCs/>
                <w:sz w:val="26"/>
                <w:szCs w:val="26"/>
                <w:rtl/>
              </w:rPr>
            </w:pPr>
          </w:p>
          <w:p w14:paraId="6D74257F" w14:textId="77777777" w:rsidR="00B46524" w:rsidRPr="006B1485" w:rsidRDefault="00B46524" w:rsidP="00B46524">
            <w:pPr>
              <w:jc w:val="center"/>
              <w:rPr>
                <w:rFonts w:ascii="David" w:hAnsi="David"/>
                <w:b/>
                <w:bCs/>
                <w:sz w:val="26"/>
                <w:szCs w:val="26"/>
                <w:rtl/>
              </w:rPr>
            </w:pPr>
            <w:r w:rsidRPr="006B1485">
              <w:rPr>
                <w:rFonts w:ascii="David" w:hAnsi="David"/>
                <w:b/>
                <w:bCs/>
                <w:sz w:val="26"/>
                <w:szCs w:val="26"/>
                <w:rtl/>
              </w:rPr>
              <w:t>נגד</w:t>
            </w:r>
          </w:p>
          <w:p w14:paraId="1BCF70E0" w14:textId="77777777" w:rsidR="00B46524" w:rsidRPr="006B1485" w:rsidRDefault="00B46524" w:rsidP="00B46524">
            <w:pPr>
              <w:jc w:val="both"/>
              <w:rPr>
                <w:rFonts w:ascii="David" w:hAnsi="David"/>
                <w:sz w:val="26"/>
                <w:szCs w:val="26"/>
              </w:rPr>
            </w:pPr>
          </w:p>
        </w:tc>
      </w:tr>
      <w:tr w:rsidR="00B46524" w:rsidRPr="006B1485" w14:paraId="10614D7A" w14:textId="77777777" w:rsidTr="00B46524">
        <w:trPr>
          <w:trHeight w:val="355"/>
          <w:jc w:val="center"/>
        </w:trPr>
        <w:tc>
          <w:tcPr>
            <w:tcW w:w="923" w:type="dxa"/>
            <w:tcBorders>
              <w:top w:val="nil"/>
              <w:left w:val="nil"/>
              <w:bottom w:val="nil"/>
              <w:right w:val="nil"/>
            </w:tcBorders>
            <w:shd w:val="clear" w:color="auto" w:fill="auto"/>
          </w:tcPr>
          <w:p w14:paraId="662A0F47" w14:textId="77777777" w:rsidR="00B46524" w:rsidRPr="006B1485" w:rsidRDefault="00B46524" w:rsidP="002A0FC5">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698FF2B" w14:textId="77777777" w:rsidR="00B46524" w:rsidRPr="006B1485" w:rsidRDefault="00B46524" w:rsidP="002A0FC5">
            <w:pPr>
              <w:rPr>
                <w:rFonts w:ascii="Arial" w:hAnsi="Arial"/>
                <w:b/>
                <w:bCs/>
                <w:sz w:val="26"/>
                <w:szCs w:val="26"/>
                <w:rtl/>
              </w:rPr>
            </w:pPr>
            <w:r w:rsidRPr="006B1485">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6681FDD2" w14:textId="77777777" w:rsidR="00B46524" w:rsidRPr="006B1485" w:rsidRDefault="00B46524" w:rsidP="00B46524">
            <w:pPr>
              <w:suppressLineNumbers/>
              <w:rPr>
                <w:rFonts w:ascii="Arial" w:hAnsi="Arial"/>
                <w:b/>
                <w:bCs/>
                <w:sz w:val="26"/>
                <w:szCs w:val="26"/>
                <w:rtl/>
              </w:rPr>
            </w:pPr>
            <w:r w:rsidRPr="006B1485">
              <w:rPr>
                <w:rFonts w:ascii="Arial" w:hAnsi="Arial"/>
                <w:b/>
                <w:bCs/>
                <w:sz w:val="26"/>
                <w:szCs w:val="26"/>
                <w:rtl/>
              </w:rPr>
              <w:t>עאטף הואשלה</w:t>
            </w:r>
            <w:r w:rsidRPr="006B1485">
              <w:rPr>
                <w:rFonts w:ascii="Arial" w:hAnsi="Arial" w:hint="cs"/>
                <w:b/>
                <w:bCs/>
                <w:sz w:val="26"/>
                <w:szCs w:val="26"/>
                <w:rtl/>
              </w:rPr>
              <w:t xml:space="preserve"> </w:t>
            </w:r>
          </w:p>
          <w:p w14:paraId="23F33C07" w14:textId="77777777" w:rsidR="00B46524" w:rsidRPr="006B1485" w:rsidRDefault="00B46524" w:rsidP="00B46524">
            <w:pPr>
              <w:suppressLineNumbers/>
            </w:pPr>
            <w:r w:rsidRPr="006B1485">
              <w:rPr>
                <w:rFonts w:ascii="Arial" w:hAnsi="Arial"/>
                <w:b/>
                <w:bCs/>
                <w:sz w:val="26"/>
                <w:szCs w:val="26"/>
                <w:rtl/>
              </w:rPr>
              <w:t>ע"י ב"כ עוה"ד</w:t>
            </w:r>
            <w:r w:rsidRPr="006B1485">
              <w:rPr>
                <w:rFonts w:ascii="Arial" w:hAnsi="Arial" w:hint="cs"/>
                <w:b/>
                <w:bCs/>
                <w:sz w:val="26"/>
                <w:szCs w:val="26"/>
                <w:rtl/>
              </w:rPr>
              <w:t xml:space="preserve"> אחמד ותד</w:t>
            </w:r>
          </w:p>
          <w:p w14:paraId="4552B11C" w14:textId="77777777" w:rsidR="00B46524" w:rsidRPr="006B1485" w:rsidRDefault="00B46524" w:rsidP="002A0FC5">
            <w:pPr>
              <w:rPr>
                <w:rFonts w:ascii="David" w:hAnsi="David"/>
                <w:sz w:val="26"/>
                <w:szCs w:val="26"/>
              </w:rPr>
            </w:pPr>
          </w:p>
        </w:tc>
      </w:tr>
      <w:bookmarkEnd w:id="2"/>
    </w:tbl>
    <w:p w14:paraId="7FE5EDAD" w14:textId="77777777" w:rsidR="006B1485" w:rsidRPr="006B1485" w:rsidRDefault="006B1485" w:rsidP="006B1485">
      <w:pPr>
        <w:spacing w:before="120" w:after="120" w:line="240" w:lineRule="exact"/>
        <w:ind w:left="283" w:hanging="283"/>
        <w:jc w:val="both"/>
        <w:rPr>
          <w:rFonts w:ascii="FrankRuehl" w:hAnsi="FrankRuehl" w:cs="FrankRuehl"/>
          <w:rtl/>
        </w:rPr>
      </w:pPr>
    </w:p>
    <w:p w14:paraId="32DBF411" w14:textId="77777777" w:rsidR="00722CD3" w:rsidRPr="00722CD3" w:rsidRDefault="00722CD3" w:rsidP="00722CD3">
      <w:pPr>
        <w:spacing w:before="120" w:after="120" w:line="240" w:lineRule="exact"/>
        <w:ind w:left="283" w:hanging="283"/>
        <w:jc w:val="both"/>
        <w:rPr>
          <w:rFonts w:ascii="FrankRuehl" w:hAnsi="FrankRuehl" w:cs="FrankRuehl"/>
          <w:rtl/>
        </w:rPr>
      </w:pPr>
    </w:p>
    <w:p w14:paraId="3B2F1182" w14:textId="77777777" w:rsidR="00CB3330" w:rsidRDefault="00CB3330" w:rsidP="00CB3330">
      <w:pPr>
        <w:rPr>
          <w:sz w:val="26"/>
          <w:szCs w:val="26"/>
          <w:rtl/>
        </w:rPr>
      </w:pPr>
      <w:bookmarkStart w:id="3" w:name="LawTable"/>
      <w:bookmarkEnd w:id="3"/>
    </w:p>
    <w:p w14:paraId="17BF8032" w14:textId="77777777" w:rsidR="00CB3330" w:rsidRPr="00CB3330" w:rsidRDefault="00CB3330" w:rsidP="00CB3330">
      <w:pPr>
        <w:spacing w:before="120" w:after="120" w:line="240" w:lineRule="exact"/>
        <w:ind w:left="283" w:hanging="283"/>
        <w:jc w:val="both"/>
        <w:rPr>
          <w:rFonts w:ascii="FrankRuehl" w:hAnsi="FrankRuehl" w:cs="FrankRuehl"/>
          <w:rtl/>
        </w:rPr>
      </w:pPr>
    </w:p>
    <w:p w14:paraId="28A5BB15" w14:textId="77777777" w:rsidR="00CB3330" w:rsidRPr="00CB3330" w:rsidRDefault="00CB3330" w:rsidP="00CB3330">
      <w:pPr>
        <w:spacing w:before="120" w:after="120" w:line="240" w:lineRule="exact"/>
        <w:ind w:left="283" w:hanging="283"/>
        <w:jc w:val="both"/>
        <w:rPr>
          <w:rFonts w:ascii="FrankRuehl" w:hAnsi="FrankRuehl" w:cs="FrankRuehl"/>
          <w:rtl/>
        </w:rPr>
      </w:pPr>
    </w:p>
    <w:p w14:paraId="7906E1F4" w14:textId="77777777" w:rsidR="00CB3330" w:rsidRPr="00CB3330" w:rsidRDefault="00CB3330" w:rsidP="00CB3330">
      <w:pPr>
        <w:spacing w:before="120" w:after="120" w:line="240" w:lineRule="exact"/>
        <w:ind w:left="283" w:hanging="283"/>
        <w:jc w:val="both"/>
        <w:rPr>
          <w:rFonts w:ascii="FrankRuehl" w:hAnsi="FrankRuehl" w:cs="FrankRuehl"/>
          <w:rtl/>
        </w:rPr>
      </w:pPr>
      <w:r w:rsidRPr="00CB3330">
        <w:rPr>
          <w:rFonts w:ascii="FrankRuehl" w:hAnsi="FrankRuehl" w:cs="FrankRuehl"/>
          <w:rtl/>
        </w:rPr>
        <w:t xml:space="preserve">חקיקה שאוזכרה: </w:t>
      </w:r>
    </w:p>
    <w:p w14:paraId="181738DE" w14:textId="77777777" w:rsidR="00CB3330" w:rsidRPr="00CB3330" w:rsidRDefault="00CB3330" w:rsidP="00CB3330">
      <w:pPr>
        <w:spacing w:before="120" w:after="120" w:line="240" w:lineRule="exact"/>
        <w:ind w:left="283" w:hanging="283"/>
        <w:jc w:val="both"/>
        <w:rPr>
          <w:rFonts w:ascii="FrankRuehl" w:hAnsi="FrankRuehl" w:cs="FrankRuehl"/>
          <w:rtl/>
        </w:rPr>
      </w:pPr>
      <w:hyperlink r:id="rId7" w:history="1">
        <w:r w:rsidRPr="00CB3330">
          <w:rPr>
            <w:rFonts w:ascii="FrankRuehl" w:hAnsi="FrankRuehl" w:cs="FrankRuehl"/>
            <w:color w:val="0000FF"/>
            <w:rtl/>
          </w:rPr>
          <w:t>פקודת הסמים המסוכנים [נוסח חדש], תשל"ג-1973</w:t>
        </w:r>
      </w:hyperlink>
      <w:r w:rsidRPr="00CB3330">
        <w:rPr>
          <w:rFonts w:ascii="FrankRuehl" w:hAnsi="FrankRuehl" w:cs="FrankRuehl"/>
          <w:rtl/>
        </w:rPr>
        <w:t xml:space="preserve">: סע'  </w:t>
      </w:r>
      <w:hyperlink r:id="rId8" w:history="1">
        <w:r w:rsidRPr="00CB3330">
          <w:rPr>
            <w:rFonts w:ascii="FrankRuehl" w:hAnsi="FrankRuehl" w:cs="FrankRuehl"/>
            <w:color w:val="0000FF"/>
            <w:rtl/>
          </w:rPr>
          <w:t>7.א.</w:t>
        </w:r>
      </w:hyperlink>
      <w:r w:rsidRPr="00CB3330">
        <w:rPr>
          <w:rFonts w:ascii="FrankRuehl" w:hAnsi="FrankRuehl" w:cs="FrankRuehl"/>
          <w:rtl/>
        </w:rPr>
        <w:t xml:space="preserve">, </w:t>
      </w:r>
      <w:hyperlink r:id="rId9" w:history="1">
        <w:r w:rsidRPr="00CB3330">
          <w:rPr>
            <w:rFonts w:ascii="FrankRuehl" w:hAnsi="FrankRuehl" w:cs="FrankRuehl"/>
            <w:color w:val="0000FF"/>
            <w:rtl/>
          </w:rPr>
          <w:t>7.ג</w:t>
        </w:r>
      </w:hyperlink>
    </w:p>
    <w:p w14:paraId="4DED4D6D" w14:textId="77777777" w:rsidR="00CB3330" w:rsidRPr="00CB3330" w:rsidRDefault="00CB3330" w:rsidP="00CB3330">
      <w:pPr>
        <w:spacing w:before="120" w:after="120" w:line="240" w:lineRule="exact"/>
        <w:ind w:left="283" w:hanging="283"/>
        <w:jc w:val="both"/>
        <w:rPr>
          <w:rFonts w:ascii="FrankRuehl" w:hAnsi="FrankRuehl" w:cs="FrankRuehl"/>
          <w:rtl/>
        </w:rPr>
      </w:pPr>
      <w:hyperlink r:id="rId10" w:history="1">
        <w:r w:rsidRPr="00CB3330">
          <w:rPr>
            <w:rFonts w:ascii="FrankRuehl" w:hAnsi="FrankRuehl" w:cs="FrankRuehl"/>
            <w:color w:val="0000FF"/>
            <w:rtl/>
          </w:rPr>
          <w:t>חוק העונשין, תשל"ז-1977</w:t>
        </w:r>
      </w:hyperlink>
      <w:r w:rsidRPr="00CB3330">
        <w:rPr>
          <w:rFonts w:ascii="FrankRuehl" w:hAnsi="FrankRuehl" w:cs="FrankRuehl"/>
          <w:rtl/>
        </w:rPr>
        <w:t xml:space="preserve">: סע'  </w:t>
      </w:r>
      <w:hyperlink r:id="rId11" w:history="1">
        <w:r w:rsidRPr="00CB3330">
          <w:rPr>
            <w:rFonts w:ascii="FrankRuehl" w:hAnsi="FrankRuehl" w:cs="FrankRuehl"/>
            <w:color w:val="0000FF"/>
            <w:rtl/>
          </w:rPr>
          <w:t>192</w:t>
        </w:r>
      </w:hyperlink>
    </w:p>
    <w:p w14:paraId="23C031F4" w14:textId="77777777" w:rsidR="00CB3330" w:rsidRPr="00CB3330" w:rsidRDefault="00CB3330" w:rsidP="00CB3330">
      <w:pPr>
        <w:spacing w:before="120" w:after="120" w:line="240" w:lineRule="exact"/>
        <w:ind w:left="283" w:hanging="283"/>
        <w:jc w:val="both"/>
        <w:rPr>
          <w:rFonts w:ascii="FrankRuehl" w:hAnsi="FrankRuehl" w:cs="FrankRuehl"/>
          <w:rtl/>
        </w:rPr>
      </w:pPr>
      <w:hyperlink r:id="rId12" w:history="1">
        <w:r w:rsidRPr="00CB3330">
          <w:rPr>
            <w:rFonts w:ascii="FrankRuehl" w:hAnsi="FrankRuehl" w:cs="FrankRuehl"/>
            <w:color w:val="0000FF"/>
            <w:rtl/>
          </w:rPr>
          <w:t>תקנות העבירות המינהליות, תשמ"ו-1986</w:t>
        </w:r>
      </w:hyperlink>
    </w:p>
    <w:p w14:paraId="1F4931F0" w14:textId="77777777" w:rsidR="00CB3330" w:rsidRPr="00CB3330" w:rsidRDefault="00CB3330" w:rsidP="00CB3330">
      <w:pPr>
        <w:rPr>
          <w:sz w:val="26"/>
          <w:szCs w:val="26"/>
          <w:rtl/>
        </w:rPr>
      </w:pPr>
      <w:bookmarkStart w:id="4" w:name="LawTable_End"/>
      <w:bookmarkEnd w:id="4"/>
    </w:p>
    <w:p w14:paraId="560D84ED" w14:textId="77777777" w:rsidR="00B46524" w:rsidRPr="00722CD3" w:rsidRDefault="00B46524" w:rsidP="00722CD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6524" w14:paraId="6ACED5CF" w14:textId="77777777" w:rsidTr="00B46524">
        <w:trPr>
          <w:trHeight w:val="355"/>
          <w:jc w:val="center"/>
        </w:trPr>
        <w:tc>
          <w:tcPr>
            <w:tcW w:w="8820" w:type="dxa"/>
            <w:tcBorders>
              <w:top w:val="nil"/>
              <w:left w:val="nil"/>
              <w:bottom w:val="nil"/>
              <w:right w:val="nil"/>
            </w:tcBorders>
            <w:shd w:val="clear" w:color="auto" w:fill="auto"/>
          </w:tcPr>
          <w:p w14:paraId="5FB14F8A" w14:textId="77777777" w:rsidR="006B1485" w:rsidRPr="006B1485" w:rsidRDefault="006B1485" w:rsidP="006B1485">
            <w:pPr>
              <w:jc w:val="center"/>
              <w:rPr>
                <w:rFonts w:ascii="David" w:hAnsi="David"/>
                <w:b/>
                <w:bCs/>
                <w:sz w:val="32"/>
                <w:szCs w:val="32"/>
                <w:u w:val="single"/>
                <w:rtl/>
              </w:rPr>
            </w:pPr>
            <w:bookmarkStart w:id="5" w:name="PsakDin" w:colFirst="0" w:colLast="0"/>
            <w:bookmarkEnd w:id="0"/>
            <w:r w:rsidRPr="006B1485">
              <w:rPr>
                <w:rFonts w:ascii="David" w:hAnsi="David"/>
                <w:b/>
                <w:bCs/>
                <w:sz w:val="32"/>
                <w:szCs w:val="32"/>
                <w:u w:val="single"/>
                <w:rtl/>
              </w:rPr>
              <w:t>גזר דין</w:t>
            </w:r>
          </w:p>
          <w:p w14:paraId="30453A00" w14:textId="77777777" w:rsidR="00B46524" w:rsidRPr="006B1485" w:rsidRDefault="00B46524" w:rsidP="006B1485">
            <w:pPr>
              <w:jc w:val="center"/>
              <w:rPr>
                <w:rFonts w:ascii="David" w:hAnsi="David"/>
                <w:bCs/>
                <w:sz w:val="32"/>
                <w:szCs w:val="32"/>
                <w:u w:val="single"/>
                <w:rtl/>
              </w:rPr>
            </w:pPr>
          </w:p>
        </w:tc>
      </w:tr>
      <w:bookmarkEnd w:id="5"/>
    </w:tbl>
    <w:p w14:paraId="1BED4ECD" w14:textId="77777777" w:rsidR="00B46524" w:rsidRPr="000F2247" w:rsidRDefault="00B46524" w:rsidP="00B46524">
      <w:pPr>
        <w:rPr>
          <w:rFonts w:ascii="Arial" w:hAnsi="Arial"/>
          <w:b/>
          <w:bCs/>
          <w:sz w:val="26"/>
          <w:szCs w:val="26"/>
          <w:rtl/>
        </w:rPr>
      </w:pPr>
    </w:p>
    <w:p w14:paraId="79F4D7D3" w14:textId="77777777" w:rsidR="00B46524" w:rsidRPr="000F2247" w:rsidRDefault="00B46524" w:rsidP="00B46524">
      <w:pPr>
        <w:rPr>
          <w:rFonts w:ascii="Arial" w:hAnsi="Arial"/>
          <w:b/>
          <w:bCs/>
          <w:sz w:val="26"/>
          <w:szCs w:val="26"/>
          <w:rtl/>
        </w:rPr>
      </w:pPr>
    </w:p>
    <w:p w14:paraId="4108B330" w14:textId="77777777" w:rsidR="00B46524" w:rsidRDefault="00B46524" w:rsidP="00B46524">
      <w:pPr>
        <w:spacing w:line="360" w:lineRule="auto"/>
        <w:ind w:left="785"/>
        <w:jc w:val="both"/>
        <w:rPr>
          <w:rFonts w:ascii="David" w:hAnsi="David"/>
          <w:u w:val="single"/>
          <w:rtl/>
        </w:rPr>
      </w:pPr>
      <w:r>
        <w:rPr>
          <w:rFonts w:ascii="David" w:hAnsi="David"/>
          <w:u w:val="single"/>
          <w:rtl/>
        </w:rPr>
        <w:t>רקע</w:t>
      </w:r>
    </w:p>
    <w:p w14:paraId="05CF03E5" w14:textId="77777777" w:rsidR="00B46524" w:rsidRDefault="00B46524" w:rsidP="00B46524">
      <w:pPr>
        <w:spacing w:line="360" w:lineRule="auto"/>
        <w:ind w:left="785"/>
        <w:jc w:val="both"/>
        <w:rPr>
          <w:rFonts w:ascii="David" w:hAnsi="David"/>
          <w:u w:val="single"/>
        </w:rPr>
      </w:pPr>
    </w:p>
    <w:p w14:paraId="71D5184B" w14:textId="77777777" w:rsidR="00B46524" w:rsidRDefault="00B46524" w:rsidP="00B46524">
      <w:pPr>
        <w:pStyle w:val="aa"/>
        <w:numPr>
          <w:ilvl w:val="0"/>
          <w:numId w:val="1"/>
        </w:numPr>
        <w:spacing w:line="360" w:lineRule="auto"/>
        <w:ind w:left="785"/>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עפ"י הודאתו בעובדות כתב האישום המתוקן , בעבירה של החזקת סם שלא לצריכה עצמית, עבירה לפי </w:t>
      </w:r>
      <w:hyperlink r:id="rId13" w:history="1">
        <w:r w:rsidR="00D34690" w:rsidRPr="00D34690">
          <w:rPr>
            <w:rStyle w:val="Hyperlink"/>
            <w:rFonts w:ascii="David" w:hAnsi="David" w:cs="David"/>
            <w:sz w:val="24"/>
            <w:szCs w:val="24"/>
            <w:rtl/>
          </w:rPr>
          <w:t>סעיף 7(א)+(ג)</w:t>
        </w:r>
      </w:hyperlink>
      <w:r>
        <w:rPr>
          <w:rFonts w:ascii="David" w:hAnsi="David" w:cs="David"/>
          <w:sz w:val="24"/>
          <w:szCs w:val="24"/>
          <w:rtl/>
        </w:rPr>
        <w:t xml:space="preserve"> רישא ב</w:t>
      </w:r>
      <w:hyperlink r:id="rId14" w:history="1">
        <w:r w:rsidR="006B1485" w:rsidRPr="006B1485">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 </w:t>
      </w:r>
      <w:r>
        <w:rPr>
          <w:rFonts w:ascii="David" w:hAnsi="David" w:cs="David"/>
          <w:b/>
          <w:bCs/>
          <w:sz w:val="24"/>
          <w:szCs w:val="24"/>
          <w:rtl/>
        </w:rPr>
        <w:t>״פקודת הסמים״</w:t>
      </w:r>
      <w:r>
        <w:rPr>
          <w:rFonts w:ascii="David" w:hAnsi="David" w:cs="David"/>
          <w:sz w:val="24"/>
          <w:szCs w:val="24"/>
          <w:rtl/>
        </w:rPr>
        <w:t>).</w:t>
      </w:r>
    </w:p>
    <w:p w14:paraId="1711E69E" w14:textId="77777777" w:rsidR="00B46524" w:rsidRDefault="00B46524" w:rsidP="00B46524">
      <w:pPr>
        <w:pStyle w:val="aa"/>
        <w:spacing w:line="360" w:lineRule="auto"/>
        <w:jc w:val="both"/>
        <w:rPr>
          <w:rFonts w:ascii="David" w:hAnsi="David" w:cs="David"/>
          <w:sz w:val="24"/>
          <w:szCs w:val="24"/>
        </w:rPr>
      </w:pPr>
      <w:r>
        <w:rPr>
          <w:rFonts w:ascii="David" w:hAnsi="David" w:cs="David"/>
          <w:sz w:val="24"/>
          <w:szCs w:val="24"/>
          <w:rtl/>
        </w:rPr>
        <w:t>כמו כן, הורשע הנאשם עפ"י הודאתו בכתב אישום מתוקן ב</w:t>
      </w:r>
      <w:hyperlink r:id="rId15" w:history="1">
        <w:r w:rsidR="006B1485" w:rsidRPr="006B1485">
          <w:rPr>
            <w:rFonts w:ascii="David" w:hAnsi="David" w:cs="David"/>
            <w:color w:val="0000FF"/>
            <w:sz w:val="24"/>
            <w:szCs w:val="24"/>
            <w:u w:val="single"/>
            <w:rtl/>
          </w:rPr>
          <w:t>ת"פ 53956-07-22</w:t>
        </w:r>
      </w:hyperlink>
      <w:r>
        <w:rPr>
          <w:rFonts w:ascii="David" w:hAnsi="David" w:cs="David"/>
          <w:sz w:val="24"/>
          <w:szCs w:val="24"/>
          <w:rtl/>
        </w:rPr>
        <w:t>, אותו צירף (להלן: "</w:t>
      </w:r>
      <w:r>
        <w:rPr>
          <w:rFonts w:ascii="David" w:hAnsi="David" w:cs="David"/>
          <w:b/>
          <w:bCs/>
          <w:sz w:val="24"/>
          <w:szCs w:val="24"/>
          <w:rtl/>
        </w:rPr>
        <w:t>כתב האישום המצורף</w:t>
      </w:r>
      <w:r>
        <w:rPr>
          <w:rFonts w:ascii="David" w:hAnsi="David" w:cs="David"/>
          <w:sz w:val="24"/>
          <w:szCs w:val="24"/>
          <w:rtl/>
        </w:rPr>
        <w:t xml:space="preserve">"), בעבירה של איומים, עבירה לפי </w:t>
      </w:r>
      <w:hyperlink r:id="rId16" w:history="1">
        <w:r w:rsidR="00D34690" w:rsidRPr="00D34690">
          <w:rPr>
            <w:rStyle w:val="Hyperlink"/>
            <w:rFonts w:ascii="David" w:hAnsi="David" w:cs="David"/>
            <w:sz w:val="24"/>
            <w:szCs w:val="24"/>
            <w:rtl/>
          </w:rPr>
          <w:t>סעיף 192</w:t>
        </w:r>
      </w:hyperlink>
      <w:r>
        <w:rPr>
          <w:rFonts w:ascii="David" w:hAnsi="David" w:cs="David"/>
          <w:sz w:val="24"/>
          <w:szCs w:val="24"/>
          <w:rtl/>
        </w:rPr>
        <w:t xml:space="preserve"> ל</w:t>
      </w:r>
      <w:hyperlink r:id="rId17" w:history="1">
        <w:r w:rsidR="006B1485" w:rsidRPr="006B1485">
          <w:rPr>
            <w:rFonts w:ascii="David" w:hAnsi="David" w:cs="David"/>
            <w:color w:val="0000FF"/>
            <w:sz w:val="24"/>
            <w:szCs w:val="24"/>
            <w:u w:val="single"/>
            <w:rtl/>
          </w:rPr>
          <w:t>חוק העונשין</w:t>
        </w:r>
      </w:hyperlink>
      <w:r>
        <w:rPr>
          <w:rFonts w:ascii="David" w:hAnsi="David" w:cs="David"/>
          <w:sz w:val="24"/>
          <w:szCs w:val="24"/>
          <w:rtl/>
        </w:rPr>
        <w:t>, תשל״ז-1977</w:t>
      </w:r>
      <w:bookmarkStart w:id="7" w:name="ABSTRACT_END"/>
      <w:bookmarkEnd w:id="7"/>
      <w:r>
        <w:rPr>
          <w:rFonts w:ascii="David" w:hAnsi="David" w:cs="David"/>
          <w:sz w:val="24"/>
          <w:szCs w:val="24"/>
          <w:rtl/>
        </w:rPr>
        <w:t xml:space="preserve"> (להלן: ״</w:t>
      </w:r>
      <w:r>
        <w:rPr>
          <w:rFonts w:ascii="David" w:hAnsi="David" w:cs="David"/>
          <w:b/>
          <w:bCs/>
          <w:sz w:val="24"/>
          <w:szCs w:val="24"/>
          <w:rtl/>
        </w:rPr>
        <w:t>חוק העונשין״</w:t>
      </w:r>
      <w:r>
        <w:rPr>
          <w:rFonts w:ascii="David" w:hAnsi="David" w:cs="David"/>
          <w:sz w:val="24"/>
          <w:szCs w:val="24"/>
          <w:rtl/>
        </w:rPr>
        <w:t xml:space="preserve">). </w:t>
      </w:r>
    </w:p>
    <w:p w14:paraId="24C8E822" w14:textId="77777777" w:rsidR="00B46524" w:rsidRDefault="00B46524" w:rsidP="00B46524">
      <w:pPr>
        <w:pStyle w:val="aa"/>
        <w:spacing w:line="360" w:lineRule="auto"/>
        <w:jc w:val="both"/>
        <w:rPr>
          <w:rFonts w:ascii="David" w:hAnsi="David" w:cs="David"/>
          <w:sz w:val="24"/>
          <w:szCs w:val="24"/>
        </w:rPr>
      </w:pPr>
    </w:p>
    <w:p w14:paraId="4A7E24B0" w14:textId="77777777" w:rsidR="00B46524" w:rsidRDefault="00B46524" w:rsidP="00B46524">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על פי עובדות כתב האישום המתוקן בתיק האב , ביום 17.2.20, בסמוך לשעה 20:00, עת הגיע הנאשם ברכבו למעבר מיתר, החזיק מתחת לכיסא הנהג סם מסוכן מסוג קנבוס במשקל כולל של 100.60 גרם נטו שלא לצריכה עצמית, וזאת ללא היתר כדין או רישיון מאת המנהל. </w:t>
      </w:r>
    </w:p>
    <w:p w14:paraId="64524096" w14:textId="77777777" w:rsidR="00B46524" w:rsidRDefault="00B46524" w:rsidP="00B46524">
      <w:pPr>
        <w:pStyle w:val="aa"/>
        <w:spacing w:line="360" w:lineRule="auto"/>
        <w:jc w:val="both"/>
        <w:rPr>
          <w:rFonts w:ascii="David" w:hAnsi="David" w:cs="David"/>
          <w:sz w:val="24"/>
          <w:szCs w:val="24"/>
          <w:rtl/>
        </w:rPr>
      </w:pPr>
    </w:p>
    <w:p w14:paraId="4284B3BA" w14:textId="77777777" w:rsidR="00B46524" w:rsidRDefault="00B46524" w:rsidP="00B46524">
      <w:pPr>
        <w:pStyle w:val="aa"/>
        <w:spacing w:line="360" w:lineRule="auto"/>
        <w:jc w:val="both"/>
        <w:rPr>
          <w:rFonts w:ascii="David" w:hAnsi="David" w:cs="David"/>
          <w:sz w:val="24"/>
          <w:szCs w:val="24"/>
          <w:highlight w:val="yellow"/>
          <w:rtl/>
        </w:rPr>
      </w:pPr>
      <w:r>
        <w:rPr>
          <w:rFonts w:ascii="David" w:hAnsi="David" w:cs="David"/>
          <w:sz w:val="24"/>
          <w:szCs w:val="24"/>
          <w:rtl/>
        </w:rPr>
        <w:t xml:space="preserve">על פי עובדות כתב האישום המתוקן בתיק המצורף, ביום 23.11.21, בסמוך לשעה 12:10, נהג הנאשם ברכב. השוטר יצחק, המשמש כשוטר הקהילתי של שבט אלהואשלה, הבחין בנאשם, ובעקבות אופן נהיגתו ביקש ממנו לעצור בצד הדרך, אולם הנאשם נסע מהמקום ולא אותר. בהמשך למתואר לעיל, ביום 24.11.21, בסמוך לשעה 05:00, הגיע השוטר יצחק לביתו של הנאשם בפזורת אלהואשלה, על מנת לאתרו לצרכי חקירה, שם פגש השוטר יצחק באביו של הנאשם, אולם ניסיונות איתורו של הנאשם לא צלחו. באותו היום, בסמוך לשעה 12:12, התקשר הנאשם אל הטלפון הנייד של השוטר יצחק, הזדהה בשמו, ואיים על השוטר יצחק בפגיעה שלא כדין בגופו בכך שאמר לו </w:t>
      </w:r>
      <w:r>
        <w:rPr>
          <w:rFonts w:ascii="David" w:hAnsi="David" w:cs="David"/>
          <w:b/>
          <w:bCs/>
          <w:sz w:val="24"/>
          <w:szCs w:val="24"/>
          <w:rtl/>
        </w:rPr>
        <w:t xml:space="preserve">״איציק הגעת לבית של אבא ולבית שלי מי אתה חושב שאתה? אם אתה גבר תבוא לפה, שם זין על המשטרה, אתה איימת על אבא שלי. מי אתה שתבוא לבית של אבא שלי ושלי בזמן שאני לא בבית... כוס אמא שלך ושל המדינה שלך ואם אתה עבריין אז גם אני עבריין״ </w:t>
      </w:r>
      <w:r>
        <w:rPr>
          <w:rFonts w:ascii="David" w:hAnsi="David" w:cs="David"/>
          <w:sz w:val="24"/>
          <w:szCs w:val="24"/>
          <w:rtl/>
        </w:rPr>
        <w:t xml:space="preserve">והכל בכוונה להפחידו או להקניטו. </w:t>
      </w:r>
    </w:p>
    <w:p w14:paraId="77EFBC5C" w14:textId="77777777" w:rsidR="00B46524" w:rsidRDefault="00B46524" w:rsidP="00B46524">
      <w:pPr>
        <w:spacing w:line="360" w:lineRule="auto"/>
        <w:ind w:left="720"/>
        <w:jc w:val="both"/>
        <w:rPr>
          <w:rFonts w:ascii="David" w:hAnsi="David"/>
          <w:rtl/>
        </w:rPr>
      </w:pPr>
    </w:p>
    <w:p w14:paraId="431A14CD" w14:textId="77777777" w:rsidR="00B46524" w:rsidRDefault="00B46524" w:rsidP="00B46524">
      <w:pPr>
        <w:pStyle w:val="aa"/>
        <w:numPr>
          <w:ilvl w:val="0"/>
          <w:numId w:val="1"/>
        </w:numPr>
        <w:spacing w:line="360" w:lineRule="auto"/>
        <w:jc w:val="both"/>
        <w:rPr>
          <w:rFonts w:ascii="David" w:hAnsi="David" w:cs="David"/>
          <w:sz w:val="24"/>
          <w:szCs w:val="24"/>
          <w:rtl/>
        </w:rPr>
      </w:pPr>
      <w:r>
        <w:rPr>
          <w:rFonts w:ascii="David" w:hAnsi="David" w:cs="David"/>
          <w:sz w:val="24"/>
          <w:szCs w:val="24"/>
          <w:rtl/>
        </w:rPr>
        <w:t>הצדדים הגיעו להסדר דיוני לפיו כתבי האישום יתוקנו, הנאשם יודה, ויורשע במיוחס לו. הוסכם כי הצדדים יטענו לעונש באופן חופשי.</w:t>
      </w:r>
    </w:p>
    <w:p w14:paraId="5A9CCE38" w14:textId="77777777" w:rsidR="00B46524" w:rsidRDefault="00B46524" w:rsidP="00B46524">
      <w:pPr>
        <w:spacing w:line="360" w:lineRule="auto"/>
        <w:ind w:left="720"/>
        <w:jc w:val="both"/>
        <w:rPr>
          <w:rFonts w:ascii="David" w:hAnsi="David"/>
          <w:u w:val="single"/>
          <w:rtl/>
        </w:rPr>
      </w:pPr>
    </w:p>
    <w:p w14:paraId="4CA01AB3" w14:textId="77777777" w:rsidR="00B46524" w:rsidRDefault="00B46524" w:rsidP="00B46524">
      <w:pPr>
        <w:spacing w:line="360" w:lineRule="auto"/>
        <w:ind w:left="720"/>
        <w:jc w:val="both"/>
        <w:rPr>
          <w:rFonts w:ascii="David" w:hAnsi="David"/>
          <w:u w:val="single"/>
          <w:rtl/>
        </w:rPr>
      </w:pPr>
      <w:r>
        <w:rPr>
          <w:rFonts w:ascii="David" w:hAnsi="David"/>
          <w:u w:val="single"/>
          <w:rtl/>
        </w:rPr>
        <w:t>תמצית טיעוני הצדדים</w:t>
      </w:r>
    </w:p>
    <w:p w14:paraId="352D357F" w14:textId="77777777" w:rsidR="00B46524" w:rsidRDefault="00B46524" w:rsidP="00B46524">
      <w:pPr>
        <w:pStyle w:val="aa"/>
        <w:spacing w:line="360" w:lineRule="auto"/>
        <w:jc w:val="both"/>
        <w:rPr>
          <w:rFonts w:ascii="David" w:hAnsi="David" w:cs="David"/>
          <w:sz w:val="24"/>
          <w:szCs w:val="24"/>
          <w:rtl/>
        </w:rPr>
      </w:pPr>
    </w:p>
    <w:p w14:paraId="226A1544" w14:textId="77777777" w:rsidR="00B46524" w:rsidRDefault="00B46524" w:rsidP="00B46524">
      <w:pPr>
        <w:pStyle w:val="aa"/>
        <w:numPr>
          <w:ilvl w:val="0"/>
          <w:numId w:val="1"/>
        </w:numPr>
        <w:spacing w:line="360" w:lineRule="auto"/>
        <w:jc w:val="both"/>
        <w:rPr>
          <w:rFonts w:ascii="David" w:hAnsi="David" w:cs="David"/>
          <w:sz w:val="24"/>
          <w:szCs w:val="24"/>
        </w:rPr>
      </w:pPr>
      <w:r>
        <w:rPr>
          <w:rFonts w:ascii="David" w:hAnsi="David" w:cs="David"/>
          <w:sz w:val="24"/>
          <w:szCs w:val="24"/>
          <w:rtl/>
        </w:rPr>
        <w:t>המאשימה בטיעוניה הדגישה את הפגיעה בערכים המוגנים, את הסיכון הטמון לשלום הציבור, בריאותו ובטחונו. לשיטת המאשימה, מידת הפגיעה בערכים אלו הינה משמעותית לאור כמות הסם, אשר הוחזקה ברכב בשעת לילה, כך שפוטנציאל ההפצה גבוה. אשר לעבירת האיומים, הדגישה המאשימה את הפגיעה בשלוות נפשו ושלמות גופו של המתלונן. חומרת המעשה בכך שהאיומים הופנו כלפי איש חוק במהלך ניסיונו לבצע את עבודתו. הנאשם במעשיו הפגין תעוזה רבה, והעדר מורא חוק, עת התקשר לטלפון האישי של השוטר ואיים עליו. המאשימה עתרה לקביעת שני מתחמי ענישה נפרדים. אשר לעבירת ההחזקה בנסיבותיה עתרה למתחם הנע בין 6 חודשי מאסר  ל-14 חודשי מאסר בפועל. אשר לעבירת האיומים בנסיבותיה עתרה למתחם הנע בין מספר חודשי מאסר ל- 12 חודשי מאסר בפועל.</w:t>
      </w:r>
    </w:p>
    <w:p w14:paraId="5ABE9A28" w14:textId="77777777" w:rsidR="00B46524" w:rsidRDefault="00B46524" w:rsidP="00B46524">
      <w:pPr>
        <w:pStyle w:val="aa"/>
        <w:spacing w:line="360" w:lineRule="auto"/>
        <w:jc w:val="both"/>
        <w:rPr>
          <w:rFonts w:ascii="David" w:hAnsi="David" w:cs="David"/>
          <w:sz w:val="24"/>
          <w:szCs w:val="24"/>
          <w:rtl/>
        </w:rPr>
      </w:pPr>
      <w:r>
        <w:rPr>
          <w:rFonts w:ascii="David" w:hAnsi="David" w:cs="David"/>
          <w:sz w:val="24"/>
          <w:szCs w:val="24"/>
          <w:rtl/>
        </w:rPr>
        <w:t xml:space="preserve">בהעדר עבר פלילי, ומשלא ביקש הנאשם להפנותו לשירות המבחן לצורך קבלת תסקיר, עתרה למקם את עונשו של הנאשם בחלקם התחתון של מתחמי הענישה ולצבור את </w:t>
      </w:r>
      <w:r>
        <w:rPr>
          <w:rFonts w:ascii="David" w:hAnsi="David" w:cs="David"/>
          <w:sz w:val="24"/>
          <w:szCs w:val="24"/>
          <w:rtl/>
        </w:rPr>
        <w:lastRenderedPageBreak/>
        <w:t xml:space="preserve">העונשים כך שסך הכל יושתו על הנאשם 9 חודשי מאסר בפועל, אשר יכול וירוצו בדרך של עבודות שירות, בצירוף ענישה נלווית הכוללת קנס כספי ופסילת רישיון נהיגה בפועל ועל תנאי. </w:t>
      </w:r>
    </w:p>
    <w:p w14:paraId="5D2CE32C" w14:textId="77777777" w:rsidR="00B46524" w:rsidRDefault="00B46524" w:rsidP="00B46524">
      <w:pPr>
        <w:pStyle w:val="aa"/>
        <w:spacing w:line="360" w:lineRule="auto"/>
        <w:jc w:val="both"/>
        <w:rPr>
          <w:rFonts w:ascii="David" w:hAnsi="David" w:cs="David"/>
          <w:sz w:val="24"/>
          <w:szCs w:val="24"/>
        </w:rPr>
      </w:pPr>
    </w:p>
    <w:p w14:paraId="1E13E561" w14:textId="77777777" w:rsidR="00B46524" w:rsidRDefault="00B46524" w:rsidP="00B46524">
      <w:pPr>
        <w:pStyle w:val="aa"/>
        <w:numPr>
          <w:ilvl w:val="0"/>
          <w:numId w:val="1"/>
        </w:numPr>
        <w:spacing w:line="360" w:lineRule="auto"/>
        <w:jc w:val="both"/>
        <w:rPr>
          <w:rFonts w:ascii="David" w:hAnsi="David" w:cs="David"/>
          <w:sz w:val="24"/>
          <w:szCs w:val="24"/>
        </w:rPr>
      </w:pPr>
      <w:r>
        <w:rPr>
          <w:rFonts w:ascii="David" w:hAnsi="David" w:cs="David"/>
          <w:sz w:val="24"/>
          <w:szCs w:val="24"/>
          <w:rtl/>
        </w:rPr>
        <w:t>ב״כ הנאשם בטיעוניו הדגיש את לקיחת האחריות מצידו של הנאשם ואת היותו נעדר עבר פלילי. לדבריו, מדיניות הענישה הנהוגה אינה עולה בקנה אחד עם המתחמים להם עתרה המאשימה. אשר לעבירת האיומים נטען כי הדברים נאמרו בלהט הרגע והנאשם מביע חרטה. ב"כ הנאשם עתר לקביעת מתחם ענישה כולל הנע ממאסר מותנה ועד מספר חודשים בעבודות שירות.</w:t>
      </w:r>
    </w:p>
    <w:p w14:paraId="7C537E45" w14:textId="77777777" w:rsidR="00B46524" w:rsidRDefault="00B46524" w:rsidP="00B46524">
      <w:pPr>
        <w:shd w:val="clear" w:color="auto" w:fill="FFFFFF"/>
        <w:spacing w:line="360" w:lineRule="auto"/>
        <w:jc w:val="both"/>
        <w:rPr>
          <w:rFonts w:ascii="David" w:hAnsi="David"/>
          <w:b/>
          <w:bCs/>
          <w:u w:val="single"/>
        </w:rPr>
      </w:pPr>
    </w:p>
    <w:p w14:paraId="2A201A93" w14:textId="77777777" w:rsidR="00B46524" w:rsidRDefault="00B46524" w:rsidP="00B46524">
      <w:pPr>
        <w:shd w:val="clear" w:color="auto" w:fill="FFFFFF"/>
        <w:spacing w:line="360" w:lineRule="auto"/>
        <w:ind w:left="720"/>
        <w:jc w:val="both"/>
        <w:rPr>
          <w:rFonts w:ascii="David" w:hAnsi="David"/>
          <w:u w:val="single"/>
          <w:rtl/>
        </w:rPr>
      </w:pPr>
      <w:r>
        <w:rPr>
          <w:rFonts w:ascii="David" w:hAnsi="David"/>
          <w:u w:val="single"/>
          <w:rtl/>
        </w:rPr>
        <w:t>דברי הנאשם</w:t>
      </w:r>
    </w:p>
    <w:p w14:paraId="2CA83678" w14:textId="77777777" w:rsidR="00B46524" w:rsidRDefault="00B46524" w:rsidP="00B46524">
      <w:pPr>
        <w:shd w:val="clear" w:color="auto" w:fill="FFFFFF"/>
        <w:spacing w:line="360" w:lineRule="auto"/>
        <w:jc w:val="both"/>
        <w:rPr>
          <w:rFonts w:ascii="David" w:hAnsi="David"/>
          <w:b/>
          <w:bCs/>
          <w:u w:val="single"/>
          <w:rtl/>
        </w:rPr>
      </w:pPr>
    </w:p>
    <w:p w14:paraId="4C3E74DB" w14:textId="77777777" w:rsidR="00B46524" w:rsidRDefault="00B46524" w:rsidP="00B46524">
      <w:pPr>
        <w:pStyle w:val="aa"/>
        <w:numPr>
          <w:ilvl w:val="0"/>
          <w:numId w:val="1"/>
        </w:numPr>
        <w:shd w:val="clear" w:color="auto" w:fill="FFFFFF"/>
        <w:spacing w:after="0" w:line="360" w:lineRule="auto"/>
        <w:jc w:val="both"/>
        <w:rPr>
          <w:rFonts w:ascii="David" w:hAnsi="David" w:cs="David"/>
          <w:b/>
          <w:bCs/>
          <w:sz w:val="24"/>
          <w:szCs w:val="24"/>
          <w:u w:val="single"/>
          <w:rtl/>
        </w:rPr>
      </w:pPr>
      <w:r>
        <w:rPr>
          <w:rFonts w:ascii="David" w:hAnsi="David" w:cs="David"/>
          <w:color w:val="000000"/>
          <w:sz w:val="24"/>
          <w:szCs w:val="24"/>
          <w:rtl/>
        </w:rPr>
        <w:t xml:space="preserve">בדבריו לבית המשפט אמר הנאשם כי הוא מבקש סליחה וזו הפעם האחרונה. </w:t>
      </w:r>
    </w:p>
    <w:p w14:paraId="1315D88B" w14:textId="77777777" w:rsidR="00B46524" w:rsidRDefault="00B46524" w:rsidP="00B46524">
      <w:pPr>
        <w:pStyle w:val="aa"/>
        <w:spacing w:line="360" w:lineRule="auto"/>
        <w:jc w:val="both"/>
        <w:rPr>
          <w:rFonts w:ascii="David" w:hAnsi="David" w:cs="David"/>
          <w:sz w:val="24"/>
          <w:szCs w:val="24"/>
          <w:highlight w:val="yellow"/>
          <w:rtl/>
        </w:rPr>
      </w:pPr>
    </w:p>
    <w:p w14:paraId="4820FDF3" w14:textId="77777777" w:rsidR="00B46524" w:rsidRPr="009B10C7" w:rsidRDefault="00B46524" w:rsidP="00B46524">
      <w:pPr>
        <w:spacing w:line="360" w:lineRule="auto"/>
        <w:ind w:left="720"/>
        <w:jc w:val="both"/>
        <w:rPr>
          <w:rFonts w:ascii="David" w:hAnsi="David"/>
          <w:b/>
          <w:bCs/>
          <w:u w:val="single"/>
          <w:rtl/>
        </w:rPr>
      </w:pPr>
      <w:r w:rsidRPr="009B10C7">
        <w:rPr>
          <w:rFonts w:ascii="David" w:hAnsi="David"/>
          <w:b/>
          <w:bCs/>
          <w:u w:val="single"/>
          <w:rtl/>
        </w:rPr>
        <w:t>דיון והכרעה</w:t>
      </w:r>
    </w:p>
    <w:p w14:paraId="34BB289F" w14:textId="77777777" w:rsidR="00B46524" w:rsidRDefault="00B46524" w:rsidP="00B46524">
      <w:pPr>
        <w:spacing w:line="360" w:lineRule="auto"/>
        <w:ind w:left="720"/>
        <w:jc w:val="both"/>
        <w:rPr>
          <w:rFonts w:ascii="David" w:hAnsi="David"/>
          <w:b/>
          <w:bCs/>
        </w:rPr>
      </w:pPr>
    </w:p>
    <w:p w14:paraId="0B123155" w14:textId="77777777" w:rsidR="00B46524" w:rsidRDefault="00B46524" w:rsidP="00B46524">
      <w:pPr>
        <w:pStyle w:val="aa"/>
        <w:numPr>
          <w:ilvl w:val="0"/>
          <w:numId w:val="1"/>
        </w:numPr>
        <w:spacing w:line="360" w:lineRule="auto"/>
        <w:jc w:val="both"/>
        <w:rPr>
          <w:rFonts w:ascii="David" w:hAnsi="David" w:cs="David"/>
          <w:sz w:val="24"/>
          <w:szCs w:val="24"/>
          <w:rtl/>
        </w:rPr>
      </w:pPr>
      <w:r>
        <w:rPr>
          <w:rFonts w:ascii="David" w:hAnsi="David" w:cs="David"/>
          <w:sz w:val="24"/>
          <w:szCs w:val="24"/>
          <w:rtl/>
        </w:rPr>
        <w:t>לאחר שנתתי דעתי ל"מבחן הקשר ההדוק" וליתר מבחני העזר אשר נקבעו לעניין זה בפסיקתו של בית המשפט העליון (ראו למשל:</w:t>
      </w:r>
      <w:r w:rsidR="006B1485">
        <w:rPr>
          <w:rFonts w:ascii="David" w:hAnsi="David" w:cs="David"/>
          <w:sz w:val="24"/>
          <w:szCs w:val="24"/>
          <w:rtl/>
        </w:rPr>
        <w:t xml:space="preserve"> </w:t>
      </w:r>
      <w:hyperlink r:id="rId18" w:history="1">
        <w:r w:rsidR="006B1485" w:rsidRPr="006B1485">
          <w:rPr>
            <w:rFonts w:ascii="David" w:hAnsi="David" w:cs="David"/>
            <w:color w:val="0000FF"/>
            <w:sz w:val="24"/>
            <w:szCs w:val="24"/>
            <w:u w:val="single"/>
            <w:rtl/>
          </w:rPr>
          <w:t>ע"פ 1261/15</w:t>
        </w:r>
      </w:hyperlink>
      <w:r w:rsidR="006B1485">
        <w:rPr>
          <w:rFonts w:ascii="David" w:hAnsi="David" w:cs="David"/>
          <w:sz w:val="24"/>
          <w:szCs w:val="24"/>
          <w:rtl/>
        </w:rPr>
        <w:t xml:space="preserve"> </w:t>
      </w:r>
      <w:r>
        <w:rPr>
          <w:rFonts w:ascii="David" w:hAnsi="David" w:cs="David"/>
          <w:b/>
          <w:bCs/>
          <w:sz w:val="24"/>
          <w:szCs w:val="24"/>
          <w:rtl/>
        </w:rPr>
        <w:t>יוסף דלאל נ' מדינת ישראל</w:t>
      </w:r>
      <w:r>
        <w:rPr>
          <w:rFonts w:ascii="David" w:hAnsi="David" w:cs="David"/>
          <w:sz w:val="24"/>
          <w:szCs w:val="24"/>
          <w:rtl/>
        </w:rPr>
        <w:t xml:space="preserve"> (03.09.2015)) מצאתי כי יש לראות במעשיו של הנאשם בהם הורשע כשני אירועים. כל אחד מכתבי האישום בהם הודה הנאשם מהווה אירוע נפרד. מדובר בעבירות שונות אשר נעברו בהפרש של כמעט שנתיים, במקומות שונים. כאשר בכל אחד מהם פגע הנאשם בערכים מוגנים אחרים. על כן  בגין כל אחד מהאישומים אקבע מתחם ענישה נפרד.</w:t>
      </w:r>
    </w:p>
    <w:p w14:paraId="53FB4DFD" w14:textId="77777777" w:rsidR="00B46524" w:rsidRDefault="00B46524" w:rsidP="00B46524">
      <w:pPr>
        <w:spacing w:line="360" w:lineRule="auto"/>
        <w:jc w:val="both"/>
        <w:rPr>
          <w:rFonts w:ascii="David" w:hAnsi="David"/>
          <w:b/>
          <w:bCs/>
          <w:u w:val="single"/>
          <w:rtl/>
        </w:rPr>
      </w:pPr>
    </w:p>
    <w:p w14:paraId="6AEBC105" w14:textId="77777777" w:rsidR="00B46524" w:rsidRDefault="00B46524" w:rsidP="00B46524">
      <w:pPr>
        <w:spacing w:line="360" w:lineRule="auto"/>
        <w:ind w:left="360" w:firstLine="360"/>
        <w:jc w:val="both"/>
        <w:rPr>
          <w:rFonts w:ascii="David" w:hAnsi="David"/>
          <w:u w:val="single"/>
          <w:rtl/>
        </w:rPr>
      </w:pPr>
      <w:r>
        <w:rPr>
          <w:rFonts w:ascii="David" w:hAnsi="David"/>
          <w:u w:val="single"/>
          <w:rtl/>
        </w:rPr>
        <w:t>קביעת מתחמי העונש ההולם</w:t>
      </w:r>
    </w:p>
    <w:p w14:paraId="7158BC0C" w14:textId="77777777" w:rsidR="00B46524" w:rsidRDefault="00B46524" w:rsidP="00B46524">
      <w:pPr>
        <w:spacing w:line="360" w:lineRule="auto"/>
        <w:ind w:left="360" w:firstLine="360"/>
        <w:jc w:val="both"/>
        <w:rPr>
          <w:rFonts w:ascii="David" w:hAnsi="David"/>
          <w:u w:val="single"/>
          <w:rtl/>
        </w:rPr>
      </w:pPr>
    </w:p>
    <w:p w14:paraId="74331377" w14:textId="77777777" w:rsidR="00B46524" w:rsidRDefault="00B46524" w:rsidP="00B46524">
      <w:pPr>
        <w:pStyle w:val="aa"/>
        <w:numPr>
          <w:ilvl w:val="0"/>
          <w:numId w:val="1"/>
        </w:numPr>
        <w:spacing w:line="360" w:lineRule="auto"/>
        <w:jc w:val="both"/>
        <w:rPr>
          <w:rFonts w:ascii="David" w:hAnsi="David" w:cs="David"/>
          <w:sz w:val="24"/>
          <w:szCs w:val="24"/>
          <w:rtl/>
        </w:rPr>
      </w:pPr>
      <w:r>
        <w:rPr>
          <w:rFonts w:ascii="David" w:hAnsi="David" w:cs="David"/>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667EA6DA" w14:textId="77777777" w:rsidR="00B46524" w:rsidRDefault="00B46524" w:rsidP="00B46524">
      <w:pPr>
        <w:pStyle w:val="aa"/>
        <w:spacing w:line="360" w:lineRule="auto"/>
        <w:jc w:val="both"/>
        <w:rPr>
          <w:rFonts w:ascii="David" w:hAnsi="David" w:cs="David"/>
          <w:sz w:val="24"/>
          <w:szCs w:val="24"/>
          <w:rtl/>
        </w:rPr>
      </w:pPr>
    </w:p>
    <w:p w14:paraId="23D3E552" w14:textId="77777777" w:rsidR="00B46524" w:rsidRDefault="00B46524" w:rsidP="00B46524">
      <w:pPr>
        <w:pStyle w:val="aa"/>
        <w:numPr>
          <w:ilvl w:val="0"/>
          <w:numId w:val="1"/>
        </w:numPr>
        <w:spacing w:line="360" w:lineRule="auto"/>
        <w:jc w:val="both"/>
        <w:rPr>
          <w:rFonts w:ascii="David" w:hAnsi="David" w:cs="David"/>
          <w:sz w:val="24"/>
          <w:szCs w:val="24"/>
        </w:rPr>
      </w:pPr>
      <w:r>
        <w:rPr>
          <w:rFonts w:ascii="David" w:hAnsi="David" w:cs="David"/>
          <w:sz w:val="24"/>
          <w:szCs w:val="24"/>
          <w:rtl/>
        </w:rPr>
        <w:t>לעניין הערכים המוגנים שבבסיס העבירה של החזקת סמים שלא לצריכה עצמית, מדובר בערכים הנוגעים לשלומו ובריאותו של הציבור, לצד המלחמה בנגע הסמים. אין צורך להכביר מילים בדבר נזקי הסמים ופגיעתם בחברה. פגיעתם של הסמים בחברה רחבת היקף, הן באשר למשתמש הבודד, הן באשר למשפחתו וקרוביו והן באשר לחברה כולה. המשתמש המבקש לספק את הדחף לסם מבצע, לעיתים, על הדרך, עבירות נוספות. כמו כן, ייצור הסם ושיווקו מייצר כשלעצמו פעילות עבריינית נרחבת, ורווחיו מגיעים לעיתים לארגוני פשיעה וטרור, ומאפשרים את פעילותם.</w:t>
      </w:r>
    </w:p>
    <w:p w14:paraId="13113264" w14:textId="77777777" w:rsidR="00B46524" w:rsidRDefault="00B46524" w:rsidP="00B46524">
      <w:pPr>
        <w:pStyle w:val="aa"/>
        <w:spacing w:line="360" w:lineRule="auto"/>
        <w:jc w:val="both"/>
        <w:rPr>
          <w:rFonts w:ascii="David" w:hAnsi="David" w:cs="David"/>
          <w:sz w:val="24"/>
          <w:szCs w:val="24"/>
          <w:rtl/>
        </w:rPr>
      </w:pPr>
    </w:p>
    <w:p w14:paraId="15C6D144" w14:textId="77777777" w:rsidR="00B46524" w:rsidRDefault="00B46524" w:rsidP="00B46524">
      <w:pPr>
        <w:pStyle w:val="aa"/>
        <w:numPr>
          <w:ilvl w:val="0"/>
          <w:numId w:val="1"/>
        </w:numPr>
        <w:spacing w:line="360" w:lineRule="auto"/>
        <w:jc w:val="both"/>
        <w:rPr>
          <w:rFonts w:ascii="David" w:hAnsi="David" w:cs="David"/>
          <w:sz w:val="24"/>
          <w:szCs w:val="24"/>
        </w:rPr>
      </w:pPr>
      <w:r>
        <w:rPr>
          <w:rFonts w:ascii="David" w:hAnsi="David" w:cs="David"/>
          <w:sz w:val="24"/>
          <w:szCs w:val="24"/>
          <w:rtl/>
        </w:rPr>
        <w:t>בית המשפט העליון הדגיש לא אחת את חומרתן של עבירות הסמים, וקבע כי יש צורך בהטלת ענישה מחמירה ומרתיעה על מבצעיהן, אשר תתמוך במאבק למיגורן. עמד על כך כב' השופט הנדל ב</w:t>
      </w:r>
      <w:hyperlink r:id="rId19" w:history="1">
        <w:r w:rsidR="006B1485" w:rsidRPr="006B1485">
          <w:rPr>
            <w:rFonts w:ascii="David" w:hAnsi="David" w:cs="David"/>
            <w:color w:val="0000FF"/>
            <w:sz w:val="24"/>
            <w:szCs w:val="24"/>
            <w:u w:val="single"/>
            <w:rtl/>
          </w:rPr>
          <w:t>ע"פ 6165/16</w:t>
        </w:r>
      </w:hyperlink>
      <w:r>
        <w:rPr>
          <w:rFonts w:ascii="David" w:hAnsi="David" w:cs="David"/>
          <w:sz w:val="24"/>
          <w:szCs w:val="24"/>
          <w:rtl/>
        </w:rPr>
        <w:t xml:space="preserve"> </w:t>
      </w:r>
      <w:r>
        <w:rPr>
          <w:rFonts w:ascii="David" w:hAnsi="David" w:cs="David"/>
          <w:b/>
          <w:bCs/>
          <w:sz w:val="24"/>
          <w:szCs w:val="24"/>
          <w:rtl/>
        </w:rPr>
        <w:t>כהן נ' מדינת ישראל</w:t>
      </w:r>
      <w:r>
        <w:rPr>
          <w:rFonts w:ascii="David" w:hAnsi="David" w:cs="David"/>
          <w:sz w:val="24"/>
          <w:szCs w:val="24"/>
          <w:rtl/>
        </w:rPr>
        <w:t xml:space="preserve"> (19.7.2017):</w:t>
      </w:r>
    </w:p>
    <w:p w14:paraId="0756D441" w14:textId="77777777" w:rsidR="00B46524" w:rsidRDefault="00B46524" w:rsidP="00B46524">
      <w:pPr>
        <w:pStyle w:val="aa"/>
        <w:rPr>
          <w:rFonts w:ascii="David" w:hAnsi="David" w:cs="David"/>
          <w:sz w:val="24"/>
          <w:szCs w:val="24"/>
        </w:rPr>
      </w:pPr>
    </w:p>
    <w:p w14:paraId="29197E15" w14:textId="77777777" w:rsidR="00B46524" w:rsidRDefault="00B46524" w:rsidP="00B46524">
      <w:pPr>
        <w:pStyle w:val="aa"/>
        <w:spacing w:line="360" w:lineRule="auto"/>
        <w:ind w:left="1440"/>
        <w:jc w:val="both"/>
        <w:rPr>
          <w:rFonts w:ascii="David" w:hAnsi="David" w:cs="David"/>
          <w:sz w:val="24"/>
          <w:szCs w:val="24"/>
          <w:rtl/>
        </w:rPr>
      </w:pPr>
    </w:p>
    <w:p w14:paraId="5206B582" w14:textId="77777777" w:rsidR="00B46524" w:rsidRDefault="00B46524" w:rsidP="00B46524">
      <w:pPr>
        <w:pStyle w:val="aa"/>
        <w:spacing w:line="360" w:lineRule="auto"/>
        <w:ind w:left="1440"/>
        <w:jc w:val="both"/>
        <w:rPr>
          <w:rFonts w:ascii="David" w:hAnsi="David" w:cs="David"/>
          <w:b/>
          <w:bCs/>
          <w:sz w:val="24"/>
          <w:szCs w:val="24"/>
          <w:rtl/>
        </w:rPr>
      </w:pPr>
      <w:r>
        <w:rPr>
          <w:rFonts w:ascii="David" w:hAnsi="David" w:cs="David"/>
          <w:b/>
          <w:bCs/>
          <w:sz w:val="24"/>
          <w:szCs w:val="24"/>
          <w:rtl/>
        </w:rPr>
        <w:t>"נגע הסמים פושה בארצנו ומתפשט בכל פינות החברה. כך, למשתמשים בסם, שבהמשך נופלים קורבן להתמכרותם, וכך לאלה שאינם משתמשים בסם, האזרחים מן השורה, אשר חשופים לפגיעה ברכושם בשל תעשיית הסמים. הענישה חייבת להיות קשה וברורה במטרה להרתיע את המערער בפועל ואחרים בכוח."</w:t>
      </w:r>
    </w:p>
    <w:p w14:paraId="666E19CF" w14:textId="77777777" w:rsidR="00B46524" w:rsidRDefault="00B46524" w:rsidP="00B46524">
      <w:pPr>
        <w:pStyle w:val="aa"/>
        <w:spacing w:line="360" w:lineRule="auto"/>
        <w:jc w:val="both"/>
        <w:rPr>
          <w:rFonts w:ascii="David" w:hAnsi="David" w:cs="David"/>
          <w:sz w:val="24"/>
          <w:szCs w:val="24"/>
          <w:rtl/>
        </w:rPr>
      </w:pPr>
    </w:p>
    <w:p w14:paraId="28E11562" w14:textId="77777777" w:rsidR="00B46524" w:rsidRDefault="00B46524" w:rsidP="00B46524">
      <w:pPr>
        <w:pStyle w:val="aa"/>
        <w:numPr>
          <w:ilvl w:val="0"/>
          <w:numId w:val="1"/>
        </w:numPr>
        <w:spacing w:line="360" w:lineRule="auto"/>
        <w:jc w:val="both"/>
        <w:rPr>
          <w:rFonts w:ascii="David" w:hAnsi="David" w:cs="David"/>
          <w:sz w:val="24"/>
          <w:szCs w:val="24"/>
        </w:rPr>
      </w:pPr>
      <w:r>
        <w:rPr>
          <w:rFonts w:ascii="David" w:hAnsi="David" w:cs="David"/>
          <w:sz w:val="24"/>
          <w:szCs w:val="24"/>
          <w:rtl/>
        </w:rPr>
        <w:t>עוד נקבע ב</w:t>
      </w:r>
      <w:hyperlink r:id="rId20" w:history="1">
        <w:r w:rsidR="006B1485" w:rsidRPr="006B1485">
          <w:rPr>
            <w:rFonts w:ascii="David" w:hAnsi="David" w:cs="David"/>
            <w:color w:val="0000FF"/>
            <w:sz w:val="24"/>
            <w:szCs w:val="24"/>
            <w:u w:val="single"/>
            <w:rtl/>
          </w:rPr>
          <w:t>ע"פ 1345/08</w:t>
        </w:r>
      </w:hyperlink>
      <w:r>
        <w:rPr>
          <w:rFonts w:ascii="David" w:hAnsi="David" w:cs="David"/>
          <w:sz w:val="24"/>
          <w:szCs w:val="24"/>
          <w:rtl/>
        </w:rPr>
        <w:t xml:space="preserve"> </w:t>
      </w:r>
      <w:r>
        <w:rPr>
          <w:rFonts w:ascii="David" w:hAnsi="David" w:cs="David"/>
          <w:b/>
          <w:bCs/>
          <w:sz w:val="24"/>
          <w:szCs w:val="24"/>
          <w:rtl/>
        </w:rPr>
        <w:t>איסטרחוב נ' מדינת ישראל</w:t>
      </w:r>
      <w:r>
        <w:rPr>
          <w:rFonts w:ascii="David" w:hAnsi="David" w:cs="David"/>
          <w:sz w:val="24"/>
          <w:szCs w:val="24"/>
          <w:rtl/>
        </w:rPr>
        <w:t xml:space="preserve"> (18.5.2009) כי:</w:t>
      </w:r>
    </w:p>
    <w:p w14:paraId="5DFE1BC1" w14:textId="77777777" w:rsidR="00B46524" w:rsidRDefault="00B46524" w:rsidP="00B46524">
      <w:pPr>
        <w:pStyle w:val="aa"/>
        <w:spacing w:line="360" w:lineRule="auto"/>
        <w:jc w:val="both"/>
        <w:rPr>
          <w:rFonts w:ascii="David" w:hAnsi="David" w:cs="David"/>
          <w:b/>
          <w:bCs/>
          <w:sz w:val="24"/>
          <w:szCs w:val="24"/>
          <w:rtl/>
        </w:rPr>
      </w:pPr>
    </w:p>
    <w:p w14:paraId="787B9C11" w14:textId="77777777" w:rsidR="00B46524" w:rsidRDefault="00B46524" w:rsidP="00B46524">
      <w:pPr>
        <w:pStyle w:val="aa"/>
        <w:spacing w:line="360" w:lineRule="auto"/>
        <w:ind w:left="1440"/>
        <w:jc w:val="both"/>
        <w:rPr>
          <w:rFonts w:ascii="David" w:hAnsi="David" w:cs="David"/>
          <w:b/>
          <w:bCs/>
          <w:sz w:val="24"/>
          <w:szCs w:val="24"/>
          <w:rtl/>
        </w:rPr>
      </w:pPr>
      <w:r>
        <w:rPr>
          <w:rFonts w:ascii="David" w:hAnsi="David" w:cs="David"/>
          <w:b/>
          <w:bCs/>
          <w:sz w:val="24"/>
          <w:szCs w:val="24"/>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 זהה, עונש מירבי של עשרים שנות מאסר וקנס פי עשרים וחמישה מזה הקבוע בסעיף 61(א)(4) ל</w:t>
      </w:r>
      <w:hyperlink r:id="rId21" w:history="1">
        <w:r w:rsidR="006B1485" w:rsidRPr="006B1485">
          <w:rPr>
            <w:rFonts w:ascii="David" w:hAnsi="David" w:cs="David"/>
            <w:b/>
            <w:bCs/>
            <w:color w:val="0000FF"/>
            <w:sz w:val="24"/>
            <w:szCs w:val="24"/>
            <w:u w:val="single"/>
            <w:rtl/>
          </w:rPr>
          <w:t>חוק העונשין</w:t>
        </w:r>
      </w:hyperlink>
      <w:r>
        <w:rPr>
          <w:rFonts w:ascii="David" w:hAnsi="David" w:cs="David"/>
          <w:b/>
          <w:bCs/>
          <w:sz w:val="24"/>
          <w:szCs w:val="24"/>
          <w:rtl/>
        </w:rPr>
        <w:t>, העומד כיום על 202,000 ש"ח [...] יידעו המעורבים בסמים שלא לצריכה עצמית, כי יד המשפט תכבד עליהם".</w:t>
      </w:r>
    </w:p>
    <w:p w14:paraId="391F3A07" w14:textId="77777777" w:rsidR="00B46524" w:rsidRDefault="00B46524" w:rsidP="00B46524">
      <w:pPr>
        <w:pStyle w:val="aa"/>
        <w:spacing w:line="360" w:lineRule="auto"/>
        <w:ind w:left="1440"/>
        <w:jc w:val="both"/>
        <w:rPr>
          <w:rFonts w:ascii="David" w:hAnsi="David" w:cs="David"/>
          <w:sz w:val="24"/>
          <w:szCs w:val="24"/>
          <w:rtl/>
        </w:rPr>
      </w:pPr>
    </w:p>
    <w:p w14:paraId="7E01F023" w14:textId="77777777" w:rsidR="00B46524" w:rsidRDefault="00B46524" w:rsidP="00B46524">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כמו כן נקבע, כי ככלל נסיבותיו האישיות של נאשם ייסוגו בפני האינטרס הציבורי שבהחמרת הענישה בגין עבירות מסוג זה </w:t>
      </w:r>
      <w:r>
        <w:rPr>
          <w:rFonts w:ascii="David" w:hAnsi="David" w:cs="David" w:hint="cs"/>
          <w:sz w:val="24"/>
          <w:szCs w:val="24"/>
          <w:rtl/>
        </w:rPr>
        <w:t>[</w:t>
      </w:r>
      <w:r>
        <w:rPr>
          <w:rFonts w:ascii="David" w:hAnsi="David" w:cs="David"/>
          <w:sz w:val="24"/>
          <w:szCs w:val="24"/>
          <w:rtl/>
        </w:rPr>
        <w:t xml:space="preserve">ראו לדוגמה </w:t>
      </w:r>
      <w:hyperlink r:id="rId22" w:history="1">
        <w:r w:rsidR="006B1485" w:rsidRPr="006B1485">
          <w:rPr>
            <w:rFonts w:ascii="David" w:hAnsi="David" w:cs="David"/>
            <w:color w:val="0000FF"/>
            <w:sz w:val="24"/>
            <w:szCs w:val="24"/>
            <w:u w:val="single"/>
            <w:rtl/>
          </w:rPr>
          <w:t>ע"פ 8988/16</w:t>
        </w:r>
      </w:hyperlink>
      <w:r>
        <w:rPr>
          <w:rFonts w:ascii="David" w:hAnsi="David" w:cs="David"/>
          <w:sz w:val="24"/>
          <w:szCs w:val="24"/>
          <w:rtl/>
        </w:rPr>
        <w:t xml:space="preserve"> </w:t>
      </w:r>
      <w:r>
        <w:rPr>
          <w:rFonts w:ascii="David" w:hAnsi="David" w:cs="David"/>
          <w:b/>
          <w:bCs/>
          <w:sz w:val="24"/>
          <w:szCs w:val="24"/>
          <w:rtl/>
        </w:rPr>
        <w:t>בן סימון נ' מדינת ישראל</w:t>
      </w:r>
      <w:r>
        <w:rPr>
          <w:rFonts w:ascii="David" w:hAnsi="David" w:cs="David"/>
          <w:sz w:val="24"/>
          <w:szCs w:val="24"/>
          <w:rtl/>
        </w:rPr>
        <w:t xml:space="preserve"> (8.3.2017)</w:t>
      </w:r>
      <w:r>
        <w:rPr>
          <w:rFonts w:ascii="David" w:hAnsi="David" w:cs="David" w:hint="cs"/>
          <w:sz w:val="24"/>
          <w:szCs w:val="24"/>
          <w:rtl/>
        </w:rPr>
        <w:t>]</w:t>
      </w:r>
      <w:r>
        <w:rPr>
          <w:rFonts w:ascii="David" w:hAnsi="David" w:cs="David"/>
          <w:sz w:val="24"/>
          <w:szCs w:val="24"/>
          <w:rtl/>
        </w:rPr>
        <w:t>.</w:t>
      </w:r>
    </w:p>
    <w:p w14:paraId="2B666780" w14:textId="77777777" w:rsidR="00B46524" w:rsidRDefault="00B46524" w:rsidP="00B46524">
      <w:pPr>
        <w:pStyle w:val="aa"/>
        <w:spacing w:line="360" w:lineRule="auto"/>
        <w:jc w:val="both"/>
        <w:rPr>
          <w:rFonts w:ascii="David" w:hAnsi="David" w:cs="David"/>
          <w:sz w:val="24"/>
          <w:szCs w:val="24"/>
        </w:rPr>
      </w:pPr>
    </w:p>
    <w:p w14:paraId="129D6BD9" w14:textId="77777777" w:rsidR="00B46524" w:rsidRDefault="00B46524" w:rsidP="00B46524">
      <w:pPr>
        <w:pStyle w:val="aa"/>
        <w:numPr>
          <w:ilvl w:val="0"/>
          <w:numId w:val="1"/>
        </w:numPr>
        <w:shd w:val="clear" w:color="auto" w:fill="FFFFFF"/>
        <w:spacing w:line="360" w:lineRule="atLeast"/>
        <w:jc w:val="both"/>
        <w:rPr>
          <w:rFonts w:ascii="David" w:hAnsi="David" w:cs="David"/>
          <w:sz w:val="24"/>
          <w:szCs w:val="24"/>
        </w:rPr>
      </w:pPr>
      <w:r>
        <w:rPr>
          <w:rFonts w:ascii="David" w:hAnsi="David" w:cs="David"/>
          <w:sz w:val="24"/>
          <w:szCs w:val="24"/>
          <w:rtl/>
        </w:rPr>
        <w:t xml:space="preserve">מטבע הדברים, הפסיקה הבחינה בין סוגי הסמים השונים, בין החזקה של סמים מסוג קנביס וחשיש, המכונים סמים "קלים", על אף שהגדרה שכזו לא מופיעה בפקודת הסמים, אל מול החזקה של סמים "קשים", כדוגמת הרואין וקוקאין. עם זאת, בית המשפט העליון  שב והדגיש כי הצורך בהטלת ענישה מרתיעה וממשית קיים גם בסמים המכונים סמים "קלים", ראו </w:t>
      </w:r>
      <w:hyperlink r:id="rId23" w:history="1">
        <w:r w:rsidR="006B1485" w:rsidRPr="006B1485">
          <w:rPr>
            <w:rFonts w:ascii="David" w:hAnsi="David" w:cs="David"/>
            <w:color w:val="0000FF"/>
            <w:sz w:val="24"/>
            <w:szCs w:val="24"/>
            <w:u w:val="single"/>
            <w:rtl/>
          </w:rPr>
          <w:t>ע"פ 2000/06</w:t>
        </w:r>
      </w:hyperlink>
      <w:r w:rsidR="006B1485">
        <w:rPr>
          <w:rFonts w:ascii="David" w:hAnsi="David" w:cs="David"/>
          <w:sz w:val="24"/>
          <w:szCs w:val="24"/>
          <w:rtl/>
        </w:rPr>
        <w:t xml:space="preserve"> </w:t>
      </w:r>
      <w:r>
        <w:rPr>
          <w:rFonts w:ascii="David" w:hAnsi="David" w:cs="David"/>
          <w:b/>
          <w:bCs/>
          <w:sz w:val="24"/>
          <w:szCs w:val="24"/>
          <w:rtl/>
        </w:rPr>
        <w:t>מ"י נ' ויצמן ואח'</w:t>
      </w:r>
      <w:r w:rsidR="006B1485">
        <w:rPr>
          <w:rFonts w:ascii="David" w:hAnsi="David" w:cs="David"/>
          <w:sz w:val="24"/>
          <w:szCs w:val="24"/>
          <w:rtl/>
        </w:rPr>
        <w:t xml:space="preserve"> </w:t>
      </w:r>
      <w:r>
        <w:rPr>
          <w:rFonts w:ascii="David" w:hAnsi="David" w:cs="David"/>
          <w:sz w:val="24"/>
          <w:szCs w:val="24"/>
          <w:rtl/>
        </w:rPr>
        <w:t>(20.7.2006):</w:t>
      </w:r>
      <w:r w:rsidR="006B1485">
        <w:rPr>
          <w:rFonts w:ascii="David" w:hAnsi="David" w:cs="David"/>
          <w:sz w:val="24"/>
          <w:szCs w:val="24"/>
          <w:rtl/>
        </w:rPr>
        <w:t xml:space="preserve"> </w:t>
      </w:r>
    </w:p>
    <w:p w14:paraId="3C3F2F36" w14:textId="77777777" w:rsidR="00B46524" w:rsidRDefault="00B46524" w:rsidP="00B46524">
      <w:pPr>
        <w:pStyle w:val="aa"/>
        <w:jc w:val="both"/>
        <w:rPr>
          <w:rFonts w:ascii="David" w:hAnsi="David" w:cs="David"/>
          <w:b/>
          <w:bCs/>
          <w:color w:val="000000"/>
          <w:sz w:val="24"/>
          <w:szCs w:val="24"/>
        </w:rPr>
      </w:pPr>
    </w:p>
    <w:p w14:paraId="5F02FA1D" w14:textId="77777777" w:rsidR="00B46524" w:rsidRDefault="00B46524" w:rsidP="00B46524">
      <w:pPr>
        <w:shd w:val="clear" w:color="auto" w:fill="FFFFFF"/>
        <w:spacing w:line="360" w:lineRule="atLeast"/>
        <w:ind w:left="1440"/>
        <w:jc w:val="both"/>
        <w:rPr>
          <w:rFonts w:ascii="David" w:hAnsi="David"/>
          <w:color w:val="000000"/>
          <w:rtl/>
        </w:rPr>
      </w:pPr>
      <w:r>
        <w:rPr>
          <w:rFonts w:ascii="David" w:hAnsi="David"/>
          <w:b/>
          <w:bCs/>
          <w:color w:val="000000"/>
          <w:rtl/>
        </w:rPr>
        <w:t>"המאבק בנגע הסמים צריך להיות מכוון גם נגד השימוש בסמים קלים ובפגיעתם של אלה ביחידים ובחוסנה של החברה כולה אין להמעיט. העובדה שסמים אלה הפכו אולי נפוצים</w:t>
      </w:r>
      <w:r>
        <w:rPr>
          <w:rFonts w:ascii="David" w:hAnsi="David"/>
          <w:color w:val="000000"/>
          <w:rtl/>
        </w:rPr>
        <w:t xml:space="preserve"> </w:t>
      </w:r>
      <w:r>
        <w:rPr>
          <w:rFonts w:ascii="David" w:hAnsi="David"/>
          <w:b/>
          <w:bCs/>
          <w:color w:val="000000"/>
          <w:rtl/>
        </w:rPr>
        <w:t>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w:t>
      </w:r>
    </w:p>
    <w:p w14:paraId="10422007" w14:textId="77777777" w:rsidR="00B46524" w:rsidRDefault="00B46524" w:rsidP="00B46524">
      <w:pPr>
        <w:pStyle w:val="aa"/>
        <w:spacing w:line="360" w:lineRule="auto"/>
        <w:jc w:val="both"/>
        <w:rPr>
          <w:rFonts w:ascii="David" w:hAnsi="David" w:cs="David"/>
          <w:sz w:val="24"/>
          <w:szCs w:val="24"/>
          <w:rtl/>
        </w:rPr>
      </w:pPr>
    </w:p>
    <w:p w14:paraId="53D358D3" w14:textId="77777777" w:rsidR="00B46524" w:rsidRDefault="00B46524" w:rsidP="00B46524">
      <w:pPr>
        <w:numPr>
          <w:ilvl w:val="0"/>
          <w:numId w:val="1"/>
        </w:numPr>
        <w:shd w:val="clear" w:color="auto" w:fill="FFFFFF"/>
        <w:spacing w:after="160" w:line="360" w:lineRule="atLeast"/>
        <w:jc w:val="both"/>
        <w:rPr>
          <w:rFonts w:ascii="David" w:hAnsi="David"/>
          <w:rtl/>
        </w:rPr>
      </w:pPr>
      <w:r>
        <w:rPr>
          <w:rFonts w:ascii="David" w:hAnsi="David"/>
          <w:rtl/>
        </w:rPr>
        <w:t xml:space="preserve">אף לאחר שנכנסו לתוקפן </w:t>
      </w:r>
      <w:hyperlink r:id="rId24" w:history="1">
        <w:r w:rsidR="006B1485" w:rsidRPr="006B1485">
          <w:rPr>
            <w:rFonts w:ascii="David" w:hAnsi="David"/>
            <w:color w:val="0000FF"/>
            <w:u w:val="single"/>
            <w:rtl/>
          </w:rPr>
          <w:t>תקנות העבירות המנהליות</w:t>
        </w:r>
      </w:hyperlink>
      <w:r>
        <w:rPr>
          <w:rFonts w:ascii="David" w:hAnsi="David"/>
          <w:rtl/>
        </w:rPr>
        <w:t xml:space="preserve"> (קנס מנהלי – החזקת קנאביס ושימוש בו לצריכה עצמית), תשפ"ב – 2022, אשר תחילתן ביום 1.4.22, חזר בית המשפט העליון והדגיש כי בית המשפט רואה בחומרה גם עבירות המבוצעות בסם מסוג קנבוס. כפי שנקבע לפני חודשים ספורים ב</w:t>
      </w:r>
      <w:hyperlink r:id="rId25" w:history="1">
        <w:r w:rsidR="006B1485" w:rsidRPr="006B1485">
          <w:rPr>
            <w:rFonts w:ascii="David" w:hAnsi="David"/>
            <w:color w:val="0000FF"/>
            <w:u w:val="single"/>
            <w:rtl/>
          </w:rPr>
          <w:t>רע"פ 1267/23</w:t>
        </w:r>
      </w:hyperlink>
      <w:r>
        <w:rPr>
          <w:rFonts w:ascii="David" w:hAnsi="David"/>
          <w:rtl/>
        </w:rPr>
        <w:t xml:space="preserve"> </w:t>
      </w:r>
      <w:r>
        <w:rPr>
          <w:rFonts w:ascii="David" w:hAnsi="David"/>
          <w:b/>
          <w:bCs/>
          <w:rtl/>
        </w:rPr>
        <w:t>נתנאל בלקר נ' מדינת ישראל</w:t>
      </w:r>
      <w:r>
        <w:rPr>
          <w:rFonts w:ascii="David" w:hAnsi="David"/>
          <w:rtl/>
        </w:rPr>
        <w:t xml:space="preserve"> (6.3.23):</w:t>
      </w:r>
      <w:r w:rsidR="006B1485">
        <w:rPr>
          <w:rFonts w:ascii="David" w:hAnsi="David"/>
          <w:rtl/>
        </w:rPr>
        <w:t xml:space="preserve"> </w:t>
      </w:r>
    </w:p>
    <w:p w14:paraId="6E037DE7" w14:textId="77777777" w:rsidR="00B46524" w:rsidRDefault="00B46524" w:rsidP="00B46524">
      <w:pPr>
        <w:ind w:left="720"/>
        <w:contextualSpacing/>
        <w:jc w:val="both"/>
        <w:rPr>
          <w:rFonts w:ascii="David" w:hAnsi="David"/>
          <w:b/>
          <w:bCs/>
          <w:color w:val="000000"/>
        </w:rPr>
      </w:pPr>
    </w:p>
    <w:p w14:paraId="1701EC4C" w14:textId="77777777" w:rsidR="00B46524" w:rsidRDefault="00B46524" w:rsidP="00B46524">
      <w:pPr>
        <w:spacing w:line="360" w:lineRule="auto"/>
        <w:ind w:left="720"/>
        <w:contextualSpacing/>
        <w:jc w:val="both"/>
        <w:rPr>
          <w:rFonts w:ascii="David" w:hAnsi="David"/>
          <w:rtl/>
        </w:rPr>
      </w:pPr>
    </w:p>
    <w:p w14:paraId="3FD2F04F" w14:textId="77777777" w:rsidR="00B46524" w:rsidRDefault="00B46524" w:rsidP="00B46524">
      <w:pPr>
        <w:spacing w:line="360" w:lineRule="auto"/>
        <w:ind w:left="1440"/>
        <w:contextualSpacing/>
        <w:jc w:val="both"/>
        <w:rPr>
          <w:rFonts w:ascii="David" w:hAnsi="David"/>
          <w:b/>
          <w:bCs/>
        </w:rPr>
      </w:pPr>
      <w:r>
        <w:rPr>
          <w:rFonts w:ascii="David" w:hAnsi="David"/>
          <w:b/>
          <w:bCs/>
          <w:rtl/>
        </w:rPr>
        <w:t>"בית משפט זה עמד פעמים רבות על החומרה הגלומה בעבירות סמים, אשר יסודה בפגיעה הישירה בצרכני הסמים ובסכנה העקיפה הנגרמת לציבור בכללותו (</w:t>
      </w:r>
      <w:hyperlink r:id="rId26" w:history="1">
        <w:r w:rsidR="006B1485" w:rsidRPr="006B1485">
          <w:rPr>
            <w:rFonts w:ascii="David" w:hAnsi="David"/>
            <w:b/>
            <w:bCs/>
            <w:color w:val="0000FF"/>
            <w:u w:val="single"/>
            <w:rtl/>
          </w:rPr>
          <w:t>רע"פ 8388/22</w:t>
        </w:r>
      </w:hyperlink>
      <w:r>
        <w:rPr>
          <w:rFonts w:ascii="David" w:hAnsi="David"/>
          <w:b/>
          <w:bCs/>
          <w:rtl/>
        </w:rPr>
        <w:t xml:space="preserve"> אביבי נ' מדינת ישראל, פסקה 13 (8.12.2022); </w:t>
      </w:r>
      <w:hyperlink r:id="rId27" w:history="1">
        <w:r w:rsidR="006B1485" w:rsidRPr="006B1485">
          <w:rPr>
            <w:rFonts w:ascii="David" w:hAnsi="David"/>
            <w:b/>
            <w:bCs/>
            <w:color w:val="0000FF"/>
            <w:u w:val="single"/>
            <w:rtl/>
          </w:rPr>
          <w:t>ע"פ 1517/22</w:t>
        </w:r>
      </w:hyperlink>
      <w:r>
        <w:rPr>
          <w:rFonts w:ascii="David" w:hAnsi="David"/>
          <w:b/>
          <w:bCs/>
          <w:rtl/>
        </w:rPr>
        <w:t xml:space="preserve"> בן-הרוש נ' מדינת ישראל, פסקה 13 (8.3.2022)). בפרט ביחס לסם הקנבוס קבעתי במקרה קודם: </w:t>
      </w:r>
    </w:p>
    <w:p w14:paraId="1A59D23B" w14:textId="77777777" w:rsidR="00B46524" w:rsidRDefault="00B46524" w:rsidP="00B46524">
      <w:pPr>
        <w:spacing w:line="360" w:lineRule="auto"/>
        <w:ind w:left="1440"/>
        <w:contextualSpacing/>
        <w:jc w:val="both"/>
        <w:rPr>
          <w:rFonts w:ascii="David" w:hAnsi="David"/>
          <w:b/>
          <w:bCs/>
          <w:rtl/>
        </w:rPr>
      </w:pPr>
    </w:p>
    <w:p w14:paraId="02E2D883" w14:textId="77777777" w:rsidR="00B46524" w:rsidRDefault="00B46524" w:rsidP="00B46524">
      <w:pPr>
        <w:spacing w:line="360" w:lineRule="auto"/>
        <w:ind w:left="1440"/>
        <w:contextualSpacing/>
        <w:jc w:val="both"/>
        <w:rPr>
          <w:rFonts w:ascii="David" w:hAnsi="David"/>
          <w:b/>
          <w:bCs/>
          <w:rtl/>
        </w:rPr>
      </w:pPr>
      <w:r>
        <w:rPr>
          <w:rFonts w:ascii="David" w:hAnsi="David"/>
          <w:b/>
          <w:bCs/>
          <w:rtl/>
        </w:rPr>
        <w:t>"[...] כפי שמוגדר בפקודה, סם הקנבוס הוא סם מסוכן, והוראת המחוקק לעניין זה היא הדין הנוהג והמחייב. כל עוד לא נקבע אחרת, התפיסה לפיה קנבוס הוא בגדר "סם קל" ודינו שונה מדינם של סמים אחרים נעדרת אחיזה בדין, ואין בה כדי לבטל את החזקה הקבועה בפקודה [...]" (</w:t>
      </w:r>
      <w:hyperlink r:id="rId28" w:history="1">
        <w:r w:rsidR="006B1485" w:rsidRPr="006B1485">
          <w:rPr>
            <w:rFonts w:ascii="David" w:hAnsi="David"/>
            <w:b/>
            <w:bCs/>
            <w:color w:val="0000FF"/>
            <w:u w:val="single"/>
            <w:rtl/>
          </w:rPr>
          <w:t>רע"פ 8759/21</w:t>
        </w:r>
      </w:hyperlink>
      <w:r>
        <w:rPr>
          <w:rFonts w:ascii="David" w:hAnsi="David"/>
          <w:b/>
          <w:bCs/>
          <w:rtl/>
        </w:rPr>
        <w:t xml:space="preserve"> קסלר נ' מדינת ישראל, פסקה 11 (23.12.2021); ראו גם: </w:t>
      </w:r>
      <w:hyperlink r:id="rId29" w:history="1">
        <w:r w:rsidR="006B1485" w:rsidRPr="006B1485">
          <w:rPr>
            <w:rFonts w:ascii="David" w:hAnsi="David"/>
            <w:b/>
            <w:bCs/>
            <w:color w:val="0000FF"/>
            <w:u w:val="single"/>
            <w:rtl/>
          </w:rPr>
          <w:t>רע"פ 4214/22</w:t>
        </w:r>
      </w:hyperlink>
      <w:r>
        <w:rPr>
          <w:rFonts w:ascii="David" w:hAnsi="David"/>
          <w:b/>
          <w:bCs/>
          <w:rtl/>
        </w:rPr>
        <w:t xml:space="preserve"> יצחק נ' מדינת ישראל, פסקה 10 (7.7.2022)).</w:t>
      </w:r>
    </w:p>
    <w:p w14:paraId="5398BA1C" w14:textId="77777777" w:rsidR="00B46524" w:rsidRDefault="00B46524" w:rsidP="00B46524">
      <w:pPr>
        <w:spacing w:line="360" w:lineRule="auto"/>
        <w:ind w:left="720"/>
        <w:contextualSpacing/>
        <w:jc w:val="both"/>
        <w:rPr>
          <w:rFonts w:ascii="David" w:hAnsi="David"/>
          <w:rtl/>
        </w:rPr>
      </w:pPr>
    </w:p>
    <w:p w14:paraId="25289792" w14:textId="77777777" w:rsidR="00B46524" w:rsidRDefault="00B46524" w:rsidP="00B46524">
      <w:pPr>
        <w:pStyle w:val="aa"/>
        <w:spacing w:line="360" w:lineRule="auto"/>
        <w:jc w:val="both"/>
        <w:rPr>
          <w:rFonts w:ascii="David" w:hAnsi="David" w:cs="David"/>
          <w:b/>
          <w:bCs/>
          <w:sz w:val="24"/>
          <w:szCs w:val="24"/>
        </w:rPr>
      </w:pPr>
    </w:p>
    <w:p w14:paraId="214B8CE4" w14:textId="77777777" w:rsidR="00B46524" w:rsidRDefault="00B46524" w:rsidP="00B46524">
      <w:pPr>
        <w:pStyle w:val="aa"/>
        <w:numPr>
          <w:ilvl w:val="0"/>
          <w:numId w:val="1"/>
        </w:numPr>
        <w:spacing w:line="360" w:lineRule="auto"/>
        <w:jc w:val="both"/>
        <w:rPr>
          <w:rFonts w:ascii="David" w:hAnsi="David" w:cs="David"/>
          <w:b/>
          <w:bCs/>
          <w:sz w:val="24"/>
          <w:szCs w:val="24"/>
          <w:rtl/>
        </w:rPr>
      </w:pPr>
      <w:r>
        <w:rPr>
          <w:rFonts w:ascii="David" w:hAnsi="David" w:cs="David"/>
          <w:sz w:val="24"/>
          <w:szCs w:val="24"/>
          <w:rtl/>
        </w:rPr>
        <w:t>נוכח כמות הסם, החזקתו ברכב בשעת לילה, כך שפוטנציאל ההפצה גבוה, אך בהעדר אינדיקציה ממשית להפצה, מצאתי כי מידת הפגיעה בערכים המוגנים אינה ברף הגבוה.</w:t>
      </w:r>
    </w:p>
    <w:p w14:paraId="6A68B9ED" w14:textId="77777777" w:rsidR="00B46524" w:rsidRDefault="00B46524" w:rsidP="00B46524">
      <w:pPr>
        <w:pStyle w:val="aa"/>
        <w:spacing w:line="360" w:lineRule="auto"/>
        <w:jc w:val="both"/>
        <w:rPr>
          <w:rFonts w:ascii="David" w:hAnsi="David" w:cs="David"/>
          <w:sz w:val="24"/>
          <w:szCs w:val="24"/>
          <w:rtl/>
        </w:rPr>
      </w:pPr>
    </w:p>
    <w:p w14:paraId="4EB1B4A7" w14:textId="77777777" w:rsidR="00B46524" w:rsidRDefault="00B46524" w:rsidP="00B46524">
      <w:pPr>
        <w:pStyle w:val="aa"/>
        <w:numPr>
          <w:ilvl w:val="0"/>
          <w:numId w:val="1"/>
        </w:numPr>
        <w:spacing w:line="360" w:lineRule="auto"/>
        <w:jc w:val="both"/>
        <w:rPr>
          <w:rFonts w:ascii="David" w:hAnsi="David" w:cs="David"/>
          <w:sz w:val="24"/>
          <w:szCs w:val="24"/>
          <w:rtl/>
        </w:rPr>
      </w:pPr>
      <w:r>
        <w:rPr>
          <w:rFonts w:ascii="David" w:hAnsi="David" w:cs="David"/>
          <w:sz w:val="24"/>
          <w:szCs w:val="24"/>
          <w:rtl/>
        </w:rPr>
        <w:t>אשר לערכים המוגנים בעבירת האיומים, עבירה זו חולשת על הערך המוגן של השמירה על שלוות נפשו של האדם בעבור האפשרות לחיים חופשיים מלחצים, היינו שמירה על אוטונומיית הפרט ועל תחושת הביטחון האישית.</w:t>
      </w:r>
    </w:p>
    <w:p w14:paraId="126C58AA" w14:textId="77777777" w:rsidR="00B46524" w:rsidRDefault="00B46524" w:rsidP="00B46524">
      <w:pPr>
        <w:pStyle w:val="aa"/>
        <w:spacing w:line="360" w:lineRule="auto"/>
        <w:rPr>
          <w:rFonts w:ascii="David" w:hAnsi="David" w:cs="David"/>
          <w:sz w:val="24"/>
          <w:szCs w:val="24"/>
          <w:rtl/>
        </w:rPr>
      </w:pPr>
    </w:p>
    <w:p w14:paraId="61923E1C" w14:textId="77777777" w:rsidR="00B46524" w:rsidRDefault="00B46524" w:rsidP="00B46524">
      <w:pPr>
        <w:pStyle w:val="aa"/>
        <w:numPr>
          <w:ilvl w:val="0"/>
          <w:numId w:val="1"/>
        </w:numPr>
        <w:spacing w:line="360" w:lineRule="auto"/>
        <w:rPr>
          <w:rFonts w:ascii="David" w:hAnsi="David" w:cs="David"/>
          <w:sz w:val="24"/>
          <w:szCs w:val="24"/>
          <w:rtl/>
        </w:rPr>
      </w:pPr>
      <w:r>
        <w:rPr>
          <w:rFonts w:ascii="David" w:hAnsi="David" w:cs="David"/>
          <w:sz w:val="24"/>
          <w:szCs w:val="24"/>
          <w:rtl/>
        </w:rPr>
        <w:t>יפים לעניינו דברים שנאמרו בהקשר זה ב</w:t>
      </w:r>
      <w:hyperlink r:id="rId30" w:history="1">
        <w:r w:rsidR="006B1485" w:rsidRPr="006B1485">
          <w:rPr>
            <w:rFonts w:ascii="David" w:hAnsi="David" w:cs="David"/>
            <w:color w:val="0000FF"/>
            <w:sz w:val="24"/>
            <w:szCs w:val="24"/>
            <w:u w:val="single"/>
            <w:rtl/>
          </w:rPr>
          <w:t>ע"פ 103/88</w:t>
        </w:r>
      </w:hyperlink>
      <w:r w:rsidR="006B1485">
        <w:rPr>
          <w:rFonts w:ascii="David" w:hAnsi="David" w:cs="David"/>
          <w:sz w:val="24"/>
          <w:szCs w:val="24"/>
          <w:rtl/>
        </w:rPr>
        <w:t xml:space="preserve"> </w:t>
      </w:r>
      <w:r>
        <w:rPr>
          <w:rFonts w:ascii="David" w:hAnsi="David" w:cs="David"/>
          <w:b/>
          <w:bCs/>
          <w:sz w:val="24"/>
          <w:szCs w:val="24"/>
          <w:rtl/>
        </w:rPr>
        <w:t>ליכטמן נ' מדינת ישראל</w:t>
      </w:r>
      <w:r>
        <w:rPr>
          <w:rFonts w:ascii="David" w:hAnsi="David" w:cs="David"/>
          <w:sz w:val="24"/>
          <w:szCs w:val="24"/>
          <w:rtl/>
        </w:rPr>
        <w:t>:</w:t>
      </w:r>
    </w:p>
    <w:p w14:paraId="42659588" w14:textId="77777777" w:rsidR="00B46524" w:rsidRDefault="00B46524" w:rsidP="00B46524">
      <w:pPr>
        <w:pStyle w:val="aa"/>
        <w:spacing w:line="360" w:lineRule="auto"/>
        <w:rPr>
          <w:rFonts w:ascii="David" w:hAnsi="David" w:cs="David"/>
          <w:sz w:val="24"/>
          <w:szCs w:val="24"/>
          <w:rtl/>
        </w:rPr>
      </w:pPr>
    </w:p>
    <w:p w14:paraId="4E2668AF" w14:textId="77777777" w:rsidR="00B46524" w:rsidRDefault="00B46524" w:rsidP="00B46524">
      <w:pPr>
        <w:pStyle w:val="aa"/>
        <w:spacing w:line="360" w:lineRule="auto"/>
        <w:ind w:left="1440"/>
        <w:jc w:val="both"/>
        <w:rPr>
          <w:rFonts w:ascii="David" w:hAnsi="David" w:cs="David"/>
          <w:b/>
          <w:bCs/>
          <w:sz w:val="24"/>
          <w:szCs w:val="24"/>
        </w:rPr>
      </w:pPr>
      <w:r>
        <w:rPr>
          <w:rFonts w:ascii="David" w:hAnsi="David" w:cs="David"/>
          <w:b/>
          <w:bCs/>
          <w:sz w:val="24"/>
          <w:szCs w:val="24"/>
          <w:rtl/>
        </w:rPr>
        <w:t>"מניעת ההפחדה וההקנטה לשמן היא שעומדת ביסוד האינטרס החברתי המוגן בעבירת האיומים</w:t>
      </w:r>
      <w:r w:rsidR="006B1485">
        <w:rPr>
          <w:rFonts w:ascii="David" w:hAnsi="David" w:cs="David"/>
          <w:b/>
          <w:bCs/>
          <w:sz w:val="24"/>
          <w:szCs w:val="24"/>
          <w:rtl/>
        </w:rPr>
        <w:t xml:space="preserve"> </w:t>
      </w:r>
      <w:r>
        <w:rPr>
          <w:rFonts w:ascii="David" w:hAnsi="David" w:cs="David"/>
          <w:b/>
          <w:bCs/>
          <w:sz w:val="24"/>
          <w:szCs w:val="24"/>
          <w:rtl/>
        </w:rPr>
        <w:t>שבסעיף</w:t>
      </w:r>
      <w:r w:rsidR="006B1485">
        <w:rPr>
          <w:rFonts w:ascii="David" w:hAnsi="David" w:cs="David"/>
          <w:b/>
          <w:bCs/>
          <w:sz w:val="24"/>
          <w:szCs w:val="24"/>
          <w:rtl/>
        </w:rPr>
        <w:t xml:space="preserve"> </w:t>
      </w:r>
      <w:r>
        <w:rPr>
          <w:rFonts w:ascii="David" w:hAnsi="David" w:cs="David"/>
          <w:b/>
          <w:bCs/>
          <w:sz w:val="24"/>
          <w:szCs w:val="24"/>
          <w:rtl/>
        </w:rPr>
        <w:t>192. רוצה לומר, אינטרס החברה הוא להגן על שלוות נפשו של הפרט</w:t>
      </w:r>
      <w:r w:rsidR="006B1485">
        <w:rPr>
          <w:rFonts w:ascii="David" w:hAnsi="David" w:cs="David"/>
          <w:b/>
          <w:bCs/>
          <w:sz w:val="24"/>
          <w:szCs w:val="24"/>
        </w:rPr>
        <w:t xml:space="preserve"> </w:t>
      </w:r>
      <w:r>
        <w:rPr>
          <w:rFonts w:ascii="David" w:hAnsi="David" w:cs="David"/>
          <w:b/>
          <w:bCs/>
          <w:sz w:val="24"/>
          <w:szCs w:val="24"/>
          <w:rtl/>
        </w:rPr>
        <w:t>(</w:t>
      </w:r>
      <w:r>
        <w:rPr>
          <w:rFonts w:ascii="David" w:hAnsi="David" w:cs="David"/>
          <w:b/>
          <w:bCs/>
          <w:sz w:val="24"/>
          <w:szCs w:val="24"/>
        </w:rPr>
        <w:t>person's peace of mind</w:t>
      </w:r>
      <w:r>
        <w:rPr>
          <w:rFonts w:ascii="David" w:hAnsi="David" w:cs="David"/>
          <w:b/>
          <w:bCs/>
          <w:sz w:val="24"/>
          <w:szCs w:val="24"/>
          <w:rtl/>
        </w:rPr>
        <w:t>)</w:t>
      </w:r>
      <w:r w:rsidR="006B1485">
        <w:rPr>
          <w:rFonts w:ascii="David" w:hAnsi="David" w:cs="David"/>
          <w:b/>
          <w:bCs/>
          <w:sz w:val="24"/>
          <w:szCs w:val="24"/>
        </w:rPr>
        <w:t xml:space="preserve"> </w:t>
      </w:r>
      <w:r>
        <w:rPr>
          <w:rFonts w:ascii="David" w:hAnsi="David" w:cs="David"/>
          <w:b/>
          <w:bCs/>
          <w:sz w:val="24"/>
          <w:szCs w:val="24"/>
          <w:rtl/>
        </w:rPr>
        <w:t>מפני מעשי הפחדה והקנטה שלא כדין. אינטרס חברתי נוסף אף הוא מוגן בעקיפין בעבירה זו, והוא נוגע לחופש הפעולה והבחירה של הפרט. כי גם אם אמרנו, שאין</w:t>
      </w:r>
      <w:r w:rsidR="006B1485">
        <w:rPr>
          <w:rFonts w:ascii="David" w:hAnsi="David" w:cs="David"/>
          <w:b/>
          <w:bCs/>
          <w:sz w:val="24"/>
          <w:szCs w:val="24"/>
          <w:rtl/>
        </w:rPr>
        <w:t xml:space="preserve"> </w:t>
      </w:r>
      <w:r>
        <w:rPr>
          <w:rFonts w:ascii="David" w:hAnsi="David" w:cs="David"/>
          <w:b/>
          <w:bCs/>
          <w:sz w:val="24"/>
          <w:szCs w:val="24"/>
          <w:rtl/>
        </w:rPr>
        <w:t>בסעיף</w:t>
      </w:r>
      <w:r w:rsidR="006B1485">
        <w:rPr>
          <w:rFonts w:ascii="David" w:hAnsi="David" w:cs="David"/>
          <w:b/>
          <w:bCs/>
          <w:sz w:val="24"/>
          <w:szCs w:val="24"/>
          <w:rtl/>
        </w:rPr>
        <w:t xml:space="preserve"> </w:t>
      </w:r>
      <w:r>
        <w:rPr>
          <w:rFonts w:ascii="David" w:hAnsi="David" w:cs="David"/>
          <w:b/>
          <w:bCs/>
          <w:sz w:val="24"/>
          <w:szCs w:val="24"/>
          <w:rtl/>
        </w:rPr>
        <w:t>192, בהבדל</w:t>
      </w:r>
      <w:r w:rsidR="006B1485">
        <w:rPr>
          <w:rFonts w:ascii="David" w:hAnsi="David" w:cs="David"/>
          <w:b/>
          <w:bCs/>
          <w:sz w:val="24"/>
          <w:szCs w:val="24"/>
          <w:rtl/>
        </w:rPr>
        <w:t xml:space="preserve"> </w:t>
      </w:r>
      <w:r>
        <w:rPr>
          <w:rFonts w:ascii="David" w:hAnsi="David" w:cs="David"/>
          <w:b/>
          <w:bCs/>
          <w:sz w:val="24"/>
          <w:szCs w:val="24"/>
          <w:rtl/>
        </w:rPr>
        <w:t>מסעיף</w:t>
      </w:r>
      <w:r w:rsidR="006B1485">
        <w:rPr>
          <w:rFonts w:ascii="David" w:hAnsi="David" w:cs="David"/>
          <w:b/>
          <w:bCs/>
          <w:sz w:val="24"/>
          <w:szCs w:val="24"/>
          <w:rtl/>
        </w:rPr>
        <w:t xml:space="preserve"> </w:t>
      </w:r>
      <w:r>
        <w:rPr>
          <w:rFonts w:ascii="David" w:hAnsi="David" w:cs="David"/>
          <w:b/>
          <w:bCs/>
          <w:sz w:val="24"/>
          <w:szCs w:val="24"/>
          <w:rtl/>
        </w:rPr>
        <w:t>428, דרישה, שמטרת האיום תהא להניע את המאוים לעשות מעשה או להימנע ממעשה, בידוע הוא, שבמקרים רבים מושמעים איומים</w:t>
      </w:r>
      <w:r w:rsidR="006B1485">
        <w:rPr>
          <w:rFonts w:ascii="David" w:hAnsi="David" w:cs="David"/>
          <w:b/>
          <w:bCs/>
          <w:sz w:val="24"/>
          <w:szCs w:val="24"/>
          <w:rtl/>
        </w:rPr>
        <w:t xml:space="preserve"> </w:t>
      </w:r>
      <w:r>
        <w:rPr>
          <w:rFonts w:ascii="David" w:hAnsi="David" w:cs="David"/>
          <w:b/>
          <w:bCs/>
          <w:sz w:val="24"/>
          <w:szCs w:val="24"/>
        </w:rPr>
        <w:t>Per se</w:t>
      </w:r>
      <w:r w:rsidR="006B1485">
        <w:rPr>
          <w:rFonts w:ascii="David" w:hAnsi="David" w:cs="David"/>
          <w:b/>
          <w:bCs/>
          <w:sz w:val="24"/>
          <w:szCs w:val="24"/>
          <w:rtl/>
        </w:rPr>
        <w:t xml:space="preserve"> </w:t>
      </w:r>
      <w:r>
        <w:rPr>
          <w:rFonts w:ascii="David" w:hAnsi="David" w:cs="David"/>
          <w:b/>
          <w:bCs/>
          <w:sz w:val="24"/>
          <w:szCs w:val="24"/>
          <w:rtl/>
        </w:rPr>
        <w:t>כמסר מוסווה להתנהגות המצופה מן המאוים. נמצא, כי</w:t>
      </w:r>
      <w:r w:rsidR="006B1485">
        <w:rPr>
          <w:rFonts w:ascii="David" w:hAnsi="David" w:cs="David"/>
          <w:b/>
          <w:bCs/>
          <w:sz w:val="24"/>
          <w:szCs w:val="24"/>
          <w:rtl/>
        </w:rPr>
        <w:t xml:space="preserve"> </w:t>
      </w:r>
      <w:r>
        <w:rPr>
          <w:rFonts w:ascii="David" w:hAnsi="David" w:cs="David"/>
          <w:b/>
          <w:bCs/>
          <w:sz w:val="24"/>
          <w:szCs w:val="24"/>
          <w:rtl/>
        </w:rPr>
        <w:t>סעיף</w:t>
      </w:r>
      <w:r w:rsidR="006B1485">
        <w:rPr>
          <w:rFonts w:ascii="David" w:hAnsi="David" w:cs="David"/>
          <w:b/>
          <w:bCs/>
          <w:sz w:val="24"/>
          <w:szCs w:val="24"/>
          <w:rtl/>
        </w:rPr>
        <w:t xml:space="preserve"> </w:t>
      </w:r>
      <w:r>
        <w:rPr>
          <w:rFonts w:ascii="David" w:hAnsi="David" w:cs="David"/>
          <w:b/>
          <w:bCs/>
          <w:sz w:val="24"/>
          <w:szCs w:val="24"/>
          <w:rtl/>
        </w:rPr>
        <w:t>192</w:t>
      </w:r>
      <w:r w:rsidR="006B1485">
        <w:rPr>
          <w:rFonts w:ascii="David" w:hAnsi="David" w:cs="David"/>
          <w:b/>
          <w:bCs/>
          <w:sz w:val="24"/>
          <w:szCs w:val="24"/>
          <w:rtl/>
        </w:rPr>
        <w:t xml:space="preserve"> </w:t>
      </w:r>
      <w:r>
        <w:rPr>
          <w:rFonts w:ascii="David" w:hAnsi="David" w:cs="David"/>
          <w:b/>
          <w:bCs/>
          <w:sz w:val="24"/>
          <w:szCs w:val="24"/>
          <w:rtl/>
        </w:rPr>
        <w:t>מקדים רפואה למכה ומונע מלכתחילה פגיעה עתידית בחירות הפעולה של הזולת..."</w:t>
      </w:r>
    </w:p>
    <w:p w14:paraId="328AD917" w14:textId="77777777" w:rsidR="00B46524" w:rsidRDefault="00B46524" w:rsidP="00B46524">
      <w:pPr>
        <w:pStyle w:val="aa"/>
        <w:spacing w:line="360" w:lineRule="auto"/>
        <w:rPr>
          <w:rFonts w:ascii="David" w:hAnsi="David" w:cs="David"/>
          <w:sz w:val="24"/>
          <w:szCs w:val="24"/>
          <w:rtl/>
        </w:rPr>
      </w:pPr>
    </w:p>
    <w:p w14:paraId="13B72731" w14:textId="77777777" w:rsidR="00B46524" w:rsidRDefault="00B46524" w:rsidP="00B46524">
      <w:pPr>
        <w:pStyle w:val="aa"/>
        <w:spacing w:line="360" w:lineRule="auto"/>
        <w:rPr>
          <w:rFonts w:ascii="David" w:hAnsi="David" w:cs="David"/>
          <w:sz w:val="24"/>
          <w:szCs w:val="24"/>
          <w:rtl/>
        </w:rPr>
      </w:pPr>
      <w:r>
        <w:rPr>
          <w:rFonts w:ascii="David" w:hAnsi="David" w:cs="David"/>
          <w:sz w:val="24"/>
          <w:szCs w:val="24"/>
          <w:rtl/>
        </w:rPr>
        <w:t>כך גם ב</w:t>
      </w:r>
      <w:hyperlink r:id="rId31" w:history="1">
        <w:r w:rsidR="006B1485" w:rsidRPr="006B1485">
          <w:rPr>
            <w:rFonts w:ascii="David" w:hAnsi="David" w:cs="David"/>
            <w:color w:val="0000FF"/>
            <w:sz w:val="24"/>
            <w:szCs w:val="24"/>
            <w:u w:val="single"/>
            <w:rtl/>
          </w:rPr>
          <w:t>רע"פ 2038/04</w:t>
        </w:r>
      </w:hyperlink>
      <w:r w:rsidR="006B1485">
        <w:rPr>
          <w:rFonts w:ascii="David" w:hAnsi="David" w:cs="David"/>
          <w:sz w:val="24"/>
          <w:szCs w:val="24"/>
          <w:rtl/>
        </w:rPr>
        <w:t xml:space="preserve"> </w:t>
      </w:r>
      <w:r>
        <w:rPr>
          <w:rFonts w:ascii="David" w:hAnsi="David" w:cs="David"/>
          <w:b/>
          <w:bCs/>
          <w:sz w:val="24"/>
          <w:szCs w:val="24"/>
          <w:rtl/>
        </w:rPr>
        <w:t>לם נ' מדינת ישראל</w:t>
      </w:r>
      <w:r>
        <w:rPr>
          <w:rFonts w:ascii="David" w:hAnsi="David" w:cs="David"/>
          <w:sz w:val="24"/>
          <w:szCs w:val="24"/>
          <w:rtl/>
        </w:rPr>
        <w:t>:</w:t>
      </w:r>
    </w:p>
    <w:p w14:paraId="7467427D" w14:textId="77777777" w:rsidR="00B46524" w:rsidRDefault="00B46524" w:rsidP="00B46524">
      <w:pPr>
        <w:pStyle w:val="aa"/>
        <w:spacing w:line="360" w:lineRule="auto"/>
        <w:rPr>
          <w:rFonts w:ascii="David" w:hAnsi="David" w:cs="David"/>
          <w:sz w:val="24"/>
          <w:szCs w:val="24"/>
          <w:rtl/>
        </w:rPr>
      </w:pPr>
    </w:p>
    <w:p w14:paraId="386E9E63" w14:textId="77777777" w:rsidR="00B46524" w:rsidRDefault="00B46524" w:rsidP="00B46524">
      <w:pPr>
        <w:pStyle w:val="aa"/>
        <w:spacing w:line="360" w:lineRule="auto"/>
        <w:ind w:left="1440"/>
        <w:jc w:val="both"/>
        <w:rPr>
          <w:rFonts w:ascii="David" w:hAnsi="David" w:cs="David"/>
          <w:b/>
          <w:bCs/>
          <w:sz w:val="24"/>
          <w:szCs w:val="24"/>
          <w:rtl/>
        </w:rPr>
      </w:pPr>
      <w:r>
        <w:rPr>
          <w:rFonts w:ascii="David" w:hAnsi="David" w:cs="David"/>
          <w:b/>
          <w:bCs/>
          <w:sz w:val="24"/>
          <w:szCs w:val="24"/>
          <w:rtl/>
        </w:rPr>
        <w:t>"האיום הוא, אפוא, ביטוי שהמשפט מטיל עליו מגבלות תוך פגיעה בחופש הביטוי וזאת, כדי להגן על ערכים אחרים ובהם שלוות נפשו, בטחונו וחירות פעולתו של הפרט. האיום מסכן את חירות פעולתו של הפרט שכן, פעמים רבות, כרוך האיום גם בציפייה להתנהגות מסוימת מצד המאוים שהמאיים מבקש להשיג באמצעות השמעת האיום."</w:t>
      </w:r>
    </w:p>
    <w:p w14:paraId="06BF01E0" w14:textId="77777777" w:rsidR="00B46524" w:rsidRDefault="00B46524" w:rsidP="00B46524">
      <w:pPr>
        <w:pStyle w:val="aa"/>
        <w:spacing w:line="360" w:lineRule="auto"/>
        <w:rPr>
          <w:rFonts w:ascii="David" w:hAnsi="David" w:cs="David"/>
          <w:b/>
          <w:bCs/>
          <w:sz w:val="24"/>
          <w:szCs w:val="24"/>
          <w:rtl/>
        </w:rPr>
      </w:pPr>
    </w:p>
    <w:p w14:paraId="68B7B3E8" w14:textId="77777777" w:rsidR="00B46524" w:rsidRDefault="00B46524" w:rsidP="00B46524">
      <w:pPr>
        <w:pStyle w:val="aa"/>
        <w:numPr>
          <w:ilvl w:val="0"/>
          <w:numId w:val="1"/>
        </w:numPr>
        <w:spacing w:line="360" w:lineRule="auto"/>
        <w:jc w:val="both"/>
        <w:rPr>
          <w:rFonts w:ascii="David" w:hAnsi="David" w:cs="David"/>
          <w:sz w:val="24"/>
          <w:szCs w:val="24"/>
          <w:rtl/>
        </w:rPr>
      </w:pPr>
      <w:r>
        <w:rPr>
          <w:rFonts w:ascii="David" w:hAnsi="David" w:cs="David"/>
          <w:sz w:val="24"/>
          <w:szCs w:val="24"/>
          <w:rtl/>
        </w:rPr>
        <w:t>לפגיעה בערך זה משקל מוגבר כאשר מדובר באיום מצד אזרח על שוטר הממלא את תפקידו. יש אינטרס ציבורי ברור במתן האפשרות לשוטרים לעשות את עבודתם בצורה חופשית, לשמור על הסדר הציבורי ולאכוף את החוק בלי שאזרחים יהלכו עליהם אימים. בעניין זה יפים דבריו של כבוד השופט ג'ובראן ב</w:t>
      </w:r>
      <w:hyperlink r:id="rId32" w:history="1">
        <w:r w:rsidR="006B1485" w:rsidRPr="006B1485">
          <w:rPr>
            <w:rFonts w:ascii="David" w:hAnsi="David" w:cs="David"/>
            <w:color w:val="0000FF"/>
            <w:sz w:val="24"/>
            <w:szCs w:val="24"/>
            <w:u w:val="single"/>
            <w:rtl/>
          </w:rPr>
          <w:t>רע"פ 5579/10</w:t>
        </w:r>
      </w:hyperlink>
      <w:r>
        <w:rPr>
          <w:rFonts w:ascii="David" w:hAnsi="David" w:cs="David"/>
          <w:sz w:val="24"/>
          <w:szCs w:val="24"/>
          <w:rtl/>
        </w:rPr>
        <w:t xml:space="preserve"> </w:t>
      </w:r>
      <w:r>
        <w:rPr>
          <w:rFonts w:ascii="David" w:hAnsi="David" w:cs="David"/>
          <w:b/>
          <w:bCs/>
          <w:sz w:val="24"/>
          <w:szCs w:val="24"/>
          <w:rtl/>
        </w:rPr>
        <w:t>קריה נ' מדינת ישראל</w:t>
      </w:r>
      <w:r>
        <w:rPr>
          <w:rFonts w:ascii="David" w:hAnsi="David" w:cs="David"/>
          <w:sz w:val="24"/>
          <w:szCs w:val="24"/>
          <w:rtl/>
        </w:rPr>
        <w:t>:</w:t>
      </w:r>
    </w:p>
    <w:p w14:paraId="6A7DBAB3" w14:textId="77777777" w:rsidR="00B46524" w:rsidRDefault="00B46524" w:rsidP="00B46524">
      <w:pPr>
        <w:pStyle w:val="aa"/>
        <w:spacing w:line="360" w:lineRule="auto"/>
        <w:rPr>
          <w:rFonts w:ascii="David" w:hAnsi="David" w:cs="David"/>
          <w:sz w:val="24"/>
          <w:szCs w:val="24"/>
          <w:rtl/>
        </w:rPr>
      </w:pPr>
    </w:p>
    <w:p w14:paraId="747042AF" w14:textId="77777777" w:rsidR="00B46524" w:rsidRDefault="00B46524" w:rsidP="00B46524">
      <w:pPr>
        <w:pStyle w:val="aa"/>
        <w:spacing w:line="360" w:lineRule="auto"/>
        <w:ind w:left="1440"/>
        <w:jc w:val="both"/>
        <w:rPr>
          <w:rFonts w:ascii="David" w:hAnsi="David" w:cs="David"/>
          <w:b/>
          <w:bCs/>
          <w:sz w:val="24"/>
          <w:szCs w:val="24"/>
          <w:rtl/>
        </w:rPr>
      </w:pPr>
      <w:r>
        <w:rPr>
          <w:rFonts w:ascii="David" w:hAnsi="David" w:cs="David"/>
          <w:b/>
          <w:bCs/>
          <w:sz w:val="24"/>
          <w:szCs w:val="24"/>
          <w:rtl/>
        </w:rPr>
        <w:t>"יש להוקיע בחומרה רבה מעשים בהם אדם לוקח את החוק לידיו, לשם פגיעה והעלבה בעובדי ציבור במהלך מילוי תפקידם. מעשים אלו מערערים את המוסכמות הבסיסיות ביותר של החברה הדמוקרטית בה אנו חיים. חברה המכבדת את שלטון החוק ואת זכויותיו של הזולת לא תאפשר פגיעה והעלבה כה קשה של נציגי החוק, וכל פגיעה שכזו צריכה להיתקל בקיר ברזל של אפס סובלנות, על מנת לגדוע אלימות מסוג זה במהירות האפשרית. כאמור על מול אלימות מילולית שכזו המכרסמת ביסודות חברתנו הדמוקרטית יש לנקוט בענישה מרתיעה. הציבור נותן את מבטחו בעובדי הציבור ונציגי החוק, "וטובת הציבור מחייבת כי יובטח להם שיוכלו למלא את תפקידם ללא מורא וללא פחד [...] מתוקפנים ומאיימים. לכן הכרח להטיל ענישה של ממש, גם למען ישמעו וייראו" (</w:t>
      </w:r>
      <w:hyperlink r:id="rId33" w:history="1">
        <w:r w:rsidR="006B1485" w:rsidRPr="006B1485">
          <w:rPr>
            <w:rFonts w:ascii="David" w:hAnsi="David" w:cs="David"/>
            <w:b/>
            <w:bCs/>
            <w:color w:val="0000FF"/>
            <w:sz w:val="24"/>
            <w:szCs w:val="24"/>
            <w:u w:val="single"/>
            <w:rtl/>
          </w:rPr>
          <w:t>ע"פ 500/87</w:t>
        </w:r>
      </w:hyperlink>
      <w:r w:rsidR="006B1485">
        <w:rPr>
          <w:rFonts w:ascii="David" w:hAnsi="David" w:cs="David"/>
          <w:b/>
          <w:bCs/>
          <w:sz w:val="24"/>
          <w:szCs w:val="24"/>
          <w:rtl/>
        </w:rPr>
        <w:t xml:space="preserve"> </w:t>
      </w:r>
      <w:r>
        <w:rPr>
          <w:rFonts w:ascii="David" w:hAnsi="David" w:cs="David"/>
          <w:b/>
          <w:bCs/>
          <w:sz w:val="24"/>
          <w:szCs w:val="24"/>
          <w:rtl/>
        </w:rPr>
        <w:t>בורוכוב נ' מדינת ישראל</w:t>
      </w:r>
      <w:r w:rsidR="006B1485">
        <w:rPr>
          <w:rFonts w:ascii="David" w:hAnsi="David" w:cs="David"/>
          <w:b/>
          <w:bCs/>
          <w:sz w:val="24"/>
          <w:szCs w:val="24"/>
          <w:rtl/>
        </w:rPr>
        <w:t xml:space="preserve"> </w:t>
      </w:r>
      <w:r>
        <w:rPr>
          <w:rFonts w:ascii="David" w:hAnsi="David" w:cs="David"/>
          <w:b/>
          <w:bCs/>
          <w:sz w:val="24"/>
          <w:szCs w:val="24"/>
          <w:rtl/>
        </w:rPr>
        <w:t>([פורסם בנבו], 8.3.1988)).</w:t>
      </w:r>
      <w:r w:rsidR="006B1485">
        <w:rPr>
          <w:rFonts w:ascii="David" w:hAnsi="David" w:cs="David"/>
          <w:b/>
          <w:bCs/>
          <w:sz w:val="24"/>
          <w:szCs w:val="24"/>
          <w:rtl/>
        </w:rPr>
        <w:t xml:space="preserve"> </w:t>
      </w:r>
      <w:r>
        <w:rPr>
          <w:rFonts w:ascii="David" w:hAnsi="David" w:cs="David"/>
          <w:b/>
          <w:bCs/>
          <w:sz w:val="24"/>
          <w:szCs w:val="24"/>
          <w:rtl/>
        </w:rPr>
        <w:t>בתקופה המתאפיינת בגלי אלימות פיזית ומילולית כלפי עובדי ציבור, שומה להגן על השירות הציבורי ועל עובדי הציבור מפני פגיעה בלתי ראויה בכבודם ובמעמדם</w:t>
      </w:r>
      <w:r w:rsidR="006B1485">
        <w:rPr>
          <w:rFonts w:ascii="David" w:hAnsi="David" w:cs="David"/>
          <w:b/>
          <w:bCs/>
          <w:sz w:val="24"/>
          <w:szCs w:val="24"/>
          <w:rtl/>
        </w:rPr>
        <w:t xml:space="preserve"> </w:t>
      </w:r>
      <w:r>
        <w:rPr>
          <w:rFonts w:ascii="David" w:hAnsi="David" w:cs="David"/>
          <w:b/>
          <w:bCs/>
          <w:sz w:val="24"/>
          <w:szCs w:val="24"/>
          <w:rtl/>
        </w:rPr>
        <w:t>(</w:t>
      </w:r>
      <w:hyperlink r:id="rId34" w:history="1">
        <w:r w:rsidR="006B1485" w:rsidRPr="006B1485">
          <w:rPr>
            <w:rFonts w:ascii="David" w:hAnsi="David" w:cs="David"/>
            <w:b/>
            <w:bCs/>
            <w:color w:val="0000FF"/>
            <w:sz w:val="24"/>
            <w:szCs w:val="24"/>
            <w:u w:val="single"/>
            <w:rtl/>
          </w:rPr>
          <w:t>רע"פ 2660/05</w:t>
        </w:r>
      </w:hyperlink>
      <w:r w:rsidR="006B1485">
        <w:rPr>
          <w:rFonts w:ascii="David" w:hAnsi="David" w:cs="David"/>
          <w:b/>
          <w:bCs/>
          <w:sz w:val="24"/>
          <w:szCs w:val="24"/>
          <w:rtl/>
        </w:rPr>
        <w:t xml:space="preserve"> </w:t>
      </w:r>
      <w:r>
        <w:rPr>
          <w:rFonts w:ascii="David" w:hAnsi="David" w:cs="David"/>
          <w:b/>
          <w:bCs/>
          <w:sz w:val="24"/>
          <w:szCs w:val="24"/>
          <w:rtl/>
        </w:rPr>
        <w:t>אונגרפלד נ' מדינת ישראל</w:t>
      </w:r>
      <w:r w:rsidR="006B1485">
        <w:rPr>
          <w:rFonts w:ascii="David" w:hAnsi="David" w:cs="David"/>
          <w:b/>
          <w:bCs/>
          <w:sz w:val="24"/>
          <w:szCs w:val="24"/>
          <w:rtl/>
        </w:rPr>
        <w:t xml:space="preserve"> </w:t>
      </w:r>
      <w:r>
        <w:rPr>
          <w:rFonts w:ascii="David" w:hAnsi="David" w:cs="David"/>
          <w:b/>
          <w:bCs/>
          <w:sz w:val="24"/>
          <w:szCs w:val="24"/>
          <w:rtl/>
        </w:rPr>
        <w:t>([פורסם בנבו], 13.8.2008)). על כן בתי המשפט מחויבים להכביד את ידם ולתת עונשים מרתיעים (</w:t>
      </w:r>
      <w:hyperlink r:id="rId35" w:history="1">
        <w:r w:rsidR="006B1485" w:rsidRPr="006B1485">
          <w:rPr>
            <w:rFonts w:ascii="David" w:hAnsi="David" w:cs="David"/>
            <w:b/>
            <w:bCs/>
            <w:color w:val="0000FF"/>
            <w:sz w:val="24"/>
            <w:szCs w:val="24"/>
            <w:u w:val="single"/>
            <w:rtl/>
          </w:rPr>
          <w:t>רע"פ 1860/07</w:t>
        </w:r>
      </w:hyperlink>
      <w:r w:rsidR="006B1485">
        <w:rPr>
          <w:rFonts w:ascii="David" w:hAnsi="David" w:cs="David"/>
          <w:b/>
          <w:bCs/>
          <w:sz w:val="24"/>
          <w:szCs w:val="24"/>
          <w:rtl/>
        </w:rPr>
        <w:t xml:space="preserve"> </w:t>
      </w:r>
      <w:r>
        <w:rPr>
          <w:rFonts w:ascii="David" w:hAnsi="David" w:cs="David"/>
          <w:b/>
          <w:bCs/>
          <w:sz w:val="24"/>
          <w:szCs w:val="24"/>
          <w:rtl/>
        </w:rPr>
        <w:t>נחמני נ' מדינת ישראל</w:t>
      </w:r>
      <w:r w:rsidR="006B1485">
        <w:rPr>
          <w:rFonts w:ascii="David" w:hAnsi="David" w:cs="David"/>
          <w:b/>
          <w:bCs/>
          <w:sz w:val="24"/>
          <w:szCs w:val="24"/>
          <w:rtl/>
        </w:rPr>
        <w:t xml:space="preserve"> </w:t>
      </w:r>
      <w:r>
        <w:rPr>
          <w:rFonts w:ascii="David" w:hAnsi="David" w:cs="David"/>
          <w:b/>
          <w:bCs/>
          <w:sz w:val="24"/>
          <w:szCs w:val="24"/>
          <w:rtl/>
        </w:rPr>
        <w:t>[פורסם בנבו]</w:t>
      </w:r>
      <w:r w:rsidR="006B1485">
        <w:rPr>
          <w:rFonts w:ascii="David" w:hAnsi="David" w:cs="David"/>
          <w:b/>
          <w:bCs/>
          <w:sz w:val="24"/>
          <w:szCs w:val="24"/>
          <w:rtl/>
        </w:rPr>
        <w:t xml:space="preserve"> </w:t>
      </w:r>
      <w:r>
        <w:rPr>
          <w:rFonts w:ascii="David" w:hAnsi="David" w:cs="David"/>
          <w:b/>
          <w:bCs/>
          <w:sz w:val="24"/>
          <w:szCs w:val="24"/>
          <w:rtl/>
        </w:rPr>
        <w:t>(14.6.2007))."</w:t>
      </w:r>
    </w:p>
    <w:p w14:paraId="11BB35BA" w14:textId="77777777" w:rsidR="00B46524" w:rsidRDefault="00B46524" w:rsidP="00B46524">
      <w:pPr>
        <w:pStyle w:val="aa"/>
        <w:spacing w:line="360" w:lineRule="auto"/>
        <w:rPr>
          <w:rFonts w:ascii="David" w:hAnsi="David" w:cs="David"/>
          <w:sz w:val="24"/>
          <w:szCs w:val="24"/>
          <w:rtl/>
        </w:rPr>
      </w:pPr>
    </w:p>
    <w:p w14:paraId="5608E7AD" w14:textId="77777777" w:rsidR="00B46524" w:rsidRDefault="00B46524" w:rsidP="00B46524">
      <w:pPr>
        <w:pStyle w:val="aa"/>
        <w:numPr>
          <w:ilvl w:val="0"/>
          <w:numId w:val="1"/>
        </w:numPr>
        <w:spacing w:line="360" w:lineRule="auto"/>
        <w:rPr>
          <w:rFonts w:ascii="David" w:hAnsi="David" w:cs="David"/>
          <w:sz w:val="24"/>
          <w:szCs w:val="24"/>
          <w:rtl/>
        </w:rPr>
      </w:pPr>
      <w:r>
        <w:rPr>
          <w:rFonts w:ascii="David" w:hAnsi="David" w:cs="David"/>
          <w:sz w:val="24"/>
          <w:szCs w:val="24"/>
          <w:rtl/>
        </w:rPr>
        <w:t>נוכח האמור, סבורתני כי מידת הפגיעה בערך המוגן במקרה זה אינה מן הנמוכות.</w:t>
      </w:r>
    </w:p>
    <w:p w14:paraId="2EACC026" w14:textId="77777777" w:rsidR="00B46524" w:rsidRDefault="00B46524" w:rsidP="00B46524">
      <w:pPr>
        <w:pStyle w:val="aa"/>
        <w:spacing w:line="360" w:lineRule="auto"/>
        <w:jc w:val="both"/>
        <w:rPr>
          <w:rFonts w:ascii="David" w:hAnsi="David" w:cs="David"/>
          <w:sz w:val="24"/>
          <w:szCs w:val="24"/>
          <w:rtl/>
        </w:rPr>
      </w:pPr>
    </w:p>
    <w:p w14:paraId="345445A7" w14:textId="77777777" w:rsidR="00B46524" w:rsidRDefault="00B46524" w:rsidP="00B46524">
      <w:pPr>
        <w:pStyle w:val="aa"/>
        <w:numPr>
          <w:ilvl w:val="0"/>
          <w:numId w:val="1"/>
        </w:numPr>
        <w:spacing w:line="360" w:lineRule="auto"/>
        <w:jc w:val="both"/>
        <w:rPr>
          <w:rFonts w:ascii="David" w:hAnsi="David" w:cs="David"/>
          <w:sz w:val="24"/>
          <w:szCs w:val="24"/>
        </w:rPr>
      </w:pPr>
      <w:r>
        <w:rPr>
          <w:rFonts w:ascii="David" w:hAnsi="David" w:cs="David"/>
          <w:sz w:val="24"/>
          <w:szCs w:val="24"/>
          <w:rtl/>
        </w:rPr>
        <w:t>בבחינת הנסיבות הקשורות בביצוע העבירות יש ל</w:t>
      </w:r>
      <w:r>
        <w:rPr>
          <w:rFonts w:ascii="David" w:hAnsi="David" w:cs="David" w:hint="cs"/>
          <w:sz w:val="24"/>
          <w:szCs w:val="24"/>
          <w:rtl/>
        </w:rPr>
        <w:t>י</w:t>
      </w:r>
      <w:r>
        <w:rPr>
          <w:rFonts w:ascii="David" w:hAnsi="David" w:cs="David"/>
          <w:sz w:val="24"/>
          <w:szCs w:val="24"/>
          <w:rtl/>
        </w:rPr>
        <w:t>תן את הדעת לשיקולים הבאים:</w:t>
      </w:r>
    </w:p>
    <w:p w14:paraId="2000D4F6" w14:textId="77777777" w:rsidR="00B46524" w:rsidRPr="009B10C7" w:rsidRDefault="00B46524" w:rsidP="00B46524">
      <w:pPr>
        <w:pStyle w:val="aa"/>
        <w:spacing w:line="360" w:lineRule="auto"/>
        <w:jc w:val="both"/>
        <w:rPr>
          <w:rFonts w:ascii="David" w:hAnsi="David" w:cs="David"/>
          <w:sz w:val="24"/>
          <w:szCs w:val="24"/>
        </w:rPr>
      </w:pPr>
    </w:p>
    <w:p w14:paraId="5AF6AB2C" w14:textId="77777777" w:rsidR="00B46524" w:rsidRDefault="00B46524" w:rsidP="00B46524">
      <w:pPr>
        <w:pStyle w:val="aa"/>
        <w:numPr>
          <w:ilvl w:val="0"/>
          <w:numId w:val="2"/>
        </w:numPr>
        <w:spacing w:line="360" w:lineRule="auto"/>
        <w:jc w:val="both"/>
        <w:rPr>
          <w:rFonts w:ascii="David" w:hAnsi="David" w:cs="David"/>
          <w:sz w:val="24"/>
          <w:szCs w:val="24"/>
          <w:rtl/>
        </w:rPr>
      </w:pPr>
      <w:r>
        <w:rPr>
          <w:rFonts w:ascii="David" w:hAnsi="David" w:cs="David"/>
          <w:sz w:val="24"/>
          <w:szCs w:val="24"/>
          <w:rtl/>
        </w:rPr>
        <w:t>הנאשם החזיק ברכבו בסם מסוכן מסוג קנבוס, הנחשב כסם "קל", במשקל נטו לא מבוטל של 100.60 גרם, כמות העולה למעלה מפי שש מהכמות שהוגדרה בפקודת הסמים כצריכה עצמית. הסם נמצא ברכבו של הנאשם בשעות הלילה, כך שפוטנציאל ההפצה גבוה, על אף שלא נמצאו אינדיקציות ברורות להפצת הסם או למסחר בו.</w:t>
      </w:r>
    </w:p>
    <w:p w14:paraId="44118D9A" w14:textId="77777777" w:rsidR="00B46524" w:rsidRDefault="00B46524" w:rsidP="00B46524">
      <w:pPr>
        <w:pStyle w:val="aa"/>
        <w:spacing w:line="360" w:lineRule="auto"/>
        <w:ind w:left="1080"/>
        <w:jc w:val="both"/>
        <w:rPr>
          <w:rFonts w:ascii="David" w:hAnsi="David" w:cs="David"/>
          <w:sz w:val="24"/>
          <w:szCs w:val="24"/>
          <w:rtl/>
        </w:rPr>
      </w:pPr>
    </w:p>
    <w:p w14:paraId="707225E2" w14:textId="77777777" w:rsidR="00B46524" w:rsidRDefault="00B46524" w:rsidP="00B46524">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הגם שבפועל הסמים נתפסו, יילקח  בחשבון הנזק הפוטנציאלי הטמון בסם לו היה מופץ. </w:t>
      </w:r>
    </w:p>
    <w:p w14:paraId="6624403E" w14:textId="77777777" w:rsidR="00B46524" w:rsidRDefault="00B46524" w:rsidP="00B46524">
      <w:pPr>
        <w:pStyle w:val="aa"/>
        <w:spacing w:line="360" w:lineRule="auto"/>
        <w:ind w:left="1080"/>
        <w:jc w:val="both"/>
        <w:rPr>
          <w:rFonts w:ascii="David" w:hAnsi="David" w:cs="David"/>
          <w:sz w:val="24"/>
          <w:szCs w:val="24"/>
        </w:rPr>
      </w:pPr>
    </w:p>
    <w:p w14:paraId="17C16F28" w14:textId="77777777" w:rsidR="00B46524" w:rsidRDefault="00B46524" w:rsidP="00B46524">
      <w:pPr>
        <w:pStyle w:val="aa"/>
        <w:numPr>
          <w:ilvl w:val="0"/>
          <w:numId w:val="2"/>
        </w:numPr>
        <w:spacing w:line="360" w:lineRule="auto"/>
        <w:jc w:val="both"/>
        <w:rPr>
          <w:rFonts w:ascii="David" w:hAnsi="David" w:cs="David"/>
          <w:sz w:val="24"/>
          <w:szCs w:val="24"/>
        </w:rPr>
      </w:pPr>
      <w:r>
        <w:rPr>
          <w:rFonts w:ascii="David" w:hAnsi="David" w:cs="David"/>
          <w:sz w:val="24"/>
          <w:szCs w:val="24"/>
          <w:rtl/>
        </w:rPr>
        <w:t>אשר לעבירת האיומים, נתתי דעתי להבחנה בין איום מילולי לבין איום באמצעות אמצעי מדגים כגון סכין וכדומה, או אז מתחם העונש ההולם גבוה יותר. עם זאת, כפי שציינתי לעיל, חומרה מיוחדת יש באיומים על שוטרים ועובדי ציבור. עובד הציבור ממלא את תפקידו עבור הציבור אך מוצא עצמו חשוף לתגובות קשות מצד אזרחים, שמטרתן להטיל אימה בליבו ולמנוע ממנו לעשות את עבודתו. יתרה מזאת, הנאשם התקשר לטלפון האישי של השוטר ובכך ביקש "להעתיק" את העימות שבין השוטר והאזרח אל המגרש הביתי, אל מחוץ למסגרת עבודתו של השוטר ואל חייו הפרטיים. הדבר מחמיר שבעתיים את הפגיעה בתחושותיו של השוטר.</w:t>
      </w:r>
    </w:p>
    <w:p w14:paraId="72D202D5" w14:textId="77777777" w:rsidR="00B46524" w:rsidRDefault="00B46524" w:rsidP="00B46524">
      <w:pPr>
        <w:pStyle w:val="aa"/>
        <w:spacing w:line="360" w:lineRule="auto"/>
        <w:ind w:left="1080"/>
        <w:jc w:val="both"/>
        <w:rPr>
          <w:rFonts w:ascii="David" w:hAnsi="David" w:cs="David"/>
          <w:sz w:val="24"/>
          <w:szCs w:val="24"/>
        </w:rPr>
      </w:pPr>
    </w:p>
    <w:p w14:paraId="7DC39325" w14:textId="77777777" w:rsidR="00B46524" w:rsidRDefault="00B46524" w:rsidP="00B46524">
      <w:pPr>
        <w:pStyle w:val="aa"/>
        <w:numPr>
          <w:ilvl w:val="0"/>
          <w:numId w:val="2"/>
        </w:numPr>
        <w:spacing w:line="360" w:lineRule="auto"/>
        <w:jc w:val="both"/>
        <w:rPr>
          <w:rFonts w:ascii="David" w:hAnsi="David" w:cs="David"/>
          <w:sz w:val="24"/>
          <w:szCs w:val="24"/>
        </w:rPr>
      </w:pPr>
      <w:r>
        <w:rPr>
          <w:rFonts w:ascii="David" w:hAnsi="David" w:cs="David"/>
          <w:sz w:val="24"/>
          <w:szCs w:val="24"/>
          <w:rtl/>
        </w:rPr>
        <w:t>מנגד קיימים גם אלמנטים הממתנים במידת מה את מידת האשם הכרוכה בעבירת האיומים. נראה כי לא מדובר בהתנהגות מחושבת ומתוכננת אלא בהתנהגות בעלת אופי ספונטני וסוער. ניכר כי הדברים נאמרו ב"עידנא דריתחא".</w:t>
      </w:r>
    </w:p>
    <w:p w14:paraId="52F0F6B0" w14:textId="77777777" w:rsidR="00B46524" w:rsidRDefault="00B46524" w:rsidP="00B46524">
      <w:pPr>
        <w:pStyle w:val="aa"/>
        <w:rPr>
          <w:rFonts w:ascii="David" w:hAnsi="David" w:cs="David"/>
          <w:sz w:val="24"/>
          <w:szCs w:val="24"/>
        </w:rPr>
      </w:pPr>
    </w:p>
    <w:p w14:paraId="0134AEB5" w14:textId="77777777" w:rsidR="00B46524" w:rsidRDefault="00B46524" w:rsidP="00B46524">
      <w:pPr>
        <w:pStyle w:val="aa"/>
        <w:spacing w:line="360" w:lineRule="auto"/>
        <w:jc w:val="both"/>
        <w:rPr>
          <w:rFonts w:ascii="David" w:hAnsi="David" w:cs="David"/>
          <w:sz w:val="24"/>
          <w:szCs w:val="24"/>
          <w:rtl/>
        </w:rPr>
      </w:pPr>
    </w:p>
    <w:p w14:paraId="5D1F1764" w14:textId="77777777" w:rsidR="00B46524" w:rsidRDefault="00B46524" w:rsidP="00B46524">
      <w:pPr>
        <w:pStyle w:val="aa"/>
        <w:numPr>
          <w:ilvl w:val="0"/>
          <w:numId w:val="1"/>
        </w:numPr>
        <w:spacing w:line="360" w:lineRule="auto"/>
        <w:jc w:val="both"/>
        <w:rPr>
          <w:rFonts w:ascii="David" w:hAnsi="David" w:cs="David"/>
          <w:sz w:val="24"/>
          <w:szCs w:val="24"/>
          <w:rtl/>
        </w:rPr>
      </w:pPr>
      <w:r>
        <w:rPr>
          <w:rFonts w:ascii="David" w:hAnsi="David" w:cs="David"/>
          <w:b/>
          <w:bCs/>
          <w:sz w:val="24"/>
          <w:szCs w:val="24"/>
          <w:rtl/>
        </w:rPr>
        <w:t>בחינת מדיניות הענישה</w:t>
      </w:r>
      <w:r>
        <w:rPr>
          <w:rFonts w:ascii="David" w:hAnsi="David" w:cs="David"/>
          <w:sz w:val="24"/>
          <w:szCs w:val="24"/>
          <w:rtl/>
        </w:rPr>
        <w:t xml:space="preserve"> הנוהגת מלמדת, כי במקרים דומים בעבירות של החזקת סמים שלא לצריכה עצמית הוטלו על נאשמים עונשים במנעד רחב. ראו למשל:</w:t>
      </w:r>
    </w:p>
    <w:p w14:paraId="0CD135AB" w14:textId="77777777" w:rsidR="00B46524" w:rsidRDefault="00B46524" w:rsidP="00B46524">
      <w:pPr>
        <w:pStyle w:val="aa"/>
        <w:spacing w:line="360" w:lineRule="auto"/>
        <w:jc w:val="both"/>
        <w:rPr>
          <w:rFonts w:ascii="David" w:hAnsi="David" w:cs="David"/>
          <w:sz w:val="24"/>
          <w:szCs w:val="24"/>
        </w:rPr>
      </w:pPr>
    </w:p>
    <w:p w14:paraId="510493FF" w14:textId="77777777" w:rsidR="00B46524" w:rsidRDefault="006B1485" w:rsidP="00B46524">
      <w:pPr>
        <w:pStyle w:val="aa"/>
        <w:numPr>
          <w:ilvl w:val="0"/>
          <w:numId w:val="3"/>
        </w:numPr>
        <w:spacing w:before="100" w:line="360" w:lineRule="auto"/>
        <w:jc w:val="both"/>
        <w:rPr>
          <w:rFonts w:ascii="Arial" w:hAnsi="Arial" w:cs="David"/>
          <w:sz w:val="24"/>
          <w:szCs w:val="24"/>
          <w:lang w:eastAsia="he-IL"/>
        </w:rPr>
      </w:pPr>
      <w:hyperlink r:id="rId36" w:history="1">
        <w:r w:rsidRPr="006B1485">
          <w:rPr>
            <w:rFonts w:ascii="Arial" w:hAnsi="Arial" w:cs="David"/>
            <w:color w:val="0000FF"/>
            <w:sz w:val="24"/>
            <w:szCs w:val="24"/>
            <w:u w:val="single"/>
            <w:rtl/>
            <w:lang w:eastAsia="he-IL"/>
          </w:rPr>
          <w:t>רע"פ 1267-23</w:t>
        </w:r>
      </w:hyperlink>
      <w:r>
        <w:rPr>
          <w:rFonts w:ascii="Arial" w:hAnsi="Arial" w:cs="David"/>
          <w:sz w:val="24"/>
          <w:szCs w:val="24"/>
          <w:rtl/>
          <w:lang w:eastAsia="he-IL"/>
        </w:rPr>
        <w:t xml:space="preserve"> </w:t>
      </w:r>
      <w:r w:rsidR="00B46524">
        <w:rPr>
          <w:rFonts w:ascii="Arial" w:hAnsi="Arial" w:cs="David"/>
          <w:b/>
          <w:bCs/>
          <w:sz w:val="24"/>
          <w:szCs w:val="24"/>
          <w:rtl/>
          <w:lang w:eastAsia="he-IL"/>
        </w:rPr>
        <w:t xml:space="preserve">נתנאל בלקר נ' </w:t>
      </w:r>
      <w:r>
        <w:rPr>
          <w:rFonts w:ascii="Arial" w:hAnsi="Arial" w:cs="David"/>
          <w:sz w:val="24"/>
          <w:szCs w:val="24"/>
          <w:lang w:eastAsia="he-IL"/>
        </w:rPr>
        <w:t xml:space="preserve"> </w:t>
      </w:r>
      <w:r w:rsidR="00B46524">
        <w:rPr>
          <w:rFonts w:ascii="Arial" w:hAnsi="Arial" w:cs="David"/>
          <w:b/>
          <w:bCs/>
          <w:sz w:val="24"/>
          <w:szCs w:val="24"/>
          <w:rtl/>
          <w:lang w:eastAsia="he-IL"/>
        </w:rPr>
        <w:t xml:space="preserve">מדינת ישראל </w:t>
      </w:r>
      <w:r w:rsidR="00B46524">
        <w:rPr>
          <w:rFonts w:ascii="Arial" w:hAnsi="Arial" w:cs="David"/>
          <w:sz w:val="24"/>
          <w:szCs w:val="24"/>
          <w:rtl/>
          <w:lang w:eastAsia="he-IL"/>
        </w:rPr>
        <w:t>(6.3.23)</w:t>
      </w:r>
      <w:r w:rsidR="00B46524">
        <w:rPr>
          <w:rFonts w:ascii="Arial" w:hAnsi="Arial" w:cs="David"/>
          <w:b/>
          <w:bCs/>
          <w:sz w:val="24"/>
          <w:szCs w:val="24"/>
          <w:rtl/>
          <w:lang w:eastAsia="he-IL"/>
        </w:rPr>
        <w:t xml:space="preserve"> – </w:t>
      </w:r>
      <w:r w:rsidR="00B46524">
        <w:rPr>
          <w:rFonts w:ascii="Arial" w:hAnsi="Arial" w:cs="David"/>
          <w:sz w:val="24"/>
          <w:szCs w:val="24"/>
          <w:rtl/>
          <w:lang w:eastAsia="he-IL"/>
        </w:rPr>
        <w:t>נדחתה בקשת רשות ערעור שהגיש הנאשם על בית המשפט המחוזי, אשר החמיר בעונשו וגזר עליו חודשיים עבודות שירות לאחר שהורשע בהחזקת כ-650 גרם קנאביס בביתו. בית המשפט המחוזי קבע כי בנסיבות אלה ראוי שמתחם הענישה יתחיל ממספר חודשי עבודות שירות.</w:t>
      </w:r>
    </w:p>
    <w:p w14:paraId="37AE844A" w14:textId="77777777" w:rsidR="00B46524" w:rsidRDefault="00B46524" w:rsidP="00B46524">
      <w:pPr>
        <w:pStyle w:val="aa"/>
        <w:spacing w:before="100" w:after="0" w:line="360" w:lineRule="auto"/>
        <w:ind w:left="1080"/>
        <w:jc w:val="both"/>
        <w:rPr>
          <w:rFonts w:ascii="Arial" w:hAnsi="Arial" w:cs="David"/>
          <w:sz w:val="24"/>
          <w:szCs w:val="24"/>
          <w:lang w:eastAsia="he-IL"/>
        </w:rPr>
      </w:pPr>
    </w:p>
    <w:p w14:paraId="3D15DEE1" w14:textId="77777777" w:rsidR="00B46524" w:rsidRDefault="006B1485" w:rsidP="00B46524">
      <w:pPr>
        <w:pStyle w:val="aa"/>
        <w:numPr>
          <w:ilvl w:val="0"/>
          <w:numId w:val="3"/>
        </w:numPr>
        <w:spacing w:before="100" w:after="0" w:line="360" w:lineRule="auto"/>
        <w:jc w:val="both"/>
        <w:rPr>
          <w:rFonts w:ascii="Arial" w:hAnsi="Arial" w:cs="David"/>
          <w:sz w:val="24"/>
          <w:szCs w:val="24"/>
          <w:lang w:eastAsia="he-IL"/>
        </w:rPr>
      </w:pPr>
      <w:hyperlink r:id="rId37" w:history="1">
        <w:r w:rsidRPr="006B1485">
          <w:rPr>
            <w:rFonts w:ascii="Arial" w:hAnsi="Arial" w:cs="David"/>
            <w:color w:val="0000FF"/>
            <w:sz w:val="24"/>
            <w:szCs w:val="24"/>
            <w:u w:val="single"/>
            <w:rtl/>
            <w:lang w:eastAsia="he-IL"/>
          </w:rPr>
          <w:t>רע"פ 636/21</w:t>
        </w:r>
      </w:hyperlink>
      <w:r w:rsidR="00B46524">
        <w:rPr>
          <w:rFonts w:ascii="Arial" w:hAnsi="Arial" w:cs="David"/>
          <w:sz w:val="24"/>
          <w:szCs w:val="24"/>
          <w:rtl/>
          <w:lang w:eastAsia="he-IL"/>
        </w:rPr>
        <w:t xml:space="preserve"> </w:t>
      </w:r>
      <w:r w:rsidR="00B46524">
        <w:rPr>
          <w:rFonts w:ascii="Arial" w:hAnsi="Arial" w:cs="David"/>
          <w:b/>
          <w:bCs/>
          <w:sz w:val="24"/>
          <w:szCs w:val="24"/>
          <w:rtl/>
          <w:lang w:eastAsia="he-IL"/>
        </w:rPr>
        <w:t xml:space="preserve">ברוך לוי נ' מדינת ישראל </w:t>
      </w:r>
      <w:r w:rsidR="00B46524">
        <w:rPr>
          <w:rFonts w:ascii="Arial" w:hAnsi="Arial" w:cs="David"/>
          <w:sz w:val="24"/>
          <w:szCs w:val="24"/>
          <w:rtl/>
          <w:lang w:eastAsia="he-IL"/>
        </w:rPr>
        <w:t>(16.2.21)- הנאשם</w:t>
      </w:r>
      <w:r w:rsidR="00B46524">
        <w:rPr>
          <w:rFonts w:cs="David"/>
          <w:sz w:val="24"/>
          <w:szCs w:val="24"/>
          <w:rtl/>
          <w:lang w:eastAsia="he-IL"/>
        </w:rPr>
        <w:t xml:space="preserve"> הורשע על פי הודאתו בעבירה של החזקת סמים שלא לצריכה עצמית. הנאשם </w:t>
      </w:r>
      <w:r w:rsidR="00B46524">
        <w:rPr>
          <w:rFonts w:cs="David"/>
          <w:sz w:val="24"/>
          <w:szCs w:val="24"/>
          <w:rtl/>
          <w:lang w:eastAsia="he-IL"/>
        </w:rPr>
        <w:softHyphen/>
        <w:t>החזיק בדירתו ובארון החשמל סם מסוכן מסוג חשיש במשקל כולל של כ-760 גרם נטו.</w:t>
      </w:r>
      <w:r w:rsidR="00B46524">
        <w:rPr>
          <w:rFonts w:ascii="Arial" w:hAnsi="Arial" w:cs="David"/>
          <w:sz w:val="24"/>
          <w:szCs w:val="24"/>
          <w:rtl/>
          <w:lang w:eastAsia="he-IL"/>
        </w:rPr>
        <w:t xml:space="preserve"> בית המשפט השלום קבע מתחם הולם הנע בין 6 חודשי מאסר בפועל לריצוי בדרך של עבודות שירות ועד 12 חודשי מאסר בפועל.</w:t>
      </w:r>
      <w:r w:rsidR="00B46524">
        <w:rPr>
          <w:rFonts w:ascii="Arial" w:hAnsi="Arial" w:cs="David"/>
          <w:b/>
          <w:bCs/>
          <w:sz w:val="24"/>
          <w:szCs w:val="24"/>
          <w:rtl/>
          <w:lang w:eastAsia="he-IL"/>
        </w:rPr>
        <w:t xml:space="preserve"> </w:t>
      </w:r>
      <w:r w:rsidR="00B46524">
        <w:rPr>
          <w:rFonts w:ascii="Arial" w:hAnsi="Arial" w:cs="David"/>
          <w:sz w:val="24"/>
          <w:szCs w:val="24"/>
          <w:rtl/>
          <w:lang w:eastAsia="he-IL"/>
        </w:rPr>
        <w:t xml:space="preserve">בית המשפט השלום סטה ממתחם הענישה וגזר על הנאשם, 4 חודשי מאסר בפועל בדרך של עבודות שירות לצד מע"ת וצו מבחן. הערעורים שהוגשו לבית המשפט המחוזי והעליון נדחו. </w:t>
      </w:r>
    </w:p>
    <w:p w14:paraId="0B1428F8" w14:textId="77777777" w:rsidR="00B46524" w:rsidRDefault="00B46524" w:rsidP="00B46524">
      <w:pPr>
        <w:pStyle w:val="aa"/>
        <w:rPr>
          <w:rFonts w:ascii="Arial" w:hAnsi="Arial" w:cs="David"/>
          <w:sz w:val="24"/>
          <w:szCs w:val="24"/>
          <w:lang w:eastAsia="he-IL"/>
        </w:rPr>
      </w:pPr>
    </w:p>
    <w:p w14:paraId="1F7473A9" w14:textId="77777777" w:rsidR="00B46524" w:rsidRDefault="006B1485" w:rsidP="00B46524">
      <w:pPr>
        <w:pStyle w:val="aa"/>
        <w:numPr>
          <w:ilvl w:val="0"/>
          <w:numId w:val="3"/>
        </w:numPr>
        <w:spacing w:before="100" w:after="0" w:line="360" w:lineRule="auto"/>
        <w:jc w:val="both"/>
        <w:rPr>
          <w:rFonts w:ascii="David" w:hAnsi="David" w:cs="David"/>
          <w:sz w:val="24"/>
          <w:szCs w:val="24"/>
          <w:rtl/>
        </w:rPr>
      </w:pPr>
      <w:hyperlink r:id="rId38" w:history="1">
        <w:r w:rsidRPr="006B1485">
          <w:rPr>
            <w:rFonts w:ascii="David" w:hAnsi="David" w:cs="David"/>
            <w:color w:val="0000FF"/>
            <w:sz w:val="24"/>
            <w:szCs w:val="24"/>
            <w:u w:val="single"/>
            <w:rtl/>
          </w:rPr>
          <w:t>עפ"ג 69749-03-22</w:t>
        </w:r>
      </w:hyperlink>
      <w:r w:rsidR="00B46524">
        <w:rPr>
          <w:rFonts w:ascii="David" w:hAnsi="David" w:cs="David"/>
          <w:sz w:val="24"/>
          <w:szCs w:val="24"/>
          <w:rtl/>
        </w:rPr>
        <w:t xml:space="preserve"> </w:t>
      </w:r>
      <w:r w:rsidR="00B46524">
        <w:rPr>
          <w:rFonts w:ascii="David" w:hAnsi="David" w:cs="David"/>
          <w:b/>
          <w:bCs/>
          <w:sz w:val="24"/>
          <w:szCs w:val="24"/>
          <w:rtl/>
        </w:rPr>
        <w:t>רובינוב נ' מדינת ישראל</w:t>
      </w:r>
      <w:r w:rsidR="00B46524">
        <w:rPr>
          <w:rFonts w:ascii="David" w:hAnsi="David" w:cs="David"/>
          <w:sz w:val="24"/>
          <w:szCs w:val="24"/>
          <w:rtl/>
        </w:rPr>
        <w:t xml:space="preserve"> (7.9.22) – נדחה ערעורו של נאשם על גזר דין הכולל 6 חודשי מאסר בעבודות שירות בגין הרשעה בהחזקת פלטה של 101 גרם חשיש בלילה ברכב שלא לצריכה עצמית. בית המשפט אישר את המתחם שנקבע, בין 4 ל-12 חודשי מאסר בפועל.</w:t>
      </w:r>
    </w:p>
    <w:p w14:paraId="5185CB66" w14:textId="77777777" w:rsidR="00B46524" w:rsidRDefault="00B46524" w:rsidP="00B46524">
      <w:pPr>
        <w:spacing w:line="360" w:lineRule="auto"/>
        <w:ind w:left="1080"/>
        <w:contextualSpacing/>
        <w:jc w:val="both"/>
        <w:rPr>
          <w:rFonts w:ascii="Arial" w:hAnsi="Arial"/>
          <w:rtl/>
          <w:lang w:eastAsia="he-IL"/>
        </w:rPr>
      </w:pPr>
    </w:p>
    <w:p w14:paraId="14D8D9F4" w14:textId="77777777" w:rsidR="00B46524" w:rsidRDefault="006B1485" w:rsidP="00B46524">
      <w:pPr>
        <w:numPr>
          <w:ilvl w:val="0"/>
          <w:numId w:val="3"/>
        </w:numPr>
        <w:spacing w:line="360" w:lineRule="auto"/>
        <w:contextualSpacing/>
        <w:jc w:val="both"/>
        <w:rPr>
          <w:rFonts w:ascii="Arial" w:hAnsi="Arial"/>
          <w:lang w:eastAsia="he-IL"/>
        </w:rPr>
      </w:pPr>
      <w:hyperlink r:id="rId39" w:history="1">
        <w:r w:rsidRPr="006B1485">
          <w:rPr>
            <w:rFonts w:ascii="Arial" w:hAnsi="Arial"/>
            <w:color w:val="0000FF"/>
            <w:u w:val="single"/>
            <w:rtl/>
            <w:lang w:eastAsia="he-IL"/>
          </w:rPr>
          <w:t>עפ"ג (מרכז) 69406-01-20</w:t>
        </w:r>
      </w:hyperlink>
      <w:r w:rsidR="00B46524">
        <w:rPr>
          <w:rFonts w:ascii="Arial" w:hAnsi="Arial"/>
          <w:rtl/>
          <w:lang w:eastAsia="he-IL"/>
        </w:rPr>
        <w:t xml:space="preserve"> </w:t>
      </w:r>
      <w:r w:rsidR="00B46524">
        <w:rPr>
          <w:rFonts w:ascii="Arial" w:hAnsi="Arial"/>
          <w:b/>
          <w:bCs/>
          <w:rtl/>
          <w:lang w:eastAsia="he-IL"/>
        </w:rPr>
        <w:t xml:space="preserve">פרנקו נ' מדינת ישראל </w:t>
      </w:r>
      <w:r w:rsidR="00B46524">
        <w:rPr>
          <w:rFonts w:ascii="Arial" w:hAnsi="Arial"/>
          <w:rtl/>
          <w:lang w:eastAsia="he-IL"/>
        </w:rPr>
        <w:t xml:space="preserve">(31.8.20)- הנאשם הורשע על פי הודאתו בעבירה של החזקת סמים שלא לצריכה עצמית. </w:t>
      </w:r>
      <w:r w:rsidR="00B46524">
        <w:rPr>
          <w:rFonts w:ascii="David" w:hAnsi="David"/>
          <w:rtl/>
          <w:lang w:eastAsia="he-IL"/>
        </w:rPr>
        <w:t xml:space="preserve">הנאשם החזיק בחדרו 5 צנצנות המכילות סם מסוכן מסוג קנבוס במשקל של 80 גרם. בית המשפט </w:t>
      </w:r>
      <w:r w:rsidR="00B46524" w:rsidRPr="00B46524">
        <w:rPr>
          <w:rFonts w:ascii="David" w:hAnsi="David"/>
          <w:color w:val="000000"/>
          <w:rtl/>
          <w:lang w:eastAsia="he-IL"/>
        </w:rPr>
        <w:t xml:space="preserve">קבע כי </w:t>
      </w:r>
      <w:r w:rsidR="00B46524">
        <w:rPr>
          <w:rtl/>
          <w:lang w:eastAsia="he-IL"/>
        </w:rPr>
        <w:t>מתחם העונש ההולם נע בין מאסר על תנאי למאסר לתקופה של 6 חודשים, לצד ענישה נלווית.</w:t>
      </w:r>
      <w:r w:rsidR="00B46524">
        <w:rPr>
          <w:rFonts w:ascii="Arial" w:hAnsi="Arial"/>
          <w:rtl/>
          <w:lang w:eastAsia="he-IL"/>
        </w:rPr>
        <w:t xml:space="preserve"> בית המשפט גזר על הנאשם, שנטל אחריות על מעשיו, תוך התייחסות לכך שלא שיתף פעולה עם שירות המבחן, שלחובתו 3 הרשעות קודמות בעבירות אלימות ורכוש, נסיבות חייו הלא פשוטות כפי שתוארו בתסקיר שירות המבחן ומאמציו לסייע בכלכלת משפחתו, עונש של </w:t>
      </w:r>
      <w:r w:rsidR="00B46524">
        <w:rPr>
          <w:rtl/>
          <w:lang w:eastAsia="he-IL"/>
        </w:rPr>
        <w:t>מאסר בפועל לתקופה של 30 ימים, בניכוי ימי מעצרו לצד מע"ת וקנס בסך 500 ₪.</w:t>
      </w:r>
      <w:r w:rsidR="00B46524">
        <w:rPr>
          <w:rFonts w:ascii="Arial" w:hAnsi="Arial"/>
          <w:rtl/>
          <w:lang w:eastAsia="he-IL"/>
        </w:rPr>
        <w:t xml:space="preserve"> הערעור שהוגש לבית המשפט המחוזי נדחה.</w:t>
      </w:r>
    </w:p>
    <w:p w14:paraId="5E2E2D92" w14:textId="77777777" w:rsidR="00B46524" w:rsidRDefault="00B46524" w:rsidP="00B46524">
      <w:pPr>
        <w:pStyle w:val="aa"/>
        <w:spacing w:before="100" w:after="0" w:line="360" w:lineRule="auto"/>
        <w:ind w:left="1080"/>
        <w:jc w:val="both"/>
        <w:rPr>
          <w:rFonts w:ascii="David" w:hAnsi="David" w:cs="David"/>
          <w:sz w:val="24"/>
          <w:szCs w:val="24"/>
        </w:rPr>
      </w:pPr>
    </w:p>
    <w:p w14:paraId="2C972244" w14:textId="77777777" w:rsidR="00B46524" w:rsidRDefault="006B1485" w:rsidP="00B46524">
      <w:pPr>
        <w:pStyle w:val="aa"/>
        <w:numPr>
          <w:ilvl w:val="0"/>
          <w:numId w:val="3"/>
        </w:numPr>
        <w:spacing w:before="100" w:after="0" w:line="360" w:lineRule="auto"/>
        <w:jc w:val="both"/>
        <w:rPr>
          <w:rFonts w:ascii="David" w:hAnsi="David" w:cs="David"/>
          <w:sz w:val="24"/>
          <w:szCs w:val="24"/>
        </w:rPr>
      </w:pPr>
      <w:hyperlink r:id="rId40" w:history="1">
        <w:r w:rsidRPr="006B1485">
          <w:rPr>
            <w:rFonts w:ascii="David" w:hAnsi="David" w:cs="David"/>
            <w:color w:val="0000FF"/>
            <w:sz w:val="24"/>
            <w:szCs w:val="24"/>
            <w:u w:val="single"/>
            <w:rtl/>
          </w:rPr>
          <w:t>עפ"ג (מחוזי-ב"ש) 41634-10-14</w:t>
        </w:r>
      </w:hyperlink>
      <w:r>
        <w:rPr>
          <w:rFonts w:ascii="David" w:hAnsi="David" w:cs="David"/>
          <w:sz w:val="24"/>
          <w:szCs w:val="24"/>
          <w:rtl/>
        </w:rPr>
        <w:t xml:space="preserve"> </w:t>
      </w:r>
      <w:r w:rsidR="00B46524">
        <w:rPr>
          <w:rFonts w:ascii="David" w:hAnsi="David" w:cs="David"/>
          <w:b/>
          <w:bCs/>
          <w:sz w:val="24"/>
          <w:szCs w:val="24"/>
          <w:rtl/>
        </w:rPr>
        <w:t>לסרי ומזלומיאן נ' מדינת ישראל</w:t>
      </w:r>
      <w:r>
        <w:rPr>
          <w:rFonts w:ascii="David" w:hAnsi="David" w:cs="David"/>
          <w:sz w:val="24"/>
          <w:szCs w:val="24"/>
          <w:rtl/>
        </w:rPr>
        <w:t xml:space="preserve"> </w:t>
      </w:r>
      <w:r w:rsidR="00B46524">
        <w:rPr>
          <w:rFonts w:ascii="David" w:hAnsi="David" w:cs="David"/>
          <w:sz w:val="24"/>
          <w:szCs w:val="24"/>
          <w:rtl/>
        </w:rPr>
        <w:t>(22.3.15) - נדחה ערעור על עונשו של מי שהורשע בהחזקת 220 גרם קנבוס ונדון ל-5 חודשי מאסר לריצוי בעבודות שירות, הגם ששירות המבחן המליץ להימנע מהרשעתו, בהיותו סטודנט לראיית חשבון.</w:t>
      </w:r>
    </w:p>
    <w:p w14:paraId="3D0A5794" w14:textId="77777777" w:rsidR="00B46524" w:rsidRDefault="00B46524" w:rsidP="00B46524">
      <w:pPr>
        <w:pStyle w:val="aa"/>
        <w:spacing w:after="0" w:line="360" w:lineRule="auto"/>
        <w:ind w:left="1080"/>
        <w:jc w:val="both"/>
        <w:rPr>
          <w:rFonts w:ascii="David" w:hAnsi="David" w:cs="David"/>
          <w:sz w:val="24"/>
          <w:szCs w:val="24"/>
        </w:rPr>
      </w:pPr>
    </w:p>
    <w:p w14:paraId="50CEB08A" w14:textId="77777777" w:rsidR="00B46524" w:rsidRDefault="006B1485" w:rsidP="00B46524">
      <w:pPr>
        <w:pStyle w:val="aa"/>
        <w:numPr>
          <w:ilvl w:val="0"/>
          <w:numId w:val="3"/>
        </w:numPr>
        <w:spacing w:before="100" w:after="0" w:line="360" w:lineRule="auto"/>
        <w:jc w:val="both"/>
        <w:rPr>
          <w:rFonts w:ascii="Arial" w:hAnsi="Arial" w:cs="David"/>
          <w:sz w:val="24"/>
          <w:szCs w:val="24"/>
          <w:lang w:eastAsia="he-IL"/>
        </w:rPr>
      </w:pPr>
      <w:hyperlink r:id="rId41" w:history="1">
        <w:r w:rsidRPr="006B1485">
          <w:rPr>
            <w:rFonts w:ascii="David" w:hAnsi="David" w:cs="David"/>
            <w:color w:val="0000FF"/>
            <w:sz w:val="24"/>
            <w:szCs w:val="24"/>
            <w:u w:val="single"/>
            <w:rtl/>
          </w:rPr>
          <w:t>ת"פ (ב"ש) 39829-08-21</w:t>
        </w:r>
      </w:hyperlink>
      <w:r w:rsidR="00B46524">
        <w:rPr>
          <w:rFonts w:ascii="David" w:hAnsi="David" w:cs="David"/>
          <w:sz w:val="24"/>
          <w:szCs w:val="24"/>
          <w:rtl/>
        </w:rPr>
        <w:t xml:space="preserve"> </w:t>
      </w:r>
      <w:r w:rsidR="00B46524">
        <w:rPr>
          <w:rFonts w:ascii="David" w:hAnsi="David" w:cs="David"/>
          <w:b/>
          <w:bCs/>
          <w:sz w:val="24"/>
          <w:szCs w:val="24"/>
          <w:rtl/>
        </w:rPr>
        <w:t>מדינת ישראל נגד אחמד אלקשחר</w:t>
      </w:r>
      <w:r w:rsidR="00B46524">
        <w:rPr>
          <w:rFonts w:ascii="David" w:hAnsi="David" w:cs="David"/>
          <w:sz w:val="24"/>
          <w:szCs w:val="24"/>
          <w:rtl/>
        </w:rPr>
        <w:t xml:space="preserve"> (26.3.23)- הנאשם הורשע בהחזקת 300 גרם קנאביס בביתו שלא לצריכה עצמית וכן בהפרעה לשוטר. בית המשפט קבע מתחם הנע בין מספר חודשי מאסר לריצוי בעבודות שירות ועד לשנת מאסר, וגזר על הנאשם, צעיר בעל עבר פלילי, 6 חודשי מאסר לריצוי ב בעבודות שירות, וכן הפעלת מאסר מותנה וקנס בסך 3,000 ₪.</w:t>
      </w:r>
    </w:p>
    <w:p w14:paraId="24578DEE" w14:textId="77777777" w:rsidR="00B46524" w:rsidRDefault="00B46524" w:rsidP="00B46524">
      <w:pPr>
        <w:pStyle w:val="aa"/>
        <w:spacing w:before="100" w:after="0" w:line="360" w:lineRule="auto"/>
        <w:ind w:left="1080"/>
        <w:jc w:val="both"/>
        <w:rPr>
          <w:rFonts w:ascii="David" w:hAnsi="David" w:cs="David"/>
          <w:sz w:val="24"/>
          <w:szCs w:val="24"/>
        </w:rPr>
      </w:pPr>
    </w:p>
    <w:p w14:paraId="4DEC973C" w14:textId="77777777" w:rsidR="00B46524" w:rsidRDefault="00B46524" w:rsidP="00B46524">
      <w:pPr>
        <w:pStyle w:val="aa"/>
        <w:spacing w:line="360" w:lineRule="auto"/>
        <w:ind w:left="1080"/>
        <w:jc w:val="both"/>
        <w:rPr>
          <w:rFonts w:ascii="David" w:hAnsi="David" w:cs="David"/>
          <w:sz w:val="24"/>
          <w:szCs w:val="24"/>
        </w:rPr>
      </w:pPr>
    </w:p>
    <w:p w14:paraId="0872C659" w14:textId="77777777" w:rsidR="00B46524" w:rsidRDefault="006B1485" w:rsidP="00B46524">
      <w:pPr>
        <w:pStyle w:val="aa"/>
        <w:numPr>
          <w:ilvl w:val="0"/>
          <w:numId w:val="3"/>
        </w:numPr>
        <w:spacing w:line="360" w:lineRule="auto"/>
        <w:jc w:val="both"/>
        <w:rPr>
          <w:rFonts w:ascii="David" w:hAnsi="David" w:cs="David"/>
          <w:sz w:val="24"/>
          <w:szCs w:val="24"/>
        </w:rPr>
      </w:pPr>
      <w:hyperlink r:id="rId42" w:history="1">
        <w:r w:rsidRPr="006B1485">
          <w:rPr>
            <w:rFonts w:ascii="David" w:hAnsi="David" w:cs="David"/>
            <w:color w:val="0000FF"/>
            <w:sz w:val="24"/>
            <w:szCs w:val="24"/>
            <w:u w:val="single"/>
            <w:rtl/>
          </w:rPr>
          <w:t>ת״פ (תל אביב) 58530-05-18</w:t>
        </w:r>
      </w:hyperlink>
      <w:r w:rsidR="00B46524">
        <w:rPr>
          <w:rFonts w:ascii="David" w:hAnsi="David" w:cs="David"/>
          <w:sz w:val="24"/>
          <w:szCs w:val="24"/>
          <w:rtl/>
        </w:rPr>
        <w:t xml:space="preserve"> </w:t>
      </w:r>
      <w:r w:rsidR="00B46524">
        <w:rPr>
          <w:rFonts w:ascii="David" w:hAnsi="David" w:cs="David"/>
          <w:b/>
          <w:bCs/>
          <w:sz w:val="24"/>
          <w:szCs w:val="24"/>
          <w:rtl/>
        </w:rPr>
        <w:t xml:space="preserve">מדינת ישראל נ׳ רועי שושן </w:t>
      </w:r>
      <w:r w:rsidR="00B46524">
        <w:rPr>
          <w:rFonts w:ascii="David" w:hAnsi="David" w:cs="David"/>
          <w:sz w:val="24"/>
          <w:szCs w:val="24"/>
          <w:rtl/>
        </w:rPr>
        <w:t xml:space="preserve">(13.04.21) – הנאשם הורשע בהחזקת שתי שקיות ניילון אשר הכילו סם מסוכן מסוג קנבוס, האחת במשקל 74.13 נטו והשנייה במשקל 69.71 נטו. בית המשפט קבע מתחם עונש הנע בין מאסר לתקופה קצרה שיכול וירוצה בעבודות שירות ועד 9 חודשי מאסר, וגזר על הנאשם חודשיים מאסר בפועל מאחר ולא התייצב אצל הממונה על עבודות השירות, בצירוף ענישה נלווית. </w:t>
      </w:r>
    </w:p>
    <w:p w14:paraId="362FE6E0" w14:textId="77777777" w:rsidR="00B46524" w:rsidRDefault="00B46524" w:rsidP="00B46524">
      <w:pPr>
        <w:pStyle w:val="aa"/>
        <w:spacing w:before="100" w:after="0" w:line="360" w:lineRule="auto"/>
        <w:ind w:left="1080"/>
        <w:jc w:val="both"/>
        <w:rPr>
          <w:rFonts w:ascii="David" w:hAnsi="David" w:cs="David"/>
          <w:sz w:val="24"/>
          <w:szCs w:val="24"/>
        </w:rPr>
      </w:pPr>
    </w:p>
    <w:p w14:paraId="66B8EF19" w14:textId="77777777" w:rsidR="00B46524" w:rsidRDefault="00B46524" w:rsidP="00B46524">
      <w:pPr>
        <w:spacing w:line="360" w:lineRule="auto"/>
        <w:ind w:left="1080"/>
        <w:contextualSpacing/>
        <w:jc w:val="both"/>
        <w:rPr>
          <w:rFonts w:ascii="David" w:hAnsi="David"/>
        </w:rPr>
      </w:pPr>
    </w:p>
    <w:p w14:paraId="5FB9761C" w14:textId="77777777" w:rsidR="00B46524" w:rsidRDefault="006B1485" w:rsidP="00B46524">
      <w:pPr>
        <w:numPr>
          <w:ilvl w:val="0"/>
          <w:numId w:val="3"/>
        </w:numPr>
        <w:spacing w:line="360" w:lineRule="auto"/>
        <w:contextualSpacing/>
        <w:jc w:val="both"/>
        <w:rPr>
          <w:rFonts w:ascii="David" w:hAnsi="David"/>
        </w:rPr>
      </w:pPr>
      <w:hyperlink r:id="rId43" w:history="1">
        <w:r w:rsidRPr="006B1485">
          <w:rPr>
            <w:rFonts w:ascii="David" w:hAnsi="David"/>
            <w:color w:val="0000FF"/>
            <w:u w:val="single"/>
            <w:rtl/>
          </w:rPr>
          <w:t>ת"פ (ב"ש) 44373-01-17</w:t>
        </w:r>
      </w:hyperlink>
      <w:r w:rsidR="00B46524">
        <w:rPr>
          <w:rFonts w:ascii="David" w:hAnsi="David"/>
          <w:rtl/>
        </w:rPr>
        <w:t xml:space="preserve"> </w:t>
      </w:r>
      <w:r w:rsidR="00B46524">
        <w:rPr>
          <w:rFonts w:ascii="David" w:hAnsi="David"/>
          <w:b/>
          <w:bCs/>
          <w:rtl/>
        </w:rPr>
        <w:t>מדינת ישראל נ' אשורוב</w:t>
      </w:r>
      <w:r w:rsidR="00B46524">
        <w:rPr>
          <w:rFonts w:ascii="David" w:hAnsi="David"/>
          <w:rtl/>
        </w:rPr>
        <w:t xml:space="preserve"> (6.4.17)  - בגין החזקת 88 גרם חשיש בביתו קבע בית המשפט מתחם הנע ממספר חודשי מאסר, שיכול וירוצו בעבודות שירות עד 12 חודשים מאסר בפועל, והשית על נאשם, שלחובתו רישום ללא הרשעה והרשעה בעבירות רכוש ואלימות ואשר לא שיתף פעולה עם שירות המבחן - 7 חודשי מאסר בפועל וענישה נלווית.</w:t>
      </w:r>
    </w:p>
    <w:p w14:paraId="68F4FCD1" w14:textId="77777777" w:rsidR="00B46524" w:rsidRDefault="00B46524" w:rsidP="00B46524">
      <w:pPr>
        <w:spacing w:line="360" w:lineRule="auto"/>
        <w:ind w:left="1080"/>
        <w:contextualSpacing/>
        <w:jc w:val="both"/>
        <w:rPr>
          <w:rFonts w:ascii="David" w:hAnsi="David"/>
        </w:rPr>
      </w:pPr>
    </w:p>
    <w:p w14:paraId="1993C64E" w14:textId="77777777" w:rsidR="00B46524" w:rsidRDefault="00B46524" w:rsidP="00B46524">
      <w:pPr>
        <w:spacing w:line="360" w:lineRule="auto"/>
        <w:ind w:left="1080"/>
        <w:contextualSpacing/>
        <w:rPr>
          <w:rFonts w:ascii="David" w:hAnsi="David"/>
          <w:b/>
          <w:bCs/>
          <w:u w:val="single"/>
        </w:rPr>
      </w:pPr>
    </w:p>
    <w:p w14:paraId="552B52C9" w14:textId="77777777" w:rsidR="00B46524" w:rsidRDefault="00B46524" w:rsidP="00B46524">
      <w:pPr>
        <w:pStyle w:val="aa"/>
        <w:numPr>
          <w:ilvl w:val="0"/>
          <w:numId w:val="1"/>
        </w:numPr>
        <w:spacing w:line="360" w:lineRule="auto"/>
        <w:jc w:val="both"/>
        <w:rPr>
          <w:rFonts w:ascii="David" w:hAnsi="David" w:cs="David"/>
          <w:sz w:val="24"/>
          <w:szCs w:val="24"/>
          <w:rtl/>
        </w:rPr>
      </w:pPr>
      <w:r>
        <w:rPr>
          <w:rFonts w:ascii="David" w:hAnsi="David" w:cs="David"/>
          <w:sz w:val="24"/>
          <w:szCs w:val="24"/>
          <w:rtl/>
        </w:rPr>
        <w:t>אשר לעבירת האיומים - עיון בפסיקה בעבירות דומות מצביע על טווח הענישה הנהוג. קיימת חומרה יתרה כאשר מדובר באיומים המופנים כלפי עובד ציבור מטעם החוק, מנגד ניתן משקל לקולא לשיקולים הקשורים לגילאי הנאשמים וכן להיעדר עבר פלילי. להלן פסיקה שיש בה כדי להצביע על הענישה הנוהגת:</w:t>
      </w:r>
    </w:p>
    <w:p w14:paraId="7A13C88D" w14:textId="77777777" w:rsidR="00B46524" w:rsidRDefault="00B46524" w:rsidP="00B46524">
      <w:pPr>
        <w:pStyle w:val="aa"/>
        <w:spacing w:line="360" w:lineRule="auto"/>
        <w:jc w:val="both"/>
        <w:rPr>
          <w:rFonts w:ascii="David" w:hAnsi="David" w:cs="David"/>
          <w:sz w:val="24"/>
          <w:szCs w:val="24"/>
        </w:rPr>
      </w:pPr>
    </w:p>
    <w:p w14:paraId="6401B9C3" w14:textId="77777777" w:rsidR="00B46524" w:rsidRDefault="006B1485" w:rsidP="00B46524">
      <w:pPr>
        <w:pStyle w:val="filenumber0"/>
        <w:numPr>
          <w:ilvl w:val="0"/>
          <w:numId w:val="4"/>
        </w:numPr>
        <w:bidi/>
        <w:spacing w:beforeAutospacing="0" w:after="0" w:afterAutospacing="0" w:line="360" w:lineRule="auto"/>
        <w:jc w:val="both"/>
        <w:rPr>
          <w:rFonts w:ascii="David" w:hAnsi="David" w:cs="David"/>
        </w:rPr>
      </w:pPr>
      <w:hyperlink r:id="rId44" w:history="1">
        <w:r w:rsidRPr="006B1485">
          <w:rPr>
            <w:rFonts w:ascii="David" w:hAnsi="David" w:cs="David"/>
            <w:color w:val="0000FF"/>
            <w:u w:val="single"/>
            <w:rtl/>
          </w:rPr>
          <w:t>רע"פ 4475/21</w:t>
        </w:r>
      </w:hyperlink>
      <w:r>
        <w:rPr>
          <w:rFonts w:ascii="David" w:hAnsi="David" w:cs="David"/>
          <w:rtl/>
        </w:rPr>
        <w:t xml:space="preserve">  </w:t>
      </w:r>
      <w:r w:rsidR="00B46524">
        <w:rPr>
          <w:rFonts w:ascii="David" w:hAnsi="David" w:cs="David"/>
          <w:b/>
          <w:bCs/>
          <w:rtl/>
        </w:rPr>
        <w:t>פיראס ואשאחי נ' מדינת ישראל</w:t>
      </w:r>
      <w:r w:rsidR="00B46524">
        <w:rPr>
          <w:rFonts w:ascii="David" w:hAnsi="David" w:cs="David"/>
          <w:rtl/>
        </w:rPr>
        <w:t xml:space="preserve"> (28.7.21) – הנאשם הורשע לאחר ניהול הוכחות בעבירת איומים בכך שהתקשר למוקד 100 ואיים על שוטר. בית המשפט נמנע מביטול הרשעת הנאשם וקבע מתחם הנע בין מאסר מותנה למספר חודשי מאסר בפועל, וגזר על הנאשם חודשיים מאסר על תנאי. ערעור לבית המשפט המחוזי ורשות ערעור לבית המשפט העליון נדחו.</w:t>
      </w:r>
    </w:p>
    <w:p w14:paraId="31406773" w14:textId="77777777" w:rsidR="00B46524" w:rsidRDefault="00B46524" w:rsidP="00B46524">
      <w:pPr>
        <w:pStyle w:val="filenumber0"/>
        <w:bidi/>
        <w:spacing w:beforeAutospacing="0" w:after="0" w:afterAutospacing="0" w:line="280" w:lineRule="atLeast"/>
        <w:ind w:left="1080"/>
        <w:jc w:val="both"/>
      </w:pPr>
      <w:r>
        <w:rPr>
          <w:rtl/>
        </w:rPr>
        <w:t xml:space="preserve"> </w:t>
      </w:r>
    </w:p>
    <w:p w14:paraId="0ECD790D" w14:textId="77777777" w:rsidR="00B46524" w:rsidRDefault="006B1485" w:rsidP="00B46524">
      <w:pPr>
        <w:pStyle w:val="filenumber0"/>
        <w:numPr>
          <w:ilvl w:val="0"/>
          <w:numId w:val="4"/>
        </w:numPr>
        <w:bidi/>
        <w:spacing w:beforeAutospacing="0" w:after="0" w:afterAutospacing="0" w:line="360" w:lineRule="auto"/>
        <w:jc w:val="both"/>
        <w:rPr>
          <w:rFonts w:ascii="David" w:hAnsi="David" w:cs="David"/>
        </w:rPr>
      </w:pPr>
      <w:hyperlink r:id="rId45" w:history="1">
        <w:r w:rsidRPr="006B1485">
          <w:rPr>
            <w:rFonts w:ascii="David" w:hAnsi="David" w:cs="David"/>
            <w:color w:val="0000FF"/>
            <w:u w:val="single"/>
            <w:rtl/>
          </w:rPr>
          <w:t>רע"פ 2423/18</w:t>
        </w:r>
      </w:hyperlink>
      <w:r w:rsidR="00B46524">
        <w:rPr>
          <w:rFonts w:ascii="David" w:hAnsi="David" w:cs="David"/>
          <w:rtl/>
        </w:rPr>
        <w:t xml:space="preserve"> </w:t>
      </w:r>
      <w:r w:rsidR="00B46524">
        <w:rPr>
          <w:rFonts w:ascii="David" w:hAnsi="David" w:cs="David"/>
          <w:b/>
          <w:bCs/>
          <w:rtl/>
        </w:rPr>
        <w:t>אוריאל עוזרי נ' מדינת ישראל</w:t>
      </w:r>
      <w:r w:rsidR="00B46524">
        <w:rPr>
          <w:rFonts w:ascii="David" w:hAnsi="David" w:cs="David"/>
          <w:rtl/>
        </w:rPr>
        <w:t xml:space="preserve"> (20.6.18) –  הנאשם הורשע לאחר ניהול הוכחות בכך שאיים על שוטרים שרדפו אחריו ונגזרו עליו מאסר על תנאי וקנס בסך 750 ₪. ערעור לבית המשפט המחוזי ורשות ערעור לבית המשפט העליון נדחו.</w:t>
      </w:r>
    </w:p>
    <w:p w14:paraId="7BA9AC21" w14:textId="77777777" w:rsidR="00B46524" w:rsidRDefault="00B46524" w:rsidP="00B46524">
      <w:pPr>
        <w:pStyle w:val="filenumber0"/>
        <w:bidi/>
        <w:spacing w:beforeAutospacing="0" w:after="0" w:afterAutospacing="0" w:line="280" w:lineRule="atLeast"/>
        <w:ind w:left="1080"/>
      </w:pPr>
    </w:p>
    <w:p w14:paraId="373D67F9" w14:textId="77777777" w:rsidR="00B46524" w:rsidRDefault="006B1485" w:rsidP="00B46524">
      <w:pPr>
        <w:numPr>
          <w:ilvl w:val="0"/>
          <w:numId w:val="4"/>
        </w:numPr>
        <w:spacing w:after="160" w:line="360" w:lineRule="auto"/>
        <w:jc w:val="both"/>
        <w:rPr>
          <w:rFonts w:ascii="David" w:hAnsi="David"/>
        </w:rPr>
      </w:pPr>
      <w:hyperlink r:id="rId46" w:history="1">
        <w:r w:rsidRPr="006B1485">
          <w:rPr>
            <w:rFonts w:ascii="David" w:hAnsi="David"/>
            <w:color w:val="0000FF"/>
            <w:u w:val="single"/>
            <w:rtl/>
          </w:rPr>
          <w:t>ע"פ (מחוזי ב"ש) 38759-05-14</w:t>
        </w:r>
      </w:hyperlink>
      <w:r w:rsidR="00B46524">
        <w:rPr>
          <w:rFonts w:ascii="David" w:hAnsi="David"/>
          <w:rtl/>
        </w:rPr>
        <w:t xml:space="preserve"> </w:t>
      </w:r>
      <w:r w:rsidR="00B46524">
        <w:rPr>
          <w:rFonts w:ascii="David" w:hAnsi="David"/>
          <w:b/>
          <w:bCs/>
          <w:rtl/>
        </w:rPr>
        <w:t>זגורי נ' מדינת ישראל</w:t>
      </w:r>
      <w:r>
        <w:rPr>
          <w:rFonts w:ascii="David" w:hAnsi="David"/>
          <w:rtl/>
        </w:rPr>
        <w:t xml:space="preserve"> </w:t>
      </w:r>
      <w:r w:rsidR="00B46524">
        <w:rPr>
          <w:rFonts w:ascii="David" w:hAnsi="David"/>
          <w:rtl/>
        </w:rPr>
        <w:t xml:space="preserve">(21.1.15) – המערער הורשע לאחר ניהול הוכחות בעבירת איומים, לאחר שמסר "דרישת שלום" לבעלה של הסוהרת שהיה עד במשפטו ולדבריו מנע ממנו לצאת לחופשות. על המערער נגזרו 6 חודשי מאסר בפועל, מהם רק חודשיים במצטבר, וכן מאסר על תנאי, התחייבות בסך של ₪10,000 ופיצוי בסך ₪5,000. ערעורו נדחה. בית משפט השלום קבע מתחם ייחודי לאיומים על עובדי ציבור הנע בין מס' חודשי מאסר לתקופת מאסר ממושכת יותר. </w:t>
      </w:r>
    </w:p>
    <w:p w14:paraId="49CA8A35" w14:textId="77777777" w:rsidR="00B46524" w:rsidRDefault="006B1485" w:rsidP="00B46524">
      <w:pPr>
        <w:pStyle w:val="aa"/>
        <w:numPr>
          <w:ilvl w:val="0"/>
          <w:numId w:val="4"/>
        </w:numPr>
        <w:spacing w:line="360" w:lineRule="auto"/>
        <w:jc w:val="both"/>
        <w:rPr>
          <w:rFonts w:ascii="David" w:hAnsi="David" w:cs="David"/>
          <w:sz w:val="24"/>
          <w:szCs w:val="24"/>
        </w:rPr>
      </w:pPr>
      <w:hyperlink r:id="rId47" w:history="1">
        <w:r w:rsidRPr="006B1485">
          <w:rPr>
            <w:rFonts w:ascii="David" w:hAnsi="David" w:cs="David"/>
            <w:color w:val="0000FF"/>
            <w:sz w:val="24"/>
            <w:szCs w:val="24"/>
            <w:u w:val="single"/>
            <w:rtl/>
          </w:rPr>
          <w:t>ת״פ (ירושלים) 6054-08-19</w:t>
        </w:r>
      </w:hyperlink>
      <w:r w:rsidR="00B46524">
        <w:rPr>
          <w:rFonts w:ascii="David" w:hAnsi="David" w:cs="David"/>
          <w:sz w:val="24"/>
          <w:szCs w:val="24"/>
          <w:rtl/>
        </w:rPr>
        <w:t xml:space="preserve"> </w:t>
      </w:r>
      <w:r w:rsidR="00B46524">
        <w:rPr>
          <w:rFonts w:ascii="David" w:hAnsi="David" w:cs="David"/>
          <w:b/>
          <w:bCs/>
          <w:sz w:val="24"/>
          <w:szCs w:val="24"/>
          <w:rtl/>
        </w:rPr>
        <w:t xml:space="preserve">מדינת ישראל נ׳ סקר אבו סרחאן </w:t>
      </w:r>
      <w:r w:rsidR="00B46524">
        <w:rPr>
          <w:rFonts w:ascii="David" w:hAnsi="David" w:cs="David"/>
          <w:sz w:val="24"/>
          <w:szCs w:val="24"/>
          <w:rtl/>
        </w:rPr>
        <w:t>(22.09.22) – הנאשם הורשע לאחר שמיעת עדויות בעבירת איומים. לפי כתב האישום וכפי שהוכח במשפט, שלח הנאשם באמצעות הטלפון הנייד שלו הודעה לשוטר (להלן: ״</w:t>
      </w:r>
      <w:r w:rsidR="00B46524">
        <w:rPr>
          <w:rFonts w:ascii="David" w:hAnsi="David" w:cs="David"/>
          <w:b/>
          <w:bCs/>
          <w:sz w:val="24"/>
          <w:szCs w:val="24"/>
          <w:rtl/>
        </w:rPr>
        <w:t>המתלונן״</w:t>
      </w:r>
      <w:r w:rsidR="00B46524">
        <w:rPr>
          <w:rFonts w:ascii="David" w:hAnsi="David" w:cs="David"/>
          <w:sz w:val="24"/>
          <w:szCs w:val="24"/>
          <w:rtl/>
        </w:rPr>
        <w:t xml:space="preserve">), ובו סרטון שמציג את דגל ישראל וברקע נשמעות קריאות של מלחמה בערבית. מיד לאחר שליחת הסרטון, שלח הנאשם למתלונן שני מסרונים נוספים: </w:t>
      </w:r>
      <w:r w:rsidR="00B46524">
        <w:rPr>
          <w:rFonts w:ascii="David" w:hAnsi="David" w:cs="David"/>
          <w:b/>
          <w:bCs/>
          <w:sz w:val="24"/>
          <w:szCs w:val="24"/>
          <w:rtl/>
        </w:rPr>
        <w:t xml:space="preserve">״אני אחכה לך״ </w:t>
      </w:r>
      <w:r w:rsidR="00B46524">
        <w:rPr>
          <w:rFonts w:ascii="David" w:hAnsi="David" w:cs="David"/>
          <w:sz w:val="24"/>
          <w:szCs w:val="24"/>
          <w:rtl/>
        </w:rPr>
        <w:t>ו-</w:t>
      </w:r>
      <w:r w:rsidR="00B46524">
        <w:rPr>
          <w:rFonts w:ascii="David" w:hAnsi="David" w:cs="David"/>
          <w:b/>
          <w:bCs/>
          <w:sz w:val="24"/>
          <w:szCs w:val="24"/>
          <w:rtl/>
        </w:rPr>
        <w:t>״אני אהרוג אותך</w:t>
      </w:r>
      <w:r w:rsidR="00B46524">
        <w:rPr>
          <w:rFonts w:ascii="David" w:hAnsi="David" w:cs="David"/>
          <w:sz w:val="24"/>
          <w:szCs w:val="24"/>
          <w:rtl/>
        </w:rPr>
        <w:t xml:space="preserve">״. בית המשפט קבע מתחם עונש הנע בין מאסר מותנה לבין ארבעה חודשי מאסר שניתן לרצות בעבודות שירות לצד ענישה נלווית, וגזר על הנאשם, נעדר עבר פלילי, שלושים ימי מאסר שירוצו בעבודות שירות, שלושה חודשי מאסר על תנאי בנוסף לרכיבי ענישה נוספים. </w:t>
      </w:r>
    </w:p>
    <w:p w14:paraId="7A24E96B" w14:textId="77777777" w:rsidR="00B46524" w:rsidRDefault="00B46524" w:rsidP="00B46524">
      <w:pPr>
        <w:pStyle w:val="aa"/>
        <w:spacing w:line="360" w:lineRule="auto"/>
        <w:ind w:left="1080"/>
        <w:jc w:val="both"/>
        <w:rPr>
          <w:rFonts w:ascii="David" w:hAnsi="David" w:cs="David"/>
          <w:sz w:val="24"/>
          <w:szCs w:val="24"/>
        </w:rPr>
      </w:pPr>
    </w:p>
    <w:p w14:paraId="751BA9BA" w14:textId="77777777" w:rsidR="00B46524" w:rsidRDefault="006B1485" w:rsidP="00B46524">
      <w:pPr>
        <w:pStyle w:val="aa"/>
        <w:numPr>
          <w:ilvl w:val="0"/>
          <w:numId w:val="4"/>
        </w:numPr>
        <w:spacing w:line="360" w:lineRule="auto"/>
        <w:jc w:val="both"/>
        <w:rPr>
          <w:rFonts w:ascii="David" w:hAnsi="David" w:cs="David"/>
          <w:sz w:val="24"/>
          <w:szCs w:val="24"/>
        </w:rPr>
      </w:pPr>
      <w:hyperlink r:id="rId48" w:history="1">
        <w:r w:rsidRPr="006B1485">
          <w:rPr>
            <w:rFonts w:ascii="David" w:hAnsi="David" w:cs="David"/>
            <w:color w:val="0000FF"/>
            <w:sz w:val="24"/>
            <w:szCs w:val="24"/>
            <w:u w:val="single"/>
            <w:rtl/>
          </w:rPr>
          <w:t>ת״פ (י-ם) 2534-09-19</w:t>
        </w:r>
      </w:hyperlink>
      <w:r w:rsidR="00B46524">
        <w:rPr>
          <w:rFonts w:ascii="David" w:hAnsi="David" w:cs="David"/>
          <w:sz w:val="24"/>
          <w:szCs w:val="24"/>
          <w:rtl/>
        </w:rPr>
        <w:t xml:space="preserve"> </w:t>
      </w:r>
      <w:r w:rsidR="00B46524">
        <w:rPr>
          <w:rFonts w:ascii="David" w:hAnsi="David" w:cs="David"/>
          <w:b/>
          <w:bCs/>
          <w:sz w:val="24"/>
          <w:szCs w:val="24"/>
          <w:rtl/>
        </w:rPr>
        <w:t xml:space="preserve">מדינת ישראל נ׳ הישאם עבדאל רחמן </w:t>
      </w:r>
      <w:r w:rsidR="00B46524">
        <w:rPr>
          <w:rFonts w:ascii="David" w:hAnsi="David" w:cs="David"/>
          <w:sz w:val="24"/>
          <w:szCs w:val="24"/>
          <w:rtl/>
        </w:rPr>
        <w:t xml:space="preserve">(17.02.21) – לאחר דין ודברים בין שוטר לנאשם ושניים מאחיו, ביקש השוטר לברר את זהותם, כאשר לאחד האחים לא הייתה תעודת זהות ביקש ממנו השוטר להתלוות עימו לניידת לצורך זיהוי. הנאשם החל לדפוק על מכסה המנוע ואיים על השוטרים באומרו: </w:t>
      </w:r>
      <w:r w:rsidR="00B46524">
        <w:rPr>
          <w:rFonts w:ascii="David" w:hAnsi="David" w:cs="David"/>
          <w:b/>
          <w:bCs/>
          <w:sz w:val="24"/>
          <w:szCs w:val="24"/>
          <w:rtl/>
        </w:rPr>
        <w:t>״מי אתם בכלל, אנחנו נראה לכם מה יקרה״</w:t>
      </w:r>
      <w:r w:rsidR="00B46524">
        <w:rPr>
          <w:rFonts w:ascii="David" w:hAnsi="David" w:cs="David"/>
          <w:sz w:val="24"/>
          <w:szCs w:val="24"/>
          <w:rtl/>
        </w:rPr>
        <w:t xml:space="preserve">. השוטרים ביקשו מהנאשם לעזוב את המקום אך הוא איים שוב: </w:t>
      </w:r>
      <w:r w:rsidR="00B46524">
        <w:rPr>
          <w:rFonts w:ascii="David" w:hAnsi="David" w:cs="David"/>
          <w:b/>
          <w:bCs/>
          <w:sz w:val="24"/>
          <w:szCs w:val="24"/>
          <w:rtl/>
        </w:rPr>
        <w:t>״אני אזיין אתכם״</w:t>
      </w:r>
      <w:r w:rsidR="00B46524">
        <w:rPr>
          <w:rFonts w:ascii="David" w:hAnsi="David" w:cs="David"/>
          <w:sz w:val="24"/>
          <w:szCs w:val="24"/>
          <w:rtl/>
        </w:rPr>
        <w:t xml:space="preserve">. בית המשפט קבע מתחם עונש הנע בין של״צ ומאסר מותנה לבין 5 חודשי מאסר שיכול וירוצו בעבודות שירות, וגזר על הנאשם, צעיר בגילו ונעדר עבר פלילי, 200 שעות של״צ קנס והתחייבות. </w:t>
      </w:r>
    </w:p>
    <w:p w14:paraId="414B2826" w14:textId="77777777" w:rsidR="00B46524" w:rsidRDefault="00B46524" w:rsidP="00B46524">
      <w:pPr>
        <w:pStyle w:val="aa"/>
        <w:spacing w:line="360" w:lineRule="auto"/>
        <w:jc w:val="both"/>
        <w:rPr>
          <w:rFonts w:ascii="David" w:hAnsi="David" w:cs="David"/>
          <w:sz w:val="24"/>
          <w:szCs w:val="24"/>
        </w:rPr>
      </w:pPr>
    </w:p>
    <w:p w14:paraId="7B502313" w14:textId="77777777" w:rsidR="00B46524" w:rsidRDefault="006B1485" w:rsidP="00B46524">
      <w:pPr>
        <w:pStyle w:val="aa"/>
        <w:numPr>
          <w:ilvl w:val="0"/>
          <w:numId w:val="4"/>
        </w:numPr>
        <w:spacing w:line="360" w:lineRule="auto"/>
        <w:jc w:val="both"/>
        <w:rPr>
          <w:rFonts w:ascii="David" w:hAnsi="David" w:cs="David"/>
          <w:sz w:val="24"/>
          <w:szCs w:val="24"/>
          <w:rtl/>
        </w:rPr>
      </w:pPr>
      <w:hyperlink r:id="rId49" w:history="1">
        <w:r w:rsidRPr="006B1485">
          <w:rPr>
            <w:rFonts w:ascii="David" w:hAnsi="David" w:cs="David"/>
            <w:color w:val="0000FF"/>
            <w:sz w:val="24"/>
            <w:szCs w:val="24"/>
            <w:u w:val="single"/>
            <w:rtl/>
          </w:rPr>
          <w:t>ת״פ (קריית גת) 59264-05-17</w:t>
        </w:r>
      </w:hyperlink>
      <w:r w:rsidR="00B46524">
        <w:rPr>
          <w:rFonts w:ascii="David" w:hAnsi="David" w:cs="David"/>
          <w:sz w:val="24"/>
          <w:szCs w:val="24"/>
          <w:rtl/>
        </w:rPr>
        <w:t xml:space="preserve"> </w:t>
      </w:r>
      <w:r w:rsidR="00B46524">
        <w:rPr>
          <w:rFonts w:ascii="David" w:hAnsi="David" w:cs="David"/>
          <w:b/>
          <w:bCs/>
          <w:sz w:val="24"/>
          <w:szCs w:val="24"/>
          <w:rtl/>
        </w:rPr>
        <w:t xml:space="preserve">מדינת ישראל נ׳ פלוני </w:t>
      </w:r>
      <w:r w:rsidR="00B46524">
        <w:rPr>
          <w:rFonts w:ascii="David" w:hAnsi="David" w:cs="David"/>
          <w:sz w:val="24"/>
          <w:szCs w:val="24"/>
          <w:rtl/>
        </w:rPr>
        <w:t xml:space="preserve">(20.12.18) – הנאשם הורשע על פי הודאתו. לפי המתואר בכתב האישום, התקשרה אמו של הנאשם למשטרה וביקשה סיוע בטענה שהנאשם משתולל בדירתה, צועק מקלל ואף מכה אותה. משהגיעו השוטרים לזירה איים הנאשם על השוטר בפגיעה שלא כדין באומרו: </w:t>
      </w:r>
      <w:r w:rsidR="00B46524">
        <w:rPr>
          <w:rFonts w:ascii="David" w:hAnsi="David" w:cs="David"/>
          <w:b/>
          <w:bCs/>
          <w:sz w:val="24"/>
          <w:szCs w:val="24"/>
          <w:rtl/>
        </w:rPr>
        <w:t xml:space="preserve">״חכה חכה אני אדקור את כולם בכלא, אתם עוד תזכרו את השם הזה״ </w:t>
      </w:r>
      <w:r w:rsidR="00B46524">
        <w:rPr>
          <w:rFonts w:ascii="David" w:hAnsi="David" w:cs="David"/>
          <w:sz w:val="24"/>
          <w:szCs w:val="24"/>
          <w:rtl/>
        </w:rPr>
        <w:t xml:space="preserve">וזאת בכוונה להקניטו או להפחידו. בית המשפט קבע מתחם עונש הנע בין ממאסר מותנה ועד לשנת מאסר בפועל, וגזר על הנאשם, בעל הרשעה קודמת מבית הדין הצבאי, חודשיים מאסר על תנאי למשך שנתיים והתחייבות. </w:t>
      </w:r>
    </w:p>
    <w:p w14:paraId="4C5E97F9" w14:textId="77777777" w:rsidR="00B46524" w:rsidRDefault="00B46524" w:rsidP="00B46524">
      <w:pPr>
        <w:pStyle w:val="aa"/>
        <w:spacing w:line="360" w:lineRule="auto"/>
        <w:jc w:val="both"/>
        <w:rPr>
          <w:rFonts w:ascii="David" w:hAnsi="David" w:cs="David"/>
          <w:sz w:val="24"/>
          <w:szCs w:val="24"/>
        </w:rPr>
      </w:pPr>
    </w:p>
    <w:p w14:paraId="63F8FFE6" w14:textId="77777777" w:rsidR="00B46524" w:rsidRDefault="00B46524" w:rsidP="00B46524">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מכל המקובץ לעיל, אני קובעת כי מתחם העונש ההולם את מעשי הנאשם בתיק האב (החזקת סמים שלא לצריכה עצמית) נע בין חודשיים מאסר שיכול וירוצו בעבודות שירות לשנת מאסר בפועל, וענישה נלווית. </w:t>
      </w:r>
    </w:p>
    <w:p w14:paraId="627E0F97" w14:textId="77777777" w:rsidR="00B46524" w:rsidRDefault="00B46524" w:rsidP="00B46524">
      <w:pPr>
        <w:pStyle w:val="aa"/>
        <w:rPr>
          <w:rFonts w:ascii="David" w:hAnsi="David" w:cs="David"/>
          <w:sz w:val="24"/>
          <w:szCs w:val="24"/>
        </w:rPr>
      </w:pPr>
    </w:p>
    <w:p w14:paraId="1929096C" w14:textId="77777777" w:rsidR="00B46524" w:rsidRDefault="00B46524" w:rsidP="00B46524">
      <w:pPr>
        <w:pStyle w:val="aa"/>
        <w:spacing w:line="360" w:lineRule="auto"/>
        <w:jc w:val="both"/>
        <w:rPr>
          <w:rFonts w:ascii="David" w:hAnsi="David" w:cs="David"/>
          <w:sz w:val="24"/>
          <w:szCs w:val="24"/>
          <w:rtl/>
        </w:rPr>
      </w:pPr>
      <w:r>
        <w:rPr>
          <w:rFonts w:ascii="David" w:hAnsi="David" w:cs="David"/>
          <w:sz w:val="24"/>
          <w:szCs w:val="24"/>
          <w:rtl/>
        </w:rPr>
        <w:t>מתחם העונש ההולם את מעשי הנאשם בתיק המצורף (איומים) נע ממאסר מותנה ל-8 חודשי מאסר בפועל בצירוף ענישה נלווית.</w:t>
      </w:r>
    </w:p>
    <w:p w14:paraId="565B277C" w14:textId="77777777" w:rsidR="00B46524" w:rsidRDefault="00B46524" w:rsidP="00B46524">
      <w:pPr>
        <w:pStyle w:val="aa"/>
        <w:spacing w:line="360" w:lineRule="auto"/>
        <w:jc w:val="both"/>
        <w:rPr>
          <w:rFonts w:ascii="David" w:hAnsi="David" w:cs="David"/>
          <w:b/>
          <w:bCs/>
          <w:sz w:val="24"/>
          <w:szCs w:val="24"/>
          <w:u w:val="single"/>
          <w:rtl/>
        </w:rPr>
      </w:pPr>
    </w:p>
    <w:p w14:paraId="0206A32E" w14:textId="77777777" w:rsidR="00B46524" w:rsidRDefault="00B46524" w:rsidP="00B46524">
      <w:pPr>
        <w:pStyle w:val="aa"/>
        <w:spacing w:line="360" w:lineRule="auto"/>
        <w:jc w:val="both"/>
        <w:rPr>
          <w:rFonts w:ascii="David" w:hAnsi="David" w:cs="David"/>
          <w:sz w:val="24"/>
          <w:szCs w:val="24"/>
          <w:u w:val="single"/>
          <w:rtl/>
        </w:rPr>
      </w:pPr>
      <w:r>
        <w:rPr>
          <w:rFonts w:ascii="David" w:hAnsi="David" w:cs="David"/>
          <w:sz w:val="24"/>
          <w:szCs w:val="24"/>
          <w:u w:val="single"/>
          <w:rtl/>
        </w:rPr>
        <w:t>בחינת הנסיבות שאינן קשורות לביצוע העבירה</w:t>
      </w:r>
    </w:p>
    <w:p w14:paraId="53AEDB19" w14:textId="77777777" w:rsidR="00B46524" w:rsidRDefault="00B46524" w:rsidP="00B46524">
      <w:pPr>
        <w:pStyle w:val="aa"/>
        <w:spacing w:line="360" w:lineRule="auto"/>
        <w:jc w:val="both"/>
        <w:rPr>
          <w:rFonts w:ascii="David" w:hAnsi="David" w:cs="David"/>
          <w:sz w:val="24"/>
          <w:szCs w:val="24"/>
          <w:rtl/>
        </w:rPr>
      </w:pPr>
    </w:p>
    <w:p w14:paraId="7618418C" w14:textId="77777777" w:rsidR="00B46524" w:rsidRDefault="00B46524" w:rsidP="00B46524">
      <w:pPr>
        <w:pStyle w:val="aa"/>
        <w:numPr>
          <w:ilvl w:val="0"/>
          <w:numId w:val="1"/>
        </w:numPr>
        <w:spacing w:line="360" w:lineRule="auto"/>
        <w:jc w:val="both"/>
        <w:rPr>
          <w:rFonts w:ascii="David" w:hAnsi="David" w:cs="David"/>
          <w:sz w:val="24"/>
          <w:szCs w:val="24"/>
        </w:rPr>
      </w:pPr>
      <w:r>
        <w:rPr>
          <w:rFonts w:ascii="David" w:hAnsi="David" w:cs="David"/>
          <w:sz w:val="24"/>
          <w:szCs w:val="24"/>
          <w:rtl/>
        </w:rPr>
        <w:t>במקרה דנן, לא קיימים שיקולים אשר מצדיקים סטייה מהמתחם לחומרא או לקולא.</w:t>
      </w:r>
    </w:p>
    <w:p w14:paraId="1B97852F" w14:textId="77777777" w:rsidR="00B46524" w:rsidRDefault="00B46524" w:rsidP="00B46524">
      <w:pPr>
        <w:pStyle w:val="aa"/>
        <w:spacing w:line="360" w:lineRule="auto"/>
        <w:jc w:val="both"/>
        <w:rPr>
          <w:rFonts w:ascii="David" w:hAnsi="David" w:cs="David"/>
          <w:sz w:val="24"/>
          <w:szCs w:val="24"/>
        </w:rPr>
      </w:pPr>
    </w:p>
    <w:p w14:paraId="1EDD1027" w14:textId="77777777" w:rsidR="00B46524" w:rsidRDefault="00B46524" w:rsidP="00B46524">
      <w:pPr>
        <w:pStyle w:val="aa"/>
        <w:numPr>
          <w:ilvl w:val="0"/>
          <w:numId w:val="1"/>
        </w:numPr>
        <w:spacing w:line="360" w:lineRule="auto"/>
        <w:jc w:val="both"/>
        <w:rPr>
          <w:rFonts w:ascii="David" w:hAnsi="David" w:cs="David"/>
          <w:sz w:val="24"/>
          <w:szCs w:val="24"/>
          <w:rtl/>
        </w:rPr>
      </w:pPr>
      <w:r>
        <w:rPr>
          <w:rFonts w:ascii="David" w:hAnsi="David" w:cs="David"/>
          <w:sz w:val="24"/>
          <w:szCs w:val="24"/>
          <w:rtl/>
        </w:rPr>
        <w:t>בגדרי מתחם העונש ההולם, נתתי דעתי להודיית הנאשם במיוחס לו, נטילת אחריות למעשיו,  לרצונו לקיים אורח חיים נורמטיבי ואף לחלוף הזמן מביצוע העבירות.</w:t>
      </w:r>
    </w:p>
    <w:p w14:paraId="21C164DD" w14:textId="77777777" w:rsidR="00B46524" w:rsidRDefault="00B46524" w:rsidP="00B46524">
      <w:pPr>
        <w:pStyle w:val="aa"/>
        <w:spacing w:line="360" w:lineRule="auto"/>
        <w:jc w:val="both"/>
        <w:rPr>
          <w:rFonts w:ascii="David" w:hAnsi="David" w:cs="David"/>
          <w:sz w:val="24"/>
          <w:szCs w:val="24"/>
        </w:rPr>
      </w:pPr>
    </w:p>
    <w:p w14:paraId="13472AB6" w14:textId="77777777" w:rsidR="00B46524" w:rsidRDefault="00B46524" w:rsidP="00B46524">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כמו כן, הנאשם צעיר, בן 28 , נעדר עבר פלילי. </w:t>
      </w:r>
    </w:p>
    <w:p w14:paraId="2C3E32FA" w14:textId="77777777" w:rsidR="00B46524" w:rsidRDefault="00B46524" w:rsidP="00B46524">
      <w:pPr>
        <w:pStyle w:val="aa"/>
        <w:spacing w:line="360" w:lineRule="auto"/>
        <w:jc w:val="both"/>
        <w:rPr>
          <w:rFonts w:ascii="David" w:hAnsi="David" w:cs="David"/>
          <w:sz w:val="24"/>
          <w:szCs w:val="24"/>
        </w:rPr>
      </w:pPr>
    </w:p>
    <w:p w14:paraId="693676C3" w14:textId="77777777" w:rsidR="00B46524" w:rsidRDefault="00B46524" w:rsidP="00B46524">
      <w:pPr>
        <w:pStyle w:val="aa"/>
        <w:numPr>
          <w:ilvl w:val="0"/>
          <w:numId w:val="1"/>
        </w:numPr>
        <w:spacing w:line="360" w:lineRule="auto"/>
        <w:jc w:val="both"/>
        <w:rPr>
          <w:rFonts w:ascii="David" w:hAnsi="David" w:cs="David"/>
          <w:sz w:val="24"/>
          <w:szCs w:val="24"/>
        </w:rPr>
      </w:pPr>
      <w:r>
        <w:rPr>
          <w:rFonts w:ascii="David" w:hAnsi="David" w:cs="David"/>
          <w:sz w:val="24"/>
          <w:szCs w:val="24"/>
          <w:rtl/>
        </w:rPr>
        <w:t>עם זאת, יש ליתן את הדעת לשיקולי הרתעת היחיד והרתעת הרבים. חברה שומרת חוק אינה יכולה להשלים עם התנהגות אלימה ופורעת חוק או לגלות כלפיה סובלנות או סלחנות. אין כל ערך ברטוריקה המגנה אלימות כאשר אינה מגובה בענישה מרתיעה.</w:t>
      </w:r>
    </w:p>
    <w:p w14:paraId="6976FDCA" w14:textId="77777777" w:rsidR="00B46524" w:rsidRDefault="00B46524" w:rsidP="00B46524">
      <w:pPr>
        <w:pStyle w:val="aa"/>
        <w:rPr>
          <w:rFonts w:ascii="David" w:hAnsi="David" w:cs="David"/>
          <w:sz w:val="24"/>
          <w:szCs w:val="24"/>
        </w:rPr>
      </w:pPr>
    </w:p>
    <w:p w14:paraId="14F31E41" w14:textId="77777777" w:rsidR="00B46524" w:rsidRDefault="00B46524" w:rsidP="00B46524">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נוכח כל המפורט לעיל מצאתי כי יש לגזור את עונשו של הנאשם סמוך לחלקם התחתון של מתחמי הענישה אשר קבעתי, אך לא בתחתיתם,  ולצבור את העונשים באופן חלקי, על מנת לתת ביטוי עונשי לכל אחד מהאירועים. </w:t>
      </w:r>
    </w:p>
    <w:p w14:paraId="4DDC5E5B" w14:textId="77777777" w:rsidR="00B46524" w:rsidRDefault="00B46524" w:rsidP="00B46524">
      <w:pPr>
        <w:pStyle w:val="aa"/>
        <w:spacing w:line="360" w:lineRule="auto"/>
        <w:jc w:val="both"/>
        <w:rPr>
          <w:rFonts w:ascii="David" w:hAnsi="David" w:cs="David"/>
          <w:sz w:val="24"/>
          <w:szCs w:val="24"/>
          <w:rtl/>
        </w:rPr>
      </w:pPr>
    </w:p>
    <w:p w14:paraId="1A1CB27C" w14:textId="77777777" w:rsidR="00B46524" w:rsidRDefault="00B46524" w:rsidP="00B46524">
      <w:pPr>
        <w:spacing w:line="360" w:lineRule="auto"/>
        <w:ind w:left="720"/>
        <w:jc w:val="both"/>
        <w:rPr>
          <w:rFonts w:ascii="David" w:hAnsi="David"/>
          <w:b/>
          <w:bCs/>
          <w:u w:val="single"/>
        </w:rPr>
      </w:pPr>
      <w:r>
        <w:rPr>
          <w:rFonts w:ascii="David" w:hAnsi="David"/>
          <w:b/>
          <w:bCs/>
          <w:u w:val="single"/>
          <w:rtl/>
        </w:rPr>
        <w:t>סוף דבר:</w:t>
      </w:r>
    </w:p>
    <w:p w14:paraId="59F80853" w14:textId="77777777" w:rsidR="00B46524" w:rsidRDefault="00B46524" w:rsidP="00B46524">
      <w:pPr>
        <w:pStyle w:val="aa"/>
        <w:numPr>
          <w:ilvl w:val="0"/>
          <w:numId w:val="1"/>
        </w:numPr>
        <w:spacing w:line="360" w:lineRule="auto"/>
        <w:jc w:val="both"/>
        <w:rPr>
          <w:rFonts w:ascii="David" w:hAnsi="David" w:cs="David"/>
          <w:sz w:val="24"/>
          <w:szCs w:val="24"/>
        </w:rPr>
      </w:pPr>
      <w:r>
        <w:rPr>
          <w:rFonts w:ascii="David" w:hAnsi="David" w:cs="David"/>
          <w:sz w:val="24"/>
          <w:szCs w:val="24"/>
          <w:rtl/>
        </w:rPr>
        <w:t>לאחר ששקלתי את מכלול השיקולים כמפורט לעיל, אני מטילה על הנאשם את העונשים הבאים:</w:t>
      </w:r>
    </w:p>
    <w:p w14:paraId="1B644AB8" w14:textId="77777777" w:rsidR="00B46524" w:rsidRDefault="00B46524" w:rsidP="00B46524">
      <w:pPr>
        <w:pStyle w:val="aa"/>
        <w:spacing w:line="360" w:lineRule="auto"/>
        <w:jc w:val="both"/>
        <w:rPr>
          <w:rFonts w:ascii="David" w:hAnsi="David" w:cs="David"/>
          <w:sz w:val="24"/>
          <w:szCs w:val="24"/>
        </w:rPr>
      </w:pPr>
    </w:p>
    <w:p w14:paraId="71934444" w14:textId="77777777" w:rsidR="00B46524" w:rsidRDefault="00B46524" w:rsidP="00B46524">
      <w:pPr>
        <w:pStyle w:val="aa"/>
        <w:numPr>
          <w:ilvl w:val="0"/>
          <w:numId w:val="5"/>
        </w:numPr>
        <w:spacing w:line="360" w:lineRule="auto"/>
        <w:jc w:val="both"/>
        <w:rPr>
          <w:rFonts w:ascii="Arial" w:hAnsi="Arial" w:cs="David"/>
          <w:sz w:val="24"/>
          <w:szCs w:val="24"/>
        </w:rPr>
      </w:pPr>
      <w:r>
        <w:rPr>
          <w:rFonts w:ascii="Arial" w:hAnsi="Arial" w:cs="David"/>
          <w:sz w:val="24"/>
          <w:szCs w:val="24"/>
          <w:rtl/>
        </w:rPr>
        <w:t>4 חודשי</w:t>
      </w:r>
      <w:r w:rsidR="006B1485">
        <w:rPr>
          <w:rFonts w:ascii="Arial" w:hAnsi="Arial" w:cs="David"/>
          <w:sz w:val="24"/>
          <w:szCs w:val="24"/>
          <w:rtl/>
        </w:rPr>
        <w:t xml:space="preserve"> </w:t>
      </w:r>
      <w:r>
        <w:rPr>
          <w:rFonts w:ascii="Arial" w:hAnsi="Arial" w:cs="David"/>
          <w:sz w:val="24"/>
          <w:szCs w:val="24"/>
          <w:rtl/>
        </w:rPr>
        <w:t xml:space="preserve"> מאסר שירוצו בעבודות שירות.</w:t>
      </w:r>
    </w:p>
    <w:p w14:paraId="39AED339" w14:textId="77777777" w:rsidR="00B46524" w:rsidRDefault="00B46524" w:rsidP="00B46524">
      <w:pPr>
        <w:spacing w:line="360" w:lineRule="auto"/>
        <w:ind w:left="702"/>
        <w:jc w:val="both"/>
        <w:rPr>
          <w:rFonts w:ascii="Arial" w:eastAsia="Calibri" w:hAnsi="Arial"/>
          <w:rtl/>
        </w:rPr>
      </w:pPr>
      <w:r>
        <w:rPr>
          <w:rFonts w:ascii="Arial" w:eastAsia="Calibri" w:hAnsi="Arial"/>
          <w:rtl/>
        </w:rPr>
        <w:t>בהתאם לחוות דעת הממונה, הנאשם יבצע את עבודות השירות בעיריית דימונה , או בכל מקום אחר שיורה הממונה, בימים א'-ה' במשך 8.5 שעות עבודה יומיות.</w:t>
      </w:r>
    </w:p>
    <w:p w14:paraId="02EA088E" w14:textId="77777777" w:rsidR="00B46524" w:rsidRDefault="00B46524" w:rsidP="00B46524">
      <w:pPr>
        <w:spacing w:line="360" w:lineRule="auto"/>
        <w:ind w:left="702"/>
        <w:jc w:val="both"/>
        <w:rPr>
          <w:rFonts w:ascii="David" w:eastAsia="Calibri" w:hAnsi="David"/>
          <w:rtl/>
        </w:rPr>
      </w:pPr>
      <w:r>
        <w:rPr>
          <w:rFonts w:ascii="David" w:eastAsia="Calibri" w:hAnsi="David"/>
          <w:rtl/>
        </w:rPr>
        <w:t xml:space="preserve">הנאשם יתייצב לריצוי המאסר ביום 1.11.23 עד השעה 08:00 </w:t>
      </w:r>
      <w:r>
        <w:rPr>
          <w:rFonts w:ascii="David" w:eastAsia="Calibri" w:hAnsi="David" w:hint="cs"/>
          <w:rtl/>
        </w:rPr>
        <w:t xml:space="preserve">במשרדי הממונה על עבודות השירות, במפקדת מחוז דרום של שב"ס, ליד כלא באר שבע, </w:t>
      </w:r>
      <w:r>
        <w:rPr>
          <w:rFonts w:ascii="David" w:eastAsia="Calibri" w:hAnsi="David"/>
          <w:rtl/>
        </w:rPr>
        <w:t>אלא אם הממונה על עבודות השירות יודיע לו על מועד תחילה אחר.</w:t>
      </w:r>
    </w:p>
    <w:p w14:paraId="6756D0B4" w14:textId="77777777" w:rsidR="00B46524" w:rsidRPr="001703A8" w:rsidRDefault="00B46524" w:rsidP="00B46524">
      <w:pPr>
        <w:spacing w:line="360" w:lineRule="auto"/>
        <w:ind w:left="702"/>
        <w:jc w:val="both"/>
        <w:rPr>
          <w:rFonts w:eastAsia="Calibri"/>
          <w:b/>
          <w:bCs/>
          <w:rtl/>
        </w:rPr>
      </w:pPr>
      <w:r w:rsidRPr="001703A8">
        <w:rPr>
          <w:rFonts w:ascii="Arial" w:eastAsia="Calibri" w:hAnsi="Arial" w:hint="cs"/>
          <w:b/>
          <w:bCs/>
          <w:rtl/>
        </w:rPr>
        <w:t>אני מזהירה את הנ</w:t>
      </w:r>
      <w:r w:rsidRPr="001703A8">
        <w:rPr>
          <w:rFonts w:ascii="Arial" w:eastAsia="Calibri" w:hAnsi="Arial"/>
          <w:b/>
          <w:bCs/>
          <w:rtl/>
        </w:rPr>
        <w:t xml:space="preserve">אשם </w:t>
      </w:r>
      <w:r w:rsidRPr="001703A8">
        <w:rPr>
          <w:rFonts w:ascii="Arial" w:eastAsia="Calibri" w:hAnsi="Arial" w:hint="cs"/>
          <w:b/>
          <w:bCs/>
          <w:rtl/>
        </w:rPr>
        <w:t xml:space="preserve">שעליו לנהוג בהתאם לתנאים ולכללים שיקבע הממונה על עבודות השירות, ושאם לא יעשה כן יכול ויופסקו עבודות השירות והוא יידרש לרצות את יתרת עונשו בכלא. </w:t>
      </w:r>
    </w:p>
    <w:p w14:paraId="08916E2D" w14:textId="77777777" w:rsidR="00B46524" w:rsidRDefault="00B46524" w:rsidP="00B46524">
      <w:pPr>
        <w:pStyle w:val="aa"/>
        <w:numPr>
          <w:ilvl w:val="0"/>
          <w:numId w:val="5"/>
        </w:numPr>
        <w:spacing w:line="360" w:lineRule="auto"/>
        <w:ind w:left="702"/>
        <w:jc w:val="both"/>
        <w:rPr>
          <w:rFonts w:ascii="Arial" w:hAnsi="Arial" w:cs="David"/>
          <w:sz w:val="24"/>
          <w:szCs w:val="24"/>
          <w:rtl/>
        </w:rPr>
      </w:pPr>
      <w:r>
        <w:rPr>
          <w:rFonts w:ascii="Arial" w:hAnsi="Arial" w:cs="David"/>
          <w:sz w:val="24"/>
          <w:szCs w:val="24"/>
          <w:rtl/>
        </w:rPr>
        <w:t xml:space="preserve">מאסר על תנאי לתקופה של 3 חודשים. המאסר המותנה יופעל אם תוך תקופה של שלוש שנים מהיום יעבור הנאשם עבירת איומים או עבירה מסוג עוון לפי פקודת הסמים. </w:t>
      </w:r>
    </w:p>
    <w:p w14:paraId="4E3C643A" w14:textId="77777777" w:rsidR="00B46524" w:rsidRDefault="00B46524" w:rsidP="00B46524">
      <w:pPr>
        <w:pStyle w:val="aa"/>
        <w:spacing w:line="360" w:lineRule="auto"/>
        <w:jc w:val="both"/>
        <w:rPr>
          <w:rFonts w:ascii="Arial" w:hAnsi="Arial" w:cs="David"/>
          <w:sz w:val="24"/>
          <w:szCs w:val="24"/>
          <w:rtl/>
        </w:rPr>
      </w:pPr>
    </w:p>
    <w:p w14:paraId="7DDDE187" w14:textId="77777777" w:rsidR="00B46524" w:rsidRDefault="00B46524" w:rsidP="00B46524">
      <w:pPr>
        <w:pStyle w:val="aa"/>
        <w:numPr>
          <w:ilvl w:val="0"/>
          <w:numId w:val="5"/>
        </w:numPr>
        <w:spacing w:line="360" w:lineRule="auto"/>
        <w:jc w:val="both"/>
        <w:rPr>
          <w:rFonts w:ascii="Arial" w:hAnsi="Arial" w:cs="David"/>
          <w:sz w:val="24"/>
          <w:szCs w:val="24"/>
        </w:rPr>
      </w:pPr>
      <w:r>
        <w:rPr>
          <w:rFonts w:ascii="Arial" w:hAnsi="Arial" w:cs="David"/>
          <w:sz w:val="24"/>
          <w:szCs w:val="24"/>
          <w:rtl/>
        </w:rPr>
        <w:t>מאסר על תנאי לתקופה של 6 חודשים. המאסר המותנה יופעל אם תוך תקופה של שלוש שנים מהיום יעבור הנאשם עבירה מסוג פשע לפי פקודת הסמים.</w:t>
      </w:r>
    </w:p>
    <w:p w14:paraId="4421FDCA" w14:textId="77777777" w:rsidR="00B46524" w:rsidRDefault="00B46524" w:rsidP="00B46524">
      <w:pPr>
        <w:pStyle w:val="aa"/>
        <w:spacing w:line="360" w:lineRule="auto"/>
        <w:jc w:val="both"/>
        <w:rPr>
          <w:rFonts w:ascii="Arial" w:hAnsi="Arial" w:cs="David"/>
          <w:sz w:val="24"/>
          <w:szCs w:val="24"/>
          <w:rtl/>
        </w:rPr>
      </w:pPr>
    </w:p>
    <w:p w14:paraId="67121110" w14:textId="77777777" w:rsidR="00B46524" w:rsidRDefault="00B46524" w:rsidP="00B46524">
      <w:pPr>
        <w:pStyle w:val="aa"/>
        <w:numPr>
          <w:ilvl w:val="0"/>
          <w:numId w:val="5"/>
        </w:numPr>
        <w:spacing w:line="360" w:lineRule="auto"/>
        <w:jc w:val="both"/>
        <w:rPr>
          <w:rFonts w:ascii="Arial" w:hAnsi="Arial" w:cs="David"/>
          <w:sz w:val="24"/>
          <w:szCs w:val="24"/>
        </w:rPr>
      </w:pPr>
      <w:r>
        <w:rPr>
          <w:rFonts w:ascii="Arial" w:hAnsi="Arial" w:cs="David"/>
          <w:sz w:val="24"/>
          <w:szCs w:val="24"/>
          <w:rtl/>
        </w:rPr>
        <w:t>קנס בסך 2,000 ₪</w:t>
      </w:r>
      <w:r w:rsidR="006B1485">
        <w:rPr>
          <w:rFonts w:ascii="Arial" w:hAnsi="Arial" w:cs="David"/>
          <w:sz w:val="24"/>
          <w:szCs w:val="24"/>
          <w:rtl/>
        </w:rPr>
        <w:t xml:space="preserve"> </w:t>
      </w:r>
      <w:r>
        <w:rPr>
          <w:rFonts w:ascii="Arial" w:hAnsi="Arial" w:cs="David"/>
          <w:sz w:val="24"/>
          <w:szCs w:val="24"/>
          <w:rtl/>
        </w:rPr>
        <w:t xml:space="preserve"> או חודש מאסר תמורתו. הקנס ישולם עד ליום 1.1.24.</w:t>
      </w:r>
    </w:p>
    <w:p w14:paraId="3B25751E" w14:textId="77777777" w:rsidR="00B46524" w:rsidRDefault="00B46524" w:rsidP="00B46524">
      <w:pPr>
        <w:spacing w:line="360" w:lineRule="auto"/>
        <w:rPr>
          <w:rFonts w:ascii="David" w:hAnsi="David"/>
          <w:b/>
          <w:bCs/>
          <w:rtl/>
        </w:rPr>
      </w:pPr>
    </w:p>
    <w:p w14:paraId="270AE5BA" w14:textId="77777777" w:rsidR="00B46524" w:rsidRDefault="00B46524" w:rsidP="00B46524">
      <w:pPr>
        <w:spacing w:line="360" w:lineRule="auto"/>
        <w:rPr>
          <w:rFonts w:ascii="David" w:hAnsi="David"/>
          <w:b/>
          <w:bCs/>
          <w:rtl/>
        </w:rPr>
      </w:pPr>
      <w:r>
        <w:rPr>
          <w:rFonts w:ascii="David" w:hAnsi="David"/>
          <w:b/>
          <w:bCs/>
          <w:rtl/>
        </w:rPr>
        <w:t xml:space="preserve">את הקנס ניתן לשלם כעבור  3 ימים מהיום באחת מהדרכים הבאות: </w:t>
      </w:r>
    </w:p>
    <w:p w14:paraId="681BE4A3" w14:textId="77777777" w:rsidR="00B46524" w:rsidRDefault="00B46524" w:rsidP="00B46524">
      <w:pPr>
        <w:numPr>
          <w:ilvl w:val="0"/>
          <w:numId w:val="6"/>
        </w:numPr>
        <w:spacing w:line="360" w:lineRule="auto"/>
        <w:rPr>
          <w:rFonts w:ascii="David" w:hAnsi="David"/>
          <w:b/>
          <w:bCs/>
        </w:rPr>
      </w:pPr>
      <w:r>
        <w:rPr>
          <w:rFonts w:ascii="David" w:hAnsi="David"/>
          <w:b/>
          <w:bCs/>
          <w:rtl/>
        </w:rPr>
        <w:t xml:space="preserve">בכרטיס אשראי – באתר המקוון של רשות האכיפה והגבייה, </w:t>
      </w:r>
      <w:r w:rsidRPr="00B46524">
        <w:rPr>
          <w:rFonts w:ascii="David" w:hAnsi="David"/>
          <w:b/>
          <w:bCs/>
          <w:color w:val="0563C1"/>
          <w:u w:val="single"/>
        </w:rPr>
        <w:t>www.eca.gov.il</w:t>
      </w:r>
      <w:r>
        <w:rPr>
          <w:rFonts w:ascii="David" w:hAnsi="David"/>
          <w:b/>
          <w:bCs/>
        </w:rPr>
        <w:t xml:space="preserve"> </w:t>
      </w:r>
      <w:r w:rsidR="006B1485">
        <w:rPr>
          <w:rFonts w:ascii="David" w:hAnsi="David"/>
          <w:b/>
          <w:bCs/>
          <w:rtl/>
        </w:rPr>
        <w:t xml:space="preserve"> </w:t>
      </w:r>
    </w:p>
    <w:p w14:paraId="111F39C7" w14:textId="77777777" w:rsidR="00B46524" w:rsidRDefault="00B46524" w:rsidP="00B46524">
      <w:pPr>
        <w:numPr>
          <w:ilvl w:val="0"/>
          <w:numId w:val="6"/>
        </w:numPr>
        <w:spacing w:line="360" w:lineRule="auto"/>
        <w:rPr>
          <w:rFonts w:ascii="David" w:hAnsi="David"/>
          <w:b/>
          <w:bCs/>
        </w:rPr>
      </w:pPr>
      <w:r>
        <w:rPr>
          <w:rFonts w:ascii="David" w:hAnsi="David"/>
          <w:b/>
          <w:bCs/>
          <w:rtl/>
        </w:rPr>
        <w:t>מוקד שירות טלפוני בשרות עצמי (מרכז גבייה)</w:t>
      </w:r>
      <w:r w:rsidR="006B1485">
        <w:rPr>
          <w:rFonts w:ascii="David" w:hAnsi="David"/>
          <w:b/>
          <w:bCs/>
          <w:rtl/>
        </w:rPr>
        <w:t xml:space="preserve"> </w:t>
      </w:r>
      <w:r>
        <w:rPr>
          <w:rFonts w:ascii="David" w:hAnsi="David"/>
          <w:b/>
          <w:bCs/>
          <w:rtl/>
        </w:rPr>
        <w:t xml:space="preserve"> – בטלפון 35592* או בטלפון 073-2055000</w:t>
      </w:r>
    </w:p>
    <w:p w14:paraId="75F844BB" w14:textId="77777777" w:rsidR="00B46524" w:rsidRDefault="00B46524" w:rsidP="00B46524">
      <w:pPr>
        <w:numPr>
          <w:ilvl w:val="0"/>
          <w:numId w:val="6"/>
        </w:numPr>
        <w:spacing w:line="360" w:lineRule="auto"/>
        <w:rPr>
          <w:rFonts w:ascii="David" w:hAnsi="David"/>
          <w:b/>
          <w:bCs/>
        </w:rPr>
      </w:pPr>
      <w:r>
        <w:rPr>
          <w:rFonts w:ascii="David" w:hAnsi="David"/>
          <w:b/>
          <w:bCs/>
          <w:rtl/>
        </w:rPr>
        <w:t>במזומן בכל סניף של בנק הדואר – בהצגת תעודת זהות בלבד (אין צורך בהצגת בשוברי תשלום).</w:t>
      </w:r>
    </w:p>
    <w:p w14:paraId="5071B80A" w14:textId="77777777" w:rsidR="00B46524" w:rsidRDefault="00B46524" w:rsidP="00B46524">
      <w:pPr>
        <w:pStyle w:val="aa"/>
        <w:spacing w:line="360" w:lineRule="auto"/>
        <w:jc w:val="both"/>
        <w:rPr>
          <w:rFonts w:cs="David"/>
          <w:sz w:val="24"/>
          <w:szCs w:val="24"/>
          <w:rtl/>
        </w:rPr>
      </w:pPr>
    </w:p>
    <w:p w14:paraId="35AE2615" w14:textId="77777777" w:rsidR="00B46524" w:rsidRDefault="00B46524" w:rsidP="00B46524">
      <w:pPr>
        <w:pStyle w:val="aa"/>
        <w:numPr>
          <w:ilvl w:val="0"/>
          <w:numId w:val="5"/>
        </w:numPr>
        <w:spacing w:line="360" w:lineRule="auto"/>
        <w:jc w:val="both"/>
        <w:rPr>
          <w:rFonts w:cs="David"/>
          <w:sz w:val="24"/>
          <w:szCs w:val="24"/>
        </w:rPr>
      </w:pPr>
      <w:r>
        <w:rPr>
          <w:rFonts w:ascii="Arial" w:hAnsi="Arial" w:cs="David"/>
          <w:sz w:val="24"/>
          <w:szCs w:val="24"/>
          <w:rtl/>
        </w:rPr>
        <w:t>פסילה מלקבל או להחזיק רישיון נהיגה על תנאי למשך 6 חודשים.</w:t>
      </w:r>
    </w:p>
    <w:p w14:paraId="74F7D449" w14:textId="77777777" w:rsidR="00B46524" w:rsidRDefault="00B46524" w:rsidP="00B46524">
      <w:pPr>
        <w:pStyle w:val="aa"/>
        <w:spacing w:line="360" w:lineRule="auto"/>
        <w:jc w:val="both"/>
        <w:rPr>
          <w:rFonts w:ascii="Arial" w:hAnsi="Arial" w:cs="David"/>
          <w:sz w:val="24"/>
          <w:szCs w:val="24"/>
        </w:rPr>
      </w:pPr>
      <w:r>
        <w:rPr>
          <w:rFonts w:ascii="Arial" w:hAnsi="Arial" w:cs="David"/>
          <w:sz w:val="24"/>
          <w:szCs w:val="24"/>
          <w:rtl/>
        </w:rPr>
        <w:t>הפסילה תופעל אם תוך תקופה של שנתיים מיום שחרורו ממאסר יעבור הנאשם עבירה לפי פקודת הסמים.</w:t>
      </w:r>
    </w:p>
    <w:p w14:paraId="6297DA7F" w14:textId="77777777" w:rsidR="00B46524" w:rsidRDefault="00B46524" w:rsidP="00B46524">
      <w:pPr>
        <w:spacing w:line="360" w:lineRule="auto"/>
        <w:jc w:val="both"/>
        <w:rPr>
          <w:rFonts w:ascii="Arial" w:hAnsi="Arial"/>
          <w:b/>
          <w:bCs/>
          <w:rtl/>
        </w:rPr>
      </w:pPr>
    </w:p>
    <w:p w14:paraId="76A61C37" w14:textId="77777777" w:rsidR="00B46524" w:rsidRDefault="00B46524" w:rsidP="00B46524">
      <w:pPr>
        <w:spacing w:line="360" w:lineRule="auto"/>
        <w:jc w:val="both"/>
        <w:rPr>
          <w:rFonts w:ascii="Calibri" w:hAnsi="Calibri"/>
          <w:b/>
          <w:bCs/>
          <w:rtl/>
        </w:rPr>
      </w:pPr>
      <w:r>
        <w:rPr>
          <w:rFonts w:ascii="Arial" w:hAnsi="Arial"/>
          <w:b/>
          <w:bCs/>
          <w:rtl/>
        </w:rPr>
        <w:t>ניתן בזאת צו להשמדת מוצג הסמים בכפוף לחלוף תקופת הערעור.</w:t>
      </w:r>
    </w:p>
    <w:p w14:paraId="5D956144" w14:textId="77777777" w:rsidR="00B46524" w:rsidRDefault="00B46524" w:rsidP="00B46524">
      <w:pPr>
        <w:spacing w:line="360" w:lineRule="auto"/>
        <w:jc w:val="both"/>
        <w:rPr>
          <w:rFonts w:ascii="Arial" w:hAnsi="Arial"/>
          <w:b/>
          <w:bCs/>
          <w:rtl/>
        </w:rPr>
      </w:pPr>
    </w:p>
    <w:p w14:paraId="46C14E23" w14:textId="77777777" w:rsidR="00B46524" w:rsidRDefault="00B46524" w:rsidP="00B46524">
      <w:pPr>
        <w:spacing w:line="360" w:lineRule="auto"/>
        <w:jc w:val="both"/>
        <w:rPr>
          <w:rFonts w:ascii="Arial" w:hAnsi="Arial"/>
          <w:b/>
          <w:bCs/>
          <w:rtl/>
        </w:rPr>
      </w:pPr>
      <w:r>
        <w:rPr>
          <w:rFonts w:ascii="Arial" w:hAnsi="Arial"/>
          <w:b/>
          <w:bCs/>
          <w:rtl/>
        </w:rPr>
        <w:t xml:space="preserve">המזכירות תעביר עותק מגזר הדין לממונה על עבודות השירות. </w:t>
      </w:r>
    </w:p>
    <w:p w14:paraId="00DF65CB" w14:textId="77777777" w:rsidR="00B46524" w:rsidRDefault="00B46524" w:rsidP="00B46524">
      <w:pPr>
        <w:spacing w:line="360" w:lineRule="auto"/>
        <w:jc w:val="both"/>
        <w:rPr>
          <w:rtl/>
        </w:rPr>
      </w:pPr>
    </w:p>
    <w:p w14:paraId="1550BE64" w14:textId="77777777" w:rsidR="00B46524" w:rsidRPr="00B46524" w:rsidRDefault="00B46524" w:rsidP="00B46524">
      <w:pPr>
        <w:spacing w:line="360" w:lineRule="auto"/>
        <w:jc w:val="both"/>
        <w:rPr>
          <w:rFonts w:ascii="Calibri" w:hAnsi="Calibri"/>
          <w:rtl/>
        </w:rPr>
      </w:pPr>
      <w:r>
        <w:rPr>
          <w:rtl/>
        </w:rPr>
        <w:t xml:space="preserve">זכות ערעור כחוק. </w:t>
      </w:r>
    </w:p>
    <w:p w14:paraId="55A4CB29" w14:textId="77777777" w:rsidR="00B46524" w:rsidRPr="006B1485" w:rsidRDefault="006B1485" w:rsidP="00B46524">
      <w:pPr>
        <w:spacing w:line="360" w:lineRule="auto"/>
        <w:rPr>
          <w:rFonts w:ascii="David" w:hAnsi="David"/>
          <w:color w:val="FFFFFF"/>
          <w:sz w:val="2"/>
          <w:szCs w:val="2"/>
          <w:rtl/>
        </w:rPr>
      </w:pPr>
      <w:r w:rsidRPr="006B1485">
        <w:rPr>
          <w:rFonts w:ascii="David" w:hAnsi="David"/>
          <w:color w:val="FFFFFF"/>
          <w:sz w:val="2"/>
          <w:szCs w:val="2"/>
          <w:rtl/>
        </w:rPr>
        <w:t>5129371</w:t>
      </w:r>
    </w:p>
    <w:p w14:paraId="2E12B827" w14:textId="77777777" w:rsidR="00B46524" w:rsidRPr="006B1485" w:rsidRDefault="006B1485" w:rsidP="00B46524">
      <w:pPr>
        <w:rPr>
          <w:rFonts w:ascii="Arial" w:hAnsi="Arial"/>
          <w:b/>
          <w:bCs/>
          <w:color w:val="FFFFFF"/>
          <w:sz w:val="2"/>
          <w:szCs w:val="2"/>
          <w:rtl/>
        </w:rPr>
      </w:pPr>
      <w:r w:rsidRPr="006B1485">
        <w:rPr>
          <w:rFonts w:ascii="Arial" w:hAnsi="Arial"/>
          <w:b/>
          <w:bCs/>
          <w:color w:val="FFFFFF"/>
          <w:sz w:val="2"/>
          <w:szCs w:val="2"/>
          <w:rtl/>
        </w:rPr>
        <w:t>54678313</w:t>
      </w:r>
    </w:p>
    <w:p w14:paraId="1F2F80A5" w14:textId="77777777" w:rsidR="00B46524" w:rsidRPr="000F2247" w:rsidRDefault="00B46524" w:rsidP="00B46524">
      <w:pPr>
        <w:rPr>
          <w:rFonts w:ascii="Arial" w:hAnsi="Arial"/>
          <w:b/>
          <w:bCs/>
          <w:sz w:val="26"/>
          <w:szCs w:val="26"/>
          <w:rtl/>
        </w:rPr>
      </w:pPr>
    </w:p>
    <w:p w14:paraId="7C66F090" w14:textId="77777777" w:rsidR="00B46524" w:rsidRPr="000F2247" w:rsidRDefault="006B1485" w:rsidP="00B4652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כ"א אלול תשפ"ג, 07 ספטמבר 2023, בהעדר הצדדים. </w:t>
      </w:r>
      <w:bookmarkEnd w:id="8"/>
      <w:r w:rsidR="00B46524">
        <w:rPr>
          <w:rFonts w:ascii="Arial" w:hAnsi="Arial"/>
          <w:b/>
          <w:bCs/>
          <w:sz w:val="26"/>
          <w:szCs w:val="26"/>
          <w:rtl/>
        </w:rPr>
        <w:tab/>
      </w:r>
      <w:r w:rsidR="00B46524">
        <w:rPr>
          <w:rFonts w:ascii="Arial" w:hAnsi="Arial"/>
          <w:b/>
          <w:bCs/>
          <w:sz w:val="26"/>
          <w:szCs w:val="26"/>
          <w:rtl/>
        </w:rPr>
        <w:tab/>
      </w:r>
      <w:r w:rsidR="00B46524">
        <w:rPr>
          <w:rFonts w:ascii="Arial" w:hAnsi="Arial"/>
          <w:b/>
          <w:bCs/>
          <w:sz w:val="26"/>
          <w:szCs w:val="26"/>
          <w:rtl/>
        </w:rPr>
        <w:tab/>
      </w:r>
      <w:r w:rsidR="00B46524">
        <w:rPr>
          <w:rFonts w:ascii="Arial" w:hAnsi="Arial"/>
          <w:b/>
          <w:bCs/>
          <w:sz w:val="26"/>
          <w:szCs w:val="26"/>
          <w:rtl/>
        </w:rPr>
        <w:tab/>
      </w:r>
      <w:r w:rsidR="00B46524">
        <w:rPr>
          <w:rFonts w:ascii="Arial" w:hAnsi="Arial"/>
          <w:b/>
          <w:bCs/>
          <w:sz w:val="26"/>
          <w:szCs w:val="26"/>
          <w:rtl/>
        </w:rPr>
        <w:tab/>
      </w:r>
      <w:r w:rsidR="00B46524">
        <w:rPr>
          <w:rFonts w:ascii="Arial" w:hAnsi="Arial"/>
          <w:b/>
          <w:bCs/>
          <w:sz w:val="26"/>
          <w:szCs w:val="26"/>
          <w:rtl/>
        </w:rPr>
        <w:tab/>
      </w:r>
      <w:r w:rsidR="00B46524">
        <w:rPr>
          <w:rFonts w:ascii="Arial" w:hAnsi="Arial"/>
          <w:b/>
          <w:bCs/>
          <w:sz w:val="26"/>
          <w:szCs w:val="26"/>
          <w:rtl/>
        </w:rPr>
        <w:tab/>
      </w:r>
      <w:r w:rsidR="00B46524">
        <w:rPr>
          <w:rFonts w:ascii="Arial" w:hAnsi="Arial" w:hint="cs"/>
          <w:b/>
          <w:bCs/>
          <w:sz w:val="26"/>
          <w:szCs w:val="26"/>
          <w:rtl/>
        </w:rPr>
        <w:t xml:space="preserve">         </w:t>
      </w:r>
    </w:p>
    <w:p w14:paraId="1427AE1D" w14:textId="77777777" w:rsidR="00B46524" w:rsidRPr="000F2247" w:rsidRDefault="00B46524" w:rsidP="006B148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14F544B" w14:textId="77777777" w:rsidR="00B46524" w:rsidRPr="000F2247" w:rsidRDefault="00B46524" w:rsidP="00B46524">
      <w:pPr>
        <w:jc w:val="center"/>
        <w:rPr>
          <w:rFonts w:ascii="Arial" w:hAnsi="Arial"/>
          <w:b/>
          <w:bCs/>
          <w:sz w:val="26"/>
          <w:szCs w:val="26"/>
          <w:rtl/>
        </w:rPr>
      </w:pPr>
    </w:p>
    <w:p w14:paraId="6B619F34" w14:textId="77777777" w:rsidR="0027793F" w:rsidRPr="006B1485" w:rsidRDefault="0027793F" w:rsidP="006B1485">
      <w:pPr>
        <w:keepNext/>
        <w:rPr>
          <w:rFonts w:ascii="David" w:hAnsi="David"/>
          <w:color w:val="000000"/>
          <w:sz w:val="22"/>
          <w:szCs w:val="22"/>
          <w:rtl/>
        </w:rPr>
      </w:pPr>
    </w:p>
    <w:p w14:paraId="1B25858E" w14:textId="77777777" w:rsidR="006B1485" w:rsidRPr="006B1485" w:rsidRDefault="006B1485" w:rsidP="006B1485">
      <w:pPr>
        <w:keepNext/>
        <w:rPr>
          <w:rFonts w:ascii="David" w:hAnsi="David"/>
          <w:color w:val="000000"/>
          <w:sz w:val="22"/>
          <w:szCs w:val="22"/>
          <w:rtl/>
        </w:rPr>
      </w:pPr>
      <w:r w:rsidRPr="006B1485">
        <w:rPr>
          <w:rFonts w:ascii="David" w:hAnsi="David"/>
          <w:color w:val="000000"/>
          <w:sz w:val="22"/>
          <w:szCs w:val="22"/>
          <w:rtl/>
        </w:rPr>
        <w:t>אחינעם צוריאל 54678313</w:t>
      </w:r>
    </w:p>
    <w:p w14:paraId="09814F36" w14:textId="77777777" w:rsidR="006B1485" w:rsidRDefault="006B1485" w:rsidP="006B1485">
      <w:r w:rsidRPr="006B1485">
        <w:rPr>
          <w:color w:val="000000"/>
          <w:rtl/>
        </w:rPr>
        <w:t>נוסח מסמך זה כפוף לשינויי ניסוח ועריכה</w:t>
      </w:r>
    </w:p>
    <w:p w14:paraId="40C88E0E" w14:textId="77777777" w:rsidR="006B1485" w:rsidRDefault="006B1485" w:rsidP="006B1485">
      <w:pPr>
        <w:rPr>
          <w:rtl/>
        </w:rPr>
      </w:pPr>
    </w:p>
    <w:p w14:paraId="68FE74D8" w14:textId="77777777" w:rsidR="006B1485" w:rsidRDefault="006B1485" w:rsidP="006B1485">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04D5606F" w14:textId="77777777" w:rsidR="006B1485" w:rsidRPr="006B1485" w:rsidRDefault="006B1485" w:rsidP="006B1485">
      <w:pPr>
        <w:jc w:val="center"/>
        <w:rPr>
          <w:color w:val="0000FF"/>
          <w:u w:val="single"/>
        </w:rPr>
      </w:pPr>
    </w:p>
    <w:sectPr w:rsidR="006B1485" w:rsidRPr="006B1485" w:rsidSect="006B1485">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8487" w14:textId="77777777" w:rsidR="003403C1" w:rsidRDefault="003403C1" w:rsidP="002174D2">
      <w:r>
        <w:separator/>
      </w:r>
    </w:p>
  </w:endnote>
  <w:endnote w:type="continuationSeparator" w:id="0">
    <w:p w14:paraId="50CF42E1" w14:textId="77777777" w:rsidR="003403C1" w:rsidRDefault="003403C1" w:rsidP="00217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FEB7E" w14:textId="77777777" w:rsidR="006B1485" w:rsidRDefault="006B1485" w:rsidP="006B148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D1A2DF2" w14:textId="77777777" w:rsidR="002A0FC5" w:rsidRPr="006B1485" w:rsidRDefault="006B1485" w:rsidP="006B148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5F2CE" w14:textId="77777777" w:rsidR="006B1485" w:rsidRDefault="006B1485" w:rsidP="006B148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2E03">
      <w:rPr>
        <w:rFonts w:ascii="FrankRuehl" w:hAnsi="FrankRuehl" w:cs="FrankRuehl"/>
        <w:noProof/>
        <w:rtl/>
      </w:rPr>
      <w:t>1</w:t>
    </w:r>
    <w:r>
      <w:rPr>
        <w:rFonts w:ascii="FrankRuehl" w:hAnsi="FrankRuehl" w:cs="FrankRuehl"/>
        <w:rtl/>
      </w:rPr>
      <w:fldChar w:fldCharType="end"/>
    </w:r>
  </w:p>
  <w:p w14:paraId="4910A6DF" w14:textId="77777777" w:rsidR="002A0FC5" w:rsidRPr="006B1485" w:rsidRDefault="006B1485" w:rsidP="006B148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AF8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219E3" w14:textId="77777777" w:rsidR="003403C1" w:rsidRDefault="003403C1" w:rsidP="002174D2">
      <w:r>
        <w:separator/>
      </w:r>
    </w:p>
  </w:footnote>
  <w:footnote w:type="continuationSeparator" w:id="0">
    <w:p w14:paraId="7096B97C" w14:textId="77777777" w:rsidR="003403C1" w:rsidRDefault="003403C1" w:rsidP="00217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61AF3" w14:textId="77777777" w:rsidR="006B1485" w:rsidRPr="006B1485" w:rsidRDefault="006B1485" w:rsidP="006B148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56566-08-20</w:t>
    </w:r>
    <w:r>
      <w:rPr>
        <w:rFonts w:ascii="David" w:hAnsi="David"/>
        <w:color w:val="000000"/>
        <w:sz w:val="22"/>
        <w:szCs w:val="22"/>
        <w:rtl/>
      </w:rPr>
      <w:tab/>
      <w:t xml:space="preserve"> מדינת ישראל נ' עאטף הואשלה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D0AF8" w14:textId="77777777" w:rsidR="006B1485" w:rsidRPr="006B1485" w:rsidRDefault="006B1485" w:rsidP="006B148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56566-08-20</w:t>
    </w:r>
    <w:r>
      <w:rPr>
        <w:rFonts w:ascii="David" w:hAnsi="David"/>
        <w:color w:val="000000"/>
        <w:sz w:val="22"/>
        <w:szCs w:val="22"/>
        <w:rtl/>
      </w:rPr>
      <w:tab/>
      <w:t xml:space="preserve"> מדינת ישראל נ' עאטף הואשלה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0F4D"/>
    <w:multiLevelType w:val="hybridMultilevel"/>
    <w:tmpl w:val="341C946E"/>
    <w:lvl w:ilvl="0" w:tplc="05561D48">
      <w:start w:val="1"/>
      <w:numFmt w:val="decimal"/>
      <w:lvlText w:val="%1."/>
      <w:lvlJc w:val="left"/>
      <w:pPr>
        <w:ind w:left="720" w:hanging="360"/>
      </w:pPr>
      <w:rPr>
        <w:b w:val="0"/>
        <w:bCs w:val="0"/>
      </w:rPr>
    </w:lvl>
    <w:lvl w:ilvl="1" w:tplc="F5624394">
      <w:start w:val="1"/>
      <w:numFmt w:val="lowerLetter"/>
      <w:lvlText w:val="%2."/>
      <w:lvlJc w:val="left"/>
      <w:pPr>
        <w:ind w:left="1440" w:hanging="360"/>
      </w:pPr>
    </w:lvl>
    <w:lvl w:ilvl="2" w:tplc="0C4E90F4">
      <w:start w:val="1"/>
      <w:numFmt w:val="lowerRoman"/>
      <w:lvlText w:val="%3."/>
      <w:lvlJc w:val="right"/>
      <w:pPr>
        <w:ind w:left="2160" w:hanging="180"/>
      </w:pPr>
    </w:lvl>
    <w:lvl w:ilvl="3" w:tplc="68EEFFB4">
      <w:start w:val="1"/>
      <w:numFmt w:val="decimal"/>
      <w:lvlText w:val="%4."/>
      <w:lvlJc w:val="left"/>
      <w:pPr>
        <w:ind w:left="2880" w:hanging="360"/>
      </w:pPr>
    </w:lvl>
    <w:lvl w:ilvl="4" w:tplc="66B0E942">
      <w:start w:val="1"/>
      <w:numFmt w:val="lowerLetter"/>
      <w:lvlText w:val="%5."/>
      <w:lvlJc w:val="left"/>
      <w:pPr>
        <w:ind w:left="3600" w:hanging="360"/>
      </w:pPr>
    </w:lvl>
    <w:lvl w:ilvl="5" w:tplc="175EBEE4">
      <w:start w:val="1"/>
      <w:numFmt w:val="lowerRoman"/>
      <w:lvlText w:val="%6."/>
      <w:lvlJc w:val="right"/>
      <w:pPr>
        <w:ind w:left="4320" w:hanging="180"/>
      </w:pPr>
    </w:lvl>
    <w:lvl w:ilvl="6" w:tplc="C58E64CA">
      <w:start w:val="1"/>
      <w:numFmt w:val="decimal"/>
      <w:lvlText w:val="%7."/>
      <w:lvlJc w:val="left"/>
      <w:pPr>
        <w:ind w:left="5040" w:hanging="360"/>
      </w:pPr>
    </w:lvl>
    <w:lvl w:ilvl="7" w:tplc="F95612D4">
      <w:start w:val="1"/>
      <w:numFmt w:val="lowerLetter"/>
      <w:lvlText w:val="%8."/>
      <w:lvlJc w:val="left"/>
      <w:pPr>
        <w:ind w:left="5760" w:hanging="360"/>
      </w:pPr>
    </w:lvl>
    <w:lvl w:ilvl="8" w:tplc="A0021C02">
      <w:start w:val="1"/>
      <w:numFmt w:val="lowerRoman"/>
      <w:lvlText w:val="%9."/>
      <w:lvlJc w:val="right"/>
      <w:pPr>
        <w:ind w:left="6480" w:hanging="180"/>
      </w:pPr>
    </w:lvl>
  </w:abstractNum>
  <w:abstractNum w:abstractNumId="1" w15:restartNumberingAfterBreak="0">
    <w:nsid w:val="0C787B79"/>
    <w:multiLevelType w:val="hybridMultilevel"/>
    <w:tmpl w:val="6C348D72"/>
    <w:lvl w:ilvl="0" w:tplc="B8B8179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E94639A"/>
    <w:multiLevelType w:val="hybridMultilevel"/>
    <w:tmpl w:val="539CD83A"/>
    <w:lvl w:ilvl="0" w:tplc="EA6CD020">
      <w:start w:val="1"/>
      <w:numFmt w:val="bullet"/>
      <w:lvlText w:val=""/>
      <w:lvlJc w:val="left"/>
      <w:pPr>
        <w:ind w:left="360" w:hanging="360"/>
      </w:pPr>
      <w:rPr>
        <w:rFonts w:ascii="Symbol" w:hAnsi="Symbol" w:hint="default"/>
      </w:rPr>
    </w:lvl>
    <w:lvl w:ilvl="1" w:tplc="04023B4A">
      <w:start w:val="1"/>
      <w:numFmt w:val="bullet"/>
      <w:lvlText w:val="o"/>
      <w:lvlJc w:val="left"/>
      <w:pPr>
        <w:ind w:left="1080" w:hanging="360"/>
      </w:pPr>
      <w:rPr>
        <w:rFonts w:ascii="Courier New" w:hAnsi="Courier New" w:cs="Times New Roman" w:hint="default"/>
      </w:rPr>
    </w:lvl>
    <w:lvl w:ilvl="2" w:tplc="F2B24848">
      <w:start w:val="1"/>
      <w:numFmt w:val="bullet"/>
      <w:lvlText w:val=""/>
      <w:lvlJc w:val="left"/>
      <w:pPr>
        <w:ind w:left="1800" w:hanging="360"/>
      </w:pPr>
      <w:rPr>
        <w:rFonts w:ascii="Wingdings" w:hAnsi="Wingdings" w:hint="default"/>
      </w:rPr>
    </w:lvl>
    <w:lvl w:ilvl="3" w:tplc="77300A3A">
      <w:start w:val="1"/>
      <w:numFmt w:val="bullet"/>
      <w:lvlText w:val=""/>
      <w:lvlJc w:val="left"/>
      <w:pPr>
        <w:ind w:left="2520" w:hanging="360"/>
      </w:pPr>
      <w:rPr>
        <w:rFonts w:ascii="Symbol" w:hAnsi="Symbol" w:hint="default"/>
      </w:rPr>
    </w:lvl>
    <w:lvl w:ilvl="4" w:tplc="B35663D0">
      <w:start w:val="1"/>
      <w:numFmt w:val="bullet"/>
      <w:lvlText w:val="o"/>
      <w:lvlJc w:val="left"/>
      <w:pPr>
        <w:ind w:left="3240" w:hanging="360"/>
      </w:pPr>
      <w:rPr>
        <w:rFonts w:ascii="Courier New" w:hAnsi="Courier New" w:cs="Times New Roman" w:hint="default"/>
      </w:rPr>
    </w:lvl>
    <w:lvl w:ilvl="5" w:tplc="8A66FB2C">
      <w:start w:val="1"/>
      <w:numFmt w:val="bullet"/>
      <w:lvlText w:val=""/>
      <w:lvlJc w:val="left"/>
      <w:pPr>
        <w:ind w:left="3960" w:hanging="360"/>
      </w:pPr>
      <w:rPr>
        <w:rFonts w:ascii="Wingdings" w:hAnsi="Wingdings" w:hint="default"/>
      </w:rPr>
    </w:lvl>
    <w:lvl w:ilvl="6" w:tplc="689CCA3E">
      <w:start w:val="1"/>
      <w:numFmt w:val="bullet"/>
      <w:lvlText w:val=""/>
      <w:lvlJc w:val="left"/>
      <w:pPr>
        <w:ind w:left="4680" w:hanging="360"/>
      </w:pPr>
      <w:rPr>
        <w:rFonts w:ascii="Symbol" w:hAnsi="Symbol" w:hint="default"/>
      </w:rPr>
    </w:lvl>
    <w:lvl w:ilvl="7" w:tplc="5B38EB4C">
      <w:start w:val="1"/>
      <w:numFmt w:val="bullet"/>
      <w:lvlText w:val="o"/>
      <w:lvlJc w:val="left"/>
      <w:pPr>
        <w:ind w:left="5400" w:hanging="360"/>
      </w:pPr>
      <w:rPr>
        <w:rFonts w:ascii="Courier New" w:hAnsi="Courier New" w:cs="Times New Roman" w:hint="default"/>
      </w:rPr>
    </w:lvl>
    <w:lvl w:ilvl="8" w:tplc="48B49C72">
      <w:start w:val="1"/>
      <w:numFmt w:val="bullet"/>
      <w:lvlText w:val=""/>
      <w:lvlJc w:val="left"/>
      <w:pPr>
        <w:ind w:left="6120" w:hanging="360"/>
      </w:pPr>
      <w:rPr>
        <w:rFonts w:ascii="Wingdings" w:hAnsi="Wingdings" w:hint="default"/>
      </w:rPr>
    </w:lvl>
  </w:abstractNum>
  <w:abstractNum w:abstractNumId="3" w15:restartNumberingAfterBreak="0">
    <w:nsid w:val="2305327E"/>
    <w:multiLevelType w:val="hybridMultilevel"/>
    <w:tmpl w:val="165AC70A"/>
    <w:lvl w:ilvl="0" w:tplc="6A3AB186">
      <w:start w:val="1"/>
      <w:numFmt w:val="hebrew1"/>
      <w:lvlText w:val="%1."/>
      <w:lvlJc w:val="left"/>
      <w:pPr>
        <w:ind w:left="1080" w:hanging="360"/>
      </w:pPr>
      <w:rPr>
        <w:rFonts w:ascii="David" w:eastAsia="Times New Roman" w:hAnsi="David" w:cs="David"/>
      </w:rPr>
    </w:lvl>
    <w:lvl w:ilvl="1" w:tplc="FD28AE98">
      <w:start w:val="1"/>
      <w:numFmt w:val="lowerLetter"/>
      <w:lvlText w:val="%2."/>
      <w:lvlJc w:val="left"/>
      <w:pPr>
        <w:ind w:left="1800" w:hanging="360"/>
      </w:pPr>
      <w:rPr>
        <w:rFonts w:cs="Times New Roman"/>
      </w:rPr>
    </w:lvl>
    <w:lvl w:ilvl="2" w:tplc="A372CF0C">
      <w:start w:val="1"/>
      <w:numFmt w:val="lowerRoman"/>
      <w:lvlText w:val="%3."/>
      <w:lvlJc w:val="right"/>
      <w:pPr>
        <w:ind w:left="2520" w:hanging="180"/>
      </w:pPr>
      <w:rPr>
        <w:rFonts w:cs="Times New Roman"/>
      </w:rPr>
    </w:lvl>
    <w:lvl w:ilvl="3" w:tplc="B4883748">
      <w:start w:val="1"/>
      <w:numFmt w:val="decimal"/>
      <w:lvlText w:val="%4."/>
      <w:lvlJc w:val="left"/>
      <w:pPr>
        <w:ind w:left="3240" w:hanging="360"/>
      </w:pPr>
      <w:rPr>
        <w:rFonts w:cs="Times New Roman"/>
      </w:rPr>
    </w:lvl>
    <w:lvl w:ilvl="4" w:tplc="44783278">
      <w:start w:val="1"/>
      <w:numFmt w:val="lowerLetter"/>
      <w:lvlText w:val="%5."/>
      <w:lvlJc w:val="left"/>
      <w:pPr>
        <w:ind w:left="3960" w:hanging="360"/>
      </w:pPr>
      <w:rPr>
        <w:rFonts w:cs="Times New Roman"/>
      </w:rPr>
    </w:lvl>
    <w:lvl w:ilvl="5" w:tplc="754A1F00">
      <w:start w:val="1"/>
      <w:numFmt w:val="lowerRoman"/>
      <w:lvlText w:val="%6."/>
      <w:lvlJc w:val="right"/>
      <w:pPr>
        <w:ind w:left="4680" w:hanging="180"/>
      </w:pPr>
      <w:rPr>
        <w:rFonts w:cs="Times New Roman"/>
      </w:rPr>
    </w:lvl>
    <w:lvl w:ilvl="6" w:tplc="C06A5072">
      <w:start w:val="1"/>
      <w:numFmt w:val="decimal"/>
      <w:lvlText w:val="%7."/>
      <w:lvlJc w:val="left"/>
      <w:pPr>
        <w:ind w:left="5400" w:hanging="360"/>
      </w:pPr>
      <w:rPr>
        <w:rFonts w:cs="Times New Roman"/>
      </w:rPr>
    </w:lvl>
    <w:lvl w:ilvl="7" w:tplc="BDD89C36">
      <w:start w:val="1"/>
      <w:numFmt w:val="lowerLetter"/>
      <w:lvlText w:val="%8."/>
      <w:lvlJc w:val="left"/>
      <w:pPr>
        <w:ind w:left="6120" w:hanging="360"/>
      </w:pPr>
      <w:rPr>
        <w:rFonts w:cs="Times New Roman"/>
      </w:rPr>
    </w:lvl>
    <w:lvl w:ilvl="8" w:tplc="4EA0B5D4">
      <w:start w:val="1"/>
      <w:numFmt w:val="lowerRoman"/>
      <w:lvlText w:val="%9."/>
      <w:lvlJc w:val="right"/>
      <w:pPr>
        <w:ind w:left="6840" w:hanging="180"/>
      </w:pPr>
      <w:rPr>
        <w:rFonts w:cs="Times New Roman"/>
      </w:rPr>
    </w:lvl>
  </w:abstractNum>
  <w:abstractNum w:abstractNumId="4" w15:restartNumberingAfterBreak="0">
    <w:nsid w:val="37D81929"/>
    <w:multiLevelType w:val="hybridMultilevel"/>
    <w:tmpl w:val="754C464A"/>
    <w:lvl w:ilvl="0" w:tplc="A4ACDB6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A7563C5"/>
    <w:multiLevelType w:val="hybridMultilevel"/>
    <w:tmpl w:val="B8D8D2A4"/>
    <w:lvl w:ilvl="0" w:tplc="172A2832">
      <w:start w:val="1"/>
      <w:numFmt w:val="hebrew1"/>
      <w:lvlText w:val="%1."/>
      <w:lvlJc w:val="left"/>
      <w:pPr>
        <w:ind w:left="1080" w:hanging="360"/>
      </w:pPr>
    </w:lvl>
    <w:lvl w:ilvl="1" w:tplc="5958F276">
      <w:start w:val="1"/>
      <w:numFmt w:val="lowerLetter"/>
      <w:lvlText w:val="%2."/>
      <w:lvlJc w:val="left"/>
      <w:pPr>
        <w:ind w:left="1800" w:hanging="360"/>
      </w:pPr>
    </w:lvl>
    <w:lvl w:ilvl="2" w:tplc="5BE84D52">
      <w:start w:val="1"/>
      <w:numFmt w:val="lowerRoman"/>
      <w:lvlText w:val="%3."/>
      <w:lvlJc w:val="right"/>
      <w:pPr>
        <w:ind w:left="2520" w:hanging="180"/>
      </w:pPr>
    </w:lvl>
    <w:lvl w:ilvl="3" w:tplc="9F8E8C76">
      <w:start w:val="1"/>
      <w:numFmt w:val="decimal"/>
      <w:lvlText w:val="%4."/>
      <w:lvlJc w:val="left"/>
      <w:pPr>
        <w:ind w:left="3240" w:hanging="360"/>
      </w:pPr>
    </w:lvl>
    <w:lvl w:ilvl="4" w:tplc="1402F242">
      <w:start w:val="1"/>
      <w:numFmt w:val="lowerLetter"/>
      <w:lvlText w:val="%5."/>
      <w:lvlJc w:val="left"/>
      <w:pPr>
        <w:ind w:left="3960" w:hanging="360"/>
      </w:pPr>
    </w:lvl>
    <w:lvl w:ilvl="5" w:tplc="96560B8C">
      <w:start w:val="1"/>
      <w:numFmt w:val="lowerRoman"/>
      <w:lvlText w:val="%6."/>
      <w:lvlJc w:val="right"/>
      <w:pPr>
        <w:ind w:left="4680" w:hanging="180"/>
      </w:pPr>
    </w:lvl>
    <w:lvl w:ilvl="6" w:tplc="445E5C44">
      <w:start w:val="1"/>
      <w:numFmt w:val="decimal"/>
      <w:lvlText w:val="%7."/>
      <w:lvlJc w:val="left"/>
      <w:pPr>
        <w:ind w:left="5400" w:hanging="360"/>
      </w:pPr>
    </w:lvl>
    <w:lvl w:ilvl="7" w:tplc="EF0AF856">
      <w:start w:val="1"/>
      <w:numFmt w:val="lowerLetter"/>
      <w:lvlText w:val="%8."/>
      <w:lvlJc w:val="left"/>
      <w:pPr>
        <w:ind w:left="6120" w:hanging="360"/>
      </w:pPr>
    </w:lvl>
    <w:lvl w:ilvl="8" w:tplc="8FB8ED94">
      <w:start w:val="1"/>
      <w:numFmt w:val="lowerRoman"/>
      <w:lvlText w:val="%9."/>
      <w:lvlJc w:val="right"/>
      <w:pPr>
        <w:ind w:left="6840" w:hanging="180"/>
      </w:pPr>
    </w:lvl>
  </w:abstractNum>
  <w:num w:numId="1" w16cid:durableId="1063872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50939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17849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64087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32386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1833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6524"/>
    <w:rsid w:val="001B1428"/>
    <w:rsid w:val="002174D2"/>
    <w:rsid w:val="0027793F"/>
    <w:rsid w:val="002A0FC5"/>
    <w:rsid w:val="002C064C"/>
    <w:rsid w:val="003403C1"/>
    <w:rsid w:val="00415FA5"/>
    <w:rsid w:val="00453633"/>
    <w:rsid w:val="00642E03"/>
    <w:rsid w:val="006B1485"/>
    <w:rsid w:val="00722CD3"/>
    <w:rsid w:val="00A912ED"/>
    <w:rsid w:val="00AD7F4D"/>
    <w:rsid w:val="00B46524"/>
    <w:rsid w:val="00CB3330"/>
    <w:rsid w:val="00D34690"/>
    <w:rsid w:val="00E009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CFC4C7"/>
  <w15:chartTrackingRefBased/>
  <w15:docId w15:val="{16858920-1FA6-4F6B-8E42-BA8FE611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652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6524"/>
    <w:pPr>
      <w:tabs>
        <w:tab w:val="center" w:pos="4153"/>
        <w:tab w:val="right" w:pos="8306"/>
      </w:tabs>
    </w:pPr>
  </w:style>
  <w:style w:type="character" w:customStyle="1" w:styleId="a4">
    <w:name w:val="כותרת עליונה תו"/>
    <w:link w:val="a3"/>
    <w:rsid w:val="00B46524"/>
    <w:rPr>
      <w:rFonts w:ascii="Times New Roman" w:eastAsia="Times New Roman" w:hAnsi="Times New Roman" w:cs="David"/>
      <w:sz w:val="24"/>
      <w:szCs w:val="24"/>
    </w:rPr>
  </w:style>
  <w:style w:type="paragraph" w:styleId="a5">
    <w:name w:val="footer"/>
    <w:basedOn w:val="a"/>
    <w:link w:val="a6"/>
    <w:rsid w:val="00B46524"/>
    <w:pPr>
      <w:tabs>
        <w:tab w:val="center" w:pos="4153"/>
        <w:tab w:val="right" w:pos="8306"/>
      </w:tabs>
    </w:pPr>
  </w:style>
  <w:style w:type="character" w:customStyle="1" w:styleId="a6">
    <w:name w:val="כותרת תחתונה תו"/>
    <w:link w:val="a5"/>
    <w:rsid w:val="00B46524"/>
    <w:rPr>
      <w:rFonts w:ascii="Times New Roman" w:eastAsia="Times New Roman" w:hAnsi="Times New Roman" w:cs="David"/>
      <w:sz w:val="24"/>
      <w:szCs w:val="24"/>
    </w:rPr>
  </w:style>
  <w:style w:type="table" w:styleId="a7">
    <w:name w:val="Table Grid"/>
    <w:basedOn w:val="a1"/>
    <w:rsid w:val="00B4652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6524"/>
  </w:style>
  <w:style w:type="character" w:customStyle="1" w:styleId="a9">
    <w:name w:val="פיסקת רשימה תו"/>
    <w:link w:val="aa"/>
    <w:locked/>
    <w:rsid w:val="00B46524"/>
    <w:rPr>
      <w:rFonts w:cs="Arial"/>
    </w:rPr>
  </w:style>
  <w:style w:type="paragraph" w:styleId="aa">
    <w:name w:val="List Paragraph"/>
    <w:basedOn w:val="a"/>
    <w:link w:val="a9"/>
    <w:qFormat/>
    <w:rsid w:val="00B46524"/>
    <w:pPr>
      <w:spacing w:after="160" w:line="256" w:lineRule="auto"/>
      <w:ind w:left="720"/>
      <w:contextualSpacing/>
    </w:pPr>
    <w:rPr>
      <w:rFonts w:ascii="Calibri" w:eastAsia="Calibri" w:hAnsi="Calibri" w:cs="Arial"/>
      <w:sz w:val="22"/>
      <w:szCs w:val="22"/>
    </w:rPr>
  </w:style>
  <w:style w:type="paragraph" w:customStyle="1" w:styleId="filenumber0">
    <w:name w:val="filenumber0"/>
    <w:basedOn w:val="a"/>
    <w:rsid w:val="00B46524"/>
    <w:pPr>
      <w:bidi w:val="0"/>
      <w:spacing w:before="100" w:beforeAutospacing="1" w:after="100" w:afterAutospacing="1"/>
    </w:pPr>
    <w:rPr>
      <w:rFonts w:cs="Times New Roman"/>
    </w:rPr>
  </w:style>
  <w:style w:type="character" w:styleId="Hyperlink">
    <w:name w:val="Hyperlink"/>
    <w:rsid w:val="006B14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0033641" TargetMode="External"/><Relationship Id="rId26" Type="http://schemas.openxmlformats.org/officeDocument/2006/relationships/hyperlink" Target="http://www.nevo.co.il/case/29200734" TargetMode="External"/><Relationship Id="rId39" Type="http://schemas.openxmlformats.org/officeDocument/2006/relationships/hyperlink" Target="http://www.nevo.co.il/case/26406170"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849541" TargetMode="External"/><Relationship Id="rId42" Type="http://schemas.openxmlformats.org/officeDocument/2006/relationships/hyperlink" Target="http://www.nevo.co.il/case/24211209" TargetMode="External"/><Relationship Id="rId47" Type="http://schemas.openxmlformats.org/officeDocument/2006/relationships/hyperlink" Target="http://www.nevo.co.il/case/25924900"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9" Type="http://schemas.openxmlformats.org/officeDocument/2006/relationships/hyperlink" Target="http://www.nevo.co.il/case/28710074"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4323" TargetMode="External"/><Relationship Id="rId32" Type="http://schemas.openxmlformats.org/officeDocument/2006/relationships/hyperlink" Target="http://www.nevo.co.il/case/6021937" TargetMode="External"/><Relationship Id="rId37" Type="http://schemas.openxmlformats.org/officeDocument/2006/relationships/hyperlink" Target="http://www.nevo.co.il/case/27361147" TargetMode="External"/><Relationship Id="rId40" Type="http://schemas.openxmlformats.org/officeDocument/2006/relationships/hyperlink" Target="http://www.nevo.co.il/case/18118326" TargetMode="External"/><Relationship Id="rId45" Type="http://schemas.openxmlformats.org/officeDocument/2006/relationships/hyperlink" Target="http://www.nevo.co.il/case/23825945"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case/21477662" TargetMode="External"/><Relationship Id="rId31" Type="http://schemas.openxmlformats.org/officeDocument/2006/relationships/hyperlink" Target="http://www.nevo.co.il/case/5808394" TargetMode="External"/><Relationship Id="rId44" Type="http://schemas.openxmlformats.org/officeDocument/2006/relationships/hyperlink" Target="http://www.nevo.co.il/case/27734970"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1644133" TargetMode="External"/><Relationship Id="rId27" Type="http://schemas.openxmlformats.org/officeDocument/2006/relationships/hyperlink" Target="http://www.nevo.co.il/case/28362589" TargetMode="External"/><Relationship Id="rId30" Type="http://schemas.openxmlformats.org/officeDocument/2006/relationships/hyperlink" Target="http://www.nevo.co.il/case/17944047" TargetMode="External"/><Relationship Id="rId35" Type="http://schemas.openxmlformats.org/officeDocument/2006/relationships/hyperlink" Target="http://www.nevo.co.il/case/5796641" TargetMode="External"/><Relationship Id="rId43" Type="http://schemas.openxmlformats.org/officeDocument/2006/relationships/hyperlink" Target="http://www.nevo.co.il/case/22183077" TargetMode="External"/><Relationship Id="rId48" Type="http://schemas.openxmlformats.org/officeDocument/2006/relationships/hyperlink" Target="http://www.nevo.co.il/case/26001803" TargetMode="External"/><Relationship Id="rId56"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323"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9396498" TargetMode="External"/><Relationship Id="rId33" Type="http://schemas.openxmlformats.org/officeDocument/2006/relationships/hyperlink" Target="http://www.nevo.co.il/case/17939545" TargetMode="External"/><Relationship Id="rId38" Type="http://schemas.openxmlformats.org/officeDocument/2006/relationships/hyperlink" Target="http://www.nevo.co.il/case/28446319" TargetMode="External"/><Relationship Id="rId46" Type="http://schemas.openxmlformats.org/officeDocument/2006/relationships/hyperlink" Target="http://www.nevo.co.il/case/16947259" TargetMode="External"/><Relationship Id="rId20" Type="http://schemas.openxmlformats.org/officeDocument/2006/relationships/hyperlink" Target="http://www.nevo.co.il/case/5763166" TargetMode="External"/><Relationship Id="rId41" Type="http://schemas.openxmlformats.org/officeDocument/2006/relationships/hyperlink" Target="http://www.nevo.co.il/case/27871630"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28804059" TargetMode="External"/><Relationship Id="rId23" Type="http://schemas.openxmlformats.org/officeDocument/2006/relationships/hyperlink" Target="http://www.nevo.co.il/case/5805976" TargetMode="External"/><Relationship Id="rId28" Type="http://schemas.openxmlformats.org/officeDocument/2006/relationships/hyperlink" Target="http://www.nevo.co.il/case/28190928" TargetMode="External"/><Relationship Id="rId36" Type="http://schemas.openxmlformats.org/officeDocument/2006/relationships/hyperlink" Target="http://www.nevo.co.il/case/29396498" TargetMode="External"/><Relationship Id="rId49" Type="http://schemas.openxmlformats.org/officeDocument/2006/relationships/hyperlink" Target="http://www.nevo.co.il/case/2265263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3733</Words>
  <Characters>18669</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22358</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3473525</vt:i4>
      </vt:variant>
      <vt:variant>
        <vt:i4>126</vt:i4>
      </vt:variant>
      <vt:variant>
        <vt:i4>0</vt:i4>
      </vt:variant>
      <vt:variant>
        <vt:i4>5</vt:i4>
      </vt:variant>
      <vt:variant>
        <vt:lpwstr>http://www.nevo.co.il/case/22652637</vt:lpwstr>
      </vt:variant>
      <vt:variant>
        <vt:lpwstr/>
      </vt:variant>
      <vt:variant>
        <vt:i4>3342458</vt:i4>
      </vt:variant>
      <vt:variant>
        <vt:i4>123</vt:i4>
      </vt:variant>
      <vt:variant>
        <vt:i4>0</vt:i4>
      </vt:variant>
      <vt:variant>
        <vt:i4>5</vt:i4>
      </vt:variant>
      <vt:variant>
        <vt:lpwstr>http://www.nevo.co.il/case/26001803</vt:lpwstr>
      </vt:variant>
      <vt:variant>
        <vt:lpwstr/>
      </vt:variant>
      <vt:variant>
        <vt:i4>4128890</vt:i4>
      </vt:variant>
      <vt:variant>
        <vt:i4>120</vt:i4>
      </vt:variant>
      <vt:variant>
        <vt:i4>0</vt:i4>
      </vt:variant>
      <vt:variant>
        <vt:i4>5</vt:i4>
      </vt:variant>
      <vt:variant>
        <vt:lpwstr>http://www.nevo.co.il/case/25924900</vt:lpwstr>
      </vt:variant>
      <vt:variant>
        <vt:lpwstr/>
      </vt:variant>
      <vt:variant>
        <vt:i4>3801204</vt:i4>
      </vt:variant>
      <vt:variant>
        <vt:i4>117</vt:i4>
      </vt:variant>
      <vt:variant>
        <vt:i4>0</vt:i4>
      </vt:variant>
      <vt:variant>
        <vt:i4>5</vt:i4>
      </vt:variant>
      <vt:variant>
        <vt:lpwstr>http://www.nevo.co.il/case/16947259</vt:lpwstr>
      </vt:variant>
      <vt:variant>
        <vt:lpwstr/>
      </vt:variant>
      <vt:variant>
        <vt:i4>3866748</vt:i4>
      </vt:variant>
      <vt:variant>
        <vt:i4>114</vt:i4>
      </vt:variant>
      <vt:variant>
        <vt:i4>0</vt:i4>
      </vt:variant>
      <vt:variant>
        <vt:i4>5</vt:i4>
      </vt:variant>
      <vt:variant>
        <vt:lpwstr>http://www.nevo.co.il/case/23825945</vt:lpwstr>
      </vt:variant>
      <vt:variant>
        <vt:lpwstr/>
      </vt:variant>
      <vt:variant>
        <vt:i4>3539065</vt:i4>
      </vt:variant>
      <vt:variant>
        <vt:i4>111</vt:i4>
      </vt:variant>
      <vt:variant>
        <vt:i4>0</vt:i4>
      </vt:variant>
      <vt:variant>
        <vt:i4>5</vt:i4>
      </vt:variant>
      <vt:variant>
        <vt:lpwstr>http://www.nevo.co.il/case/27734970</vt:lpwstr>
      </vt:variant>
      <vt:variant>
        <vt:lpwstr/>
      </vt:variant>
      <vt:variant>
        <vt:i4>3604606</vt:i4>
      </vt:variant>
      <vt:variant>
        <vt:i4>108</vt:i4>
      </vt:variant>
      <vt:variant>
        <vt:i4>0</vt:i4>
      </vt:variant>
      <vt:variant>
        <vt:i4>5</vt:i4>
      </vt:variant>
      <vt:variant>
        <vt:lpwstr>http://www.nevo.co.il/case/22183077</vt:lpwstr>
      </vt:variant>
      <vt:variant>
        <vt:lpwstr/>
      </vt:variant>
      <vt:variant>
        <vt:i4>3211379</vt:i4>
      </vt:variant>
      <vt:variant>
        <vt:i4>105</vt:i4>
      </vt:variant>
      <vt:variant>
        <vt:i4>0</vt:i4>
      </vt:variant>
      <vt:variant>
        <vt:i4>5</vt:i4>
      </vt:variant>
      <vt:variant>
        <vt:lpwstr>http://www.nevo.co.il/case/24211209</vt:lpwstr>
      </vt:variant>
      <vt:variant>
        <vt:lpwstr/>
      </vt:variant>
      <vt:variant>
        <vt:i4>3670130</vt:i4>
      </vt:variant>
      <vt:variant>
        <vt:i4>102</vt:i4>
      </vt:variant>
      <vt:variant>
        <vt:i4>0</vt:i4>
      </vt:variant>
      <vt:variant>
        <vt:i4>5</vt:i4>
      </vt:variant>
      <vt:variant>
        <vt:lpwstr>http://www.nevo.co.il/case/27871630</vt:lpwstr>
      </vt:variant>
      <vt:variant>
        <vt:lpwstr/>
      </vt:variant>
      <vt:variant>
        <vt:i4>3801214</vt:i4>
      </vt:variant>
      <vt:variant>
        <vt:i4>99</vt:i4>
      </vt:variant>
      <vt:variant>
        <vt:i4>0</vt:i4>
      </vt:variant>
      <vt:variant>
        <vt:i4>5</vt:i4>
      </vt:variant>
      <vt:variant>
        <vt:lpwstr>http://www.nevo.co.il/case/18118326</vt:lpwstr>
      </vt:variant>
      <vt:variant>
        <vt:lpwstr/>
      </vt:variant>
      <vt:variant>
        <vt:i4>3604595</vt:i4>
      </vt:variant>
      <vt:variant>
        <vt:i4>96</vt:i4>
      </vt:variant>
      <vt:variant>
        <vt:i4>0</vt:i4>
      </vt:variant>
      <vt:variant>
        <vt:i4>5</vt:i4>
      </vt:variant>
      <vt:variant>
        <vt:lpwstr>http://www.nevo.co.il/case/26406170</vt:lpwstr>
      </vt:variant>
      <vt:variant>
        <vt:lpwstr/>
      </vt:variant>
      <vt:variant>
        <vt:i4>3211387</vt:i4>
      </vt:variant>
      <vt:variant>
        <vt:i4>93</vt:i4>
      </vt:variant>
      <vt:variant>
        <vt:i4>0</vt:i4>
      </vt:variant>
      <vt:variant>
        <vt:i4>5</vt:i4>
      </vt:variant>
      <vt:variant>
        <vt:lpwstr>http://www.nevo.co.il/case/28446319</vt:lpwstr>
      </vt:variant>
      <vt:variant>
        <vt:lpwstr/>
      </vt:variant>
      <vt:variant>
        <vt:i4>3407988</vt:i4>
      </vt:variant>
      <vt:variant>
        <vt:i4>90</vt:i4>
      </vt:variant>
      <vt:variant>
        <vt:i4>0</vt:i4>
      </vt:variant>
      <vt:variant>
        <vt:i4>5</vt:i4>
      </vt:variant>
      <vt:variant>
        <vt:lpwstr>http://www.nevo.co.il/case/27361147</vt:lpwstr>
      </vt:variant>
      <vt:variant>
        <vt:lpwstr/>
      </vt:variant>
      <vt:variant>
        <vt:i4>4063344</vt:i4>
      </vt:variant>
      <vt:variant>
        <vt:i4>87</vt:i4>
      </vt:variant>
      <vt:variant>
        <vt:i4>0</vt:i4>
      </vt:variant>
      <vt:variant>
        <vt:i4>5</vt:i4>
      </vt:variant>
      <vt:variant>
        <vt:lpwstr>http://www.nevo.co.il/case/29396498</vt:lpwstr>
      </vt:variant>
      <vt:variant>
        <vt:lpwstr/>
      </vt:variant>
      <vt:variant>
        <vt:i4>3866737</vt:i4>
      </vt:variant>
      <vt:variant>
        <vt:i4>84</vt:i4>
      </vt:variant>
      <vt:variant>
        <vt:i4>0</vt:i4>
      </vt:variant>
      <vt:variant>
        <vt:i4>5</vt:i4>
      </vt:variant>
      <vt:variant>
        <vt:lpwstr>http://www.nevo.co.il/case/5796641</vt:lpwstr>
      </vt:variant>
      <vt:variant>
        <vt:lpwstr/>
      </vt:variant>
      <vt:variant>
        <vt:i4>3473521</vt:i4>
      </vt:variant>
      <vt:variant>
        <vt:i4>81</vt:i4>
      </vt:variant>
      <vt:variant>
        <vt:i4>0</vt:i4>
      </vt:variant>
      <vt:variant>
        <vt:i4>5</vt:i4>
      </vt:variant>
      <vt:variant>
        <vt:lpwstr>http://www.nevo.co.il/case/5849541</vt:lpwstr>
      </vt:variant>
      <vt:variant>
        <vt:lpwstr/>
      </vt:variant>
      <vt:variant>
        <vt:i4>3473525</vt:i4>
      </vt:variant>
      <vt:variant>
        <vt:i4>78</vt:i4>
      </vt:variant>
      <vt:variant>
        <vt:i4>0</vt:i4>
      </vt:variant>
      <vt:variant>
        <vt:i4>5</vt:i4>
      </vt:variant>
      <vt:variant>
        <vt:lpwstr>http://www.nevo.co.il/case/17939545</vt:lpwstr>
      </vt:variant>
      <vt:variant>
        <vt:lpwstr/>
      </vt:variant>
      <vt:variant>
        <vt:i4>3801206</vt:i4>
      </vt:variant>
      <vt:variant>
        <vt:i4>75</vt:i4>
      </vt:variant>
      <vt:variant>
        <vt:i4>0</vt:i4>
      </vt:variant>
      <vt:variant>
        <vt:i4>5</vt:i4>
      </vt:variant>
      <vt:variant>
        <vt:lpwstr>http://www.nevo.co.il/case/6021937</vt:lpwstr>
      </vt:variant>
      <vt:variant>
        <vt:lpwstr/>
      </vt:variant>
      <vt:variant>
        <vt:i4>3276925</vt:i4>
      </vt:variant>
      <vt:variant>
        <vt:i4>72</vt:i4>
      </vt:variant>
      <vt:variant>
        <vt:i4>0</vt:i4>
      </vt:variant>
      <vt:variant>
        <vt:i4>5</vt:i4>
      </vt:variant>
      <vt:variant>
        <vt:lpwstr>http://www.nevo.co.il/case/5808394</vt:lpwstr>
      </vt:variant>
      <vt:variant>
        <vt:lpwstr/>
      </vt:variant>
      <vt:variant>
        <vt:i4>3670135</vt:i4>
      </vt:variant>
      <vt:variant>
        <vt:i4>69</vt:i4>
      </vt:variant>
      <vt:variant>
        <vt:i4>0</vt:i4>
      </vt:variant>
      <vt:variant>
        <vt:i4>5</vt:i4>
      </vt:variant>
      <vt:variant>
        <vt:lpwstr>http://www.nevo.co.il/case/17944047</vt:lpwstr>
      </vt:variant>
      <vt:variant>
        <vt:lpwstr/>
      </vt:variant>
      <vt:variant>
        <vt:i4>3276925</vt:i4>
      </vt:variant>
      <vt:variant>
        <vt:i4>66</vt:i4>
      </vt:variant>
      <vt:variant>
        <vt:i4>0</vt:i4>
      </vt:variant>
      <vt:variant>
        <vt:i4>5</vt:i4>
      </vt:variant>
      <vt:variant>
        <vt:lpwstr>http://www.nevo.co.il/case/28710074</vt:lpwstr>
      </vt:variant>
      <vt:variant>
        <vt:lpwstr/>
      </vt:variant>
      <vt:variant>
        <vt:i4>3211388</vt:i4>
      </vt:variant>
      <vt:variant>
        <vt:i4>63</vt:i4>
      </vt:variant>
      <vt:variant>
        <vt:i4>0</vt:i4>
      </vt:variant>
      <vt:variant>
        <vt:i4>5</vt:i4>
      </vt:variant>
      <vt:variant>
        <vt:lpwstr>http://www.nevo.co.il/case/28190928</vt:lpwstr>
      </vt:variant>
      <vt:variant>
        <vt:lpwstr/>
      </vt:variant>
      <vt:variant>
        <vt:i4>3866751</vt:i4>
      </vt:variant>
      <vt:variant>
        <vt:i4>60</vt:i4>
      </vt:variant>
      <vt:variant>
        <vt:i4>0</vt:i4>
      </vt:variant>
      <vt:variant>
        <vt:i4>5</vt:i4>
      </vt:variant>
      <vt:variant>
        <vt:lpwstr>http://www.nevo.co.il/case/28362589</vt:lpwstr>
      </vt:variant>
      <vt:variant>
        <vt:lpwstr/>
      </vt:variant>
      <vt:variant>
        <vt:i4>3342458</vt:i4>
      </vt:variant>
      <vt:variant>
        <vt:i4>57</vt:i4>
      </vt:variant>
      <vt:variant>
        <vt:i4>0</vt:i4>
      </vt:variant>
      <vt:variant>
        <vt:i4>5</vt:i4>
      </vt:variant>
      <vt:variant>
        <vt:lpwstr>http://www.nevo.co.il/case/29200734</vt:lpwstr>
      </vt:variant>
      <vt:variant>
        <vt:lpwstr/>
      </vt:variant>
      <vt:variant>
        <vt:i4>4063344</vt:i4>
      </vt:variant>
      <vt:variant>
        <vt:i4>54</vt:i4>
      </vt:variant>
      <vt:variant>
        <vt:i4>0</vt:i4>
      </vt:variant>
      <vt:variant>
        <vt:i4>5</vt:i4>
      </vt:variant>
      <vt:variant>
        <vt:lpwstr>http://www.nevo.co.il/case/29396498</vt:lpwstr>
      </vt:variant>
      <vt:variant>
        <vt:lpwstr/>
      </vt:variant>
      <vt:variant>
        <vt:i4>7995494</vt:i4>
      </vt:variant>
      <vt:variant>
        <vt:i4>51</vt:i4>
      </vt:variant>
      <vt:variant>
        <vt:i4>0</vt:i4>
      </vt:variant>
      <vt:variant>
        <vt:i4>5</vt:i4>
      </vt:variant>
      <vt:variant>
        <vt:lpwstr>http://www.nevo.co.il/law/4323</vt:lpwstr>
      </vt:variant>
      <vt:variant>
        <vt:lpwstr/>
      </vt:variant>
      <vt:variant>
        <vt:i4>3801214</vt:i4>
      </vt:variant>
      <vt:variant>
        <vt:i4>48</vt:i4>
      </vt:variant>
      <vt:variant>
        <vt:i4>0</vt:i4>
      </vt:variant>
      <vt:variant>
        <vt:i4>5</vt:i4>
      </vt:variant>
      <vt:variant>
        <vt:lpwstr>http://www.nevo.co.il/case/5805976</vt:lpwstr>
      </vt:variant>
      <vt:variant>
        <vt:lpwstr/>
      </vt:variant>
      <vt:variant>
        <vt:i4>3342448</vt:i4>
      </vt:variant>
      <vt:variant>
        <vt:i4>45</vt:i4>
      </vt:variant>
      <vt:variant>
        <vt:i4>0</vt:i4>
      </vt:variant>
      <vt:variant>
        <vt:i4>5</vt:i4>
      </vt:variant>
      <vt:variant>
        <vt:lpwstr>http://www.nevo.co.il/case/21644133</vt:lpwstr>
      </vt:variant>
      <vt:variant>
        <vt:lpwstr/>
      </vt:variant>
      <vt:variant>
        <vt:i4>7995492</vt:i4>
      </vt:variant>
      <vt:variant>
        <vt:i4>42</vt:i4>
      </vt:variant>
      <vt:variant>
        <vt:i4>0</vt:i4>
      </vt:variant>
      <vt:variant>
        <vt:i4>5</vt:i4>
      </vt:variant>
      <vt:variant>
        <vt:lpwstr>http://www.nevo.co.il/law/70301</vt:lpwstr>
      </vt:variant>
      <vt:variant>
        <vt:lpwstr/>
      </vt:variant>
      <vt:variant>
        <vt:i4>3407990</vt:i4>
      </vt:variant>
      <vt:variant>
        <vt:i4>39</vt:i4>
      </vt:variant>
      <vt:variant>
        <vt:i4>0</vt:i4>
      </vt:variant>
      <vt:variant>
        <vt:i4>5</vt:i4>
      </vt:variant>
      <vt:variant>
        <vt:lpwstr>http://www.nevo.co.il/case/5763166</vt:lpwstr>
      </vt:variant>
      <vt:variant>
        <vt:lpwstr/>
      </vt:variant>
      <vt:variant>
        <vt:i4>3604596</vt:i4>
      </vt:variant>
      <vt:variant>
        <vt:i4>36</vt:i4>
      </vt:variant>
      <vt:variant>
        <vt:i4>0</vt:i4>
      </vt:variant>
      <vt:variant>
        <vt:i4>5</vt:i4>
      </vt:variant>
      <vt:variant>
        <vt:lpwstr>http://www.nevo.co.il/case/21477662</vt:lpwstr>
      </vt:variant>
      <vt:variant>
        <vt:lpwstr/>
      </vt:variant>
      <vt:variant>
        <vt:i4>3473521</vt:i4>
      </vt:variant>
      <vt:variant>
        <vt:i4>33</vt:i4>
      </vt:variant>
      <vt:variant>
        <vt:i4>0</vt:i4>
      </vt:variant>
      <vt:variant>
        <vt:i4>5</vt:i4>
      </vt:variant>
      <vt:variant>
        <vt:lpwstr>http://www.nevo.co.il/case/20033641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3866748</vt:i4>
      </vt:variant>
      <vt:variant>
        <vt:i4>24</vt:i4>
      </vt:variant>
      <vt:variant>
        <vt:i4>0</vt:i4>
      </vt:variant>
      <vt:variant>
        <vt:i4>5</vt:i4>
      </vt:variant>
      <vt:variant>
        <vt:lpwstr>http://www.nevo.co.il/case/28804059</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7995494</vt:i4>
      </vt:variant>
      <vt:variant>
        <vt:i4>15</vt:i4>
      </vt:variant>
      <vt:variant>
        <vt:i4>0</vt:i4>
      </vt:variant>
      <vt:variant>
        <vt:i4>5</vt:i4>
      </vt:variant>
      <vt:variant>
        <vt:lpwstr>http://www.nevo.co.il/law/4323</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2025-04-23T00:43:00Z</dcterms:created>
  <dcterms:modified xsi:type="dcterms:W3CDTF">2025-04-23T00:43:00Z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56566</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עאטף הואשלה</vt:lpwstr>
  </property>
  <property fmtid="{D5CDD505-2E9C-101B-9397-08002B2CF9AE}" pid="10" name="LAWYER">
    <vt:lpwstr>אחמד ותד</vt:lpwstr>
  </property>
  <property fmtid="{D5CDD505-2E9C-101B-9397-08002B2CF9AE}" pid="11" name="JUDGE">
    <vt:lpwstr>אחינעם צוריאל</vt:lpwstr>
  </property>
  <property fmtid="{D5CDD505-2E9C-101B-9397-08002B2CF9AE}" pid="12" name="CITY">
    <vt:lpwstr>ב"ש</vt:lpwstr>
  </property>
  <property fmtid="{D5CDD505-2E9C-101B-9397-08002B2CF9AE}" pid="13" name="DATE">
    <vt:lpwstr>20230907</vt:lpwstr>
  </property>
  <property fmtid="{D5CDD505-2E9C-101B-9397-08002B2CF9AE}" pid="14" name="TYPE_N_DATE">
    <vt:lpwstr>38020230907</vt:lpwstr>
  </property>
  <property fmtid="{D5CDD505-2E9C-101B-9397-08002B2CF9AE}" pid="15" name="WORDNUMPAGES">
    <vt:lpwstr>13</vt:lpwstr>
  </property>
  <property fmtid="{D5CDD505-2E9C-101B-9397-08002B2CF9AE}" pid="16" name="TYPE_ABS_DATE">
    <vt:lpwstr>380020230907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28804059;20033641;21477662;5763166;21644133;5805976;29396498:2;29200734;28362589;28190928;28710074;17944047;5808394;6021937;17939545;5849541;5796641;27361147;28446319;26406170;18118326;27871630;24211209;22183077;27734970;23825945;16947259;25924900</vt:lpwstr>
  </property>
  <property fmtid="{D5CDD505-2E9C-101B-9397-08002B2CF9AE}" pid="36" name="CASESLISTTMP2">
    <vt:lpwstr>26001803;22652637</vt:lpwstr>
  </property>
  <property fmtid="{D5CDD505-2E9C-101B-9397-08002B2CF9AE}" pid="37" name="LAWLISTTMP1">
    <vt:lpwstr>4216/007.a;007.c</vt:lpwstr>
  </property>
  <property fmtid="{D5CDD505-2E9C-101B-9397-08002B2CF9AE}" pid="38" name="LAWLISTTMP2">
    <vt:lpwstr>70301/192</vt:lpwstr>
  </property>
  <property fmtid="{D5CDD505-2E9C-101B-9397-08002B2CF9AE}" pid="39" name="LAWLISTTMP3">
    <vt:lpwstr>4323</vt:lpwstr>
  </property>
</Properties>
</file>