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9816E9" w:rsidRPr="00C01DA9" w14:paraId="2EFBCE87" w14:textId="77777777" w:rsidTr="000F5B3E">
        <w:trPr>
          <w:gridAfter w:val="1"/>
          <w:wAfter w:w="99" w:type="dxa"/>
          <w:trHeight w:hRule="exact" w:val="418"/>
          <w:jc w:val="center"/>
        </w:trPr>
        <w:tc>
          <w:tcPr>
            <w:tcW w:w="8721" w:type="dxa"/>
            <w:gridSpan w:val="4"/>
          </w:tcPr>
          <w:p w14:paraId="32A99667" w14:textId="77777777" w:rsidR="009816E9" w:rsidRPr="00C01DA9" w:rsidRDefault="009816E9" w:rsidP="00550638">
            <w:pPr>
              <w:pStyle w:val="a3"/>
              <w:jc w:val="center"/>
              <w:rPr>
                <w:rFonts w:ascii="Tahoma" w:hAnsi="Tahoma" w:cs="Tahoma"/>
                <w:color w:val="000080"/>
                <w:rtl/>
              </w:rPr>
            </w:pPr>
            <w:bookmarkStart w:id="0" w:name="LastJudge"/>
            <w:r w:rsidRPr="00C01DA9">
              <w:rPr>
                <w:rFonts w:ascii="Tahoma" w:hAnsi="Tahoma" w:cs="Tahoma"/>
                <w:b/>
                <w:bCs/>
                <w:color w:val="000080"/>
                <w:rtl/>
              </w:rPr>
              <w:t>בית משפט השלום בתל אביב -יפו</w:t>
            </w:r>
          </w:p>
        </w:tc>
      </w:tr>
      <w:tr w:rsidR="009816E9" w:rsidRPr="00C01DA9" w14:paraId="62633F07" w14:textId="77777777" w:rsidTr="000F5B3E">
        <w:trPr>
          <w:gridAfter w:val="1"/>
          <w:wAfter w:w="99" w:type="dxa"/>
          <w:trHeight w:val="337"/>
          <w:jc w:val="center"/>
        </w:trPr>
        <w:tc>
          <w:tcPr>
            <w:tcW w:w="5054" w:type="dxa"/>
            <w:gridSpan w:val="3"/>
          </w:tcPr>
          <w:p w14:paraId="0D2ED41B" w14:textId="77777777" w:rsidR="009816E9" w:rsidRPr="00C01DA9" w:rsidRDefault="009816E9" w:rsidP="00550638">
            <w:pPr>
              <w:rPr>
                <w:rFonts w:cs="FrankRuehl"/>
                <w:sz w:val="28"/>
                <w:szCs w:val="28"/>
                <w:rtl/>
              </w:rPr>
            </w:pPr>
            <w:r w:rsidRPr="00C01DA9">
              <w:rPr>
                <w:rFonts w:cs="FrankRuehl"/>
                <w:sz w:val="28"/>
                <w:szCs w:val="28"/>
                <w:rtl/>
              </w:rPr>
              <w:t>ת"פ</w:t>
            </w:r>
            <w:r w:rsidRPr="00C01DA9">
              <w:rPr>
                <w:rFonts w:cs="FrankRuehl" w:hint="cs"/>
                <w:sz w:val="28"/>
                <w:szCs w:val="28"/>
                <w:rtl/>
              </w:rPr>
              <w:t xml:space="preserve"> </w:t>
            </w:r>
            <w:r w:rsidRPr="00C01DA9">
              <w:rPr>
                <w:rFonts w:cs="FrankRuehl"/>
                <w:sz w:val="28"/>
                <w:szCs w:val="28"/>
                <w:rtl/>
              </w:rPr>
              <w:t>8510-08-20</w:t>
            </w:r>
            <w:r w:rsidRPr="00C01DA9">
              <w:rPr>
                <w:rFonts w:cs="FrankRuehl" w:hint="cs"/>
                <w:sz w:val="28"/>
                <w:szCs w:val="28"/>
                <w:rtl/>
              </w:rPr>
              <w:t xml:space="preserve"> </w:t>
            </w:r>
            <w:r w:rsidRPr="00C01DA9">
              <w:rPr>
                <w:rFonts w:cs="FrankRuehl"/>
                <w:sz w:val="28"/>
                <w:szCs w:val="28"/>
                <w:rtl/>
              </w:rPr>
              <w:t>מדינת ישראל נ' דמסאש</w:t>
            </w:r>
          </w:p>
          <w:p w14:paraId="588BD916" w14:textId="77777777" w:rsidR="009816E9" w:rsidRPr="00C01DA9" w:rsidRDefault="009816E9" w:rsidP="00550638">
            <w:pPr>
              <w:rPr>
                <w:rFonts w:cs="FrankRuehl"/>
                <w:sz w:val="28"/>
                <w:szCs w:val="28"/>
                <w:rtl/>
              </w:rPr>
            </w:pPr>
            <w:r w:rsidRPr="00C01DA9">
              <w:rPr>
                <w:rFonts w:cs="FrankRuehl"/>
                <w:sz w:val="28"/>
                <w:szCs w:val="28"/>
                <w:rtl/>
              </w:rPr>
              <w:t>ת"פ</w:t>
            </w:r>
            <w:r w:rsidRPr="00C01DA9">
              <w:rPr>
                <w:rFonts w:cs="FrankRuehl" w:hint="cs"/>
                <w:sz w:val="28"/>
                <w:szCs w:val="28"/>
                <w:rtl/>
              </w:rPr>
              <w:t xml:space="preserve"> </w:t>
            </w:r>
            <w:r w:rsidRPr="00C01DA9">
              <w:rPr>
                <w:rFonts w:cs="FrankRuehl"/>
                <w:sz w:val="28"/>
                <w:szCs w:val="28"/>
                <w:rtl/>
              </w:rPr>
              <w:t>40843-11-21</w:t>
            </w:r>
            <w:r w:rsidRPr="00C01DA9">
              <w:rPr>
                <w:rFonts w:cs="FrankRuehl" w:hint="cs"/>
                <w:sz w:val="28"/>
                <w:szCs w:val="28"/>
                <w:rtl/>
              </w:rPr>
              <w:t xml:space="preserve"> </w:t>
            </w:r>
            <w:r w:rsidRPr="00C01DA9">
              <w:rPr>
                <w:rFonts w:cs="FrankRuehl"/>
                <w:sz w:val="28"/>
                <w:szCs w:val="28"/>
                <w:rtl/>
              </w:rPr>
              <w:t>מדינת ישראל נ' דמסאש</w:t>
            </w:r>
          </w:p>
          <w:p w14:paraId="08141390" w14:textId="77777777" w:rsidR="009816E9" w:rsidRPr="00C01DA9" w:rsidRDefault="009816E9" w:rsidP="00550638">
            <w:pPr>
              <w:pStyle w:val="a3"/>
              <w:rPr>
                <w:rFonts w:cs="FrankRuehl"/>
                <w:sz w:val="28"/>
                <w:szCs w:val="28"/>
                <w:rtl/>
              </w:rPr>
            </w:pPr>
          </w:p>
        </w:tc>
        <w:tc>
          <w:tcPr>
            <w:tcW w:w="3667" w:type="dxa"/>
          </w:tcPr>
          <w:p w14:paraId="053F2461" w14:textId="77777777" w:rsidR="009816E9" w:rsidRPr="00C01DA9" w:rsidRDefault="009816E9" w:rsidP="00550638">
            <w:pPr>
              <w:pStyle w:val="a3"/>
              <w:jc w:val="right"/>
              <w:rPr>
                <w:rFonts w:cs="FrankRuehl"/>
                <w:sz w:val="28"/>
                <w:szCs w:val="28"/>
                <w:rtl/>
              </w:rPr>
            </w:pPr>
          </w:p>
        </w:tc>
      </w:tr>
      <w:tr w:rsidR="009816E9" w:rsidRPr="00C01DA9" w14:paraId="66FC4A04" w14:textId="77777777" w:rsidTr="000F5B3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1475ECAD" w14:textId="77777777" w:rsidR="009816E9" w:rsidRPr="00C01DA9" w:rsidRDefault="009816E9" w:rsidP="009816E9">
            <w:pPr>
              <w:spacing w:line="360" w:lineRule="auto"/>
              <w:jc w:val="both"/>
              <w:rPr>
                <w:rFonts w:ascii="David" w:hAnsi="David"/>
                <w:b/>
                <w:bCs/>
                <w:sz w:val="26"/>
                <w:szCs w:val="26"/>
              </w:rPr>
            </w:pPr>
            <w:r w:rsidRPr="00C01DA9">
              <w:rPr>
                <w:rFonts w:hint="cs"/>
                <w:rtl/>
              </w:rPr>
              <w:t xml:space="preserve"> </w:t>
            </w:r>
            <w:r w:rsidRPr="00C01DA9">
              <w:rPr>
                <w:rFonts w:ascii="David" w:hAnsi="David"/>
                <w:b/>
                <w:bCs/>
                <w:sz w:val="26"/>
                <w:szCs w:val="26"/>
                <w:rtl/>
              </w:rPr>
              <w:t xml:space="preserve">בפני </w:t>
            </w:r>
          </w:p>
        </w:tc>
        <w:tc>
          <w:tcPr>
            <w:tcW w:w="7897" w:type="dxa"/>
            <w:gridSpan w:val="4"/>
            <w:tcBorders>
              <w:top w:val="nil"/>
              <w:left w:val="nil"/>
              <w:bottom w:val="nil"/>
              <w:right w:val="nil"/>
            </w:tcBorders>
            <w:shd w:val="clear" w:color="auto" w:fill="auto"/>
          </w:tcPr>
          <w:p w14:paraId="0B05695D" w14:textId="77777777" w:rsidR="009816E9" w:rsidRPr="00C01DA9" w:rsidRDefault="009816E9" w:rsidP="009816E9">
            <w:pPr>
              <w:spacing w:line="360" w:lineRule="auto"/>
              <w:rPr>
                <w:rFonts w:ascii="David" w:hAnsi="David"/>
                <w:b/>
                <w:bCs/>
                <w:sz w:val="26"/>
                <w:szCs w:val="26"/>
                <w:rtl/>
              </w:rPr>
            </w:pPr>
            <w:r w:rsidRPr="00C01DA9">
              <w:rPr>
                <w:rFonts w:ascii="David" w:hAnsi="David" w:hint="cs"/>
                <w:b/>
                <w:bCs/>
                <w:sz w:val="26"/>
                <w:szCs w:val="26"/>
                <w:rtl/>
              </w:rPr>
              <w:t>כבוד השופט הבכיר, שאול אבינור</w:t>
            </w:r>
          </w:p>
          <w:p w14:paraId="69A7D752" w14:textId="77777777" w:rsidR="009816E9" w:rsidRPr="00C01DA9" w:rsidRDefault="009816E9" w:rsidP="009816E9">
            <w:pPr>
              <w:spacing w:line="360" w:lineRule="auto"/>
              <w:rPr>
                <w:rFonts w:ascii="David" w:hAnsi="David"/>
                <w:sz w:val="26"/>
                <w:szCs w:val="26"/>
              </w:rPr>
            </w:pPr>
          </w:p>
        </w:tc>
      </w:tr>
      <w:tr w:rsidR="009816E9" w:rsidRPr="00C01DA9" w14:paraId="5564834B" w14:textId="77777777" w:rsidTr="000F5B3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7B06480" w14:textId="77777777" w:rsidR="009816E9" w:rsidRPr="00C01DA9" w:rsidRDefault="009816E9" w:rsidP="009816E9">
            <w:pPr>
              <w:spacing w:line="360" w:lineRule="auto"/>
              <w:jc w:val="both"/>
              <w:rPr>
                <w:rFonts w:ascii="David" w:hAnsi="David"/>
                <w:sz w:val="26"/>
                <w:szCs w:val="26"/>
              </w:rPr>
            </w:pPr>
            <w:bookmarkStart w:id="1" w:name="FirstAppellant"/>
            <w:bookmarkStart w:id="2" w:name="FirstLawyer"/>
            <w:r w:rsidRPr="00C01DA9">
              <w:rPr>
                <w:rFonts w:ascii="David" w:hAnsi="David"/>
                <w:sz w:val="26"/>
                <w:szCs w:val="26"/>
                <w:rtl/>
              </w:rPr>
              <w:t>בעניין:</w:t>
            </w:r>
          </w:p>
        </w:tc>
        <w:tc>
          <w:tcPr>
            <w:tcW w:w="3219" w:type="dxa"/>
            <w:tcBorders>
              <w:top w:val="nil"/>
              <w:left w:val="nil"/>
              <w:bottom w:val="nil"/>
              <w:right w:val="nil"/>
            </w:tcBorders>
            <w:shd w:val="clear" w:color="auto" w:fill="auto"/>
          </w:tcPr>
          <w:p w14:paraId="450C75AA" w14:textId="77777777" w:rsidR="009816E9" w:rsidRPr="00C01DA9" w:rsidRDefault="009816E9" w:rsidP="009816E9">
            <w:pPr>
              <w:suppressLineNumbers/>
              <w:spacing w:line="360" w:lineRule="auto"/>
            </w:pPr>
            <w:r w:rsidRPr="00C01DA9">
              <w:rPr>
                <w:rFonts w:ascii="Arial" w:hAnsi="Arial" w:hint="cs"/>
                <w:b/>
                <w:bCs/>
                <w:sz w:val="26"/>
                <w:szCs w:val="26"/>
                <w:rtl/>
              </w:rPr>
              <w:t>המאשימה:</w:t>
            </w:r>
          </w:p>
          <w:p w14:paraId="0A0ADBA5" w14:textId="77777777" w:rsidR="009816E9" w:rsidRPr="00C01DA9" w:rsidRDefault="009816E9" w:rsidP="009816E9">
            <w:pPr>
              <w:spacing w:line="360" w:lineRule="auto"/>
              <w:rPr>
                <w:rFonts w:ascii="David" w:hAnsi="David"/>
                <w:sz w:val="26"/>
                <w:szCs w:val="26"/>
              </w:rPr>
            </w:pPr>
          </w:p>
        </w:tc>
        <w:tc>
          <w:tcPr>
            <w:tcW w:w="4678" w:type="dxa"/>
            <w:gridSpan w:val="3"/>
            <w:tcBorders>
              <w:top w:val="nil"/>
              <w:left w:val="nil"/>
              <w:bottom w:val="nil"/>
              <w:right w:val="nil"/>
            </w:tcBorders>
            <w:shd w:val="clear" w:color="auto" w:fill="auto"/>
            <w:vAlign w:val="center"/>
          </w:tcPr>
          <w:p w14:paraId="5D98F719" w14:textId="77777777" w:rsidR="009816E9" w:rsidRPr="00C01DA9" w:rsidRDefault="009816E9" w:rsidP="009816E9">
            <w:pPr>
              <w:suppressLineNumbers/>
              <w:spacing w:line="360" w:lineRule="auto"/>
              <w:rPr>
                <w:rFonts w:ascii="Arial" w:hAnsi="Arial"/>
                <w:rtl/>
              </w:rPr>
            </w:pPr>
            <w:r w:rsidRPr="00C01DA9">
              <w:rPr>
                <w:rFonts w:ascii="Arial" w:hAnsi="Arial"/>
                <w:b/>
                <w:bCs/>
                <w:sz w:val="26"/>
                <w:szCs w:val="26"/>
                <w:rtl/>
              </w:rPr>
              <w:t>מדינת ישראל</w:t>
            </w:r>
            <w:r w:rsidRPr="00C01DA9">
              <w:rPr>
                <w:rFonts w:ascii="Arial" w:hAnsi="Arial" w:hint="cs"/>
                <w:b/>
                <w:bCs/>
                <w:sz w:val="26"/>
                <w:szCs w:val="26"/>
                <w:rtl/>
              </w:rPr>
              <w:t xml:space="preserve"> </w:t>
            </w:r>
          </w:p>
          <w:p w14:paraId="504C4FB9" w14:textId="77777777" w:rsidR="009816E9" w:rsidRPr="00C01DA9" w:rsidRDefault="009816E9" w:rsidP="009816E9">
            <w:pPr>
              <w:suppressLineNumbers/>
              <w:spacing w:line="360" w:lineRule="auto"/>
            </w:pPr>
            <w:r w:rsidRPr="00C01DA9">
              <w:rPr>
                <w:rFonts w:ascii="Arial" w:hAnsi="Arial"/>
                <w:rtl/>
              </w:rPr>
              <w:t>ע"י</w:t>
            </w:r>
            <w:r w:rsidRPr="00C01DA9">
              <w:rPr>
                <w:rFonts w:ascii="Arial" w:hAnsi="Arial"/>
                <w:b/>
                <w:bCs/>
                <w:sz w:val="26"/>
                <w:szCs w:val="26"/>
                <w:rtl/>
              </w:rPr>
              <w:t xml:space="preserve"> </w:t>
            </w:r>
            <w:r w:rsidRPr="00C01DA9">
              <w:rPr>
                <w:rFonts w:ascii="Arial" w:hAnsi="Arial"/>
                <w:rtl/>
              </w:rPr>
              <w:t>ב"כ עו"ד</w:t>
            </w:r>
            <w:r w:rsidRPr="00C01DA9">
              <w:rPr>
                <w:rFonts w:ascii="Arial" w:hAnsi="Arial" w:hint="cs"/>
                <w:rtl/>
              </w:rPr>
              <w:t xml:space="preserve"> שמעון זוהרי</w:t>
            </w:r>
          </w:p>
          <w:p w14:paraId="1A9B5DA7" w14:textId="77777777" w:rsidR="009816E9" w:rsidRPr="00C01DA9" w:rsidRDefault="009816E9" w:rsidP="009816E9">
            <w:pPr>
              <w:spacing w:line="360" w:lineRule="auto"/>
              <w:rPr>
                <w:rFonts w:ascii="David" w:hAnsi="David"/>
                <w:sz w:val="26"/>
                <w:szCs w:val="26"/>
              </w:rPr>
            </w:pPr>
          </w:p>
        </w:tc>
      </w:tr>
      <w:bookmarkEnd w:id="1"/>
      <w:bookmarkEnd w:id="2"/>
      <w:tr w:rsidR="009816E9" w:rsidRPr="00C01DA9" w14:paraId="4194672B" w14:textId="77777777" w:rsidTr="000F5B3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C0DB3DC" w14:textId="77777777" w:rsidR="009816E9" w:rsidRPr="00C01DA9" w:rsidRDefault="009816E9" w:rsidP="009816E9">
            <w:pPr>
              <w:spacing w:line="360" w:lineRule="auto"/>
              <w:jc w:val="both"/>
              <w:rPr>
                <w:rFonts w:ascii="David" w:hAnsi="David"/>
                <w:sz w:val="26"/>
                <w:szCs w:val="26"/>
                <w:rtl/>
              </w:rPr>
            </w:pPr>
          </w:p>
        </w:tc>
        <w:tc>
          <w:tcPr>
            <w:tcW w:w="7897" w:type="dxa"/>
            <w:gridSpan w:val="4"/>
            <w:tcBorders>
              <w:top w:val="nil"/>
              <w:left w:val="nil"/>
              <w:bottom w:val="nil"/>
              <w:right w:val="nil"/>
            </w:tcBorders>
            <w:shd w:val="clear" w:color="auto" w:fill="auto"/>
          </w:tcPr>
          <w:p w14:paraId="04B9A9B6" w14:textId="77777777" w:rsidR="009816E9" w:rsidRPr="00C01DA9" w:rsidRDefault="009816E9" w:rsidP="009816E9">
            <w:pPr>
              <w:spacing w:line="360" w:lineRule="auto"/>
              <w:jc w:val="center"/>
              <w:rPr>
                <w:rFonts w:ascii="David" w:hAnsi="David"/>
                <w:b/>
                <w:bCs/>
                <w:sz w:val="26"/>
                <w:szCs w:val="26"/>
                <w:rtl/>
              </w:rPr>
            </w:pPr>
          </w:p>
          <w:p w14:paraId="61B053BA" w14:textId="77777777" w:rsidR="009816E9" w:rsidRPr="00C01DA9" w:rsidRDefault="009816E9" w:rsidP="009816E9">
            <w:pPr>
              <w:spacing w:line="360" w:lineRule="auto"/>
              <w:jc w:val="center"/>
              <w:rPr>
                <w:rFonts w:ascii="David" w:hAnsi="David"/>
                <w:b/>
                <w:bCs/>
                <w:sz w:val="26"/>
                <w:szCs w:val="26"/>
                <w:rtl/>
              </w:rPr>
            </w:pPr>
            <w:r w:rsidRPr="00C01DA9">
              <w:rPr>
                <w:rFonts w:ascii="David" w:hAnsi="David"/>
                <w:b/>
                <w:bCs/>
                <w:sz w:val="26"/>
                <w:szCs w:val="26"/>
                <w:rtl/>
              </w:rPr>
              <w:t>נגד</w:t>
            </w:r>
          </w:p>
          <w:p w14:paraId="4488F1A5" w14:textId="77777777" w:rsidR="009816E9" w:rsidRPr="00C01DA9" w:rsidRDefault="009816E9" w:rsidP="009816E9">
            <w:pPr>
              <w:spacing w:line="360" w:lineRule="auto"/>
              <w:jc w:val="both"/>
              <w:rPr>
                <w:rFonts w:ascii="David" w:hAnsi="David"/>
                <w:sz w:val="26"/>
                <w:szCs w:val="26"/>
                <w:rtl/>
              </w:rPr>
            </w:pPr>
          </w:p>
          <w:p w14:paraId="54AB1012" w14:textId="77777777" w:rsidR="009816E9" w:rsidRPr="00C01DA9" w:rsidRDefault="009816E9" w:rsidP="009816E9">
            <w:pPr>
              <w:spacing w:line="360" w:lineRule="auto"/>
              <w:jc w:val="both"/>
              <w:rPr>
                <w:rFonts w:ascii="David" w:hAnsi="David"/>
                <w:sz w:val="26"/>
                <w:szCs w:val="26"/>
              </w:rPr>
            </w:pPr>
          </w:p>
        </w:tc>
      </w:tr>
      <w:tr w:rsidR="009816E9" w:rsidRPr="00C01DA9" w14:paraId="27BC442A" w14:textId="77777777" w:rsidTr="000F5B3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546B449" w14:textId="77777777" w:rsidR="009816E9" w:rsidRPr="00C01DA9" w:rsidRDefault="009816E9" w:rsidP="009816E9">
            <w:pPr>
              <w:spacing w:line="360" w:lineRule="auto"/>
              <w:rPr>
                <w:rFonts w:ascii="David" w:hAnsi="David"/>
                <w:sz w:val="26"/>
                <w:szCs w:val="26"/>
                <w:rtl/>
              </w:rPr>
            </w:pPr>
          </w:p>
        </w:tc>
        <w:tc>
          <w:tcPr>
            <w:tcW w:w="3219" w:type="dxa"/>
            <w:tcBorders>
              <w:top w:val="nil"/>
              <w:left w:val="nil"/>
              <w:bottom w:val="nil"/>
              <w:right w:val="nil"/>
            </w:tcBorders>
            <w:shd w:val="clear" w:color="auto" w:fill="auto"/>
          </w:tcPr>
          <w:p w14:paraId="347F424A" w14:textId="77777777" w:rsidR="009816E9" w:rsidRPr="00C01DA9" w:rsidRDefault="009816E9" w:rsidP="009816E9">
            <w:pPr>
              <w:spacing w:line="360" w:lineRule="auto"/>
              <w:rPr>
                <w:rFonts w:ascii="Arial" w:hAnsi="Arial"/>
                <w:b/>
                <w:bCs/>
                <w:sz w:val="26"/>
                <w:szCs w:val="26"/>
                <w:rtl/>
              </w:rPr>
            </w:pPr>
            <w:r w:rsidRPr="00C01DA9">
              <w:rPr>
                <w:rFonts w:ascii="Arial" w:hAnsi="Arial" w:hint="cs"/>
                <w:b/>
                <w:bCs/>
                <w:sz w:val="26"/>
                <w:szCs w:val="26"/>
                <w:rtl/>
              </w:rPr>
              <w:t>הנאשם:</w:t>
            </w:r>
          </w:p>
        </w:tc>
        <w:tc>
          <w:tcPr>
            <w:tcW w:w="4678" w:type="dxa"/>
            <w:gridSpan w:val="3"/>
            <w:tcBorders>
              <w:top w:val="nil"/>
              <w:left w:val="nil"/>
              <w:bottom w:val="nil"/>
              <w:right w:val="nil"/>
            </w:tcBorders>
            <w:shd w:val="clear" w:color="auto" w:fill="auto"/>
            <w:vAlign w:val="center"/>
          </w:tcPr>
          <w:p w14:paraId="111EEEC5" w14:textId="77777777" w:rsidR="009816E9" w:rsidRPr="00C01DA9" w:rsidRDefault="009816E9" w:rsidP="009816E9">
            <w:pPr>
              <w:suppressLineNumbers/>
              <w:spacing w:line="360" w:lineRule="auto"/>
              <w:rPr>
                <w:rFonts w:ascii="Arial" w:hAnsi="Arial"/>
                <w:b/>
                <w:bCs/>
                <w:sz w:val="26"/>
                <w:szCs w:val="26"/>
                <w:rtl/>
              </w:rPr>
            </w:pPr>
            <w:r w:rsidRPr="00C01DA9">
              <w:rPr>
                <w:rFonts w:ascii="Arial" w:hAnsi="Arial"/>
                <w:b/>
                <w:bCs/>
                <w:sz w:val="26"/>
                <w:szCs w:val="26"/>
                <w:rtl/>
              </w:rPr>
              <w:t>לקאצ'או דמסאש</w:t>
            </w:r>
            <w:r w:rsidRPr="00C01DA9">
              <w:rPr>
                <w:rFonts w:ascii="Arial" w:hAnsi="Arial" w:hint="cs"/>
                <w:b/>
                <w:bCs/>
                <w:sz w:val="26"/>
                <w:szCs w:val="26"/>
                <w:rtl/>
              </w:rPr>
              <w:t xml:space="preserve"> </w:t>
            </w:r>
          </w:p>
          <w:p w14:paraId="6ABAC5E5" w14:textId="77777777" w:rsidR="009816E9" w:rsidRPr="00C01DA9" w:rsidRDefault="009816E9" w:rsidP="009816E9">
            <w:pPr>
              <w:suppressLineNumbers/>
              <w:spacing w:line="360" w:lineRule="auto"/>
            </w:pPr>
            <w:r w:rsidRPr="00C01DA9">
              <w:rPr>
                <w:rFonts w:ascii="Arial" w:hAnsi="Arial"/>
                <w:rtl/>
              </w:rPr>
              <w:t>ע"י</w:t>
            </w:r>
            <w:r w:rsidRPr="00C01DA9">
              <w:rPr>
                <w:rFonts w:ascii="Arial" w:hAnsi="Arial"/>
                <w:b/>
                <w:bCs/>
                <w:sz w:val="26"/>
                <w:szCs w:val="26"/>
                <w:rtl/>
              </w:rPr>
              <w:t xml:space="preserve"> </w:t>
            </w:r>
            <w:r w:rsidRPr="00C01DA9">
              <w:rPr>
                <w:rFonts w:ascii="Arial" w:hAnsi="Arial"/>
                <w:rtl/>
              </w:rPr>
              <w:t>ב"כ עו"ד</w:t>
            </w:r>
            <w:r w:rsidRPr="00C01DA9">
              <w:rPr>
                <w:rFonts w:ascii="Arial" w:hAnsi="Arial" w:hint="cs"/>
                <w:rtl/>
              </w:rPr>
              <w:t xml:space="preserve"> דמיטרי אניקין</w:t>
            </w:r>
          </w:p>
          <w:p w14:paraId="1A46C33A" w14:textId="77777777" w:rsidR="009816E9" w:rsidRPr="00C01DA9" w:rsidRDefault="009816E9" w:rsidP="009816E9">
            <w:pPr>
              <w:spacing w:line="360" w:lineRule="auto"/>
              <w:rPr>
                <w:rFonts w:ascii="David" w:hAnsi="David"/>
                <w:sz w:val="26"/>
                <w:szCs w:val="26"/>
              </w:rPr>
            </w:pPr>
          </w:p>
        </w:tc>
      </w:tr>
    </w:tbl>
    <w:p w14:paraId="7C8FCCA8" w14:textId="77777777" w:rsidR="00C01DA9" w:rsidRPr="00C01DA9" w:rsidRDefault="00C01DA9" w:rsidP="00C01DA9">
      <w:pPr>
        <w:spacing w:before="120" w:after="120" w:line="240" w:lineRule="exact"/>
        <w:ind w:left="283" w:hanging="283"/>
        <w:jc w:val="both"/>
        <w:rPr>
          <w:rFonts w:ascii="FrankRuehl" w:hAnsi="FrankRuehl" w:cs="FrankRuehl"/>
          <w:rtl/>
        </w:rPr>
      </w:pPr>
    </w:p>
    <w:p w14:paraId="33AB3B39" w14:textId="77777777" w:rsidR="00C01DA9" w:rsidRPr="00C01DA9" w:rsidRDefault="00C01DA9" w:rsidP="00C01DA9">
      <w:pPr>
        <w:spacing w:line="360" w:lineRule="auto"/>
        <w:rPr>
          <w:sz w:val="26"/>
          <w:szCs w:val="26"/>
          <w:rtl/>
        </w:rPr>
      </w:pPr>
    </w:p>
    <w:p w14:paraId="4B0BCCA7" w14:textId="77777777" w:rsidR="000F5B3E" w:rsidRPr="000F5B3E" w:rsidRDefault="000F5B3E" w:rsidP="000F5B3E">
      <w:pPr>
        <w:spacing w:before="120" w:after="120" w:line="240" w:lineRule="exact"/>
        <w:ind w:left="283" w:hanging="283"/>
        <w:jc w:val="both"/>
        <w:rPr>
          <w:rFonts w:ascii="FrankRuehl" w:hAnsi="FrankRuehl" w:cs="FrankRuehl"/>
          <w:rtl/>
        </w:rPr>
      </w:pPr>
      <w:bookmarkStart w:id="3" w:name="LawTable"/>
      <w:bookmarkEnd w:id="3"/>
    </w:p>
    <w:p w14:paraId="1EB6FF6E" w14:textId="77777777" w:rsidR="000F5B3E" w:rsidRPr="000F5B3E" w:rsidRDefault="000F5B3E" w:rsidP="000F5B3E">
      <w:pPr>
        <w:spacing w:before="120" w:after="120" w:line="240" w:lineRule="exact"/>
        <w:ind w:left="283" w:hanging="283"/>
        <w:jc w:val="both"/>
        <w:rPr>
          <w:rFonts w:ascii="FrankRuehl" w:hAnsi="FrankRuehl" w:cs="FrankRuehl"/>
          <w:rtl/>
        </w:rPr>
      </w:pPr>
      <w:r w:rsidRPr="000F5B3E">
        <w:rPr>
          <w:rFonts w:ascii="FrankRuehl" w:hAnsi="FrankRuehl" w:cs="FrankRuehl"/>
          <w:rtl/>
        </w:rPr>
        <w:t xml:space="preserve">חקיקה שאוזכרה: </w:t>
      </w:r>
    </w:p>
    <w:p w14:paraId="6D71F3DA" w14:textId="77777777" w:rsidR="000F5B3E" w:rsidRPr="000F5B3E" w:rsidRDefault="000F5B3E" w:rsidP="000F5B3E">
      <w:pPr>
        <w:spacing w:before="120" w:after="120" w:line="240" w:lineRule="exact"/>
        <w:ind w:left="283" w:hanging="283"/>
        <w:jc w:val="both"/>
        <w:rPr>
          <w:rFonts w:ascii="FrankRuehl" w:hAnsi="FrankRuehl" w:cs="FrankRuehl"/>
          <w:color w:val="0000FF"/>
          <w:rtl/>
        </w:rPr>
      </w:pPr>
      <w:hyperlink r:id="rId7" w:history="1">
        <w:r w:rsidRPr="000F5B3E">
          <w:rPr>
            <w:rStyle w:val="Hyperlink"/>
            <w:rFonts w:ascii="FrankRuehl" w:hAnsi="FrankRuehl" w:cs="FrankRuehl"/>
            <w:u w:val="none"/>
            <w:rtl/>
          </w:rPr>
          <w:t>פקודת הסמים המסוכנים [נוסח חדש], תשל"ג-1973</w:t>
        </w:r>
      </w:hyperlink>
      <w:r w:rsidRPr="000F5B3E">
        <w:rPr>
          <w:rFonts w:ascii="FrankRuehl" w:hAnsi="FrankRuehl" w:cs="FrankRuehl"/>
          <w:color w:val="0000FF"/>
          <w:rtl/>
        </w:rPr>
        <w:t xml:space="preserve">: סע'  </w:t>
      </w:r>
      <w:hyperlink r:id="rId8" w:history="1">
        <w:r w:rsidRPr="000F5B3E">
          <w:rPr>
            <w:rStyle w:val="Hyperlink"/>
            <w:rFonts w:ascii="FrankRuehl" w:hAnsi="FrankRuehl" w:cs="FrankRuehl"/>
            <w:u w:val="none"/>
          </w:rPr>
          <w:t>7</w:t>
        </w:r>
      </w:hyperlink>
      <w:r w:rsidRPr="000F5B3E">
        <w:rPr>
          <w:rFonts w:ascii="FrankRuehl" w:hAnsi="FrankRuehl" w:cs="FrankRuehl"/>
          <w:color w:val="0000FF"/>
          <w:rtl/>
        </w:rPr>
        <w:t xml:space="preserve">(א), </w:t>
      </w:r>
      <w:hyperlink r:id="rId9" w:history="1">
        <w:r w:rsidRPr="000F5B3E">
          <w:rPr>
            <w:rStyle w:val="Hyperlink"/>
            <w:rFonts w:ascii="FrankRuehl" w:hAnsi="FrankRuehl" w:cs="FrankRuehl"/>
            <w:u w:val="none"/>
          </w:rPr>
          <w:t>7</w:t>
        </w:r>
      </w:hyperlink>
      <w:r w:rsidRPr="000F5B3E">
        <w:rPr>
          <w:rFonts w:ascii="FrankRuehl" w:hAnsi="FrankRuehl" w:cs="FrankRuehl"/>
          <w:color w:val="0000FF"/>
          <w:rtl/>
        </w:rPr>
        <w:t>(ג)</w:t>
      </w:r>
    </w:p>
    <w:p w14:paraId="47A4EAAE" w14:textId="77777777" w:rsidR="000F5B3E" w:rsidRPr="000F5B3E" w:rsidRDefault="000F5B3E" w:rsidP="000F5B3E">
      <w:pPr>
        <w:spacing w:before="120" w:after="120" w:line="240" w:lineRule="exact"/>
        <w:ind w:left="283" w:hanging="283"/>
        <w:jc w:val="both"/>
        <w:rPr>
          <w:rFonts w:ascii="FrankRuehl" w:hAnsi="FrankRuehl" w:cs="FrankRuehl"/>
          <w:color w:val="0000FF"/>
          <w:rtl/>
        </w:rPr>
      </w:pPr>
      <w:hyperlink r:id="rId10" w:history="1">
        <w:r w:rsidRPr="000F5B3E">
          <w:rPr>
            <w:rStyle w:val="Hyperlink"/>
            <w:rFonts w:ascii="FrankRuehl" w:hAnsi="FrankRuehl" w:cs="FrankRuehl"/>
            <w:u w:val="none"/>
            <w:rtl/>
          </w:rPr>
          <w:t>חוק העונשין, תשל"ז-1977</w:t>
        </w:r>
      </w:hyperlink>
      <w:r w:rsidRPr="000F5B3E">
        <w:rPr>
          <w:rFonts w:ascii="FrankRuehl" w:hAnsi="FrankRuehl" w:cs="FrankRuehl"/>
          <w:color w:val="0000FF"/>
          <w:rtl/>
        </w:rPr>
        <w:t xml:space="preserve">: סע'  </w:t>
      </w:r>
      <w:hyperlink r:id="rId11" w:history="1">
        <w:r w:rsidRPr="000F5B3E">
          <w:rPr>
            <w:rStyle w:val="Hyperlink"/>
            <w:rFonts w:ascii="FrankRuehl" w:hAnsi="FrankRuehl" w:cs="FrankRuehl"/>
            <w:u w:val="none"/>
          </w:rPr>
          <w:t>40</w:t>
        </w:r>
        <w:r w:rsidRPr="000F5B3E">
          <w:rPr>
            <w:rStyle w:val="Hyperlink"/>
            <w:rFonts w:ascii="FrankRuehl" w:hAnsi="FrankRuehl" w:cs="FrankRuehl"/>
            <w:u w:val="none"/>
            <w:rtl/>
          </w:rPr>
          <w:t>ט</w:t>
        </w:r>
      </w:hyperlink>
    </w:p>
    <w:p w14:paraId="1CCBF20D" w14:textId="77777777" w:rsidR="009816E9" w:rsidRPr="000F5B3E" w:rsidRDefault="009816E9" w:rsidP="000F5B3E">
      <w:pPr>
        <w:spacing w:line="360" w:lineRule="auto"/>
        <w:rPr>
          <w:sz w:val="26"/>
          <w:szCs w:val="26"/>
        </w:rPr>
      </w:pPr>
      <w:bookmarkStart w:id="4" w:name="LawTable_End"/>
      <w:bookmarkEnd w:id="4"/>
    </w:p>
    <w:p w14:paraId="57119238" w14:textId="77777777" w:rsidR="000F5B3E" w:rsidRPr="00C01DA9" w:rsidRDefault="000F5B3E" w:rsidP="00C01DA9">
      <w:pPr>
        <w:spacing w:after="120" w:line="360" w:lineRule="auto"/>
        <w:jc w:val="center"/>
        <w:rPr>
          <w:rFonts w:ascii="David" w:hAnsi="David"/>
          <w:b/>
          <w:bCs/>
          <w:sz w:val="36"/>
          <w:szCs w:val="36"/>
          <w:u w:val="single"/>
          <w:rtl/>
        </w:rPr>
      </w:pPr>
      <w:bookmarkStart w:id="5" w:name="PsakDin" w:colFirst="0" w:colLast="0"/>
      <w:bookmarkEnd w:id="0"/>
      <w:r w:rsidRPr="00C01DA9">
        <w:rPr>
          <w:rFonts w:ascii="David" w:hAnsi="David"/>
          <w:b/>
          <w:bCs/>
          <w:sz w:val="36"/>
          <w:szCs w:val="36"/>
          <w:u w:val="single"/>
          <w:rtl/>
        </w:rPr>
        <w:t>גזר דין</w:t>
      </w:r>
    </w:p>
    <w:p w14:paraId="582362B5" w14:textId="77777777" w:rsidR="000F5B3E" w:rsidRPr="00C01DA9" w:rsidRDefault="000F5B3E" w:rsidP="00C01DA9">
      <w:pPr>
        <w:spacing w:after="120" w:line="360" w:lineRule="auto"/>
        <w:jc w:val="center"/>
        <w:rPr>
          <w:rFonts w:ascii="David" w:hAnsi="David"/>
          <w:bCs/>
          <w:sz w:val="36"/>
          <w:szCs w:val="36"/>
          <w:u w:val="single"/>
          <w:rtl/>
        </w:rPr>
      </w:pPr>
    </w:p>
    <w:bookmarkEnd w:id="5"/>
    <w:p w14:paraId="608E96F7" w14:textId="77777777" w:rsidR="009816E9" w:rsidRDefault="009816E9" w:rsidP="009816E9">
      <w:pPr>
        <w:pStyle w:val="a9"/>
        <w:numPr>
          <w:ilvl w:val="0"/>
          <w:numId w:val="1"/>
        </w:numPr>
        <w:spacing w:after="120" w:line="360" w:lineRule="auto"/>
        <w:ind w:left="360"/>
        <w:jc w:val="both"/>
        <w:rPr>
          <w:rFonts w:ascii="Tahoma" w:hAnsi="Tahoma"/>
          <w:b/>
          <w:bCs/>
          <w:u w:val="single"/>
        </w:rPr>
      </w:pPr>
      <w:r>
        <w:rPr>
          <w:rFonts w:ascii="Tahoma" w:hAnsi="Tahoma"/>
          <w:b/>
          <w:bCs/>
          <w:u w:val="single"/>
          <w:rtl/>
        </w:rPr>
        <w:t>רקע כללי והשתלשלות ההליכים המשפטיים:</w:t>
      </w:r>
    </w:p>
    <w:p w14:paraId="59425A12" w14:textId="77777777" w:rsidR="009816E9" w:rsidRDefault="009816E9" w:rsidP="009816E9">
      <w:pPr>
        <w:numPr>
          <w:ilvl w:val="0"/>
          <w:numId w:val="2"/>
        </w:numPr>
        <w:spacing w:after="120" w:line="360" w:lineRule="auto"/>
        <w:ind w:left="360"/>
        <w:jc w:val="both"/>
        <w:rPr>
          <w:rFonts w:ascii="Tahoma" w:hAnsi="Tahoma"/>
        </w:rPr>
      </w:pPr>
      <w:bookmarkStart w:id="6" w:name="ABSTRACT_START"/>
      <w:bookmarkEnd w:id="6"/>
      <w:r>
        <w:rPr>
          <w:rFonts w:ascii="Tahoma" w:hAnsi="Tahoma"/>
          <w:rtl/>
        </w:rPr>
        <w:t>הנאשם הורשע – על יסוד הודאתו בעובדות כתבי האישום המתוקנים בתיק שבכותרת (להלן – התיק העיקרי) וב</w:t>
      </w:r>
      <w:hyperlink r:id="rId12" w:history="1">
        <w:r w:rsidR="00C01DA9" w:rsidRPr="00C01DA9">
          <w:rPr>
            <w:rFonts w:ascii="Tahoma" w:hAnsi="Tahoma"/>
            <w:color w:val="0000FF"/>
            <w:u w:val="single"/>
            <w:rtl/>
          </w:rPr>
          <w:t>ת"פ 40843-11-21</w:t>
        </w:r>
      </w:hyperlink>
      <w:r>
        <w:rPr>
          <w:rFonts w:ascii="Tahoma" w:hAnsi="Tahoma"/>
          <w:rtl/>
        </w:rPr>
        <w:t xml:space="preserve"> (להלן – התיק המצורף) – בביצוע עבירות של </w:t>
      </w:r>
      <w:r>
        <w:rPr>
          <w:rFonts w:ascii="Tahoma" w:hAnsi="Tahoma"/>
          <w:b/>
          <w:bCs/>
          <w:rtl/>
        </w:rPr>
        <w:t>החזקת סמים מסוכנים שלא לצריכה עצמית</w:t>
      </w:r>
      <w:r>
        <w:rPr>
          <w:rFonts w:ascii="Tahoma" w:hAnsi="Tahoma"/>
          <w:rtl/>
        </w:rPr>
        <w:t xml:space="preserve">, לפי הוראות </w:t>
      </w:r>
      <w:hyperlink r:id="rId13" w:history="1">
        <w:r w:rsidR="000F5B3E" w:rsidRPr="000F5B3E">
          <w:rPr>
            <w:rStyle w:val="Hyperlink"/>
            <w:rFonts w:ascii="Tahoma" w:hAnsi="Tahoma"/>
            <w:color w:val="0000FF"/>
            <w:rtl/>
          </w:rPr>
          <w:t>סעיף 7(א)</w:t>
        </w:r>
      </w:hyperlink>
      <w:r>
        <w:rPr>
          <w:rFonts w:ascii="Tahoma" w:hAnsi="Tahoma"/>
          <w:rtl/>
        </w:rPr>
        <w:t xml:space="preserve"> יחד עם סעיף </w:t>
      </w:r>
      <w:hyperlink r:id="rId14" w:history="1">
        <w:r w:rsidR="000F5B3E" w:rsidRPr="000F5B3E">
          <w:rPr>
            <w:rStyle w:val="Hyperlink"/>
            <w:rFonts w:ascii="Tahoma" w:hAnsi="Tahoma"/>
            <w:color w:val="0000FF"/>
            <w:rtl/>
          </w:rPr>
          <w:t>7(ג)</w:t>
        </w:r>
      </w:hyperlink>
      <w:r>
        <w:rPr>
          <w:rFonts w:ascii="Tahoma" w:hAnsi="Tahoma"/>
          <w:rtl/>
        </w:rPr>
        <w:t xml:space="preserve"> רישא ל</w:t>
      </w:r>
      <w:hyperlink r:id="rId15" w:history="1">
        <w:r w:rsidR="00C01DA9" w:rsidRPr="00C01DA9">
          <w:rPr>
            <w:rFonts w:ascii="Tahoma" w:hAnsi="Tahoma"/>
            <w:color w:val="0000FF"/>
            <w:u w:val="single"/>
            <w:rtl/>
          </w:rPr>
          <w:t>פקודת הסמים המסוכנים</w:t>
        </w:r>
      </w:hyperlink>
      <w:r>
        <w:rPr>
          <w:rFonts w:ascii="Tahoma" w:hAnsi="Tahoma"/>
          <w:rtl/>
        </w:rPr>
        <w:t xml:space="preserve"> [נוסח חדש], תשל"ג-1973 </w:t>
      </w:r>
      <w:bookmarkStart w:id="7" w:name="ABSTRACT_END"/>
      <w:bookmarkEnd w:id="7"/>
      <w:r>
        <w:rPr>
          <w:rFonts w:ascii="Tahoma" w:hAnsi="Tahoma"/>
          <w:rtl/>
        </w:rPr>
        <w:t>(להלן – פקודת הסמים המסוכנים), ו</w:t>
      </w:r>
      <w:r>
        <w:rPr>
          <w:rFonts w:ascii="Tahoma" w:hAnsi="Tahoma"/>
          <w:b/>
          <w:bCs/>
          <w:rtl/>
        </w:rPr>
        <w:t xml:space="preserve">החזקת סמים </w:t>
      </w:r>
      <w:r>
        <w:rPr>
          <w:rFonts w:ascii="Tahoma" w:hAnsi="Tahoma"/>
          <w:b/>
          <w:bCs/>
          <w:rtl/>
        </w:rPr>
        <w:lastRenderedPageBreak/>
        <w:t>מסוכנים לצריכה עצמית</w:t>
      </w:r>
      <w:r>
        <w:rPr>
          <w:rFonts w:ascii="Tahoma" w:hAnsi="Tahoma"/>
          <w:rtl/>
        </w:rPr>
        <w:t xml:space="preserve">, לפי הוראות </w:t>
      </w:r>
      <w:hyperlink r:id="rId16" w:history="1">
        <w:r w:rsidR="000F5B3E" w:rsidRPr="000F5B3E">
          <w:rPr>
            <w:rStyle w:val="Hyperlink"/>
            <w:rFonts w:ascii="Tahoma" w:hAnsi="Tahoma"/>
            <w:color w:val="0000FF"/>
            <w:rtl/>
          </w:rPr>
          <w:t>סעיף 7(א)</w:t>
        </w:r>
      </w:hyperlink>
      <w:r>
        <w:rPr>
          <w:rFonts w:ascii="Tahoma" w:hAnsi="Tahoma"/>
          <w:rtl/>
        </w:rPr>
        <w:t xml:space="preserve"> יחד עם סעיף </w:t>
      </w:r>
      <w:hyperlink r:id="rId17" w:history="1">
        <w:r w:rsidR="000F5B3E" w:rsidRPr="000F5B3E">
          <w:rPr>
            <w:rStyle w:val="Hyperlink"/>
            <w:rFonts w:ascii="Tahoma" w:hAnsi="Tahoma"/>
            <w:color w:val="0000FF"/>
            <w:rtl/>
          </w:rPr>
          <w:t>7(ג)</w:t>
        </w:r>
      </w:hyperlink>
      <w:r>
        <w:rPr>
          <w:rFonts w:ascii="Tahoma" w:hAnsi="Tahoma"/>
          <w:rtl/>
        </w:rPr>
        <w:t xml:space="preserve"> סיפא לפקודת הסמים המסוכנים.</w:t>
      </w:r>
    </w:p>
    <w:p w14:paraId="6186444C" w14:textId="77777777" w:rsidR="009816E9" w:rsidRDefault="009816E9" w:rsidP="009816E9">
      <w:pPr>
        <w:numPr>
          <w:ilvl w:val="0"/>
          <w:numId w:val="2"/>
        </w:numPr>
        <w:spacing w:after="120" w:line="360" w:lineRule="auto"/>
        <w:ind w:left="360"/>
        <w:jc w:val="both"/>
        <w:rPr>
          <w:rFonts w:ascii="Tahoma" w:hAnsi="Tahoma"/>
          <w:rtl/>
        </w:rPr>
      </w:pPr>
      <w:r>
        <w:rPr>
          <w:rFonts w:ascii="Tahoma" w:hAnsi="Tahoma"/>
          <w:rtl/>
        </w:rPr>
        <w:t>בעובדות כתבי האישום המתוקנים נטען, בעיקרי הדברים, כלהלן:</w:t>
      </w:r>
    </w:p>
    <w:p w14:paraId="76F6F6B1" w14:textId="77777777" w:rsidR="009816E9" w:rsidRDefault="009816E9" w:rsidP="009816E9">
      <w:pPr>
        <w:numPr>
          <w:ilvl w:val="0"/>
          <w:numId w:val="3"/>
        </w:numPr>
        <w:spacing w:after="120" w:line="360" w:lineRule="auto"/>
        <w:ind w:left="720"/>
        <w:jc w:val="both"/>
        <w:rPr>
          <w:rFonts w:ascii="Tahoma" w:hAnsi="Tahoma"/>
        </w:rPr>
      </w:pPr>
      <w:r>
        <w:rPr>
          <w:rFonts w:ascii="Tahoma" w:hAnsi="Tahoma"/>
          <w:b/>
          <w:bCs/>
          <w:rtl/>
        </w:rPr>
        <w:t>בתיק העיקרי</w:t>
      </w:r>
      <w:r>
        <w:rPr>
          <w:rFonts w:ascii="Tahoma" w:hAnsi="Tahoma"/>
          <w:rtl/>
        </w:rPr>
        <w:t xml:space="preserve"> – ביום 04.10.2019 בשעה 01:46 או בסמוך לכך נהג הנאשם ברכב על כביש 461 לכיוון מערב. באותן נסיבות החזיק הנאשם ברכב, במספר מקומות, סמים מסוכנים מסוג </w:t>
      </w:r>
      <w:r>
        <w:rPr>
          <w:rFonts w:ascii="Tahoma" w:hAnsi="Tahoma"/>
          <w:b/>
          <w:bCs/>
          <w:rtl/>
        </w:rPr>
        <w:t>קנבוס</w:t>
      </w:r>
      <w:r>
        <w:rPr>
          <w:rFonts w:ascii="Tahoma" w:hAnsi="Tahoma"/>
          <w:rtl/>
        </w:rPr>
        <w:t xml:space="preserve">, שלא לצריכתו העצמית. מדובר בסמים במשקל מחושב של </w:t>
      </w:r>
      <w:r>
        <w:rPr>
          <w:rFonts w:ascii="Tahoma" w:hAnsi="Tahoma"/>
          <w:b/>
          <w:bCs/>
          <w:rtl/>
        </w:rPr>
        <w:t>55 גרם לערך</w:t>
      </w:r>
      <w:r>
        <w:rPr>
          <w:rFonts w:ascii="Tahoma" w:hAnsi="Tahoma"/>
          <w:rtl/>
        </w:rPr>
        <w:t xml:space="preserve">, שחולקו בין 27 שקיות. </w:t>
      </w:r>
    </w:p>
    <w:p w14:paraId="7B62D165" w14:textId="77777777" w:rsidR="009816E9" w:rsidRDefault="009816E9" w:rsidP="009816E9">
      <w:pPr>
        <w:numPr>
          <w:ilvl w:val="0"/>
          <w:numId w:val="3"/>
        </w:numPr>
        <w:spacing w:after="120" w:line="360" w:lineRule="auto"/>
        <w:ind w:left="720"/>
        <w:jc w:val="both"/>
        <w:rPr>
          <w:rFonts w:ascii="Tahoma" w:hAnsi="Tahoma"/>
        </w:rPr>
      </w:pPr>
      <w:r>
        <w:rPr>
          <w:rFonts w:ascii="Tahoma" w:hAnsi="Tahoma"/>
          <w:b/>
          <w:bCs/>
          <w:rtl/>
        </w:rPr>
        <w:t>בתיק המצורף</w:t>
      </w:r>
      <w:r>
        <w:rPr>
          <w:rFonts w:ascii="Tahoma" w:hAnsi="Tahoma"/>
          <w:rtl/>
        </w:rPr>
        <w:t xml:space="preserve"> – ביום 20.02.2021, בשעה 22:23 או בסמוך לכך ברחוב המרגנית בהרצליה, החזיק הנאשם ברכבו סמים מסוכנים מסוג </w:t>
      </w:r>
      <w:r>
        <w:rPr>
          <w:rFonts w:ascii="Tahoma" w:hAnsi="Tahoma"/>
          <w:b/>
          <w:bCs/>
          <w:rtl/>
        </w:rPr>
        <w:t>קנבוס</w:t>
      </w:r>
      <w:r>
        <w:rPr>
          <w:rFonts w:ascii="Tahoma" w:hAnsi="Tahoma"/>
          <w:rtl/>
        </w:rPr>
        <w:t xml:space="preserve"> במשקל כולל של </w:t>
      </w:r>
      <w:r>
        <w:rPr>
          <w:rFonts w:ascii="Tahoma" w:hAnsi="Tahoma"/>
          <w:b/>
          <w:bCs/>
          <w:rtl/>
        </w:rPr>
        <w:t>29.6 גרם נטו</w:t>
      </w:r>
      <w:r>
        <w:rPr>
          <w:rFonts w:ascii="Tahoma" w:hAnsi="Tahoma"/>
          <w:rtl/>
        </w:rPr>
        <w:t>, לצריכתו העצמית.</w:t>
      </w:r>
    </w:p>
    <w:p w14:paraId="1907FB84" w14:textId="77777777" w:rsidR="009816E9" w:rsidRDefault="009816E9" w:rsidP="009816E9">
      <w:pPr>
        <w:numPr>
          <w:ilvl w:val="0"/>
          <w:numId w:val="2"/>
        </w:numPr>
        <w:spacing w:after="120" w:line="360" w:lineRule="auto"/>
        <w:ind w:left="360"/>
        <w:jc w:val="both"/>
        <w:rPr>
          <w:rFonts w:ascii="Tahoma" w:hAnsi="Tahoma"/>
        </w:rPr>
      </w:pPr>
      <w:r>
        <w:rPr>
          <w:rFonts w:ascii="Tahoma" w:hAnsi="Tahoma"/>
          <w:rtl/>
        </w:rPr>
        <w:t>הדיונים המקדמיים התמשכו בשל בקשות דחייה מטעם ההגנה, לרקע מצבו המשפטי של הנאשם. בסופו של דבר הגיעו הצדדים לכלל הסדר טיעון דיוני, שבמסגרתו הוגשו כתבי המתוקנים הנ"ל (בפרוטוקול, עמ' 8). יש לציין כי בעובדות כתב האישום נערכו תיקונים מהותיים, במיוחד בתיק העיקרי, שבמסגרתם הושמטו גם עבירות נוספות.</w:t>
      </w:r>
    </w:p>
    <w:p w14:paraId="6248B91D" w14:textId="77777777" w:rsidR="009816E9" w:rsidRDefault="009816E9" w:rsidP="009816E9">
      <w:pPr>
        <w:numPr>
          <w:ilvl w:val="0"/>
          <w:numId w:val="2"/>
        </w:numPr>
        <w:spacing w:after="120" w:line="360" w:lineRule="auto"/>
        <w:ind w:left="360"/>
        <w:jc w:val="both"/>
        <w:rPr>
          <w:rFonts w:ascii="Tahoma" w:hAnsi="Tahoma"/>
        </w:rPr>
      </w:pPr>
      <w:r>
        <w:rPr>
          <w:rFonts w:ascii="Tahoma" w:hAnsi="Tahoma"/>
          <w:rtl/>
        </w:rPr>
        <w:t>הנאשם הודה בעובדות כתבי האישום המתוקנים והורשע, על יסוד הודאתו זו, בעבירות בהן הואשם כאמור בפסקה 1 דלעיל. הצדדים לא הודיעו על הסכמות לעניין הטיעונים לעונש, הגם שב"כ הנאשם ציין כי הוצעו להגנה שתי אפשרויות בהקשר זה. עוד יש לציין כי בהמשך ההליך עתרה ההגנה לקבלת תסקיר שירות המבחן, והמאשימה לקבלת חוות דעת הממונה על עבודות השירות. בית המשפט נעתר לבקשות הצדדים, כאמור בהחלטות הרלוואנטיות, אך לא למותר להעיר כי שיתוף הפעולה של הנאשם עם גורמים אלה היה בלתי פרודוקטיבי, בלשון המעטה, על אף הזדמנויות רבות שניתנו לו.</w:t>
      </w:r>
    </w:p>
    <w:p w14:paraId="1AF2764A" w14:textId="77777777" w:rsidR="009816E9" w:rsidRDefault="009816E9" w:rsidP="009816E9">
      <w:pPr>
        <w:spacing w:after="120" w:line="360" w:lineRule="auto"/>
        <w:jc w:val="both"/>
        <w:rPr>
          <w:rFonts w:ascii="Tahoma" w:hAnsi="Tahoma"/>
          <w:b/>
          <w:bCs/>
          <w:u w:val="single"/>
        </w:rPr>
      </w:pPr>
    </w:p>
    <w:p w14:paraId="62B0A5CF" w14:textId="77777777" w:rsidR="009816E9" w:rsidRDefault="009816E9" w:rsidP="009816E9">
      <w:pPr>
        <w:pStyle w:val="a9"/>
        <w:numPr>
          <w:ilvl w:val="0"/>
          <w:numId w:val="1"/>
        </w:numPr>
        <w:spacing w:after="120" w:line="360" w:lineRule="auto"/>
        <w:ind w:left="360"/>
        <w:jc w:val="both"/>
        <w:rPr>
          <w:rFonts w:ascii="Tahoma" w:hAnsi="Tahoma"/>
          <w:b/>
          <w:bCs/>
          <w:u w:val="single"/>
        </w:rPr>
      </w:pPr>
      <w:r>
        <w:rPr>
          <w:rFonts w:ascii="Tahoma" w:hAnsi="Tahoma"/>
          <w:b/>
          <w:bCs/>
          <w:u w:val="single"/>
          <w:rtl/>
        </w:rPr>
        <w:t>עיקר תסקירי שירות המבחן:</w:t>
      </w:r>
    </w:p>
    <w:p w14:paraId="2DD5E77E" w14:textId="77777777" w:rsidR="009816E9" w:rsidRDefault="009816E9" w:rsidP="009816E9">
      <w:pPr>
        <w:numPr>
          <w:ilvl w:val="0"/>
          <w:numId w:val="2"/>
        </w:numPr>
        <w:spacing w:after="120" w:line="360" w:lineRule="auto"/>
        <w:ind w:left="360"/>
        <w:jc w:val="both"/>
        <w:rPr>
          <w:rFonts w:ascii="Tahoma" w:hAnsi="Tahoma"/>
        </w:rPr>
      </w:pPr>
      <w:r>
        <w:rPr>
          <w:rFonts w:ascii="Tahoma" w:hAnsi="Tahoma"/>
          <w:rtl/>
        </w:rPr>
        <w:t>תסקיר שירות המבחן (מיום 22.09.2022) מפרט את נסיבותיו האישיות של הנאשם, יליד שנת 1995 (בן 29 שנים כיום). הנאשם יליד אתיופיה ועלה ארצה עם משפחתו, בה 11 ילדים, בילדותו. הנאשם רווק ועדיין מתגורר עם משפחתו בראשון לציון. הנאשם תיאר קשיים רבים שחווה בילדותו, לרקע העליה ארצה, וציין כי למרות זאת השלים 12 שנות לימוד, התגייס לצה"ל ושירת כלוחם.</w:t>
      </w:r>
    </w:p>
    <w:p w14:paraId="021E98D4" w14:textId="77777777" w:rsidR="009816E9" w:rsidRDefault="009816E9" w:rsidP="009816E9">
      <w:pPr>
        <w:numPr>
          <w:ilvl w:val="0"/>
          <w:numId w:val="2"/>
        </w:numPr>
        <w:spacing w:after="120" w:line="360" w:lineRule="auto"/>
        <w:ind w:left="360"/>
        <w:jc w:val="both"/>
        <w:rPr>
          <w:rFonts w:ascii="Tahoma" w:hAnsi="Tahoma"/>
          <w:rtl/>
        </w:rPr>
      </w:pPr>
      <w:r>
        <w:rPr>
          <w:rFonts w:ascii="Tahoma" w:hAnsi="Tahoma"/>
          <w:rtl/>
        </w:rPr>
        <w:t xml:space="preserve">הנאשם תיאר כי לאחר שחרורו מהצבא עבד במקומות שונים ופיתח אורח חיים התמכרותי לסמים מסוכנים מסוג קנבוס. עוד תיאר הנאשם קשיים בשליטה בכעסים, התפרצויות זעם וקשיים בתחום השינה. אשר לעבירות מושא כתבי האישום דנא נטל הנאשם אחריות פורמאלית </w:t>
      </w:r>
      <w:r>
        <w:rPr>
          <w:rFonts w:ascii="Tahoma" w:hAnsi="Tahoma"/>
          <w:rtl/>
        </w:rPr>
        <w:lastRenderedPageBreak/>
        <w:t>על ביצוען תוך שתיאר רקע התמכרותי, בין השאר כאמצעי להתמודדות עם רגשות כואבים, קשיי ויסות וקשיי הירדמות. שירות המבחן התרשם כי התייחסויותיו של הנאשם להתנהגותו הן מצמצמות, מעורפלות ושטחיות; תוך שהנאשם מתקשה להתבונן באופן מעמיק בבחירותיו ובגורמים הרגשיים העומדים ביסוד התנהלותו העבריינית.</w:t>
      </w:r>
    </w:p>
    <w:p w14:paraId="6AD9BE80" w14:textId="77777777" w:rsidR="009816E9" w:rsidRDefault="009816E9" w:rsidP="009816E9">
      <w:pPr>
        <w:numPr>
          <w:ilvl w:val="0"/>
          <w:numId w:val="2"/>
        </w:numPr>
        <w:spacing w:after="120" w:line="360" w:lineRule="auto"/>
        <w:ind w:left="360"/>
        <w:jc w:val="both"/>
        <w:rPr>
          <w:rFonts w:ascii="Tahoma" w:hAnsi="Tahoma"/>
        </w:rPr>
      </w:pPr>
      <w:r>
        <w:rPr>
          <w:rFonts w:ascii="Tahoma" w:hAnsi="Tahoma"/>
          <w:rtl/>
        </w:rPr>
        <w:t>שירות המבחן התרשם כי הנאשם הוא בעל יכולות תפקודיות ושאיפות נורמטיביות, אך פיתח התמכרות לשימוש בסמים. הנאשם אמנם טען כי לאחרונה הפסיק להשתמש בסמים, אך בדיקת שתן שנערכה העידה על שימוש בסמים מסוג קנבוס. שירות המבחן המליץ אפוא לנאשם להשתלב בטיפול ביחידה להתמכרויות, אך הנאשם דחה המלצה זו תוך שטען כי בעבר פנה ליחידה עצמאית והבין כי אינו זקוק לטיפול. בנסיבות אלה, ולאחר בחינת גורמי הסיכון והסיכוי בעניינו של הנאשם (תוך התרשמות שהנאשם אינו מאופיין בדפוסים אישיותיים עברייניים), נמנע שירות המבחן מהמלצה טיפולית-שיקומית בעניינו של הנאשם; תוך המלצה על ענישה מרתיעה וקונקרטית, לצרכי התרעה.</w:t>
      </w:r>
    </w:p>
    <w:p w14:paraId="3E6E2B44" w14:textId="77777777" w:rsidR="009816E9" w:rsidRDefault="009816E9" w:rsidP="009816E9">
      <w:pPr>
        <w:numPr>
          <w:ilvl w:val="0"/>
          <w:numId w:val="2"/>
        </w:numPr>
        <w:spacing w:after="120" w:line="360" w:lineRule="auto"/>
        <w:ind w:left="360"/>
        <w:jc w:val="both"/>
        <w:rPr>
          <w:rFonts w:ascii="Tahoma" w:hAnsi="Tahoma"/>
        </w:rPr>
      </w:pPr>
      <w:r>
        <w:rPr>
          <w:rFonts w:ascii="Tahoma" w:hAnsi="Tahoma"/>
          <w:rtl/>
        </w:rPr>
        <w:t>לאחר שנתקבל התסקיר עתר הסניגור להורות לשירות המבחן לבחון את האפשרות שהנאשם יבצע צו שירות לתועלת הציבור (של"צ) כחלק מעונשו (בפרוטוקול, עמ' 14-13). דא עקא, שבתסקיר המשלים שהתקבל (מיום 07.12.2022) נמצא כי הנאשם אינו עומד בקריטריונים לביצוע צו של"צ. כאמור שם, בדיקת שתן נוספת שנערכה לנאשם שוב נמצאה חיובית לסמים מסוג קנבוס. שירות המבחן חזר אפוא על התרשמותו כי הנאשם פיתח התמכרות לסמים מסוכנים ולרקע זה לא מצא אותו כמתאים לביצוע של"צ, וכך גם בתסקיר המשלים מיום 08.05.2024.</w:t>
      </w:r>
    </w:p>
    <w:p w14:paraId="237E965D" w14:textId="77777777" w:rsidR="009816E9" w:rsidRDefault="009816E9" w:rsidP="009816E9">
      <w:pPr>
        <w:spacing w:after="120" w:line="360" w:lineRule="auto"/>
        <w:jc w:val="both"/>
        <w:rPr>
          <w:rFonts w:ascii="Tahoma" w:hAnsi="Tahoma"/>
          <w:b/>
          <w:bCs/>
          <w:u w:val="single"/>
        </w:rPr>
      </w:pPr>
    </w:p>
    <w:p w14:paraId="4A5B2C46" w14:textId="77777777" w:rsidR="009816E9" w:rsidRDefault="009816E9" w:rsidP="009816E9">
      <w:pPr>
        <w:pStyle w:val="a9"/>
        <w:numPr>
          <w:ilvl w:val="0"/>
          <w:numId w:val="1"/>
        </w:numPr>
        <w:spacing w:after="120" w:line="360" w:lineRule="auto"/>
        <w:ind w:left="360"/>
        <w:jc w:val="both"/>
        <w:rPr>
          <w:rFonts w:ascii="Tahoma" w:hAnsi="Tahoma"/>
          <w:b/>
          <w:bCs/>
          <w:u w:val="single"/>
        </w:rPr>
      </w:pPr>
      <w:r>
        <w:rPr>
          <w:rFonts w:ascii="Tahoma" w:hAnsi="Tahoma"/>
          <w:b/>
          <w:bCs/>
          <w:u w:val="single"/>
          <w:rtl/>
        </w:rPr>
        <w:t>עיקר הראיות והטיעונים לעונש:</w:t>
      </w:r>
    </w:p>
    <w:p w14:paraId="26BE6601" w14:textId="77777777" w:rsidR="009816E9" w:rsidRDefault="009816E9" w:rsidP="009816E9">
      <w:pPr>
        <w:numPr>
          <w:ilvl w:val="0"/>
          <w:numId w:val="2"/>
        </w:numPr>
        <w:spacing w:after="120" w:line="360" w:lineRule="auto"/>
        <w:ind w:left="360"/>
        <w:jc w:val="both"/>
        <w:rPr>
          <w:rFonts w:ascii="Tahoma" w:hAnsi="Tahoma"/>
        </w:rPr>
      </w:pPr>
      <w:r>
        <w:rPr>
          <w:rFonts w:ascii="Tahoma" w:hAnsi="Tahoma"/>
          <w:rtl/>
        </w:rPr>
        <w:t xml:space="preserve">ב"כ המאשימה הגיש, כראיה לקביעת העונש, את תדפיס המידע הפלילי בעניינו של הנאשם. כעולה מתדפיס זה לנאשם </w:t>
      </w:r>
      <w:r>
        <w:rPr>
          <w:rtl/>
        </w:rPr>
        <w:t>– כאמור יליד שנת 1995, בן 29 שנים כיום –</w:t>
      </w:r>
      <w:r>
        <w:rPr>
          <w:rFonts w:ascii="Tahoma" w:hAnsi="Tahoma"/>
          <w:rtl/>
        </w:rPr>
        <w:t xml:space="preserve"> הרשעה קודמת אחת. מדובר בהרשעה משנת 2021 בגין ביצוע עבירה של הפרעה לשוטר בשעת מילוי תפקידו, שבגינה נשפט הנאשם לענישה מותנית.</w:t>
      </w:r>
    </w:p>
    <w:p w14:paraId="715BEF67" w14:textId="77777777" w:rsidR="009816E9" w:rsidRDefault="009816E9" w:rsidP="009816E9">
      <w:pPr>
        <w:numPr>
          <w:ilvl w:val="0"/>
          <w:numId w:val="2"/>
        </w:numPr>
        <w:spacing w:after="120" w:line="360" w:lineRule="auto"/>
        <w:ind w:left="360"/>
        <w:jc w:val="both"/>
        <w:rPr>
          <w:rFonts w:ascii="Tahoma" w:hAnsi="Tahoma"/>
          <w:rtl/>
        </w:rPr>
      </w:pPr>
      <w:r>
        <w:rPr>
          <w:rFonts w:ascii="Tahoma" w:hAnsi="Tahoma"/>
          <w:rtl/>
        </w:rPr>
        <w:t>בטיעוניו עמד ב"כ המאשימה על עובדות כתבי האישום המתוקנים, שבהן הודה הנאשם. בתיק העיקרי הדגיש את נסיבות החומרה, דהיינו: החזקת הסמים ברכב, במקומות שונים, כמו גם חלוקתם ל-27 שקיות, נתונים המלמדים לשיטת התובע על כוונת סחר. אשר לערכים המוגנים שנפגעו כתולדה מביצוע העבירות על ידי הנאשם הדגיש התובע את הפגיעה בהגנה על שלום הציבור ועל בריאותו מפני הנזקים הישירים והעקיפים הנגרמים כתולדה משימוש בסמים מסוכנים. עוד הדגיש התובע, בהקשר זה, כי עסקינן בעבירות שנעברו אגב נהיגה ברכב, על כל פוטנציאל ההפצה והסיכון הנוסף הכרוך בכך.</w:t>
      </w:r>
    </w:p>
    <w:p w14:paraId="6EFC47B6" w14:textId="77777777" w:rsidR="009816E9" w:rsidRDefault="009816E9" w:rsidP="009816E9">
      <w:pPr>
        <w:numPr>
          <w:ilvl w:val="0"/>
          <w:numId w:val="2"/>
        </w:numPr>
        <w:spacing w:after="120" w:line="360" w:lineRule="auto"/>
        <w:ind w:left="360"/>
        <w:jc w:val="both"/>
        <w:rPr>
          <w:rFonts w:ascii="Tahoma" w:hAnsi="Tahoma"/>
        </w:rPr>
      </w:pPr>
      <w:r>
        <w:rPr>
          <w:rFonts w:ascii="Tahoma" w:hAnsi="Tahoma"/>
          <w:rtl/>
        </w:rPr>
        <w:t xml:space="preserve">לעניין מדיניות הענישה הנהוגה הפנה ב"כ המאשימה לפסיקה, לרבות המקרה מושא </w:t>
      </w:r>
      <w:hyperlink r:id="rId18" w:history="1">
        <w:r w:rsidR="00C01DA9" w:rsidRPr="00C01DA9">
          <w:rPr>
            <w:rFonts w:ascii="Tahoma" w:hAnsi="Tahoma"/>
            <w:color w:val="0000FF"/>
            <w:u w:val="single"/>
            <w:rtl/>
          </w:rPr>
          <w:t>ת"פ (שלום ב"ש) 61181-02-19</w:t>
        </w:r>
      </w:hyperlink>
      <w:r>
        <w:rPr>
          <w:rFonts w:ascii="Tahoma" w:hAnsi="Tahoma"/>
          <w:rtl/>
        </w:rPr>
        <w:t xml:space="preserve"> </w:t>
      </w:r>
      <w:r>
        <w:rPr>
          <w:rFonts w:ascii="Tahoma" w:hAnsi="Tahoma"/>
          <w:b/>
          <w:bCs/>
          <w:rtl/>
        </w:rPr>
        <w:t>מדינת ישראל נ' רובינוב</w:t>
      </w:r>
      <w:r>
        <w:rPr>
          <w:rFonts w:ascii="Tahoma" w:hAnsi="Tahoma"/>
          <w:rtl/>
        </w:rPr>
        <w:t xml:space="preserve"> (30.03.2022) – בו נסקרו אסמכתאות רבות ונקבע מתחם עונש הולם שבין 4 חודשי מאסר בפועל לבין 12 חודשי מאסר בפועל. התובע ביקש לאמץ מתחם זה בתיק העיקרי ובתיק המצורף עתר לקביעת מתחם עונש הולם שבין מאסר מותנה לבין 6 חודשי מאסר בפועל.</w:t>
      </w:r>
    </w:p>
    <w:p w14:paraId="5F5816B6" w14:textId="77777777" w:rsidR="009816E9" w:rsidRDefault="009816E9" w:rsidP="009816E9">
      <w:pPr>
        <w:numPr>
          <w:ilvl w:val="0"/>
          <w:numId w:val="2"/>
        </w:numPr>
        <w:spacing w:after="120" w:line="360" w:lineRule="auto"/>
        <w:ind w:left="360"/>
        <w:jc w:val="both"/>
        <w:rPr>
          <w:rFonts w:ascii="Tahoma" w:hAnsi="Tahoma"/>
        </w:rPr>
      </w:pPr>
      <w:r>
        <w:rPr>
          <w:rFonts w:ascii="Tahoma" w:hAnsi="Tahoma"/>
          <w:rtl/>
        </w:rPr>
        <w:t>אשר לגזירת עונשו של הנאשם בתוך מתחמי העונש ההולמים עמד ב"כ המאשימה על עברו הפלילי של הנאשם, על הנתונים השליליים העולים מתסקירי שירות המבחן ועל התרשמות שירות המבחן שלפיה הנאשם פיתח התמכרות לסמים מסוכנים. עם זאת הוסיף ב"כ המאשימה וציין, בהגינותו, גם את היבטי הקולה, ובמיוחד את הודאת הנאשם בשני התיקים, ובשורה התחתונה עתר לגזור על הנאשם 6 חודשי מאסר בפועל, מאסר מותנה, קנס כספי והתחייבות להימנע מעבירה.</w:t>
      </w:r>
    </w:p>
    <w:p w14:paraId="516C3F39" w14:textId="77777777" w:rsidR="009816E9" w:rsidRDefault="009816E9" w:rsidP="009816E9">
      <w:pPr>
        <w:numPr>
          <w:ilvl w:val="0"/>
          <w:numId w:val="2"/>
        </w:numPr>
        <w:spacing w:after="120" w:line="360" w:lineRule="auto"/>
        <w:ind w:left="360"/>
        <w:jc w:val="both"/>
        <w:rPr>
          <w:rFonts w:ascii="Tahoma" w:hAnsi="Tahoma"/>
        </w:rPr>
      </w:pPr>
      <w:r>
        <w:rPr>
          <w:rFonts w:ascii="Tahoma" w:hAnsi="Tahoma"/>
          <w:rtl/>
        </w:rPr>
        <w:t>ב"כ הנאשם, מצידו, מתח ביקורת על טיעון התובע בטענה כי טיעונו מחמיר מההצעות שהוצעו להגנה הן בתחילת הדרך (ר' בפסקה 4 דלעיל) והן לאחר מכן. עוד הדגיש הסניגור, במיוחד, את העובדה שהנאשם קיבל בשנה האחרונה רישיון רפואי לשימוש בקנבוס (אשר צורף גם לתיק בית המשפט), שתוקפו פג לאחרונה, ביום 18.04.2024, ועקב כך הנאשם לא נמצא מתאים לביצוע של"צ (ר' בתסקיר המשלים מיום 05.08.2024).</w:t>
      </w:r>
    </w:p>
    <w:p w14:paraId="40C25841" w14:textId="77777777" w:rsidR="009816E9" w:rsidRDefault="009816E9" w:rsidP="009816E9">
      <w:pPr>
        <w:numPr>
          <w:ilvl w:val="0"/>
          <w:numId w:val="2"/>
        </w:numPr>
        <w:spacing w:after="120" w:line="360" w:lineRule="auto"/>
        <w:ind w:left="360"/>
        <w:jc w:val="both"/>
        <w:rPr>
          <w:rFonts w:ascii="Tahoma" w:hAnsi="Tahoma"/>
        </w:rPr>
      </w:pPr>
      <w:r>
        <w:rPr>
          <w:rFonts w:ascii="Tahoma" w:hAnsi="Tahoma"/>
          <w:rtl/>
        </w:rPr>
        <w:t>אשר למתחם העונש ההולם חזר ב"כ הנאשם והטעים את מה שכינה "הלגליזציה של סמים קלים" – הגם שיש להעיר כי המחוקק הישראלי לא נקט בדרך של לגליזציה אלא בדרך של הפיכת העבירה של החזקת סמים מסוכנים מסוג קנבוס, לצריכה עצמית, לעבירה מנהלית. מכל מקום, לעניין מתחם העונש ההולם הפנה הסניגור למקרים שבהם נקבעו מתחמים עונש הולמים, לעבירה של החזקת סמים מסוכנים מסוג קנבוס שלא לצריכה עצמית, שתחילתם בענישה צופה פני עתיד, וביקש לאמצם כאן. בין השאר הפנה הסניגור ל</w:t>
      </w:r>
      <w:hyperlink r:id="rId19" w:history="1">
        <w:r w:rsidR="00C01DA9" w:rsidRPr="00C01DA9">
          <w:rPr>
            <w:rFonts w:ascii="Tahoma" w:hAnsi="Tahoma"/>
            <w:color w:val="0000FF"/>
            <w:u w:val="single"/>
            <w:rtl/>
          </w:rPr>
          <w:t>ת"פ (שלום ת"א) 24763-04-21</w:t>
        </w:r>
      </w:hyperlink>
      <w:r>
        <w:rPr>
          <w:rFonts w:ascii="Tahoma" w:hAnsi="Tahoma"/>
          <w:rtl/>
        </w:rPr>
        <w:t xml:space="preserve"> </w:t>
      </w:r>
      <w:r>
        <w:rPr>
          <w:rFonts w:ascii="Tahoma" w:hAnsi="Tahoma"/>
          <w:b/>
          <w:bCs/>
          <w:rtl/>
        </w:rPr>
        <w:t>מדינת ישראל נ' מולה</w:t>
      </w:r>
      <w:r>
        <w:rPr>
          <w:rFonts w:ascii="Tahoma" w:hAnsi="Tahoma"/>
          <w:rtl/>
        </w:rPr>
        <w:t xml:space="preserve"> (12.12.2021) ול</w:t>
      </w:r>
      <w:hyperlink r:id="rId20" w:history="1">
        <w:r w:rsidR="00C01DA9" w:rsidRPr="00C01DA9">
          <w:rPr>
            <w:rFonts w:ascii="Tahoma" w:hAnsi="Tahoma"/>
            <w:color w:val="0000FF"/>
            <w:u w:val="single"/>
            <w:rtl/>
          </w:rPr>
          <w:t>ת"פ (שלום ת"א) 21678-03-18</w:t>
        </w:r>
      </w:hyperlink>
      <w:r>
        <w:rPr>
          <w:rFonts w:ascii="Tahoma" w:hAnsi="Tahoma"/>
          <w:rtl/>
        </w:rPr>
        <w:t xml:space="preserve"> </w:t>
      </w:r>
      <w:r>
        <w:rPr>
          <w:rFonts w:ascii="Tahoma" w:hAnsi="Tahoma"/>
          <w:b/>
          <w:bCs/>
          <w:rtl/>
        </w:rPr>
        <w:t>מדינת ישראל נ' גוסיינוב</w:t>
      </w:r>
      <w:r>
        <w:rPr>
          <w:rFonts w:ascii="Tahoma" w:hAnsi="Tahoma"/>
          <w:rtl/>
        </w:rPr>
        <w:t xml:space="preserve"> (24.06.2020).</w:t>
      </w:r>
    </w:p>
    <w:p w14:paraId="7AC09AB0" w14:textId="77777777" w:rsidR="009816E9" w:rsidRDefault="009816E9" w:rsidP="009816E9">
      <w:pPr>
        <w:numPr>
          <w:ilvl w:val="0"/>
          <w:numId w:val="2"/>
        </w:numPr>
        <w:spacing w:after="120" w:line="360" w:lineRule="auto"/>
        <w:ind w:left="360"/>
        <w:jc w:val="both"/>
        <w:rPr>
          <w:rFonts w:ascii="Tahoma" w:hAnsi="Tahoma"/>
        </w:rPr>
      </w:pPr>
      <w:r>
        <w:rPr>
          <w:rFonts w:ascii="Tahoma" w:hAnsi="Tahoma"/>
          <w:rtl/>
        </w:rPr>
        <w:t>אשר לגזירת עונשו של הנאשם בתוך מתחם העונש ההולם הדגיש הסניגור את נסיבותיו המורכבות של הנאשם, שהוא אדם נורמטיבי אשר שירת שירות צבאי מלא, וכיום מוטלת עליו פרנסת הבית וחמישה מאחיו הקטנים ממנו, שעדיין מתגוררים בו. עוד הדגיש הסניגור את חלוף הזמן מאז ביצוע העבירות, כאשר מאז לא נפתחו נגד הנאשם תיקים נוספים, ואת העובדה שהנאשם היה נתון מספר ימים במעצר בגין התיקים דנא. לבסוף ציין ב"כ הנאשם את מצבו הכלכלי הדחוק של מרשו, הנתון כיום בחובות כבדים כעולה מסמכים שהגיש (סומנו ס/1).</w:t>
      </w:r>
    </w:p>
    <w:p w14:paraId="49FB536A" w14:textId="77777777" w:rsidR="009816E9" w:rsidRDefault="009816E9" w:rsidP="009816E9">
      <w:pPr>
        <w:numPr>
          <w:ilvl w:val="0"/>
          <w:numId w:val="2"/>
        </w:numPr>
        <w:spacing w:after="120" w:line="360" w:lineRule="auto"/>
        <w:ind w:left="360"/>
        <w:jc w:val="both"/>
        <w:rPr>
          <w:rFonts w:ascii="Tahoma" w:hAnsi="Tahoma"/>
        </w:rPr>
      </w:pPr>
      <w:r>
        <w:rPr>
          <w:rFonts w:ascii="Tahoma" w:hAnsi="Tahoma"/>
          <w:rtl/>
        </w:rPr>
        <w:t>לבסוף הנאשם, בדברו האחרון לעונש, הסתפק בדברי הסניגור (בפרוטוקול, עמ' 27 שורה 30).</w:t>
      </w:r>
    </w:p>
    <w:p w14:paraId="49BBDE8D" w14:textId="77777777" w:rsidR="009816E9" w:rsidRDefault="009816E9" w:rsidP="009816E9">
      <w:pPr>
        <w:spacing w:after="120" w:line="360" w:lineRule="auto"/>
        <w:jc w:val="both"/>
        <w:rPr>
          <w:rFonts w:ascii="Tahoma" w:hAnsi="Tahoma"/>
          <w:b/>
          <w:bCs/>
          <w:u w:val="single"/>
        </w:rPr>
      </w:pPr>
    </w:p>
    <w:p w14:paraId="4755A748" w14:textId="77777777" w:rsidR="009816E9" w:rsidRDefault="009816E9" w:rsidP="009816E9">
      <w:pPr>
        <w:pStyle w:val="a9"/>
        <w:numPr>
          <w:ilvl w:val="0"/>
          <w:numId w:val="1"/>
        </w:numPr>
        <w:spacing w:after="120" w:line="360" w:lineRule="auto"/>
        <w:ind w:left="360"/>
        <w:jc w:val="both"/>
        <w:rPr>
          <w:rFonts w:ascii="Tahoma" w:hAnsi="Tahoma"/>
          <w:b/>
          <w:bCs/>
          <w:u w:val="single"/>
        </w:rPr>
      </w:pPr>
      <w:r>
        <w:rPr>
          <w:rFonts w:ascii="Tahoma" w:hAnsi="Tahoma"/>
          <w:b/>
          <w:bCs/>
          <w:u w:val="single"/>
          <w:rtl/>
        </w:rPr>
        <w:t>קביעת מתחמי העונש ההולמים:</w:t>
      </w:r>
    </w:p>
    <w:p w14:paraId="3BFF49C0" w14:textId="77777777" w:rsidR="009816E9" w:rsidRDefault="009816E9" w:rsidP="009816E9">
      <w:pPr>
        <w:numPr>
          <w:ilvl w:val="0"/>
          <w:numId w:val="2"/>
        </w:numPr>
        <w:spacing w:after="120" w:line="360" w:lineRule="auto"/>
        <w:ind w:left="360"/>
        <w:jc w:val="both"/>
        <w:rPr>
          <w:rFonts w:ascii="Tahoma" w:hAnsi="Tahoma"/>
        </w:rPr>
      </w:pPr>
      <w:r>
        <w:rPr>
          <w:rFonts w:ascii="Tahoma" w:hAnsi="Tahoma"/>
          <w:rtl/>
        </w:rPr>
        <w:t xml:space="preserve">בהתאם להוראות </w:t>
      </w:r>
      <w:hyperlink r:id="rId21" w:history="1">
        <w:r w:rsidR="00C01DA9" w:rsidRPr="00C01DA9">
          <w:rPr>
            <w:rFonts w:ascii="Tahoma" w:hAnsi="Tahoma"/>
            <w:color w:val="0000FF"/>
            <w:u w:val="single"/>
            <w:rtl/>
          </w:rPr>
          <w:t>חוק העונשין</w:t>
        </w:r>
      </w:hyperlink>
      <w:r>
        <w:rPr>
          <w:rFonts w:ascii="Tahoma" w:hAnsi="Tahoma"/>
          <w:rtl/>
        </w:rPr>
        <w:t>, תשל"ז-1977 (להלן – חוק העונשין), בעת גזירת עונשו של נאשם על בית המשפט לקבוע, תחילה, את מתחם העונש ההולם לכל "אירוע" עברייני שבגינו הורשע הנאשם. בענייננו מדובר בשני כתבי אישום העוסקים בעבירות שונות שנעברו בהפרש זמנים ניכר ובמקומות שונים ועל כן – כטיעון ב"כ המאשימה – אמנם מדובר בשני "אירועים" שונים.</w:t>
      </w:r>
    </w:p>
    <w:p w14:paraId="4BBD275C" w14:textId="77777777" w:rsidR="009816E9" w:rsidRDefault="009816E9" w:rsidP="009816E9">
      <w:pPr>
        <w:numPr>
          <w:ilvl w:val="0"/>
          <w:numId w:val="2"/>
        </w:numPr>
        <w:spacing w:after="120" w:line="360" w:lineRule="auto"/>
        <w:ind w:left="360"/>
        <w:jc w:val="both"/>
        <w:rPr>
          <w:rFonts w:ascii="Tahoma" w:hAnsi="Tahoma"/>
        </w:rPr>
      </w:pPr>
      <w:r>
        <w:rPr>
          <w:rFonts w:ascii="Tahoma" w:hAnsi="Tahoma"/>
          <w:rtl/>
        </w:rPr>
        <w:t xml:space="preserve">אשר לקביעת מתחמי העונש לכל אחד מהאירועים, בהתאם להוראות </w:t>
      </w:r>
      <w:hyperlink r:id="rId22" w:history="1">
        <w:r w:rsidR="00C01DA9" w:rsidRPr="00C01DA9">
          <w:rPr>
            <w:rFonts w:ascii="Tahoma" w:hAnsi="Tahoma"/>
            <w:color w:val="0000FF"/>
            <w:u w:val="single"/>
            <w:rtl/>
          </w:rPr>
          <w:t>חוק העונשין</w:t>
        </w:r>
      </w:hyperlink>
      <w:r>
        <w:rPr>
          <w:rFonts w:ascii="Tahoma" w:hAnsi="Tahoma"/>
          <w:rtl/>
        </w:rPr>
        <w:t xml:space="preserve"> בקביעתם יתחשב בית המשפט, בין השאר, בערכים החברתיים שנפגעו מביצוע העבירות ובמידת הפגיעה בהן, במדיניות הענישה הנהוגה ובנסיבות הקשורות בביצוע העבירות, לרבות אלה המנויות בהוראות </w:t>
      </w:r>
      <w:hyperlink r:id="rId23" w:history="1">
        <w:r w:rsidR="000F5B3E" w:rsidRPr="000F5B3E">
          <w:rPr>
            <w:rStyle w:val="Hyperlink"/>
            <w:rFonts w:ascii="Tahoma" w:hAnsi="Tahoma"/>
            <w:color w:val="0000FF"/>
            <w:rtl/>
          </w:rPr>
          <w:t>סעיף 40ט</w:t>
        </w:r>
      </w:hyperlink>
      <w:r>
        <w:rPr>
          <w:rFonts w:ascii="Tahoma" w:hAnsi="Tahoma"/>
          <w:rtl/>
        </w:rPr>
        <w:t xml:space="preserve"> לחוק העונשין.</w:t>
      </w:r>
    </w:p>
    <w:p w14:paraId="329BE1BE" w14:textId="77777777" w:rsidR="009816E9" w:rsidRDefault="009816E9" w:rsidP="009816E9">
      <w:pPr>
        <w:numPr>
          <w:ilvl w:val="0"/>
          <w:numId w:val="2"/>
        </w:numPr>
        <w:spacing w:after="120" w:line="360" w:lineRule="auto"/>
        <w:ind w:left="360"/>
        <w:jc w:val="both"/>
        <w:rPr>
          <w:rFonts w:ascii="Tahoma" w:hAnsi="Tahoma"/>
          <w:rtl/>
        </w:rPr>
      </w:pPr>
      <w:r>
        <w:rPr>
          <w:rFonts w:ascii="Tahoma" w:hAnsi="Tahoma"/>
          <w:rtl/>
        </w:rPr>
        <w:t xml:space="preserve">לעניין הערכים החברתיים, שנפגעו כתולדה מביצוע העבירה, מקובל עליי טיעון ב"כ המאשימה, בפרט בהקשר לתיק העיקרי. הפסיקה חוזרת ומדגישה את חומרתן של עבירות הסמים מסוג פשע, שביצוען פוגע במידה ניכרת בערכים החברתיים של ההגנה על שלום הציבור ועל בריאותו. עם זאת, </w:t>
      </w:r>
      <w:r>
        <w:rPr>
          <w:rtl/>
        </w:rPr>
        <w:t>חומרת האירוע העברייני נגזרת כאמור לא רק מחומרת העבירה כשלעצמה, אלא גם מחומרתה בנסיבות הספציפיות בהן היא בוצעה.</w:t>
      </w:r>
      <w:r>
        <w:rPr>
          <w:rFonts w:ascii="Tahoma" w:hAnsi="Tahoma"/>
          <w:rtl/>
        </w:rPr>
        <w:t xml:space="preserve"> אכן, כטיעון התובע, במקרה דנא בשני התיקים מתקיימת נסיבת-חומרה משמעותית, של החזקת הסמים ברכב, ובתיק העיקרי גם נסיבות חומרה נוספות, דהיינו: חלוקת הסמים לשקיות והחזקתם במקומות שונים ברכב.</w:t>
      </w:r>
    </w:p>
    <w:p w14:paraId="21301064" w14:textId="77777777" w:rsidR="009816E9" w:rsidRDefault="009816E9" w:rsidP="009816E9">
      <w:pPr>
        <w:numPr>
          <w:ilvl w:val="0"/>
          <w:numId w:val="2"/>
        </w:numPr>
        <w:spacing w:after="120" w:line="360" w:lineRule="auto"/>
        <w:ind w:left="360"/>
        <w:jc w:val="both"/>
        <w:rPr>
          <w:rFonts w:ascii="Tahoma" w:hAnsi="Tahoma"/>
        </w:rPr>
      </w:pPr>
      <w:r>
        <w:rPr>
          <w:rFonts w:ascii="Tahoma" w:hAnsi="Tahoma"/>
          <w:rtl/>
        </w:rPr>
        <w:t>ואולם, בעבירות סמים יש גם משמעות מהותית הן לסוג הסמים והן לכמותם, כאשר בענייננו מדובר בסמים מסוג קנבוס בכמויות קטנות יחסית: בתיק המצורף מדובר בהחזקה לצריכה עצמית ובתיק העיקרי, הגם שמדובר בהחזקה שלא לצריכה עצמית, מדובר בכמות של עשרות גרמים. יתר על כן, כפי האמור באסמכתאות הנ"ל שאליהן הפנה הסניגור, כאשר מדובר בהחזקת סמים מסוכנים מסוג קנבוס, בכמויות קטנות יחסית ובנסיבות המתאימות, לא אחת נקבעים מתחמי עונש הולמים שתחילתם בענישה הצופה פני עתיד.</w:t>
      </w:r>
    </w:p>
    <w:p w14:paraId="4BF1820D" w14:textId="77777777" w:rsidR="009816E9" w:rsidRDefault="009816E9" w:rsidP="009816E9">
      <w:pPr>
        <w:numPr>
          <w:ilvl w:val="0"/>
          <w:numId w:val="2"/>
        </w:numPr>
        <w:spacing w:after="120" w:line="360" w:lineRule="auto"/>
        <w:ind w:left="360"/>
        <w:jc w:val="both"/>
        <w:rPr>
          <w:rFonts w:ascii="Tahoma" w:hAnsi="Tahoma"/>
        </w:rPr>
      </w:pPr>
      <w:r>
        <w:rPr>
          <w:rtl/>
        </w:rPr>
        <w:t>אני קובע אפוא את מתחמי העונש ההולמים, במקרה זה, כלהלן:</w:t>
      </w:r>
    </w:p>
    <w:p w14:paraId="0B170FA2" w14:textId="77777777" w:rsidR="009816E9" w:rsidRDefault="009816E9" w:rsidP="009816E9">
      <w:pPr>
        <w:numPr>
          <w:ilvl w:val="0"/>
          <w:numId w:val="3"/>
        </w:numPr>
        <w:spacing w:after="120" w:line="360" w:lineRule="auto"/>
        <w:ind w:left="720"/>
        <w:jc w:val="both"/>
        <w:rPr>
          <w:rFonts w:ascii="Tahoma" w:hAnsi="Tahoma"/>
        </w:rPr>
      </w:pPr>
      <w:r>
        <w:rPr>
          <w:rFonts w:ascii="Tahoma" w:hAnsi="Tahoma"/>
          <w:b/>
          <w:bCs/>
          <w:rtl/>
        </w:rPr>
        <w:t>בתיק העיקרי</w:t>
      </w:r>
      <w:r>
        <w:rPr>
          <w:rFonts w:ascii="Tahoma" w:hAnsi="Tahoma"/>
          <w:rtl/>
        </w:rPr>
        <w:t xml:space="preserve"> –</w:t>
      </w:r>
      <w:r>
        <w:rPr>
          <w:rtl/>
        </w:rPr>
        <w:t xml:space="preserve"> בין ענישה צופה פני עתיד לבין 12 חודשי מאסר בפועל.</w:t>
      </w:r>
    </w:p>
    <w:p w14:paraId="0EBF6457" w14:textId="77777777" w:rsidR="009816E9" w:rsidRDefault="009816E9" w:rsidP="009816E9">
      <w:pPr>
        <w:numPr>
          <w:ilvl w:val="0"/>
          <w:numId w:val="3"/>
        </w:numPr>
        <w:spacing w:after="120" w:line="360" w:lineRule="auto"/>
        <w:ind w:left="720"/>
        <w:jc w:val="both"/>
        <w:rPr>
          <w:rFonts w:ascii="Tahoma" w:hAnsi="Tahoma"/>
        </w:rPr>
      </w:pPr>
      <w:r>
        <w:rPr>
          <w:rFonts w:ascii="Tahoma" w:hAnsi="Tahoma"/>
          <w:b/>
          <w:bCs/>
          <w:rtl/>
        </w:rPr>
        <w:t>בתיק המצורף</w:t>
      </w:r>
      <w:r>
        <w:rPr>
          <w:rFonts w:ascii="Tahoma" w:hAnsi="Tahoma"/>
          <w:rtl/>
        </w:rPr>
        <w:t xml:space="preserve"> – </w:t>
      </w:r>
      <w:r>
        <w:rPr>
          <w:rtl/>
        </w:rPr>
        <w:t>בין ענישה צופה פני עתיד לבין 6 חודשי מאסר בפועל.</w:t>
      </w:r>
    </w:p>
    <w:p w14:paraId="5F7910B4" w14:textId="77777777" w:rsidR="009816E9" w:rsidRDefault="009816E9" w:rsidP="009816E9">
      <w:pPr>
        <w:spacing w:after="120" w:line="360" w:lineRule="auto"/>
        <w:jc w:val="both"/>
        <w:rPr>
          <w:rFonts w:ascii="Tahoma" w:hAnsi="Tahoma"/>
        </w:rPr>
      </w:pPr>
    </w:p>
    <w:p w14:paraId="4282C4F3" w14:textId="77777777" w:rsidR="009816E9" w:rsidRDefault="009816E9" w:rsidP="009816E9">
      <w:pPr>
        <w:pStyle w:val="a9"/>
        <w:numPr>
          <w:ilvl w:val="0"/>
          <w:numId w:val="1"/>
        </w:numPr>
        <w:spacing w:after="120" w:line="360" w:lineRule="auto"/>
        <w:ind w:left="360"/>
        <w:jc w:val="both"/>
        <w:rPr>
          <w:rFonts w:ascii="Tahoma" w:hAnsi="Tahoma"/>
          <w:b/>
          <w:bCs/>
          <w:u w:val="single"/>
          <w:rtl/>
        </w:rPr>
      </w:pPr>
      <w:r>
        <w:rPr>
          <w:b/>
          <w:bCs/>
          <w:u w:val="single"/>
          <w:rtl/>
        </w:rPr>
        <w:t>גזירת עונשו של הנאשם בתוך מתחמי העונש ההולמים:</w:t>
      </w:r>
    </w:p>
    <w:p w14:paraId="2DCA65E9" w14:textId="77777777" w:rsidR="009816E9" w:rsidRDefault="009816E9" w:rsidP="009816E9">
      <w:pPr>
        <w:numPr>
          <w:ilvl w:val="0"/>
          <w:numId w:val="2"/>
        </w:numPr>
        <w:spacing w:after="120" w:line="360" w:lineRule="auto"/>
        <w:ind w:left="360"/>
        <w:jc w:val="both"/>
        <w:rPr>
          <w:rFonts w:ascii="Tahoma" w:hAnsi="Tahoma"/>
          <w:rtl/>
        </w:rPr>
      </w:pPr>
      <w:r>
        <w:rPr>
          <w:rtl/>
        </w:rPr>
        <w:t>לאחר קביעת מתחמי העונש ההולמים על בית המשפט לגזור את עונשו של הנאשם בתוך מתחמים אלה, תוך התחשבות בנסיבות שאינן קשורות בביצוע העבירות.</w:t>
      </w:r>
    </w:p>
    <w:p w14:paraId="48B467FF" w14:textId="77777777" w:rsidR="009816E9" w:rsidRDefault="009816E9" w:rsidP="009816E9">
      <w:pPr>
        <w:numPr>
          <w:ilvl w:val="0"/>
          <w:numId w:val="2"/>
        </w:numPr>
        <w:spacing w:after="120" w:line="360" w:lineRule="auto"/>
        <w:ind w:left="360"/>
        <w:jc w:val="both"/>
        <w:rPr>
          <w:rFonts w:ascii="Tahoma" w:hAnsi="Tahoma"/>
        </w:rPr>
      </w:pPr>
      <w:r>
        <w:rPr>
          <w:rtl/>
        </w:rPr>
        <w:t>אשר לנאשם שלפניי, השיקולים הרלוואנטיים לגזירת עונשו הם כלהלן:</w:t>
      </w:r>
    </w:p>
    <w:p w14:paraId="4C067EFF" w14:textId="77777777" w:rsidR="009816E9" w:rsidRDefault="009816E9" w:rsidP="009816E9">
      <w:pPr>
        <w:spacing w:after="120" w:line="360" w:lineRule="auto"/>
        <w:ind w:left="720"/>
        <w:jc w:val="both"/>
        <w:rPr>
          <w:rFonts w:ascii="Tahoma" w:hAnsi="Tahoma"/>
        </w:rPr>
      </w:pPr>
      <w:r>
        <w:rPr>
          <w:b/>
          <w:bCs/>
          <w:rtl/>
        </w:rPr>
        <w:t xml:space="preserve">עברו הפלילי של הנאשם – </w:t>
      </w:r>
      <w:r>
        <w:rPr>
          <w:rtl/>
        </w:rPr>
        <w:t xml:space="preserve">לנאשם, כאמור בן 29 שנים כיום, </w:t>
      </w:r>
      <w:r>
        <w:rPr>
          <w:rFonts w:ascii="Tahoma" w:hAnsi="Tahoma"/>
          <w:rtl/>
        </w:rPr>
        <w:t>הרשעה קודמת אחת שבגינה נגזרה עליו ענישה מותנית. עוד יש לציין, בהקשר זה, כי בזמן המשמעותי שחלף מאז ביצוע העבירות לא שב הנאשם והסתבך בביצוע עבירות נוספות.</w:t>
      </w:r>
    </w:p>
    <w:p w14:paraId="3042E2EA" w14:textId="77777777" w:rsidR="009816E9" w:rsidRDefault="009816E9" w:rsidP="009816E9">
      <w:pPr>
        <w:snapToGrid w:val="0"/>
        <w:spacing w:after="120" w:line="360" w:lineRule="auto"/>
        <w:ind w:left="720"/>
        <w:jc w:val="both"/>
        <w:rPr>
          <w:rtl/>
        </w:rPr>
      </w:pPr>
      <w:r>
        <w:rPr>
          <w:b/>
          <w:bCs/>
          <w:rtl/>
        </w:rPr>
        <w:t>הפגיעה של העונש בנאשם ובמשפחתו –</w:t>
      </w:r>
      <w:r>
        <w:rPr>
          <w:rtl/>
        </w:rPr>
        <w:t xml:space="preserve"> הטלת עונש של מאסר בפועל תפגע הן בנאשם והן במשפחתו, עמה הוא עדיין מתגורר, בהיותו גורם משמעותי בפרנסת משפחתו.</w:t>
      </w:r>
    </w:p>
    <w:p w14:paraId="11080287" w14:textId="77777777" w:rsidR="009816E9" w:rsidRDefault="009816E9" w:rsidP="009816E9">
      <w:pPr>
        <w:snapToGrid w:val="0"/>
        <w:spacing w:after="120" w:line="360" w:lineRule="auto"/>
        <w:ind w:left="720"/>
        <w:jc w:val="both"/>
        <w:rPr>
          <w:rtl/>
        </w:rPr>
      </w:pPr>
      <w:r>
        <w:rPr>
          <w:b/>
          <w:bCs/>
          <w:rtl/>
        </w:rPr>
        <w:t xml:space="preserve">הודאה ונטילת אחריות </w:t>
      </w:r>
      <w:r>
        <w:rPr>
          <w:rtl/>
        </w:rPr>
        <w:t>– הנאשם הודה בעובדות כתב האישום המתוקן בתיק העיקרי וצירף את התיק המצורף. בכך חסך הנאשם מזמנם של העדים, הצדדים ובית המשפט, בשני התיקים, ונסיבות אלה יש כמובן לזקוף לזכותו.</w:t>
      </w:r>
    </w:p>
    <w:p w14:paraId="7B55AE82" w14:textId="77777777" w:rsidR="009816E9" w:rsidRDefault="009816E9" w:rsidP="009816E9">
      <w:pPr>
        <w:snapToGrid w:val="0"/>
        <w:spacing w:after="120" w:line="360" w:lineRule="auto"/>
        <w:ind w:left="720"/>
        <w:jc w:val="both"/>
        <w:rPr>
          <w:rtl/>
        </w:rPr>
      </w:pPr>
      <w:r>
        <w:rPr>
          <w:b/>
          <w:bCs/>
          <w:rtl/>
        </w:rPr>
        <w:t xml:space="preserve">נתוניו האישיים של הנאשם ונסיבות חייו </w:t>
      </w:r>
      <w:r>
        <w:rPr>
          <w:rtl/>
        </w:rPr>
        <w:t>– לנאשם נסיבות אישיות מורכבות, כעולה מהאמור בתסקירי שירות המבחן.</w:t>
      </w:r>
    </w:p>
    <w:p w14:paraId="2114BDA5" w14:textId="77777777" w:rsidR="009816E9" w:rsidRDefault="009816E9" w:rsidP="009816E9">
      <w:pPr>
        <w:snapToGrid w:val="0"/>
        <w:spacing w:after="120" w:line="360" w:lineRule="auto"/>
        <w:ind w:left="720"/>
        <w:jc w:val="both"/>
        <w:rPr>
          <w:rtl/>
        </w:rPr>
      </w:pPr>
      <w:r>
        <w:rPr>
          <w:b/>
          <w:bCs/>
          <w:rtl/>
        </w:rPr>
        <w:t>חלוף הזמן מעת ביצוע העבירה –</w:t>
      </w:r>
      <w:r>
        <w:rPr>
          <w:rtl/>
        </w:rPr>
        <w:t xml:space="preserve"> מאז ביצוע העבירות חלף כבר זמן ניכר. עם זאת, מרבית הדחיות נגרמו בעטיו של הנאשם ובמיוחד בשל התנהלותו הבעייתית מול שירות המבחן והממונה על עבודות השירות; ובנסיבות אלה אין ליתן להיבט זה משקל ממשי. </w:t>
      </w:r>
    </w:p>
    <w:p w14:paraId="33BC25B4" w14:textId="77777777" w:rsidR="009816E9" w:rsidRDefault="009816E9" w:rsidP="009816E9">
      <w:pPr>
        <w:numPr>
          <w:ilvl w:val="0"/>
          <w:numId w:val="2"/>
        </w:numPr>
        <w:spacing w:after="120" w:line="360" w:lineRule="auto"/>
        <w:ind w:left="360"/>
        <w:jc w:val="both"/>
        <w:rPr>
          <w:rFonts w:ascii="Tahoma" w:hAnsi="Tahoma"/>
          <w:rtl/>
        </w:rPr>
      </w:pPr>
      <w:r>
        <w:rPr>
          <w:rtl/>
        </w:rPr>
        <w:t>המסקנה המתבקשת ממכלול הנסיבות והשיקולים שפורטו לעיל היא כי במקרה זה נסיבות הקולה עולות במשקלן על נסיבות החומרה,</w:t>
      </w:r>
      <w:r>
        <w:rPr>
          <w:rFonts w:ascii="Tahoma" w:hAnsi="Tahoma"/>
          <w:rtl/>
        </w:rPr>
        <w:t xml:space="preserve"> באופן שניתן להסתפק בענישה צופה פני עתיד – ברף התחתון של מתחמי העונש ההולמים – לרבות פסילה מותנית.</w:t>
      </w:r>
    </w:p>
    <w:p w14:paraId="53FF3E29" w14:textId="77777777" w:rsidR="009816E9" w:rsidRDefault="009816E9" w:rsidP="009816E9">
      <w:pPr>
        <w:numPr>
          <w:ilvl w:val="0"/>
          <w:numId w:val="2"/>
        </w:numPr>
        <w:spacing w:after="120" w:line="360" w:lineRule="auto"/>
        <w:ind w:left="360"/>
        <w:jc w:val="both"/>
        <w:rPr>
          <w:rFonts w:ascii="Tahoma" w:hAnsi="Tahoma"/>
        </w:rPr>
      </w:pPr>
      <w:r>
        <w:rPr>
          <w:rFonts w:ascii="Tahoma" w:hAnsi="Tahoma"/>
          <w:rtl/>
        </w:rPr>
        <w:t>נותר לדון ברכיב הענישה הכלכלית, שהוא נדרש כמובן כאשר מדובר בהחזקת סמים מסוכנים, בפרט שלא לצריכה עצמית</w:t>
      </w:r>
      <w:r>
        <w:rPr>
          <w:rFonts w:ascii="Tahoma" w:hAnsi="Tahoma" w:hint="cs"/>
          <w:rtl/>
        </w:rPr>
        <w:t xml:space="preserve">; כאשר </w:t>
      </w:r>
      <w:r>
        <w:rPr>
          <w:rFonts w:ascii="Tahoma" w:hAnsi="Tahoma"/>
          <w:rtl/>
        </w:rPr>
        <w:t>במקרה דנא</w:t>
      </w:r>
      <w:r>
        <w:rPr>
          <w:rFonts w:ascii="Tahoma" w:hAnsi="Tahoma" w:hint="cs"/>
          <w:rtl/>
        </w:rPr>
        <w:t>,</w:t>
      </w:r>
      <w:r>
        <w:rPr>
          <w:rFonts w:ascii="Tahoma" w:hAnsi="Tahoma"/>
          <w:rtl/>
        </w:rPr>
        <w:t xml:space="preserve"> </w:t>
      </w:r>
      <w:r>
        <w:rPr>
          <w:rFonts w:ascii="Tahoma" w:hAnsi="Tahoma" w:hint="cs"/>
          <w:rtl/>
        </w:rPr>
        <w:t xml:space="preserve">בהתחשב במכלול הנסיבות, </w:t>
      </w:r>
      <w:r>
        <w:rPr>
          <w:rFonts w:ascii="Tahoma" w:hAnsi="Tahoma"/>
          <w:rtl/>
        </w:rPr>
        <w:t>יש להשית קנס ממשי.</w:t>
      </w:r>
    </w:p>
    <w:p w14:paraId="02008796" w14:textId="77777777" w:rsidR="009816E9" w:rsidRPr="00131A2F" w:rsidRDefault="009816E9" w:rsidP="009816E9">
      <w:pPr>
        <w:spacing w:after="120" w:line="360" w:lineRule="auto"/>
        <w:jc w:val="both"/>
        <w:rPr>
          <w:rFonts w:ascii="Tahoma" w:hAnsi="Tahoma"/>
        </w:rPr>
      </w:pPr>
    </w:p>
    <w:p w14:paraId="695E2D0D" w14:textId="77777777" w:rsidR="009816E9" w:rsidRDefault="009816E9" w:rsidP="009816E9">
      <w:pPr>
        <w:pStyle w:val="a9"/>
        <w:numPr>
          <w:ilvl w:val="0"/>
          <w:numId w:val="1"/>
        </w:numPr>
        <w:spacing w:after="120" w:line="360" w:lineRule="auto"/>
        <w:ind w:left="360"/>
        <w:jc w:val="both"/>
        <w:rPr>
          <w:rFonts w:ascii="Tahoma" w:hAnsi="Tahoma"/>
          <w:b/>
          <w:bCs/>
          <w:u w:val="single"/>
          <w:rtl/>
        </w:rPr>
      </w:pPr>
      <w:r>
        <w:rPr>
          <w:b/>
          <w:bCs/>
          <w:u w:val="single"/>
          <w:rtl/>
        </w:rPr>
        <w:t>סוף דבר:</w:t>
      </w:r>
    </w:p>
    <w:p w14:paraId="5CF34854" w14:textId="77777777" w:rsidR="009816E9" w:rsidRDefault="009816E9" w:rsidP="009816E9">
      <w:pPr>
        <w:numPr>
          <w:ilvl w:val="0"/>
          <w:numId w:val="2"/>
        </w:numPr>
        <w:spacing w:after="120" w:line="360" w:lineRule="auto"/>
        <w:ind w:left="360"/>
        <w:jc w:val="both"/>
        <w:rPr>
          <w:rFonts w:ascii="Tahoma" w:hAnsi="Tahoma"/>
          <w:rtl/>
        </w:rPr>
      </w:pPr>
      <w:r>
        <w:rPr>
          <w:rtl/>
        </w:rPr>
        <w:t>אשר על כן – ובהתחשב בשיקולים לכף חומרה ולכף קולה, אשר פורטו לעיל – אני גוזר על הנאשם את העונשים הבאים:</w:t>
      </w:r>
    </w:p>
    <w:p w14:paraId="7C2AB1FA" w14:textId="77777777" w:rsidR="009816E9" w:rsidRDefault="009816E9" w:rsidP="009816E9">
      <w:pPr>
        <w:spacing w:after="120" w:line="360" w:lineRule="auto"/>
        <w:ind w:left="1080" w:hanging="720"/>
        <w:jc w:val="both"/>
        <w:rPr>
          <w:rFonts w:ascii="Tahoma" w:hAnsi="Tahoma"/>
          <w:rtl/>
        </w:rPr>
      </w:pPr>
      <w:r>
        <w:rPr>
          <w:rtl/>
        </w:rPr>
        <w:t>(א)</w:t>
      </w:r>
      <w:r>
        <w:rPr>
          <w:rtl/>
        </w:rPr>
        <w:tab/>
        <w:t xml:space="preserve">מאסר על תנאי למשך 6 חודשים, אותו לא יישא הנאשם אלא אם כן יעבור, תוך שלוש שנים מהיום, עבירה </w:t>
      </w:r>
      <w:r>
        <w:rPr>
          <w:rFonts w:ascii="Tahoma" w:hAnsi="Tahoma"/>
          <w:rtl/>
        </w:rPr>
        <w:t xml:space="preserve">לפי הוראות </w:t>
      </w:r>
      <w:hyperlink r:id="rId24" w:history="1">
        <w:r w:rsidR="00C01DA9" w:rsidRPr="00C01DA9">
          <w:rPr>
            <w:rFonts w:ascii="Tahoma" w:hAnsi="Tahoma"/>
            <w:color w:val="0000FF"/>
            <w:u w:val="single"/>
            <w:rtl/>
          </w:rPr>
          <w:t>פקודת הסמים המסוכנים</w:t>
        </w:r>
      </w:hyperlink>
      <w:r>
        <w:rPr>
          <w:rFonts w:ascii="Tahoma" w:hAnsi="Tahoma"/>
          <w:rtl/>
        </w:rPr>
        <w:t xml:space="preserve"> מסוג פשע.</w:t>
      </w:r>
    </w:p>
    <w:p w14:paraId="0CFAC081" w14:textId="77777777" w:rsidR="009816E9" w:rsidRDefault="009816E9" w:rsidP="009816E9">
      <w:pPr>
        <w:spacing w:after="120" w:line="360" w:lineRule="auto"/>
        <w:ind w:left="1080" w:hanging="720"/>
        <w:jc w:val="both"/>
        <w:rPr>
          <w:rtl/>
        </w:rPr>
      </w:pPr>
      <w:r>
        <w:rPr>
          <w:rtl/>
        </w:rPr>
        <w:t>(ב)</w:t>
      </w:r>
      <w:r>
        <w:rPr>
          <w:rtl/>
        </w:rPr>
        <w:tab/>
        <w:t>קנס בסך של 3,000 ₪, או 10 ימי מאסר תמורתו.</w:t>
      </w:r>
    </w:p>
    <w:p w14:paraId="0AB7D1EF" w14:textId="77777777" w:rsidR="009816E9" w:rsidRDefault="009816E9" w:rsidP="009816E9">
      <w:pPr>
        <w:spacing w:after="120" w:line="360" w:lineRule="auto"/>
        <w:ind w:left="1080"/>
        <w:jc w:val="both"/>
        <w:rPr>
          <w:rFonts w:ascii="Tahoma" w:hAnsi="Tahoma"/>
          <w:rtl/>
        </w:rPr>
      </w:pPr>
      <w:r>
        <w:rPr>
          <w:rtl/>
        </w:rPr>
        <w:t>הקנס ישולם ב-6 תשלומים חודשיים, שווים ורצופים, החל מיום 01.08.2024 ובכל אחד בחודש שלאחריו. היה והנאשם לא ישלם את אחד התשלומים במועד תועמד כל יתרת הקנס לפירעון מידי.</w:t>
      </w:r>
    </w:p>
    <w:p w14:paraId="48FD72B9" w14:textId="77777777" w:rsidR="009816E9" w:rsidRDefault="009816E9" w:rsidP="009816E9">
      <w:pPr>
        <w:spacing w:after="120" w:line="360" w:lineRule="auto"/>
        <w:ind w:left="1080" w:hanging="720"/>
        <w:jc w:val="both"/>
        <w:rPr>
          <w:rFonts w:ascii="Tahoma" w:hAnsi="Tahoma"/>
          <w:rtl/>
        </w:rPr>
      </w:pPr>
      <w:r>
        <w:rPr>
          <w:rtl/>
        </w:rPr>
        <w:t>(ג)</w:t>
      </w:r>
      <w:r>
        <w:rPr>
          <w:rtl/>
        </w:rPr>
        <w:tab/>
        <w:t>פסילה מלקבל או להחזיק רישיון נהיגה למשך 3 חודשים על תנאי, והתנאי הוא שבמשך שנתיים מהיום לא יעבור הנאשם עבירה מהעבירות המנויות ב</w:t>
      </w:r>
      <w:hyperlink r:id="rId25" w:history="1">
        <w:r w:rsidR="00C01DA9" w:rsidRPr="00C01DA9">
          <w:rPr>
            <w:color w:val="0000FF"/>
            <w:u w:val="single"/>
            <w:rtl/>
          </w:rPr>
          <w:t>פקודת הסמים המסוכנים</w:t>
        </w:r>
      </w:hyperlink>
      <w:r>
        <w:rPr>
          <w:rtl/>
        </w:rPr>
        <w:t>.</w:t>
      </w:r>
    </w:p>
    <w:p w14:paraId="3E270630" w14:textId="77777777" w:rsidR="009816E9" w:rsidRDefault="009816E9" w:rsidP="009816E9">
      <w:pPr>
        <w:spacing w:after="120" w:line="360" w:lineRule="auto"/>
        <w:jc w:val="both"/>
        <w:rPr>
          <w:rtl/>
        </w:rPr>
      </w:pPr>
      <w:r>
        <w:rPr>
          <w:rtl/>
        </w:rPr>
        <w:t>ככל שנותר בתיק בית המשפט – או בתיקים קשורים – פיקדון שהופקד מטעם הנאשם, בהסכמת ההגנה יקוזז הפיקדון לתשלום הקנס, כאשר הנאשם יידרש לשלם רק את יתרת הסכום שתיוותר.</w:t>
      </w:r>
    </w:p>
    <w:p w14:paraId="7A253740" w14:textId="77777777" w:rsidR="009816E9" w:rsidRDefault="00C01DA9" w:rsidP="009816E9">
      <w:pPr>
        <w:spacing w:after="120" w:line="360" w:lineRule="auto"/>
        <w:jc w:val="both"/>
        <w:rPr>
          <w:rtl/>
        </w:rPr>
      </w:pPr>
      <w:r w:rsidRPr="00C01DA9">
        <w:rPr>
          <w:color w:val="FFFFFF"/>
          <w:sz w:val="2"/>
          <w:szCs w:val="2"/>
          <w:rtl/>
        </w:rPr>
        <w:t>5129371</w:t>
      </w:r>
      <w:r w:rsidR="009816E9">
        <w:rPr>
          <w:rtl/>
        </w:rPr>
        <w:t xml:space="preserve">ניתן בזה צו כללי, לעניין מוצגים, לשיקול דעתו של קצין משטרה. </w:t>
      </w:r>
    </w:p>
    <w:p w14:paraId="00C58DF6" w14:textId="77777777" w:rsidR="009816E9" w:rsidRDefault="00C01DA9" w:rsidP="009816E9">
      <w:pPr>
        <w:snapToGrid w:val="0"/>
        <w:spacing w:after="120" w:line="360" w:lineRule="auto"/>
        <w:jc w:val="both"/>
        <w:rPr>
          <w:rtl/>
        </w:rPr>
      </w:pPr>
      <w:r w:rsidRPr="00C01DA9">
        <w:rPr>
          <w:color w:val="FFFFFF"/>
          <w:sz w:val="2"/>
          <w:szCs w:val="2"/>
          <w:rtl/>
        </w:rPr>
        <w:t>54678313</w:t>
      </w:r>
      <w:r w:rsidR="009816E9">
        <w:rPr>
          <w:rtl/>
        </w:rPr>
        <w:t>זכות ערעור בתוך 45 יום מהיום.</w:t>
      </w:r>
    </w:p>
    <w:p w14:paraId="35E3C5A6" w14:textId="77777777" w:rsidR="009816E9" w:rsidRDefault="009816E9" w:rsidP="009816E9">
      <w:pPr>
        <w:spacing w:after="120" w:line="360" w:lineRule="auto"/>
        <w:jc w:val="both"/>
        <w:rPr>
          <w:rFonts w:ascii="Tahoma" w:hAnsi="Tahoma"/>
          <w:rtl/>
        </w:rPr>
      </w:pPr>
      <w:r>
        <w:rPr>
          <w:rtl/>
        </w:rPr>
        <w:t>המזכירות תמציא גזר דין זה לשירות המבחן.</w:t>
      </w:r>
    </w:p>
    <w:p w14:paraId="7E223C61" w14:textId="77777777" w:rsidR="009816E9" w:rsidRPr="000F2247" w:rsidRDefault="00C01DA9" w:rsidP="009816E9">
      <w:pPr>
        <w:spacing w:line="360" w:lineRule="auto"/>
        <w:jc w:val="both"/>
        <w:rPr>
          <w:rFonts w:ascii="Arial" w:hAnsi="Arial"/>
          <w:b/>
          <w:bCs/>
          <w:sz w:val="26"/>
          <w:szCs w:val="26"/>
          <w:rtl/>
        </w:rPr>
      </w:pPr>
      <w:bookmarkStart w:id="8" w:name="Nitan"/>
      <w:r>
        <w:rPr>
          <w:rFonts w:ascii="Arial" w:hAnsi="Arial"/>
          <w:rtl/>
        </w:rPr>
        <w:t xml:space="preserve">ניתן היום, י"ד סיוון תשפ"ד, 20 יוני 2024, במעמד הצדדים, כאמור בפרוטוקול הדיון מהיום. </w:t>
      </w:r>
      <w:bookmarkEnd w:id="8"/>
      <w:r w:rsidR="009816E9">
        <w:rPr>
          <w:rFonts w:ascii="Arial" w:hAnsi="Arial"/>
          <w:b/>
          <w:bCs/>
          <w:sz w:val="26"/>
          <w:szCs w:val="26"/>
          <w:rtl/>
        </w:rPr>
        <w:tab/>
      </w:r>
      <w:r w:rsidR="009816E9">
        <w:rPr>
          <w:rFonts w:ascii="Arial" w:hAnsi="Arial"/>
          <w:b/>
          <w:bCs/>
          <w:sz w:val="26"/>
          <w:szCs w:val="26"/>
          <w:rtl/>
        </w:rPr>
        <w:tab/>
      </w:r>
      <w:r w:rsidR="009816E9">
        <w:rPr>
          <w:rFonts w:ascii="Arial" w:hAnsi="Arial"/>
          <w:b/>
          <w:bCs/>
          <w:sz w:val="26"/>
          <w:szCs w:val="26"/>
          <w:rtl/>
        </w:rPr>
        <w:tab/>
      </w:r>
      <w:r w:rsidR="009816E9">
        <w:rPr>
          <w:rFonts w:ascii="Arial" w:hAnsi="Arial"/>
          <w:b/>
          <w:bCs/>
          <w:sz w:val="26"/>
          <w:szCs w:val="26"/>
          <w:rtl/>
        </w:rPr>
        <w:tab/>
      </w:r>
      <w:r w:rsidR="009816E9">
        <w:rPr>
          <w:rFonts w:ascii="Arial" w:hAnsi="Arial"/>
          <w:b/>
          <w:bCs/>
          <w:sz w:val="26"/>
          <w:szCs w:val="26"/>
          <w:rtl/>
        </w:rPr>
        <w:tab/>
      </w:r>
      <w:r w:rsidR="009816E9">
        <w:rPr>
          <w:rFonts w:ascii="Arial" w:hAnsi="Arial"/>
          <w:b/>
          <w:bCs/>
          <w:sz w:val="26"/>
          <w:szCs w:val="26"/>
          <w:rtl/>
        </w:rPr>
        <w:tab/>
      </w:r>
      <w:r w:rsidR="009816E9">
        <w:rPr>
          <w:rFonts w:ascii="Arial" w:hAnsi="Arial"/>
          <w:b/>
          <w:bCs/>
          <w:sz w:val="26"/>
          <w:szCs w:val="26"/>
          <w:rtl/>
        </w:rPr>
        <w:tab/>
      </w:r>
      <w:r w:rsidR="009816E9">
        <w:rPr>
          <w:rFonts w:ascii="Arial" w:hAnsi="Arial" w:hint="cs"/>
          <w:b/>
          <w:bCs/>
          <w:sz w:val="26"/>
          <w:szCs w:val="26"/>
          <w:rtl/>
        </w:rPr>
        <w:t xml:space="preserve">         </w:t>
      </w:r>
    </w:p>
    <w:p w14:paraId="0273610F" w14:textId="77777777" w:rsidR="009816E9" w:rsidRPr="000F2247" w:rsidRDefault="009816E9" w:rsidP="00C01DA9">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F5F2DD4" w14:textId="77777777" w:rsidR="009816E9" w:rsidRPr="000F2247" w:rsidRDefault="009816E9" w:rsidP="009816E9">
      <w:pPr>
        <w:jc w:val="center"/>
        <w:rPr>
          <w:rFonts w:ascii="Arial" w:hAnsi="Arial"/>
          <w:b/>
          <w:bCs/>
          <w:sz w:val="26"/>
          <w:szCs w:val="26"/>
          <w:rtl/>
        </w:rPr>
      </w:pPr>
    </w:p>
    <w:p w14:paraId="216DEC65" w14:textId="77777777" w:rsidR="00CD57FC" w:rsidRPr="00C01DA9" w:rsidRDefault="00CD57FC" w:rsidP="00C01DA9">
      <w:pPr>
        <w:keepNext/>
        <w:rPr>
          <w:rFonts w:ascii="David" w:hAnsi="David"/>
          <w:color w:val="000000"/>
          <w:sz w:val="22"/>
          <w:szCs w:val="22"/>
          <w:rtl/>
        </w:rPr>
      </w:pPr>
    </w:p>
    <w:p w14:paraId="1112A906" w14:textId="77777777" w:rsidR="00C01DA9" w:rsidRPr="00C01DA9" w:rsidRDefault="00C01DA9" w:rsidP="00C01DA9">
      <w:pPr>
        <w:keepNext/>
        <w:rPr>
          <w:rFonts w:ascii="David" w:hAnsi="David"/>
          <w:color w:val="000000"/>
          <w:sz w:val="22"/>
          <w:szCs w:val="22"/>
          <w:rtl/>
        </w:rPr>
      </w:pPr>
      <w:r w:rsidRPr="00C01DA9">
        <w:rPr>
          <w:rFonts w:ascii="David" w:hAnsi="David"/>
          <w:color w:val="000000"/>
          <w:sz w:val="22"/>
          <w:szCs w:val="22"/>
          <w:rtl/>
        </w:rPr>
        <w:t>שאול אבינור 54678313</w:t>
      </w:r>
    </w:p>
    <w:p w14:paraId="13EB05DA" w14:textId="77777777" w:rsidR="00C01DA9" w:rsidRDefault="00C01DA9" w:rsidP="00C01DA9">
      <w:r w:rsidRPr="00C01DA9">
        <w:rPr>
          <w:color w:val="000000"/>
          <w:rtl/>
        </w:rPr>
        <w:t>נוסח מסמך זה כפוף לשינויי ניסוח ועריכה</w:t>
      </w:r>
    </w:p>
    <w:p w14:paraId="3A4C384A" w14:textId="77777777" w:rsidR="00C01DA9" w:rsidRDefault="00C01DA9" w:rsidP="00C01DA9">
      <w:pPr>
        <w:rPr>
          <w:rtl/>
        </w:rPr>
      </w:pPr>
    </w:p>
    <w:p w14:paraId="19183C49" w14:textId="77777777" w:rsidR="00C01DA9" w:rsidRDefault="00C01DA9" w:rsidP="00C01DA9">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51CD8859" w14:textId="77777777" w:rsidR="00C01DA9" w:rsidRPr="00C01DA9" w:rsidRDefault="00C01DA9" w:rsidP="00C01DA9">
      <w:pPr>
        <w:jc w:val="center"/>
        <w:rPr>
          <w:color w:val="0000FF"/>
          <w:u w:val="single"/>
        </w:rPr>
      </w:pPr>
    </w:p>
    <w:sectPr w:rsidR="00C01DA9" w:rsidRPr="00C01DA9" w:rsidSect="00C01DA9">
      <w:headerReference w:type="even" r:id="rId27"/>
      <w:headerReference w:type="default" r:id="rId28"/>
      <w:footerReference w:type="even" r:id="rId29"/>
      <w:footerReference w:type="default" r:id="rId3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B51A59" w14:textId="77777777" w:rsidR="00A86A6F" w:rsidRDefault="00A86A6F" w:rsidP="0005763C">
      <w:r>
        <w:separator/>
      </w:r>
    </w:p>
  </w:endnote>
  <w:endnote w:type="continuationSeparator" w:id="0">
    <w:p w14:paraId="75541816" w14:textId="77777777" w:rsidR="00A86A6F" w:rsidRDefault="00A86A6F" w:rsidP="00057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4A0050" w14:textId="77777777" w:rsidR="00C01DA9" w:rsidRDefault="00C01DA9" w:rsidP="00C01DA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0FAF15A" w14:textId="77777777" w:rsidR="00550638" w:rsidRPr="00C01DA9" w:rsidRDefault="00C01DA9" w:rsidP="00C01DA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0D6A5" w14:textId="77777777" w:rsidR="00C01DA9" w:rsidRDefault="00C01DA9" w:rsidP="00C01DA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844AA">
      <w:rPr>
        <w:rFonts w:ascii="FrankRuehl" w:hAnsi="FrankRuehl" w:cs="FrankRuehl"/>
        <w:noProof/>
        <w:rtl/>
      </w:rPr>
      <w:t>1</w:t>
    </w:r>
    <w:r>
      <w:rPr>
        <w:rFonts w:ascii="FrankRuehl" w:hAnsi="FrankRuehl" w:cs="FrankRuehl"/>
        <w:rtl/>
      </w:rPr>
      <w:fldChar w:fldCharType="end"/>
    </w:r>
  </w:p>
  <w:p w14:paraId="13977DD7" w14:textId="77777777" w:rsidR="00550638" w:rsidRPr="00C01DA9" w:rsidRDefault="00C01DA9" w:rsidP="00C01DA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96CB5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762D8E" w14:textId="77777777" w:rsidR="00A86A6F" w:rsidRDefault="00A86A6F" w:rsidP="0005763C">
      <w:r>
        <w:separator/>
      </w:r>
    </w:p>
  </w:footnote>
  <w:footnote w:type="continuationSeparator" w:id="0">
    <w:p w14:paraId="62ADC1CE" w14:textId="77777777" w:rsidR="00A86A6F" w:rsidRDefault="00A86A6F" w:rsidP="000576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CD467F" w14:textId="77777777" w:rsidR="00C01DA9" w:rsidRPr="00C01DA9" w:rsidRDefault="00C01DA9" w:rsidP="00C01DA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8510-08-20</w:t>
    </w:r>
    <w:r>
      <w:rPr>
        <w:rFonts w:ascii="David" w:hAnsi="David"/>
        <w:color w:val="000000"/>
        <w:sz w:val="22"/>
        <w:szCs w:val="22"/>
        <w:rtl/>
      </w:rPr>
      <w:tab/>
      <w:t xml:space="preserve"> מדינת ישראל נ' לקאצ'או דמסאש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DB8691" w14:textId="77777777" w:rsidR="00C01DA9" w:rsidRPr="00C01DA9" w:rsidRDefault="00C01DA9" w:rsidP="00C01DA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8510-08-20</w:t>
    </w:r>
    <w:r>
      <w:rPr>
        <w:rFonts w:ascii="David" w:hAnsi="David"/>
        <w:color w:val="000000"/>
        <w:sz w:val="22"/>
        <w:szCs w:val="22"/>
        <w:rtl/>
      </w:rPr>
      <w:tab/>
      <w:t xml:space="preserve"> מדינת ישראל נ' לקאצ'או דמסאש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C4461A"/>
    <w:multiLevelType w:val="hybridMultilevel"/>
    <w:tmpl w:val="A6349440"/>
    <w:lvl w:ilvl="0" w:tplc="EF3A0AEC">
      <w:start w:val="1"/>
      <w:numFmt w:val="decimal"/>
      <w:lvlText w:val="%1."/>
      <w:lvlJc w:val="left"/>
      <w:pPr>
        <w:ind w:left="720" w:hanging="360"/>
      </w:pPr>
      <w:rPr>
        <w:sz w:val="24"/>
        <w:szCs w:val="24"/>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E696035"/>
    <w:multiLevelType w:val="hybridMultilevel"/>
    <w:tmpl w:val="0FF0C620"/>
    <w:lvl w:ilvl="0" w:tplc="64300682">
      <w:start w:val="1"/>
      <w:numFmt w:val="hebrew1"/>
      <w:lvlText w:val="%1."/>
      <w:lvlJc w:val="left"/>
      <w:pPr>
        <w:ind w:left="728" w:hanging="360"/>
      </w:pPr>
    </w:lvl>
    <w:lvl w:ilvl="1" w:tplc="04090019">
      <w:start w:val="1"/>
      <w:numFmt w:val="lowerLetter"/>
      <w:lvlText w:val="%2."/>
      <w:lvlJc w:val="left"/>
      <w:pPr>
        <w:ind w:left="1448" w:hanging="360"/>
      </w:pPr>
    </w:lvl>
    <w:lvl w:ilvl="2" w:tplc="0409001B">
      <w:start w:val="1"/>
      <w:numFmt w:val="lowerRoman"/>
      <w:lvlText w:val="%3."/>
      <w:lvlJc w:val="right"/>
      <w:pPr>
        <w:ind w:left="2168" w:hanging="180"/>
      </w:pPr>
    </w:lvl>
    <w:lvl w:ilvl="3" w:tplc="0409000F">
      <w:start w:val="1"/>
      <w:numFmt w:val="decimal"/>
      <w:lvlText w:val="%4."/>
      <w:lvlJc w:val="left"/>
      <w:pPr>
        <w:ind w:left="2888" w:hanging="360"/>
      </w:pPr>
    </w:lvl>
    <w:lvl w:ilvl="4" w:tplc="04090019">
      <w:start w:val="1"/>
      <w:numFmt w:val="lowerLetter"/>
      <w:lvlText w:val="%5."/>
      <w:lvlJc w:val="left"/>
      <w:pPr>
        <w:ind w:left="3608" w:hanging="360"/>
      </w:pPr>
    </w:lvl>
    <w:lvl w:ilvl="5" w:tplc="0409001B">
      <w:start w:val="1"/>
      <w:numFmt w:val="lowerRoman"/>
      <w:lvlText w:val="%6."/>
      <w:lvlJc w:val="right"/>
      <w:pPr>
        <w:ind w:left="4328" w:hanging="180"/>
      </w:pPr>
    </w:lvl>
    <w:lvl w:ilvl="6" w:tplc="0409000F">
      <w:start w:val="1"/>
      <w:numFmt w:val="decimal"/>
      <w:lvlText w:val="%7."/>
      <w:lvlJc w:val="left"/>
      <w:pPr>
        <w:ind w:left="5048" w:hanging="360"/>
      </w:pPr>
    </w:lvl>
    <w:lvl w:ilvl="7" w:tplc="04090019">
      <w:start w:val="1"/>
      <w:numFmt w:val="lowerLetter"/>
      <w:lvlText w:val="%8."/>
      <w:lvlJc w:val="left"/>
      <w:pPr>
        <w:ind w:left="5768" w:hanging="360"/>
      </w:pPr>
    </w:lvl>
    <w:lvl w:ilvl="8" w:tplc="0409001B">
      <w:start w:val="1"/>
      <w:numFmt w:val="lowerRoman"/>
      <w:lvlText w:val="%9."/>
      <w:lvlJc w:val="right"/>
      <w:pPr>
        <w:ind w:left="6488" w:hanging="180"/>
      </w:pPr>
    </w:lvl>
  </w:abstractNum>
  <w:abstractNum w:abstractNumId="2" w15:restartNumberingAfterBreak="0">
    <w:nsid w:val="7C0C2642"/>
    <w:multiLevelType w:val="hybridMultilevel"/>
    <w:tmpl w:val="F0965202"/>
    <w:lvl w:ilvl="0" w:tplc="04090001">
      <w:start w:val="1"/>
      <w:numFmt w:val="bullet"/>
      <w:lvlText w:val=""/>
      <w:lvlJc w:val="left"/>
      <w:pPr>
        <w:ind w:left="1372" w:hanging="360"/>
      </w:pPr>
      <w:rPr>
        <w:rFonts w:ascii="Symbol" w:hAnsi="Symbol" w:hint="default"/>
      </w:rPr>
    </w:lvl>
    <w:lvl w:ilvl="1" w:tplc="04090003">
      <w:start w:val="1"/>
      <w:numFmt w:val="bullet"/>
      <w:lvlText w:val="o"/>
      <w:lvlJc w:val="left"/>
      <w:pPr>
        <w:ind w:left="2092" w:hanging="360"/>
      </w:pPr>
      <w:rPr>
        <w:rFonts w:ascii="Courier New" w:hAnsi="Courier New" w:cs="Courier New" w:hint="default"/>
      </w:rPr>
    </w:lvl>
    <w:lvl w:ilvl="2" w:tplc="04090005">
      <w:start w:val="1"/>
      <w:numFmt w:val="bullet"/>
      <w:lvlText w:val=""/>
      <w:lvlJc w:val="left"/>
      <w:pPr>
        <w:ind w:left="2812" w:hanging="360"/>
      </w:pPr>
      <w:rPr>
        <w:rFonts w:ascii="Wingdings" w:hAnsi="Wingdings" w:hint="default"/>
      </w:rPr>
    </w:lvl>
    <w:lvl w:ilvl="3" w:tplc="04090001">
      <w:start w:val="1"/>
      <w:numFmt w:val="bullet"/>
      <w:lvlText w:val=""/>
      <w:lvlJc w:val="left"/>
      <w:pPr>
        <w:ind w:left="3532" w:hanging="360"/>
      </w:pPr>
      <w:rPr>
        <w:rFonts w:ascii="Symbol" w:hAnsi="Symbol" w:hint="default"/>
      </w:rPr>
    </w:lvl>
    <w:lvl w:ilvl="4" w:tplc="04090003">
      <w:start w:val="1"/>
      <w:numFmt w:val="bullet"/>
      <w:lvlText w:val="o"/>
      <w:lvlJc w:val="left"/>
      <w:pPr>
        <w:ind w:left="4252" w:hanging="360"/>
      </w:pPr>
      <w:rPr>
        <w:rFonts w:ascii="Courier New" w:hAnsi="Courier New" w:cs="Courier New" w:hint="default"/>
      </w:rPr>
    </w:lvl>
    <w:lvl w:ilvl="5" w:tplc="04090005">
      <w:start w:val="1"/>
      <w:numFmt w:val="bullet"/>
      <w:lvlText w:val=""/>
      <w:lvlJc w:val="left"/>
      <w:pPr>
        <w:ind w:left="4972" w:hanging="360"/>
      </w:pPr>
      <w:rPr>
        <w:rFonts w:ascii="Wingdings" w:hAnsi="Wingdings" w:hint="default"/>
      </w:rPr>
    </w:lvl>
    <w:lvl w:ilvl="6" w:tplc="04090001">
      <w:start w:val="1"/>
      <w:numFmt w:val="bullet"/>
      <w:lvlText w:val=""/>
      <w:lvlJc w:val="left"/>
      <w:pPr>
        <w:ind w:left="5692" w:hanging="360"/>
      </w:pPr>
      <w:rPr>
        <w:rFonts w:ascii="Symbol" w:hAnsi="Symbol" w:hint="default"/>
      </w:rPr>
    </w:lvl>
    <w:lvl w:ilvl="7" w:tplc="04090003">
      <w:start w:val="1"/>
      <w:numFmt w:val="bullet"/>
      <w:lvlText w:val="o"/>
      <w:lvlJc w:val="left"/>
      <w:pPr>
        <w:ind w:left="6412" w:hanging="360"/>
      </w:pPr>
      <w:rPr>
        <w:rFonts w:ascii="Courier New" w:hAnsi="Courier New" w:cs="Courier New" w:hint="default"/>
      </w:rPr>
    </w:lvl>
    <w:lvl w:ilvl="8" w:tplc="04090005">
      <w:start w:val="1"/>
      <w:numFmt w:val="bullet"/>
      <w:lvlText w:val=""/>
      <w:lvlJc w:val="left"/>
      <w:pPr>
        <w:ind w:left="7132" w:hanging="360"/>
      </w:pPr>
      <w:rPr>
        <w:rFonts w:ascii="Wingdings" w:hAnsi="Wingdings" w:hint="default"/>
      </w:rPr>
    </w:lvl>
  </w:abstractNum>
  <w:num w:numId="1" w16cid:durableId="13580407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443580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014155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816E9"/>
    <w:rsid w:val="0005763C"/>
    <w:rsid w:val="000F5B3E"/>
    <w:rsid w:val="0040302E"/>
    <w:rsid w:val="00550638"/>
    <w:rsid w:val="006844AA"/>
    <w:rsid w:val="009816E9"/>
    <w:rsid w:val="009A4E4C"/>
    <w:rsid w:val="00A86A6F"/>
    <w:rsid w:val="00C01DA9"/>
    <w:rsid w:val="00CD57F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FF40F84"/>
  <w15:chartTrackingRefBased/>
  <w15:docId w15:val="{18C94AEB-396A-41D1-A6BA-3AB3CFB40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816E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816E9"/>
    <w:pPr>
      <w:tabs>
        <w:tab w:val="center" w:pos="4153"/>
        <w:tab w:val="right" w:pos="8306"/>
      </w:tabs>
    </w:pPr>
  </w:style>
  <w:style w:type="character" w:customStyle="1" w:styleId="a4">
    <w:name w:val="כותרת עליונה תו"/>
    <w:link w:val="a3"/>
    <w:rsid w:val="009816E9"/>
    <w:rPr>
      <w:rFonts w:ascii="Times New Roman" w:eastAsia="Times New Roman" w:hAnsi="Times New Roman" w:cs="David"/>
      <w:sz w:val="24"/>
      <w:szCs w:val="24"/>
    </w:rPr>
  </w:style>
  <w:style w:type="paragraph" w:styleId="a5">
    <w:name w:val="footer"/>
    <w:basedOn w:val="a"/>
    <w:link w:val="a6"/>
    <w:rsid w:val="009816E9"/>
    <w:pPr>
      <w:tabs>
        <w:tab w:val="center" w:pos="4153"/>
        <w:tab w:val="right" w:pos="8306"/>
      </w:tabs>
    </w:pPr>
  </w:style>
  <w:style w:type="character" w:customStyle="1" w:styleId="a6">
    <w:name w:val="כותרת תחתונה תו"/>
    <w:link w:val="a5"/>
    <w:rsid w:val="009816E9"/>
    <w:rPr>
      <w:rFonts w:ascii="Times New Roman" w:eastAsia="Times New Roman" w:hAnsi="Times New Roman" w:cs="David"/>
      <w:sz w:val="24"/>
      <w:szCs w:val="24"/>
    </w:rPr>
  </w:style>
  <w:style w:type="table" w:styleId="a7">
    <w:name w:val="Table Grid"/>
    <w:basedOn w:val="a1"/>
    <w:rsid w:val="009816E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816E9"/>
  </w:style>
  <w:style w:type="paragraph" w:styleId="a9">
    <w:name w:val="List Paragraph"/>
    <w:basedOn w:val="a"/>
    <w:qFormat/>
    <w:rsid w:val="009816E9"/>
    <w:pPr>
      <w:ind w:left="720"/>
      <w:contextualSpacing/>
    </w:pPr>
    <w:rPr>
      <w:rFonts w:ascii="Arial (W1)" w:hAnsi="Arial (W1)"/>
    </w:rPr>
  </w:style>
  <w:style w:type="character" w:styleId="Hyperlink">
    <w:name w:val="Hyperlink"/>
    <w:rsid w:val="00C01DA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7.a" TargetMode="External"/><Relationship Id="rId18" Type="http://schemas.openxmlformats.org/officeDocument/2006/relationships/hyperlink" Target="http://www.nevo.co.il/case/25483510" TargetMode="External"/><Relationship Id="rId26"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hyperlink" Target="http://www.nevo.co.il/law/70301" TargetMode="External"/><Relationship Id="rId7" Type="http://schemas.openxmlformats.org/officeDocument/2006/relationships/hyperlink" Target="http://www.nevo.co.il/law/4216" TargetMode="External"/><Relationship Id="rId12" Type="http://schemas.openxmlformats.org/officeDocument/2006/relationships/hyperlink" Target="http://www.nevo.co.il/case/28101848" TargetMode="External"/><Relationship Id="rId17" Type="http://schemas.openxmlformats.org/officeDocument/2006/relationships/hyperlink" Target="http://www.nevo.co.il/law/4216/7.c" TargetMode="External"/><Relationship Id="rId25"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a" TargetMode="External"/><Relationship Id="rId20" Type="http://schemas.openxmlformats.org/officeDocument/2006/relationships/hyperlink" Target="http://www.nevo.co.il/case/23777143"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i" TargetMode="External"/><Relationship Id="rId24" Type="http://schemas.openxmlformats.org/officeDocument/2006/relationships/hyperlink" Target="http://www.nevo.co.il/law/4216"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law/70301/40i" TargetMode="External"/><Relationship Id="rId28" Type="http://schemas.openxmlformats.org/officeDocument/2006/relationships/header" Target="header2.xml"/><Relationship Id="rId10" Type="http://schemas.openxmlformats.org/officeDocument/2006/relationships/hyperlink" Target="http://www.nevo.co.il/law/70301" TargetMode="External"/><Relationship Id="rId19" Type="http://schemas.openxmlformats.org/officeDocument/2006/relationships/hyperlink" Target="http://www.nevo.co.il/case/27537984"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c" TargetMode="External"/><Relationship Id="rId22" Type="http://schemas.openxmlformats.org/officeDocument/2006/relationships/hyperlink" Target="http://www.nevo.co.il/law/70301"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2086</Words>
  <Characters>10432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12494</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8257637</vt:i4>
      </vt:variant>
      <vt:variant>
        <vt:i4>54</vt:i4>
      </vt:variant>
      <vt:variant>
        <vt:i4>0</vt:i4>
      </vt:variant>
      <vt:variant>
        <vt:i4>5</vt:i4>
      </vt:variant>
      <vt:variant>
        <vt:lpwstr>http://www.nevo.co.il/law/4216</vt:lpwstr>
      </vt:variant>
      <vt:variant>
        <vt:lpwstr/>
      </vt:variant>
      <vt:variant>
        <vt:i4>8257637</vt:i4>
      </vt:variant>
      <vt:variant>
        <vt:i4>51</vt:i4>
      </vt:variant>
      <vt:variant>
        <vt:i4>0</vt:i4>
      </vt:variant>
      <vt:variant>
        <vt:i4>5</vt:i4>
      </vt:variant>
      <vt:variant>
        <vt:lpwstr>http://www.nevo.co.il/law/4216</vt:lpwstr>
      </vt:variant>
      <vt:variant>
        <vt:lpwstr/>
      </vt:variant>
      <vt:variant>
        <vt:i4>6619233</vt:i4>
      </vt:variant>
      <vt:variant>
        <vt:i4>48</vt:i4>
      </vt:variant>
      <vt:variant>
        <vt:i4>0</vt:i4>
      </vt:variant>
      <vt:variant>
        <vt:i4>5</vt:i4>
      </vt:variant>
      <vt:variant>
        <vt:lpwstr>http://www.nevo.co.il/law/70301/40i</vt:lpwstr>
      </vt:variant>
      <vt:variant>
        <vt:lpwstr/>
      </vt:variant>
      <vt:variant>
        <vt:i4>7995492</vt:i4>
      </vt:variant>
      <vt:variant>
        <vt:i4>45</vt:i4>
      </vt:variant>
      <vt:variant>
        <vt:i4>0</vt:i4>
      </vt:variant>
      <vt:variant>
        <vt:i4>5</vt:i4>
      </vt:variant>
      <vt:variant>
        <vt:lpwstr>http://www.nevo.co.il/law/70301</vt:lpwstr>
      </vt:variant>
      <vt:variant>
        <vt:lpwstr/>
      </vt:variant>
      <vt:variant>
        <vt:i4>7995492</vt:i4>
      </vt:variant>
      <vt:variant>
        <vt:i4>42</vt:i4>
      </vt:variant>
      <vt:variant>
        <vt:i4>0</vt:i4>
      </vt:variant>
      <vt:variant>
        <vt:i4>5</vt:i4>
      </vt:variant>
      <vt:variant>
        <vt:lpwstr>http://www.nevo.co.il/law/70301</vt:lpwstr>
      </vt:variant>
      <vt:variant>
        <vt:lpwstr/>
      </vt:variant>
      <vt:variant>
        <vt:i4>3539057</vt:i4>
      </vt:variant>
      <vt:variant>
        <vt:i4>39</vt:i4>
      </vt:variant>
      <vt:variant>
        <vt:i4>0</vt:i4>
      </vt:variant>
      <vt:variant>
        <vt:i4>5</vt:i4>
      </vt:variant>
      <vt:variant>
        <vt:lpwstr>http://www.nevo.co.il/case/23777143</vt:lpwstr>
      </vt:variant>
      <vt:variant>
        <vt:lpwstr/>
      </vt:variant>
      <vt:variant>
        <vt:i4>3670137</vt:i4>
      </vt:variant>
      <vt:variant>
        <vt:i4>36</vt:i4>
      </vt:variant>
      <vt:variant>
        <vt:i4>0</vt:i4>
      </vt:variant>
      <vt:variant>
        <vt:i4>5</vt:i4>
      </vt:variant>
      <vt:variant>
        <vt:lpwstr>http://www.nevo.co.il/case/27537984</vt:lpwstr>
      </vt:variant>
      <vt:variant>
        <vt:lpwstr/>
      </vt:variant>
      <vt:variant>
        <vt:i4>3407996</vt:i4>
      </vt:variant>
      <vt:variant>
        <vt:i4>33</vt:i4>
      </vt:variant>
      <vt:variant>
        <vt:i4>0</vt:i4>
      </vt:variant>
      <vt:variant>
        <vt:i4>5</vt:i4>
      </vt:variant>
      <vt:variant>
        <vt:lpwstr>http://www.nevo.co.il/case/25483510</vt:lpwstr>
      </vt:variant>
      <vt:variant>
        <vt:lpwstr/>
      </vt:variant>
      <vt:variant>
        <vt:i4>2752612</vt:i4>
      </vt:variant>
      <vt:variant>
        <vt:i4>30</vt:i4>
      </vt:variant>
      <vt:variant>
        <vt:i4>0</vt:i4>
      </vt:variant>
      <vt:variant>
        <vt:i4>5</vt:i4>
      </vt:variant>
      <vt:variant>
        <vt:lpwstr>http://www.nevo.co.il/law/4216/7.c</vt:lpwstr>
      </vt:variant>
      <vt:variant>
        <vt:lpwstr/>
      </vt:variant>
      <vt:variant>
        <vt:i4>2621540</vt:i4>
      </vt:variant>
      <vt:variant>
        <vt:i4>27</vt:i4>
      </vt:variant>
      <vt:variant>
        <vt:i4>0</vt:i4>
      </vt:variant>
      <vt:variant>
        <vt:i4>5</vt:i4>
      </vt:variant>
      <vt:variant>
        <vt:lpwstr>http://www.nevo.co.il/law/4216/7.a</vt:lpwstr>
      </vt:variant>
      <vt:variant>
        <vt:lpwstr/>
      </vt:variant>
      <vt:variant>
        <vt:i4>8257637</vt:i4>
      </vt:variant>
      <vt:variant>
        <vt:i4>24</vt:i4>
      </vt:variant>
      <vt:variant>
        <vt:i4>0</vt:i4>
      </vt:variant>
      <vt:variant>
        <vt:i4>5</vt:i4>
      </vt:variant>
      <vt:variant>
        <vt:lpwstr>http://www.nevo.co.il/law/4216</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3539060</vt:i4>
      </vt:variant>
      <vt:variant>
        <vt:i4>15</vt:i4>
      </vt:variant>
      <vt:variant>
        <vt:i4>0</vt:i4>
      </vt:variant>
      <vt:variant>
        <vt:i4>5</vt:i4>
      </vt:variant>
      <vt:variant>
        <vt:lpwstr>http://www.nevo.co.il/case/28101848</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2025-04-23T00:44:00Z</dcterms:created>
  <dcterms:modified xsi:type="dcterms:W3CDTF">2025-04-23T00:44:00Z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8510;40843</vt:lpwstr>
  </property>
  <property fmtid="{D5CDD505-2E9C-101B-9397-08002B2CF9AE}" pid="6" name="NEWPARTB">
    <vt:lpwstr>08;11</vt:lpwstr>
  </property>
  <property fmtid="{D5CDD505-2E9C-101B-9397-08002B2CF9AE}" pid="7" name="NEWPARTC">
    <vt:lpwstr>20;21</vt:lpwstr>
  </property>
  <property fmtid="{D5CDD505-2E9C-101B-9397-08002B2CF9AE}" pid="8" name="APPELLANT">
    <vt:lpwstr>מדינת ישראל</vt:lpwstr>
  </property>
  <property fmtid="{D5CDD505-2E9C-101B-9397-08002B2CF9AE}" pid="9" name="APPELLEE">
    <vt:lpwstr>לקאצ'או דמסאש</vt:lpwstr>
  </property>
  <property fmtid="{D5CDD505-2E9C-101B-9397-08002B2CF9AE}" pid="10" name="LAWYER">
    <vt:lpwstr>שמעון זוהרי;דמיטרי אניקין</vt:lpwstr>
  </property>
  <property fmtid="{D5CDD505-2E9C-101B-9397-08002B2CF9AE}" pid="11" name="JUDGE">
    <vt:lpwstr>שאול אבינור</vt:lpwstr>
  </property>
  <property fmtid="{D5CDD505-2E9C-101B-9397-08002B2CF9AE}" pid="12" name="CITY">
    <vt:lpwstr>ת"א</vt:lpwstr>
  </property>
  <property fmtid="{D5CDD505-2E9C-101B-9397-08002B2CF9AE}" pid="13" name="DATE">
    <vt:lpwstr>20240620</vt:lpwstr>
  </property>
  <property fmtid="{D5CDD505-2E9C-101B-9397-08002B2CF9AE}" pid="14" name="TYPE_N_DATE">
    <vt:lpwstr>38020240620</vt:lpwstr>
  </property>
  <property fmtid="{D5CDD505-2E9C-101B-9397-08002B2CF9AE}" pid="15" name="CASESLISTTMP1">
    <vt:lpwstr>28101848;25483510;27537984;23777143</vt:lpwstr>
  </property>
  <property fmtid="{D5CDD505-2E9C-101B-9397-08002B2CF9AE}" pid="16" name="WORDNUMPAGES">
    <vt:lpwstr>7</vt:lpwstr>
  </property>
  <property fmtid="{D5CDD505-2E9C-101B-9397-08002B2CF9AE}" pid="17" name="TYPE_ABS_DATE">
    <vt:lpwstr>380020240620</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4216/007.a:2;007.c:2</vt:lpwstr>
  </property>
  <property fmtid="{D5CDD505-2E9C-101B-9397-08002B2CF9AE}" pid="37" name="LAWLISTTMP2">
    <vt:lpwstr>70301/040i</vt:lpwstr>
  </property>
</Properties>
</file>