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BE1E5B" w:rsidRPr="00292F22" w14:paraId="07BD53D8" w14:textId="77777777" w:rsidTr="00FD66C6">
        <w:trPr>
          <w:trHeight w:hRule="exact" w:val="418"/>
          <w:jc w:val="center"/>
        </w:trPr>
        <w:tc>
          <w:tcPr>
            <w:tcW w:w="8721" w:type="dxa"/>
            <w:gridSpan w:val="2"/>
          </w:tcPr>
          <w:p w14:paraId="2B8E28BB" w14:textId="77777777" w:rsidR="00BE1E5B" w:rsidRPr="00292F22" w:rsidRDefault="00BE1E5B" w:rsidP="00604396">
            <w:pPr>
              <w:pStyle w:val="a3"/>
              <w:jc w:val="center"/>
              <w:rPr>
                <w:rFonts w:ascii="Tahoma" w:hAnsi="Tahoma" w:cs="Tahoma"/>
                <w:color w:val="000080"/>
                <w:rtl/>
              </w:rPr>
            </w:pPr>
            <w:bookmarkStart w:id="0" w:name="LastJudge"/>
            <w:r w:rsidRPr="00292F22">
              <w:rPr>
                <w:rFonts w:ascii="Tahoma" w:hAnsi="Tahoma" w:cs="Tahoma"/>
                <w:b/>
                <w:bCs/>
                <w:color w:val="000080"/>
                <w:rtl/>
              </w:rPr>
              <w:t>בית משפט השלום בירושלים</w:t>
            </w:r>
          </w:p>
        </w:tc>
      </w:tr>
      <w:tr w:rsidR="00BE1E5B" w:rsidRPr="00292F22" w14:paraId="2F56E958" w14:textId="77777777" w:rsidTr="00FD66C6">
        <w:trPr>
          <w:trHeight w:val="337"/>
          <w:jc w:val="center"/>
        </w:trPr>
        <w:tc>
          <w:tcPr>
            <w:tcW w:w="5056" w:type="dxa"/>
          </w:tcPr>
          <w:p w14:paraId="05464B02" w14:textId="77777777" w:rsidR="00BE1E5B" w:rsidRPr="00292F22" w:rsidRDefault="00BE1E5B" w:rsidP="00604396">
            <w:pPr>
              <w:rPr>
                <w:rFonts w:cs="FrankRuehl"/>
                <w:sz w:val="28"/>
                <w:szCs w:val="28"/>
                <w:rtl/>
              </w:rPr>
            </w:pPr>
            <w:r w:rsidRPr="00292F22">
              <w:rPr>
                <w:rFonts w:cs="FrankRuehl"/>
                <w:sz w:val="28"/>
                <w:szCs w:val="28"/>
                <w:rtl/>
              </w:rPr>
              <w:t>ת"פ</w:t>
            </w:r>
            <w:r w:rsidRPr="00292F22">
              <w:rPr>
                <w:rFonts w:cs="FrankRuehl" w:hint="cs"/>
                <w:sz w:val="28"/>
                <w:szCs w:val="28"/>
                <w:rtl/>
              </w:rPr>
              <w:t xml:space="preserve"> </w:t>
            </w:r>
            <w:r w:rsidRPr="00292F22">
              <w:rPr>
                <w:rFonts w:cs="FrankRuehl"/>
                <w:sz w:val="28"/>
                <w:szCs w:val="28"/>
                <w:rtl/>
              </w:rPr>
              <w:t>57378-09-20</w:t>
            </w:r>
            <w:r w:rsidRPr="00292F22">
              <w:rPr>
                <w:rFonts w:cs="FrankRuehl" w:hint="cs"/>
                <w:sz w:val="28"/>
                <w:szCs w:val="28"/>
                <w:rtl/>
              </w:rPr>
              <w:t xml:space="preserve"> </w:t>
            </w:r>
            <w:r w:rsidRPr="00292F22">
              <w:rPr>
                <w:rFonts w:cs="FrankRuehl"/>
                <w:sz w:val="28"/>
                <w:szCs w:val="28"/>
                <w:rtl/>
              </w:rPr>
              <w:t>מדינת ישראל נ' אבו דיא(עציר)</w:t>
            </w:r>
          </w:p>
          <w:p w14:paraId="74B82E6A" w14:textId="77777777" w:rsidR="00BE1E5B" w:rsidRPr="00292F22" w:rsidRDefault="00BE1E5B" w:rsidP="00604396">
            <w:pPr>
              <w:pStyle w:val="a3"/>
              <w:rPr>
                <w:rFonts w:cs="FrankRuehl"/>
                <w:sz w:val="28"/>
                <w:szCs w:val="28"/>
                <w:rtl/>
              </w:rPr>
            </w:pPr>
          </w:p>
        </w:tc>
        <w:tc>
          <w:tcPr>
            <w:tcW w:w="3665" w:type="dxa"/>
          </w:tcPr>
          <w:p w14:paraId="58D99C88" w14:textId="77777777" w:rsidR="00BE1E5B" w:rsidRPr="00292F22" w:rsidRDefault="00BE1E5B" w:rsidP="00604396">
            <w:pPr>
              <w:pStyle w:val="a3"/>
              <w:jc w:val="right"/>
              <w:rPr>
                <w:rFonts w:cs="FrankRuehl"/>
                <w:sz w:val="28"/>
                <w:szCs w:val="28"/>
                <w:rtl/>
              </w:rPr>
            </w:pPr>
          </w:p>
        </w:tc>
      </w:tr>
    </w:tbl>
    <w:p w14:paraId="3442A9F0" w14:textId="77777777" w:rsidR="00BE1E5B" w:rsidRPr="00292F22" w:rsidRDefault="00BE1E5B" w:rsidP="00BE1E5B">
      <w:pPr>
        <w:pStyle w:val="a3"/>
        <w:rPr>
          <w:rtl/>
        </w:rPr>
      </w:pPr>
      <w:r w:rsidRPr="00292F22">
        <w:rPr>
          <w:rFonts w:hint="cs"/>
          <w:rtl/>
        </w:rPr>
        <w:t xml:space="preserve"> </w:t>
      </w:r>
    </w:p>
    <w:p w14:paraId="7C7E3546" w14:textId="77777777" w:rsidR="00BE1E5B" w:rsidRPr="00292F22" w:rsidRDefault="00BE1E5B" w:rsidP="00BE1E5B">
      <w:pPr>
        <w:rPr>
          <w:rtl/>
        </w:rPr>
      </w:pPr>
    </w:p>
    <w:p w14:paraId="10CEBD83" w14:textId="77777777" w:rsidR="00BE1E5B" w:rsidRPr="00292F22" w:rsidRDefault="00BE1E5B" w:rsidP="00BE1E5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E1E5B" w:rsidRPr="00292F22" w14:paraId="36DF7D63" w14:textId="77777777" w:rsidTr="00BE1E5B">
        <w:trPr>
          <w:trHeight w:val="295"/>
          <w:jc w:val="center"/>
        </w:trPr>
        <w:tc>
          <w:tcPr>
            <w:tcW w:w="923" w:type="dxa"/>
            <w:tcBorders>
              <w:top w:val="nil"/>
              <w:left w:val="nil"/>
              <w:bottom w:val="nil"/>
              <w:right w:val="nil"/>
            </w:tcBorders>
            <w:shd w:val="clear" w:color="auto" w:fill="auto"/>
          </w:tcPr>
          <w:p w14:paraId="66490076" w14:textId="77777777" w:rsidR="00BE1E5B" w:rsidRPr="00292F22" w:rsidRDefault="00BE1E5B" w:rsidP="00BE1E5B">
            <w:pPr>
              <w:jc w:val="both"/>
              <w:rPr>
                <w:rFonts w:ascii="Arial" w:hAnsi="Arial" w:cs="FrankRuehl"/>
                <w:sz w:val="28"/>
                <w:szCs w:val="28"/>
              </w:rPr>
            </w:pPr>
            <w:r w:rsidRPr="00292F22">
              <w:rPr>
                <w:rFonts w:ascii="Arial" w:hAnsi="Arial" w:cs="FrankRuehl" w:hint="cs"/>
                <w:sz w:val="28"/>
                <w:szCs w:val="28"/>
                <w:rtl/>
              </w:rPr>
              <w:t>ב</w:t>
            </w:r>
            <w:r w:rsidRPr="00292F2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9A39FB6" w14:textId="77777777" w:rsidR="00BE1E5B" w:rsidRPr="00292F22" w:rsidRDefault="00BE1E5B" w:rsidP="00604396">
            <w:pPr>
              <w:rPr>
                <w:rFonts w:ascii="Arial" w:hAnsi="Arial"/>
                <w:b/>
                <w:bCs/>
                <w:rtl/>
              </w:rPr>
            </w:pPr>
            <w:r w:rsidRPr="00292F22">
              <w:rPr>
                <w:rFonts w:ascii="Arial" w:hAnsi="Arial" w:hint="cs"/>
                <w:b/>
                <w:bCs/>
                <w:rtl/>
              </w:rPr>
              <w:t>כבוד ה</w:t>
            </w:r>
            <w:r w:rsidRPr="00292F22">
              <w:rPr>
                <w:rFonts w:ascii="Arial" w:hAnsi="Arial"/>
                <w:b/>
                <w:bCs/>
                <w:rtl/>
              </w:rPr>
              <w:t>שופטת</w:t>
            </w:r>
            <w:r w:rsidRPr="00292F22">
              <w:rPr>
                <w:rFonts w:ascii="Arial" w:hAnsi="Arial" w:hint="cs"/>
                <w:b/>
                <w:bCs/>
                <w:rtl/>
              </w:rPr>
              <w:t xml:space="preserve">  </w:t>
            </w:r>
            <w:r w:rsidRPr="00292F22">
              <w:rPr>
                <w:rFonts w:ascii="Arial" w:hAnsi="Arial"/>
                <w:b/>
                <w:bCs/>
                <w:rtl/>
              </w:rPr>
              <w:t>ג'ויה סקפה שפירא</w:t>
            </w:r>
          </w:p>
          <w:p w14:paraId="3532D1B9" w14:textId="77777777" w:rsidR="00BE1E5B" w:rsidRPr="00292F22" w:rsidRDefault="00BE1E5B" w:rsidP="00604396">
            <w:pPr>
              <w:rPr>
                <w:rtl/>
              </w:rPr>
            </w:pPr>
          </w:p>
          <w:p w14:paraId="79A4806B" w14:textId="77777777" w:rsidR="00BE1E5B" w:rsidRPr="00292F22" w:rsidRDefault="00BE1E5B" w:rsidP="00BE1E5B">
            <w:pPr>
              <w:jc w:val="both"/>
              <w:rPr>
                <w:rFonts w:ascii="Arial" w:hAnsi="Arial" w:cs="FrankRuehl"/>
                <w:sz w:val="28"/>
                <w:szCs w:val="28"/>
              </w:rPr>
            </w:pPr>
          </w:p>
        </w:tc>
      </w:tr>
      <w:tr w:rsidR="00BE1E5B" w:rsidRPr="00292F22" w14:paraId="4A22EED9" w14:textId="77777777" w:rsidTr="00BE1E5B">
        <w:trPr>
          <w:trHeight w:val="355"/>
          <w:jc w:val="center"/>
        </w:trPr>
        <w:tc>
          <w:tcPr>
            <w:tcW w:w="923" w:type="dxa"/>
            <w:tcBorders>
              <w:top w:val="nil"/>
              <w:left w:val="nil"/>
              <w:bottom w:val="nil"/>
              <w:right w:val="nil"/>
            </w:tcBorders>
            <w:shd w:val="clear" w:color="auto" w:fill="auto"/>
          </w:tcPr>
          <w:p w14:paraId="36DA03D3" w14:textId="77777777" w:rsidR="00BE1E5B" w:rsidRPr="00292F22" w:rsidRDefault="00BE1E5B" w:rsidP="00BE1E5B">
            <w:pPr>
              <w:jc w:val="both"/>
              <w:rPr>
                <w:rFonts w:ascii="Arial" w:hAnsi="Arial" w:cs="FrankRuehl"/>
                <w:sz w:val="28"/>
                <w:szCs w:val="28"/>
              </w:rPr>
            </w:pPr>
            <w:bookmarkStart w:id="1" w:name="FirstAppellant"/>
            <w:r w:rsidRPr="00292F2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4D18CB8" w14:textId="77777777" w:rsidR="00BE1E5B" w:rsidRPr="00292F22" w:rsidRDefault="00BE1E5B" w:rsidP="00604396">
            <w:r w:rsidRPr="00292F22">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6104B3B" w14:textId="77777777" w:rsidR="00BE1E5B" w:rsidRPr="00292F22" w:rsidRDefault="00BE1E5B" w:rsidP="00BE1E5B">
            <w:pPr>
              <w:jc w:val="both"/>
              <w:rPr>
                <w:rFonts w:ascii="Arial" w:hAnsi="Arial" w:cs="FrankRuehl"/>
                <w:sz w:val="28"/>
                <w:szCs w:val="28"/>
              </w:rPr>
            </w:pPr>
          </w:p>
        </w:tc>
      </w:tr>
      <w:bookmarkEnd w:id="1"/>
      <w:tr w:rsidR="00BE1E5B" w:rsidRPr="00292F22" w14:paraId="7356A5D5" w14:textId="77777777" w:rsidTr="00BE1E5B">
        <w:trPr>
          <w:trHeight w:val="355"/>
          <w:jc w:val="center"/>
        </w:trPr>
        <w:tc>
          <w:tcPr>
            <w:tcW w:w="923" w:type="dxa"/>
            <w:tcBorders>
              <w:top w:val="nil"/>
              <w:left w:val="nil"/>
              <w:bottom w:val="nil"/>
              <w:right w:val="nil"/>
            </w:tcBorders>
            <w:shd w:val="clear" w:color="auto" w:fill="auto"/>
          </w:tcPr>
          <w:p w14:paraId="3931E18F" w14:textId="77777777" w:rsidR="00BE1E5B" w:rsidRPr="00292F22" w:rsidRDefault="00BE1E5B" w:rsidP="00BE1E5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9A705E9" w14:textId="77777777" w:rsidR="00BE1E5B" w:rsidRPr="00292F22" w:rsidRDefault="00BE1E5B" w:rsidP="00BE1E5B">
            <w:pPr>
              <w:jc w:val="both"/>
              <w:rPr>
                <w:rtl/>
              </w:rPr>
            </w:pPr>
          </w:p>
        </w:tc>
        <w:tc>
          <w:tcPr>
            <w:tcW w:w="3771" w:type="dxa"/>
            <w:tcBorders>
              <w:top w:val="nil"/>
              <w:left w:val="nil"/>
              <w:bottom w:val="nil"/>
              <w:right w:val="nil"/>
            </w:tcBorders>
            <w:shd w:val="clear" w:color="auto" w:fill="auto"/>
          </w:tcPr>
          <w:p w14:paraId="279AA91E" w14:textId="77777777" w:rsidR="00BE1E5B" w:rsidRPr="00292F22" w:rsidRDefault="00BE1E5B" w:rsidP="00BE1E5B">
            <w:pPr>
              <w:jc w:val="right"/>
              <w:rPr>
                <w:rFonts w:ascii="Arial" w:hAnsi="Arial" w:cs="FrankRuehl"/>
                <w:sz w:val="28"/>
                <w:szCs w:val="28"/>
                <w:rtl/>
              </w:rPr>
            </w:pPr>
            <w:r w:rsidRPr="00292F22">
              <w:rPr>
                <w:rFonts w:ascii="Arial" w:hAnsi="Arial" w:cs="FrankRuehl" w:hint="cs"/>
                <w:sz w:val="28"/>
                <w:szCs w:val="28"/>
                <w:rtl/>
              </w:rPr>
              <w:t>ה</w:t>
            </w:r>
            <w:r w:rsidRPr="00292F22">
              <w:rPr>
                <w:rFonts w:ascii="Arial" w:hAnsi="Arial" w:cs="FrankRuehl"/>
                <w:sz w:val="28"/>
                <w:szCs w:val="28"/>
                <w:rtl/>
              </w:rPr>
              <w:t>מאשימה</w:t>
            </w:r>
          </w:p>
        </w:tc>
      </w:tr>
      <w:tr w:rsidR="00BE1E5B" w:rsidRPr="00292F22" w14:paraId="17555A1A" w14:textId="77777777" w:rsidTr="00BE1E5B">
        <w:trPr>
          <w:trHeight w:val="355"/>
          <w:jc w:val="center"/>
        </w:trPr>
        <w:tc>
          <w:tcPr>
            <w:tcW w:w="923" w:type="dxa"/>
            <w:tcBorders>
              <w:top w:val="nil"/>
              <w:left w:val="nil"/>
              <w:bottom w:val="nil"/>
              <w:right w:val="nil"/>
            </w:tcBorders>
            <w:shd w:val="clear" w:color="auto" w:fill="auto"/>
          </w:tcPr>
          <w:p w14:paraId="5E24D696" w14:textId="77777777" w:rsidR="00BE1E5B" w:rsidRPr="00292F22" w:rsidRDefault="00BE1E5B" w:rsidP="00BE1E5B">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6491C39" w14:textId="77777777" w:rsidR="00BE1E5B" w:rsidRPr="00292F22" w:rsidRDefault="00BE1E5B" w:rsidP="00BE1E5B">
            <w:pPr>
              <w:jc w:val="center"/>
              <w:rPr>
                <w:rFonts w:ascii="Arial" w:hAnsi="Arial" w:cs="FrankRuehl"/>
                <w:b/>
                <w:bCs/>
                <w:sz w:val="28"/>
                <w:szCs w:val="28"/>
                <w:rtl/>
              </w:rPr>
            </w:pPr>
          </w:p>
          <w:p w14:paraId="7DCC877A" w14:textId="77777777" w:rsidR="00BE1E5B" w:rsidRPr="00292F22" w:rsidRDefault="00BE1E5B" w:rsidP="00BE1E5B">
            <w:pPr>
              <w:jc w:val="center"/>
              <w:rPr>
                <w:rFonts w:ascii="Arial" w:hAnsi="Arial" w:cs="FrankRuehl"/>
                <w:b/>
                <w:bCs/>
                <w:sz w:val="28"/>
                <w:szCs w:val="28"/>
                <w:rtl/>
              </w:rPr>
            </w:pPr>
            <w:r w:rsidRPr="00292F22">
              <w:rPr>
                <w:rFonts w:ascii="Arial" w:hAnsi="Arial" w:cs="FrankRuehl"/>
                <w:b/>
                <w:bCs/>
                <w:sz w:val="28"/>
                <w:szCs w:val="28"/>
                <w:rtl/>
              </w:rPr>
              <w:t>נגד</w:t>
            </w:r>
          </w:p>
          <w:p w14:paraId="2A764C2E" w14:textId="77777777" w:rsidR="00BE1E5B" w:rsidRPr="00292F22" w:rsidRDefault="00BE1E5B" w:rsidP="00BE1E5B">
            <w:pPr>
              <w:jc w:val="both"/>
              <w:rPr>
                <w:rFonts w:ascii="Arial" w:hAnsi="Arial" w:cs="FrankRuehl"/>
                <w:sz w:val="28"/>
                <w:szCs w:val="28"/>
              </w:rPr>
            </w:pPr>
          </w:p>
        </w:tc>
      </w:tr>
      <w:tr w:rsidR="00BE1E5B" w:rsidRPr="00292F22" w14:paraId="2CCCEA99" w14:textId="77777777" w:rsidTr="00BE1E5B">
        <w:trPr>
          <w:trHeight w:val="355"/>
          <w:jc w:val="center"/>
        </w:trPr>
        <w:tc>
          <w:tcPr>
            <w:tcW w:w="923" w:type="dxa"/>
            <w:tcBorders>
              <w:top w:val="nil"/>
              <w:left w:val="nil"/>
              <w:bottom w:val="nil"/>
              <w:right w:val="nil"/>
            </w:tcBorders>
            <w:shd w:val="clear" w:color="auto" w:fill="auto"/>
          </w:tcPr>
          <w:p w14:paraId="406E65AC" w14:textId="77777777" w:rsidR="00BE1E5B" w:rsidRPr="00292F22" w:rsidRDefault="00BE1E5B" w:rsidP="00604396">
            <w:pPr>
              <w:rPr>
                <w:rFonts w:ascii="Arial" w:hAnsi="Arial" w:cs="FrankRuehl"/>
                <w:sz w:val="28"/>
                <w:szCs w:val="28"/>
                <w:rtl/>
              </w:rPr>
            </w:pPr>
          </w:p>
        </w:tc>
        <w:tc>
          <w:tcPr>
            <w:tcW w:w="4126" w:type="dxa"/>
            <w:tcBorders>
              <w:top w:val="nil"/>
              <w:left w:val="nil"/>
              <w:bottom w:val="nil"/>
              <w:right w:val="nil"/>
            </w:tcBorders>
            <w:shd w:val="clear" w:color="auto" w:fill="auto"/>
          </w:tcPr>
          <w:p w14:paraId="663F433C" w14:textId="77777777" w:rsidR="00BE1E5B" w:rsidRPr="00292F22" w:rsidRDefault="00BE1E5B" w:rsidP="00604396">
            <w:pPr>
              <w:rPr>
                <w:rtl/>
              </w:rPr>
            </w:pPr>
            <w:r w:rsidRPr="00292F22">
              <w:rPr>
                <w:rFonts w:ascii="Arial" w:hAnsi="Arial" w:cs="FrankRuehl"/>
                <w:sz w:val="28"/>
                <w:szCs w:val="28"/>
                <w:rtl/>
              </w:rPr>
              <w:t>עומר אבו דיא</w:t>
            </w:r>
          </w:p>
        </w:tc>
        <w:tc>
          <w:tcPr>
            <w:tcW w:w="3771" w:type="dxa"/>
            <w:tcBorders>
              <w:top w:val="nil"/>
              <w:left w:val="nil"/>
              <w:bottom w:val="nil"/>
              <w:right w:val="nil"/>
            </w:tcBorders>
            <w:shd w:val="clear" w:color="auto" w:fill="auto"/>
          </w:tcPr>
          <w:p w14:paraId="24034724" w14:textId="77777777" w:rsidR="00BE1E5B" w:rsidRPr="00292F22" w:rsidRDefault="00BE1E5B" w:rsidP="00BE1E5B">
            <w:pPr>
              <w:jc w:val="right"/>
              <w:rPr>
                <w:rFonts w:ascii="Arial" w:hAnsi="Arial" w:cs="FrankRuehl"/>
                <w:sz w:val="28"/>
                <w:szCs w:val="28"/>
              </w:rPr>
            </w:pPr>
          </w:p>
        </w:tc>
      </w:tr>
      <w:tr w:rsidR="00BE1E5B" w:rsidRPr="00292F22" w14:paraId="1AF74C51" w14:textId="77777777" w:rsidTr="00BE1E5B">
        <w:trPr>
          <w:trHeight w:val="355"/>
          <w:jc w:val="center"/>
        </w:trPr>
        <w:tc>
          <w:tcPr>
            <w:tcW w:w="923" w:type="dxa"/>
            <w:tcBorders>
              <w:top w:val="nil"/>
              <w:left w:val="nil"/>
              <w:bottom w:val="nil"/>
              <w:right w:val="nil"/>
            </w:tcBorders>
            <w:shd w:val="clear" w:color="auto" w:fill="auto"/>
          </w:tcPr>
          <w:p w14:paraId="4C50C41A" w14:textId="77777777" w:rsidR="00BE1E5B" w:rsidRPr="00292F22" w:rsidRDefault="00BE1E5B" w:rsidP="00BE1E5B">
            <w:pPr>
              <w:spacing w:line="360" w:lineRule="auto"/>
              <w:jc w:val="both"/>
              <w:rPr>
                <w:rFonts w:ascii="Arial" w:hAnsi="Arial" w:cs="FrankRuehl"/>
                <w:sz w:val="28"/>
                <w:szCs w:val="28"/>
                <w:rtl/>
              </w:rPr>
            </w:pPr>
          </w:p>
        </w:tc>
        <w:tc>
          <w:tcPr>
            <w:tcW w:w="4126" w:type="dxa"/>
            <w:tcBorders>
              <w:top w:val="nil"/>
              <w:left w:val="nil"/>
              <w:bottom w:val="nil"/>
              <w:right w:val="nil"/>
            </w:tcBorders>
            <w:shd w:val="clear" w:color="auto" w:fill="auto"/>
          </w:tcPr>
          <w:p w14:paraId="517FEF16" w14:textId="77777777" w:rsidR="00BE1E5B" w:rsidRPr="00292F22" w:rsidRDefault="00BE1E5B" w:rsidP="00BE1E5B">
            <w:pPr>
              <w:spacing w:line="360" w:lineRule="auto"/>
              <w:jc w:val="both"/>
              <w:rPr>
                <w:rtl/>
              </w:rPr>
            </w:pPr>
          </w:p>
        </w:tc>
        <w:tc>
          <w:tcPr>
            <w:tcW w:w="3771" w:type="dxa"/>
            <w:tcBorders>
              <w:top w:val="nil"/>
              <w:left w:val="nil"/>
              <w:bottom w:val="nil"/>
              <w:right w:val="nil"/>
            </w:tcBorders>
            <w:shd w:val="clear" w:color="auto" w:fill="auto"/>
          </w:tcPr>
          <w:p w14:paraId="3404106F" w14:textId="77777777" w:rsidR="00BE1E5B" w:rsidRPr="00292F22" w:rsidRDefault="00BE1E5B" w:rsidP="00BE1E5B">
            <w:pPr>
              <w:spacing w:line="360" w:lineRule="auto"/>
              <w:jc w:val="right"/>
              <w:rPr>
                <w:rFonts w:ascii="Arial" w:hAnsi="Arial" w:cs="FrankRuehl"/>
                <w:sz w:val="28"/>
                <w:szCs w:val="28"/>
                <w:rtl/>
              </w:rPr>
            </w:pPr>
            <w:r w:rsidRPr="00292F22">
              <w:rPr>
                <w:rFonts w:ascii="Arial" w:hAnsi="Arial" w:cs="FrankRuehl" w:hint="cs"/>
                <w:sz w:val="28"/>
                <w:szCs w:val="28"/>
                <w:rtl/>
              </w:rPr>
              <w:t>ה</w:t>
            </w:r>
            <w:r w:rsidRPr="00292F22">
              <w:rPr>
                <w:rFonts w:ascii="Arial" w:hAnsi="Arial" w:cs="FrankRuehl"/>
                <w:sz w:val="28"/>
                <w:szCs w:val="28"/>
                <w:rtl/>
              </w:rPr>
              <w:t>נאשם</w:t>
            </w:r>
          </w:p>
        </w:tc>
      </w:tr>
    </w:tbl>
    <w:p w14:paraId="1C3778AC" w14:textId="77777777" w:rsidR="00BE1E5B" w:rsidRPr="00292F22" w:rsidRDefault="00BE1E5B" w:rsidP="00BE1E5B">
      <w:pPr>
        <w:spacing w:line="360" w:lineRule="auto"/>
        <w:rPr>
          <w:b/>
          <w:bCs/>
          <w:rtl/>
        </w:rPr>
      </w:pPr>
      <w:bookmarkStart w:id="2" w:name="FirstLawyer"/>
      <w:r w:rsidRPr="00292F22">
        <w:rPr>
          <w:rFonts w:hint="cs"/>
          <w:b/>
          <w:bCs/>
          <w:rtl/>
        </w:rPr>
        <w:t>ב"כ</w:t>
      </w:r>
      <w:bookmarkEnd w:id="2"/>
      <w:r w:rsidRPr="00292F22">
        <w:rPr>
          <w:rFonts w:hint="cs"/>
          <w:b/>
          <w:bCs/>
          <w:rtl/>
        </w:rPr>
        <w:t xml:space="preserve"> המאשימה: עו"ד גל נשרים, עו"ד הילי ברגמן</w:t>
      </w:r>
    </w:p>
    <w:p w14:paraId="171D2FA2" w14:textId="77777777" w:rsidR="00292F22" w:rsidRPr="00292F22" w:rsidRDefault="00BE1E5B" w:rsidP="00292F22">
      <w:pPr>
        <w:spacing w:before="120" w:after="120" w:line="240" w:lineRule="exact"/>
        <w:ind w:left="283" w:hanging="283"/>
        <w:jc w:val="both"/>
        <w:rPr>
          <w:rFonts w:ascii="FrankRuehl" w:hAnsi="FrankRuehl" w:cs="FrankRuehl"/>
        </w:rPr>
      </w:pPr>
      <w:r w:rsidRPr="00292F22">
        <w:rPr>
          <w:rFonts w:hint="cs"/>
          <w:b/>
          <w:bCs/>
          <w:rtl/>
        </w:rPr>
        <w:t>ב"כ הנאשם: עו"ד אכרם חליחל</w:t>
      </w:r>
    </w:p>
    <w:p w14:paraId="55B928D3" w14:textId="77777777" w:rsidR="00292F22" w:rsidRPr="00292F22" w:rsidRDefault="00292F22" w:rsidP="00292F22">
      <w:pPr>
        <w:spacing w:line="360" w:lineRule="auto"/>
      </w:pPr>
    </w:p>
    <w:p w14:paraId="3B6011BA" w14:textId="77777777" w:rsidR="00FD66C6" w:rsidRPr="00FD66C6" w:rsidRDefault="00FD66C6" w:rsidP="00FD66C6">
      <w:pPr>
        <w:spacing w:before="120" w:after="120" w:line="240" w:lineRule="exact"/>
        <w:ind w:left="283" w:hanging="283"/>
        <w:jc w:val="both"/>
        <w:rPr>
          <w:rFonts w:ascii="FrankRuehl" w:hAnsi="FrankRuehl" w:cs="FrankRuehl"/>
          <w:rtl/>
        </w:rPr>
      </w:pPr>
    </w:p>
    <w:p w14:paraId="6F94D5B3" w14:textId="77777777" w:rsidR="00667E09" w:rsidRDefault="00667E09" w:rsidP="00667E09">
      <w:pPr>
        <w:spacing w:line="360" w:lineRule="auto"/>
        <w:rPr>
          <w:rtl/>
        </w:rPr>
      </w:pPr>
      <w:bookmarkStart w:id="3" w:name="LawTable"/>
      <w:bookmarkEnd w:id="3"/>
    </w:p>
    <w:p w14:paraId="3BD718A8" w14:textId="77777777" w:rsidR="00667E09" w:rsidRPr="00667E09" w:rsidRDefault="00667E09" w:rsidP="00667E09">
      <w:pPr>
        <w:spacing w:before="120" w:after="120" w:line="240" w:lineRule="exact"/>
        <w:ind w:left="283" w:hanging="283"/>
        <w:jc w:val="both"/>
        <w:rPr>
          <w:rFonts w:ascii="FrankRuehl" w:hAnsi="FrankRuehl" w:cs="FrankRuehl"/>
          <w:rtl/>
        </w:rPr>
      </w:pPr>
    </w:p>
    <w:p w14:paraId="45D9BCC6" w14:textId="77777777" w:rsidR="00667E09" w:rsidRPr="00667E09" w:rsidRDefault="00667E09" w:rsidP="00667E09">
      <w:pPr>
        <w:spacing w:before="120" w:after="120" w:line="240" w:lineRule="exact"/>
        <w:ind w:left="283" w:hanging="283"/>
        <w:jc w:val="both"/>
        <w:rPr>
          <w:rFonts w:ascii="FrankRuehl" w:hAnsi="FrankRuehl" w:cs="FrankRuehl"/>
          <w:rtl/>
        </w:rPr>
      </w:pPr>
    </w:p>
    <w:p w14:paraId="4D2BC64E" w14:textId="77777777" w:rsidR="00667E09" w:rsidRPr="00667E09" w:rsidRDefault="00667E09" w:rsidP="00667E09">
      <w:pPr>
        <w:spacing w:before="120" w:after="120" w:line="240" w:lineRule="exact"/>
        <w:ind w:left="283" w:hanging="283"/>
        <w:jc w:val="both"/>
        <w:rPr>
          <w:rFonts w:ascii="FrankRuehl" w:hAnsi="FrankRuehl" w:cs="FrankRuehl"/>
          <w:rtl/>
        </w:rPr>
      </w:pPr>
      <w:r w:rsidRPr="00667E09">
        <w:rPr>
          <w:rFonts w:ascii="FrankRuehl" w:hAnsi="FrankRuehl" w:cs="FrankRuehl"/>
          <w:rtl/>
        </w:rPr>
        <w:t xml:space="preserve">חקיקה שאוזכרה: </w:t>
      </w:r>
    </w:p>
    <w:p w14:paraId="23637807" w14:textId="77777777" w:rsidR="00667E09" w:rsidRPr="00667E09" w:rsidRDefault="00667E09" w:rsidP="00667E09">
      <w:pPr>
        <w:spacing w:before="120" w:after="120" w:line="240" w:lineRule="exact"/>
        <w:ind w:left="283" w:hanging="283"/>
        <w:jc w:val="both"/>
        <w:rPr>
          <w:rFonts w:ascii="FrankRuehl" w:hAnsi="FrankRuehl" w:cs="FrankRuehl"/>
          <w:rtl/>
        </w:rPr>
      </w:pPr>
      <w:hyperlink r:id="rId7" w:history="1">
        <w:r w:rsidRPr="00667E09">
          <w:rPr>
            <w:rFonts w:ascii="FrankRuehl" w:hAnsi="FrankRuehl" w:cs="FrankRuehl"/>
            <w:color w:val="0000FF"/>
            <w:rtl/>
          </w:rPr>
          <w:t>פקודת הסמים המסוכנים [נוסח חדש], תשל"ג-1973</w:t>
        </w:r>
      </w:hyperlink>
      <w:r w:rsidRPr="00667E09">
        <w:rPr>
          <w:rFonts w:ascii="FrankRuehl" w:hAnsi="FrankRuehl" w:cs="FrankRuehl"/>
          <w:rtl/>
        </w:rPr>
        <w:t xml:space="preserve">: סע'  </w:t>
      </w:r>
      <w:hyperlink r:id="rId8" w:history="1">
        <w:r w:rsidRPr="00667E09">
          <w:rPr>
            <w:rFonts w:ascii="FrankRuehl" w:hAnsi="FrankRuehl" w:cs="FrankRuehl"/>
            <w:color w:val="0000FF"/>
            <w:rtl/>
          </w:rPr>
          <w:t>36א(א)</w:t>
        </w:r>
      </w:hyperlink>
      <w:r w:rsidRPr="00667E09">
        <w:rPr>
          <w:rFonts w:ascii="FrankRuehl" w:hAnsi="FrankRuehl" w:cs="FrankRuehl"/>
          <w:rtl/>
        </w:rPr>
        <w:t xml:space="preserve">, </w:t>
      </w:r>
      <w:hyperlink r:id="rId9" w:history="1">
        <w:r w:rsidRPr="00667E09">
          <w:rPr>
            <w:rFonts w:ascii="FrankRuehl" w:hAnsi="FrankRuehl" w:cs="FrankRuehl"/>
            <w:color w:val="0000FF"/>
            <w:rtl/>
          </w:rPr>
          <w:t>36א(ה)</w:t>
        </w:r>
      </w:hyperlink>
    </w:p>
    <w:p w14:paraId="3A006847" w14:textId="77777777" w:rsidR="00667E09" w:rsidRPr="00667E09" w:rsidRDefault="00667E09" w:rsidP="00667E09">
      <w:pPr>
        <w:spacing w:before="120" w:after="120" w:line="240" w:lineRule="exact"/>
        <w:ind w:left="283" w:hanging="283"/>
        <w:jc w:val="both"/>
        <w:rPr>
          <w:rFonts w:ascii="FrankRuehl" w:hAnsi="FrankRuehl" w:cs="FrankRuehl"/>
          <w:rtl/>
        </w:rPr>
      </w:pPr>
      <w:hyperlink r:id="rId10" w:history="1">
        <w:r w:rsidRPr="00667E09">
          <w:rPr>
            <w:rFonts w:ascii="FrankRuehl" w:hAnsi="FrankRuehl" w:cs="FrankRuehl"/>
            <w:color w:val="0000FF"/>
            <w:rtl/>
          </w:rPr>
          <w:t>פקודת סדר הדין הפלילי (מעצר וחיפוש) [נוסח חדש], תשכ"ט-1969</w:t>
        </w:r>
      </w:hyperlink>
      <w:r w:rsidRPr="00667E09">
        <w:rPr>
          <w:rFonts w:ascii="FrankRuehl" w:hAnsi="FrankRuehl" w:cs="FrankRuehl"/>
          <w:rtl/>
        </w:rPr>
        <w:t xml:space="preserve">: סע'  </w:t>
      </w:r>
      <w:hyperlink r:id="rId11" w:history="1">
        <w:r w:rsidRPr="00667E09">
          <w:rPr>
            <w:rFonts w:ascii="FrankRuehl" w:hAnsi="FrankRuehl" w:cs="FrankRuehl"/>
            <w:color w:val="0000FF"/>
            <w:rtl/>
          </w:rPr>
          <w:t>39</w:t>
        </w:r>
      </w:hyperlink>
    </w:p>
    <w:p w14:paraId="3CAD4D6D" w14:textId="77777777" w:rsidR="00667E09" w:rsidRPr="00667E09" w:rsidRDefault="00667E09" w:rsidP="00667E09">
      <w:pPr>
        <w:spacing w:line="360" w:lineRule="auto"/>
        <w:rPr>
          <w:rtl/>
        </w:rPr>
      </w:pPr>
      <w:bookmarkStart w:id="4" w:name="LawTable_End"/>
      <w:bookmarkEnd w:id="4"/>
    </w:p>
    <w:p w14:paraId="5F801C12" w14:textId="77777777" w:rsidR="00BE1E5B" w:rsidRPr="00FD66C6" w:rsidRDefault="00BE1E5B" w:rsidP="00FD66C6">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E1E5B" w14:paraId="4765D455" w14:textId="77777777" w:rsidTr="00BE1E5B">
        <w:trPr>
          <w:trHeight w:val="355"/>
          <w:jc w:val="center"/>
        </w:trPr>
        <w:tc>
          <w:tcPr>
            <w:tcW w:w="8820" w:type="dxa"/>
            <w:tcBorders>
              <w:top w:val="nil"/>
              <w:left w:val="nil"/>
              <w:bottom w:val="nil"/>
              <w:right w:val="nil"/>
            </w:tcBorders>
            <w:shd w:val="clear" w:color="auto" w:fill="auto"/>
          </w:tcPr>
          <w:p w14:paraId="50C1D7B3" w14:textId="77777777" w:rsidR="00292F22" w:rsidRPr="00292F22" w:rsidRDefault="00292F22" w:rsidP="00292F22">
            <w:pPr>
              <w:jc w:val="center"/>
              <w:rPr>
                <w:rFonts w:ascii="Arial" w:hAnsi="Arial" w:cs="FrankRuehl"/>
                <w:b/>
                <w:bCs/>
                <w:sz w:val="32"/>
                <w:szCs w:val="32"/>
                <w:u w:val="single"/>
                <w:rtl/>
              </w:rPr>
            </w:pPr>
            <w:bookmarkStart w:id="5" w:name="PsakDin" w:colFirst="0" w:colLast="0"/>
            <w:bookmarkEnd w:id="0"/>
            <w:r w:rsidRPr="00292F22">
              <w:rPr>
                <w:rFonts w:ascii="Arial" w:hAnsi="Arial" w:cs="FrankRuehl"/>
                <w:b/>
                <w:bCs/>
                <w:sz w:val="32"/>
                <w:szCs w:val="32"/>
                <w:u w:val="single"/>
                <w:rtl/>
              </w:rPr>
              <w:t>גזר דין</w:t>
            </w:r>
          </w:p>
          <w:p w14:paraId="377CBCDA" w14:textId="77777777" w:rsidR="00BE1E5B" w:rsidRPr="00292F22" w:rsidRDefault="00BE1E5B" w:rsidP="00292F22">
            <w:pPr>
              <w:jc w:val="center"/>
              <w:rPr>
                <w:rFonts w:ascii="Arial" w:hAnsi="Arial" w:cs="FrankRuehl"/>
                <w:bCs/>
                <w:sz w:val="32"/>
                <w:szCs w:val="32"/>
                <w:u w:val="single"/>
                <w:rtl/>
              </w:rPr>
            </w:pPr>
          </w:p>
        </w:tc>
      </w:tr>
    </w:tbl>
    <w:bookmarkEnd w:id="5"/>
    <w:p w14:paraId="288F9241" w14:textId="77777777" w:rsidR="00BE1E5B" w:rsidRPr="006F5BA6" w:rsidRDefault="00BE1E5B" w:rsidP="00BE1E5B">
      <w:pPr>
        <w:spacing w:line="360" w:lineRule="auto"/>
        <w:jc w:val="both"/>
        <w:rPr>
          <w:b/>
          <w:bCs/>
          <w:u w:val="single"/>
          <w:rtl/>
        </w:rPr>
      </w:pPr>
      <w:r w:rsidRPr="006F5BA6">
        <w:rPr>
          <w:rFonts w:hint="cs"/>
          <w:b/>
          <w:bCs/>
          <w:u w:val="single"/>
          <w:rtl/>
        </w:rPr>
        <w:t>כללי</w:t>
      </w:r>
    </w:p>
    <w:p w14:paraId="26EA8522" w14:textId="77777777" w:rsidR="00BE1E5B" w:rsidRDefault="00BE1E5B" w:rsidP="00BE1E5B">
      <w:pPr>
        <w:pStyle w:val="a9"/>
        <w:numPr>
          <w:ilvl w:val="0"/>
          <w:numId w:val="1"/>
        </w:numPr>
        <w:spacing w:line="360" w:lineRule="auto"/>
        <w:jc w:val="both"/>
      </w:pPr>
      <w:bookmarkStart w:id="6" w:name="ABSTRACT_START"/>
      <w:bookmarkEnd w:id="6"/>
      <w:r>
        <w:rPr>
          <w:rFonts w:hint="cs"/>
          <w:rtl/>
        </w:rPr>
        <w:t xml:space="preserve">הנאשם הורשע, על פי הודאתו בעובדות כתב אישום מתוקן במסגרת הסדר טיעון, בעבירה של החזקת סמים שלא לצריכה עצמית. ביום 17.9.20 בשעה 23:30 נסע הנאשם ברכב טויוטה קורולה הרשום על שם אשתו, בכביש 9 לכיוון ירושלים. כשהבחין הנאשם שנוסעות אחריו שתי ניידות משטרה, האיץ את מהירות הנסיעה, אך נעצר בשל עומס המכוניות שחסם את דרכו. באותה עת החזיק הנאשם ברכבו 49.01 גרם סם מסוכן מסוג קוקאין, </w:t>
      </w:r>
      <w:r>
        <w:rPr>
          <w:rFonts w:hint="cs"/>
          <w:rtl/>
        </w:rPr>
        <w:lastRenderedPageBreak/>
        <w:t xml:space="preserve">עטוף בנייר טואלט ומוחבא מתחת לחלק פלסטיק המכסה את תחתית ידית ההילוכים ברכב. </w:t>
      </w:r>
    </w:p>
    <w:p w14:paraId="0E0221B3" w14:textId="77777777" w:rsidR="00BE1E5B" w:rsidRPr="00927AD6" w:rsidRDefault="00BE1E5B" w:rsidP="00BE1E5B">
      <w:pPr>
        <w:pStyle w:val="a9"/>
        <w:spacing w:line="360" w:lineRule="auto"/>
        <w:jc w:val="both"/>
      </w:pPr>
      <w:bookmarkStart w:id="7" w:name="ABSTRACT_END"/>
      <w:bookmarkEnd w:id="7"/>
    </w:p>
    <w:p w14:paraId="02D39A49" w14:textId="77777777" w:rsidR="00BE1E5B" w:rsidRDefault="00BE1E5B" w:rsidP="00BE1E5B">
      <w:pPr>
        <w:pStyle w:val="a9"/>
        <w:numPr>
          <w:ilvl w:val="0"/>
          <w:numId w:val="1"/>
        </w:numPr>
        <w:spacing w:line="360" w:lineRule="auto"/>
        <w:jc w:val="both"/>
      </w:pPr>
      <w:r>
        <w:rPr>
          <w:rFonts w:hint="cs"/>
          <w:rtl/>
        </w:rPr>
        <w:t xml:space="preserve">הצדדים הציגו הסדר טיעון, במסגרתו כתב האישום תוקן, הנאשם הודה במיוחס לו והורשע. לעניין העונש הוסכם כי המאשימה תטען לעונש של שלושים חודשי מאסר בפועל, מאסר מותנה וקנס ואילו ב"כ הנאשם יהיה חופשי בטיעוניו. </w:t>
      </w:r>
    </w:p>
    <w:p w14:paraId="0AD29639" w14:textId="77777777" w:rsidR="00BE1E5B" w:rsidRDefault="00BE1E5B" w:rsidP="00BE1E5B">
      <w:pPr>
        <w:pStyle w:val="a9"/>
        <w:spacing w:line="360" w:lineRule="auto"/>
        <w:jc w:val="both"/>
      </w:pPr>
    </w:p>
    <w:p w14:paraId="4BD9C8EC" w14:textId="77777777" w:rsidR="00BE1E5B" w:rsidRDefault="00BE1E5B" w:rsidP="00BE1E5B">
      <w:pPr>
        <w:pStyle w:val="a9"/>
        <w:numPr>
          <w:ilvl w:val="0"/>
          <w:numId w:val="1"/>
        </w:numPr>
        <w:spacing w:line="360" w:lineRule="auto"/>
        <w:jc w:val="both"/>
      </w:pPr>
      <w:r>
        <w:rPr>
          <w:rFonts w:hint="cs"/>
          <w:rtl/>
        </w:rPr>
        <w:t xml:space="preserve">המאשימה ביקשה לקבוע מתחם עונש הולם שבין שנתיים וחצי לחמש שנות מאסר בפועל, וביקשה לגזור על הנאשם עונש של שנתיים וחצי מאסר בפועל, מאסר מותנה, קנס בסך 15,000 ₪ ופסילה בפועל ועל תנאי מלקבל או להחזיק רישיון נהיגה. המאשימה הדגישה בטיעוניה את הערכים המוגנים העומדים בבסיס העבירה, את סוג הסם שהחזיק הנאשם, כמותו המשמעותית, את ניסיונו להתחמק מניידות המשטרה שנסעו בעקבותיו ואת עברו הפלילי של הנאשם. המאשימה תמכה עמדתה בפסיקה. כן ביקשה המאשימה להורות על חילוט הרכב שבאמצעותו בוצעה העבירה. </w:t>
      </w:r>
    </w:p>
    <w:p w14:paraId="7CFDE9C0" w14:textId="77777777" w:rsidR="00BE1E5B" w:rsidRDefault="00BE1E5B" w:rsidP="00BE1E5B">
      <w:pPr>
        <w:pStyle w:val="a9"/>
        <w:spacing w:line="360" w:lineRule="auto"/>
        <w:jc w:val="both"/>
      </w:pPr>
    </w:p>
    <w:p w14:paraId="33FD6E7A" w14:textId="77777777" w:rsidR="00BE1E5B" w:rsidRDefault="00BE1E5B" w:rsidP="00BE1E5B">
      <w:pPr>
        <w:pStyle w:val="a9"/>
        <w:numPr>
          <w:ilvl w:val="0"/>
          <w:numId w:val="1"/>
        </w:numPr>
        <w:spacing w:line="360" w:lineRule="auto"/>
        <w:jc w:val="both"/>
      </w:pPr>
      <w:r>
        <w:rPr>
          <w:rFonts w:hint="cs"/>
          <w:rtl/>
        </w:rPr>
        <w:t xml:space="preserve">ב"כ הנאשם, שאף הוא תמך טיעוניו בפסיקה, ביקש לקבוע מתחם עונש הולם שבין חמישה-עשר לשלושים חודשי מאסר בפועל וביקש לגזור על הנאשם עונש שלא יעלה על עשרים חודשי מאסר בפועל וקנס. בטיעוניו הדגיש ב"כ הנאשם את נסיבותיו האישיות של הנאשם, שהוא נשוי ואב לתינוק ואת הודאתו במיוחס לו בכתב האישום המתוקן, חרף חסרונם של חומרי חקירה שהעיבו, לטענתו, על מארג הראיות בתיק. עוד נטען כי הסם נתפס בחבילה אחת, ללא שהיה מחולק למנות, וכי אין ראיה לכך שהנאשם התכוון לסחור בו. </w:t>
      </w:r>
    </w:p>
    <w:p w14:paraId="1C83FE63" w14:textId="77777777" w:rsidR="00BE1E5B" w:rsidRDefault="00BE1E5B" w:rsidP="00BE1E5B">
      <w:pPr>
        <w:pStyle w:val="a9"/>
        <w:spacing w:line="360" w:lineRule="auto"/>
        <w:jc w:val="both"/>
      </w:pPr>
    </w:p>
    <w:p w14:paraId="0EC2DB0F" w14:textId="77777777" w:rsidR="00BE1E5B" w:rsidRDefault="00BE1E5B" w:rsidP="00BE1E5B">
      <w:pPr>
        <w:pStyle w:val="a9"/>
        <w:numPr>
          <w:ilvl w:val="0"/>
          <w:numId w:val="1"/>
        </w:numPr>
        <w:spacing w:line="360" w:lineRule="auto"/>
        <w:jc w:val="both"/>
      </w:pPr>
      <w:r>
        <w:rPr>
          <w:rFonts w:hint="cs"/>
          <w:rtl/>
        </w:rPr>
        <w:t xml:space="preserve">הנאשם בדברו האחרון אמר שהוא מצטער על מעשיו. </w:t>
      </w:r>
    </w:p>
    <w:p w14:paraId="645A7FAD" w14:textId="77777777" w:rsidR="00BE1E5B" w:rsidRDefault="00BE1E5B" w:rsidP="00BE1E5B">
      <w:pPr>
        <w:pStyle w:val="a9"/>
        <w:rPr>
          <w:rtl/>
        </w:rPr>
      </w:pPr>
    </w:p>
    <w:p w14:paraId="7EE0F6A5" w14:textId="77777777" w:rsidR="00BE1E5B" w:rsidRPr="00E26D22" w:rsidRDefault="00BE1E5B" w:rsidP="00BE1E5B">
      <w:pPr>
        <w:pStyle w:val="a9"/>
        <w:numPr>
          <w:ilvl w:val="0"/>
          <w:numId w:val="1"/>
        </w:numPr>
        <w:spacing w:line="360" w:lineRule="auto"/>
        <w:jc w:val="both"/>
        <w:rPr>
          <w:rtl/>
        </w:rPr>
      </w:pPr>
      <w:r>
        <w:rPr>
          <w:rFonts w:hint="cs"/>
          <w:rtl/>
        </w:rPr>
        <w:t xml:space="preserve">לאחר שמיעת הטיעונים לעונש, הוגשו תצהירה של הגב' מונה סעדייה, אשת הנאשם, אשר טענה לבעלות ברכב, וכן תצהירו של אחיה, מר יוסף סעדייה, שנועד לתמוך בטענותיה. </w:t>
      </w:r>
    </w:p>
    <w:p w14:paraId="1763203D" w14:textId="77777777" w:rsidR="00BE1E5B" w:rsidRDefault="00BE1E5B" w:rsidP="00BE1E5B">
      <w:pPr>
        <w:spacing w:line="360" w:lineRule="auto"/>
        <w:jc w:val="both"/>
        <w:rPr>
          <w:b/>
          <w:bCs/>
          <w:u w:val="single"/>
          <w:rtl/>
        </w:rPr>
      </w:pPr>
    </w:p>
    <w:p w14:paraId="50D88738" w14:textId="77777777" w:rsidR="00BE1E5B" w:rsidRDefault="00BE1E5B" w:rsidP="00BE1E5B">
      <w:pPr>
        <w:spacing w:line="360" w:lineRule="auto"/>
        <w:jc w:val="both"/>
        <w:rPr>
          <w:b/>
          <w:bCs/>
          <w:u w:val="single"/>
          <w:rtl/>
        </w:rPr>
      </w:pPr>
    </w:p>
    <w:p w14:paraId="1DC85EFD" w14:textId="77777777" w:rsidR="00BE1E5B" w:rsidRPr="006F5BA6" w:rsidRDefault="00BE1E5B" w:rsidP="00BE1E5B">
      <w:pPr>
        <w:spacing w:line="360" w:lineRule="auto"/>
        <w:jc w:val="both"/>
        <w:rPr>
          <w:b/>
          <w:bCs/>
          <w:u w:val="single"/>
        </w:rPr>
      </w:pPr>
      <w:r w:rsidRPr="006F5BA6">
        <w:rPr>
          <w:rFonts w:hint="cs"/>
          <w:b/>
          <w:bCs/>
          <w:u w:val="single"/>
          <w:rtl/>
        </w:rPr>
        <w:t>מתחם העונש ההולם</w:t>
      </w:r>
    </w:p>
    <w:p w14:paraId="2AF0DC1D" w14:textId="77777777" w:rsidR="00BE1E5B" w:rsidRDefault="00BE1E5B" w:rsidP="00BE1E5B">
      <w:pPr>
        <w:pStyle w:val="a9"/>
        <w:numPr>
          <w:ilvl w:val="0"/>
          <w:numId w:val="1"/>
        </w:numPr>
        <w:spacing w:line="360" w:lineRule="auto"/>
        <w:jc w:val="both"/>
      </w:pPr>
      <w:r w:rsidRPr="00921430">
        <w:rPr>
          <w:rtl/>
        </w:rPr>
        <w:t xml:space="preserve">עבירות </w:t>
      </w:r>
      <w:r>
        <w:rPr>
          <w:rFonts w:hint="cs"/>
          <w:rtl/>
        </w:rPr>
        <w:t>ה</w:t>
      </w:r>
      <w:r w:rsidRPr="00921430">
        <w:rPr>
          <w:rtl/>
        </w:rPr>
        <w:t xml:space="preserve">סמים </w:t>
      </w:r>
      <w:r>
        <w:rPr>
          <w:rFonts w:hint="cs"/>
          <w:rtl/>
        </w:rPr>
        <w:t>נועדו להגן</w:t>
      </w:r>
      <w:r w:rsidRPr="00921430">
        <w:rPr>
          <w:rtl/>
        </w:rPr>
        <w:t xml:space="preserve"> על הציבור מפני הנזקים החברתיים</w:t>
      </w:r>
      <w:r>
        <w:rPr>
          <w:rFonts w:hint="cs"/>
          <w:rtl/>
        </w:rPr>
        <w:t>,</w:t>
      </w:r>
      <w:r w:rsidRPr="00921430">
        <w:rPr>
          <w:rtl/>
        </w:rPr>
        <w:t xml:space="preserve"> הישירים והעקיפים</w:t>
      </w:r>
      <w:r>
        <w:rPr>
          <w:rFonts w:hint="cs"/>
          <w:rtl/>
        </w:rPr>
        <w:t>,</w:t>
      </w:r>
      <w:r w:rsidRPr="00921430">
        <w:rPr>
          <w:rtl/>
        </w:rPr>
        <w:t xml:space="preserve"> הנגרמים כתוצאה משימוש בסמים מסוכנים, לרבות ביצוע עבירות נלוות על ידי אותם משתמשים בסמים, כדי לממן את צריכת הסם. השימוש בסמים אינו פוגע רק פגיעה פיזית ונפשית במשתמש עצמו</w:t>
      </w:r>
      <w:r>
        <w:rPr>
          <w:rFonts w:hint="cs"/>
          <w:rtl/>
        </w:rPr>
        <w:t>,</w:t>
      </w:r>
      <w:r w:rsidRPr="00921430">
        <w:rPr>
          <w:rtl/>
        </w:rPr>
        <w:t xml:space="preserve"> אלא גם בבני משפחתו, בסביבתו הקרובה, ולבסוף גם בחברה כולה. סמים המוחזקים שלא לצריכה עצמית מקימים חשש כבד להפצתם</w:t>
      </w:r>
      <w:r>
        <w:rPr>
          <w:rFonts w:hint="cs"/>
          <w:rtl/>
        </w:rPr>
        <w:t xml:space="preserve">, ושימוש בסמים </w:t>
      </w:r>
      <w:r>
        <w:rPr>
          <w:rFonts w:hint="cs"/>
          <w:rtl/>
        </w:rPr>
        <w:lastRenderedPageBreak/>
        <w:t>יוצר סכנה עקיפה הנובעת מן העובדה כי רבים מן המשתמשים נוהגים לבצע פעולות יומיומיות מסוכנות מטבען, כגון נהיגה ברכב או הפעלת ציוד הנדסי כבד, תחת השפעת הסם</w:t>
      </w:r>
      <w:r w:rsidRPr="00921430">
        <w:rPr>
          <w:rtl/>
        </w:rPr>
        <w:t>.</w:t>
      </w:r>
    </w:p>
    <w:p w14:paraId="753913F5" w14:textId="77777777" w:rsidR="00BE1E5B" w:rsidRPr="00F60BB1" w:rsidRDefault="00BE1E5B" w:rsidP="00BE1E5B">
      <w:pPr>
        <w:pStyle w:val="a9"/>
        <w:spacing w:line="360" w:lineRule="auto"/>
        <w:jc w:val="both"/>
      </w:pPr>
    </w:p>
    <w:p w14:paraId="29BF8C86" w14:textId="77777777" w:rsidR="00BE1E5B" w:rsidRDefault="00BE1E5B" w:rsidP="00BE1E5B">
      <w:pPr>
        <w:pStyle w:val="a9"/>
        <w:numPr>
          <w:ilvl w:val="0"/>
          <w:numId w:val="1"/>
        </w:numPr>
        <w:spacing w:line="360" w:lineRule="auto"/>
        <w:jc w:val="both"/>
      </w:pPr>
      <w:r>
        <w:rPr>
          <w:rFonts w:hint="cs"/>
          <w:rtl/>
        </w:rPr>
        <w:t xml:space="preserve">העבירה שביצע הנאשם הצריכה היערכות מוקדמת בדרך של הצטיידות בסם. בנוסף, </w:t>
      </w:r>
      <w:r w:rsidRPr="00921430">
        <w:rPr>
          <w:rtl/>
        </w:rPr>
        <w:t>מדובר בסם מסוכן מסוג קוקא</w:t>
      </w:r>
      <w:r>
        <w:rPr>
          <w:rtl/>
        </w:rPr>
        <w:t>ין הנחשב כ"סם קשה", שפגיעתו רבה</w:t>
      </w:r>
      <w:r>
        <w:rPr>
          <w:rFonts w:hint="cs"/>
          <w:rtl/>
        </w:rPr>
        <w:t xml:space="preserve">, וכמות הסם שהחזיק הנאשם היא גדולה ביותר- פי 163 </w:t>
      </w:r>
      <w:r w:rsidRPr="00921430">
        <w:rPr>
          <w:rtl/>
        </w:rPr>
        <w:t>מהכמות המקימה חזקה על פי החוק</w:t>
      </w:r>
      <w:r>
        <w:rPr>
          <w:rFonts w:hint="cs"/>
          <w:rtl/>
        </w:rPr>
        <w:t>,</w:t>
      </w:r>
      <w:r w:rsidRPr="00921430">
        <w:rPr>
          <w:rtl/>
        </w:rPr>
        <w:t xml:space="preserve"> </w:t>
      </w:r>
      <w:r>
        <w:rPr>
          <w:rFonts w:hint="cs"/>
          <w:rtl/>
        </w:rPr>
        <w:t>ש</w:t>
      </w:r>
      <w:r w:rsidRPr="00921430">
        <w:rPr>
          <w:rtl/>
        </w:rPr>
        <w:t>לפיה אין מדוב</w:t>
      </w:r>
      <w:r>
        <w:rPr>
          <w:rtl/>
        </w:rPr>
        <w:t>ר בסם שנועד לצריכה עצמית בלבד.</w:t>
      </w:r>
    </w:p>
    <w:p w14:paraId="347EC786" w14:textId="77777777" w:rsidR="00BE1E5B" w:rsidRDefault="00BE1E5B" w:rsidP="00BE1E5B">
      <w:pPr>
        <w:pStyle w:val="a9"/>
        <w:rPr>
          <w:rtl/>
        </w:rPr>
      </w:pPr>
    </w:p>
    <w:p w14:paraId="7EB92728" w14:textId="77777777" w:rsidR="00BE1E5B" w:rsidRDefault="00BE1E5B" w:rsidP="00BE1E5B">
      <w:pPr>
        <w:pStyle w:val="a9"/>
        <w:numPr>
          <w:ilvl w:val="0"/>
          <w:numId w:val="1"/>
        </w:numPr>
        <w:spacing w:line="360" w:lineRule="auto"/>
        <w:jc w:val="both"/>
      </w:pPr>
      <w:r w:rsidRPr="00921430">
        <w:rPr>
          <w:rtl/>
        </w:rPr>
        <w:t>הנזק שיכול היה להיגרם כתוצאה מביצוע העבירה בשים לב ל</w:t>
      </w:r>
      <w:r>
        <w:rPr>
          <w:rFonts w:hint="cs"/>
          <w:rtl/>
        </w:rPr>
        <w:t>סוג</w:t>
      </w:r>
      <w:r>
        <w:rPr>
          <w:rtl/>
        </w:rPr>
        <w:t xml:space="preserve"> הסמים וכמותם</w:t>
      </w:r>
      <w:r>
        <w:rPr>
          <w:rFonts w:hint="cs"/>
          <w:rtl/>
        </w:rPr>
        <w:t xml:space="preserve"> הוא גדול, ועלול היה לבוא לביטוי </w:t>
      </w:r>
      <w:r>
        <w:rPr>
          <w:rtl/>
        </w:rPr>
        <w:t xml:space="preserve"> </w:t>
      </w:r>
      <w:r>
        <w:rPr>
          <w:rFonts w:hint="cs"/>
          <w:rtl/>
        </w:rPr>
        <w:t>בדמות חשיפה של רבים לסם ופ</w:t>
      </w:r>
      <w:r w:rsidRPr="00921430">
        <w:rPr>
          <w:rtl/>
        </w:rPr>
        <w:t>גיעה במ</w:t>
      </w:r>
      <w:r>
        <w:rPr>
          <w:rFonts w:hint="cs"/>
          <w:rtl/>
        </w:rPr>
        <w:t>ש</w:t>
      </w:r>
      <w:r w:rsidRPr="00921430">
        <w:rPr>
          <w:rtl/>
        </w:rPr>
        <w:t>תמשים</w:t>
      </w:r>
      <w:r>
        <w:rPr>
          <w:rFonts w:hint="cs"/>
          <w:rtl/>
        </w:rPr>
        <w:t xml:space="preserve"> בו. למרבה המזל, </w:t>
      </w:r>
      <w:r w:rsidRPr="00921430">
        <w:rPr>
          <w:rtl/>
        </w:rPr>
        <w:t>בסופו של יום הסמים נתפסו והפצתם לאחרים נמנעה.</w:t>
      </w:r>
    </w:p>
    <w:p w14:paraId="202034AD" w14:textId="77777777" w:rsidR="00BE1E5B" w:rsidRDefault="00BE1E5B" w:rsidP="00BE1E5B">
      <w:pPr>
        <w:pStyle w:val="a9"/>
        <w:spacing w:line="360" w:lineRule="auto"/>
        <w:jc w:val="both"/>
        <w:rPr>
          <w:rtl/>
        </w:rPr>
      </w:pPr>
    </w:p>
    <w:p w14:paraId="0E91902A" w14:textId="77777777" w:rsidR="00BE1E5B" w:rsidRDefault="00BE1E5B" w:rsidP="00BE1E5B">
      <w:pPr>
        <w:pStyle w:val="a9"/>
        <w:numPr>
          <w:ilvl w:val="0"/>
          <w:numId w:val="1"/>
        </w:numPr>
        <w:spacing w:line="360" w:lineRule="auto"/>
        <w:jc w:val="both"/>
      </w:pPr>
      <w:r w:rsidRPr="00921430">
        <w:rPr>
          <w:rtl/>
        </w:rPr>
        <w:t>מצאתי את הפסיקה שלהלן כרלבנטית לקביעת מתחם</w:t>
      </w:r>
      <w:r>
        <w:rPr>
          <w:rFonts w:hint="cs"/>
          <w:rtl/>
        </w:rPr>
        <w:t xml:space="preserve"> העונש ההולם</w:t>
      </w:r>
      <w:r w:rsidRPr="00921430">
        <w:rPr>
          <w:rtl/>
        </w:rPr>
        <w:t>:</w:t>
      </w:r>
      <w:r w:rsidR="00292F22">
        <w:rPr>
          <w:rtl/>
        </w:rPr>
        <w:t xml:space="preserve"> </w:t>
      </w:r>
    </w:p>
    <w:p w14:paraId="01546165" w14:textId="77777777" w:rsidR="00BE1E5B" w:rsidRPr="00F85BB2" w:rsidRDefault="00BE1E5B" w:rsidP="00BE1E5B">
      <w:pPr>
        <w:pStyle w:val="a9"/>
        <w:spacing w:line="360" w:lineRule="auto"/>
        <w:jc w:val="both"/>
      </w:pPr>
      <w:r>
        <w:rPr>
          <w:rFonts w:hint="cs"/>
          <w:rtl/>
        </w:rPr>
        <w:t>ב</w:t>
      </w:r>
      <w:hyperlink r:id="rId12" w:history="1">
        <w:r w:rsidR="00292F22" w:rsidRPr="00292F22">
          <w:rPr>
            <w:color w:val="0000FF"/>
            <w:u w:val="single"/>
            <w:rtl/>
          </w:rPr>
          <w:t>ע"פ 8048/19</w:t>
        </w:r>
      </w:hyperlink>
      <w:r>
        <w:rPr>
          <w:rFonts w:hint="cs"/>
          <w:rtl/>
        </w:rPr>
        <w:t xml:space="preserve"> </w:t>
      </w:r>
      <w:r>
        <w:rPr>
          <w:rFonts w:hint="cs"/>
          <w:b/>
          <w:bCs/>
          <w:rtl/>
        </w:rPr>
        <w:t xml:space="preserve">פיצ'חזדה נ' מדינת ישראל </w:t>
      </w:r>
      <w:r>
        <w:rPr>
          <w:rFonts w:hint="cs"/>
          <w:rtl/>
        </w:rPr>
        <w:t xml:space="preserve">(פורסם בנבו 4.6.20) דחה בית המשפט העליון ערעור על גזר דינו של בית המשפט המחוזי שבו נגזרו על נאשם, שהורשע בהחזקת 55 גרם קוקאין שלא לצריכה עצמית, שמונה-עשר חודשי מאסר בפועל וענישה נלווית. עם זאת יוער כי באותו פסק דין, שהוגש על ידי ההגנה, חרג בית המשפט המחוזי לקולא ממתחם העונש ההולם את העבירה כפי שנקבע על ידו- בין שנתיים לשלוש וחצי שנות מאסר בפועל - וזאת מטעמי שיקום. </w:t>
      </w:r>
    </w:p>
    <w:p w14:paraId="1D2913C5" w14:textId="77777777" w:rsidR="00BE1E5B" w:rsidRPr="00D92304" w:rsidRDefault="00BE1E5B" w:rsidP="00BE1E5B">
      <w:pPr>
        <w:pStyle w:val="a9"/>
        <w:spacing w:line="360" w:lineRule="auto"/>
        <w:jc w:val="both"/>
        <w:rPr>
          <w:rtl/>
        </w:rPr>
      </w:pPr>
      <w:r>
        <w:rPr>
          <w:rFonts w:hint="cs"/>
          <w:rtl/>
        </w:rPr>
        <w:t>ב</w:t>
      </w:r>
      <w:hyperlink r:id="rId13" w:history="1">
        <w:r w:rsidR="00292F22" w:rsidRPr="00292F22">
          <w:rPr>
            <w:color w:val="0000FF"/>
            <w:u w:val="single"/>
            <w:rtl/>
          </w:rPr>
          <w:t>רע"פ 5112/18</w:t>
        </w:r>
      </w:hyperlink>
      <w:r>
        <w:rPr>
          <w:rFonts w:hint="cs"/>
          <w:rtl/>
        </w:rPr>
        <w:t xml:space="preserve"> </w:t>
      </w:r>
      <w:r>
        <w:rPr>
          <w:rFonts w:hint="cs"/>
          <w:b/>
          <w:bCs/>
          <w:rtl/>
        </w:rPr>
        <w:t xml:space="preserve">פנסו נ' מדינת ישראל </w:t>
      </w:r>
      <w:r>
        <w:rPr>
          <w:rFonts w:hint="cs"/>
          <w:rtl/>
        </w:rPr>
        <w:t xml:space="preserve">(פורסם בנבו 31.1.19) נדחתה בקשת רשות ערעור על פסק דינו של בית משפט המחוזי, שדחה את הערעור על גזר דינו של בית משפט השלום, שבו נגזרו על הנאשם שהורשע בעבירה של החזקת 50 גרם קוקאין, 38 חודשי מאסר בפועל לצד רכיבי ענישה נלווים. </w:t>
      </w:r>
    </w:p>
    <w:p w14:paraId="4BE82942" w14:textId="77777777" w:rsidR="00BE1E5B" w:rsidRPr="002C35FD" w:rsidRDefault="00BE1E5B" w:rsidP="00BE1E5B">
      <w:pPr>
        <w:pStyle w:val="a9"/>
        <w:spacing w:line="360" w:lineRule="auto"/>
        <w:jc w:val="both"/>
        <w:rPr>
          <w:rtl/>
        </w:rPr>
      </w:pPr>
      <w:r>
        <w:rPr>
          <w:rFonts w:hint="cs"/>
          <w:rtl/>
        </w:rPr>
        <w:t>ב</w:t>
      </w:r>
      <w:hyperlink r:id="rId14" w:history="1">
        <w:r w:rsidR="00292F22" w:rsidRPr="00292F22">
          <w:rPr>
            <w:color w:val="0000FF"/>
            <w:u w:val="single"/>
            <w:rtl/>
          </w:rPr>
          <w:t>רע"פ 894/16</w:t>
        </w:r>
      </w:hyperlink>
      <w:r>
        <w:rPr>
          <w:rFonts w:hint="cs"/>
          <w:rtl/>
        </w:rPr>
        <w:t xml:space="preserve"> </w:t>
      </w:r>
      <w:r>
        <w:rPr>
          <w:rFonts w:hint="cs"/>
          <w:b/>
          <w:bCs/>
          <w:rtl/>
        </w:rPr>
        <w:t xml:space="preserve">פרץ נ' מדינת ישראל </w:t>
      </w:r>
      <w:r>
        <w:rPr>
          <w:rFonts w:hint="cs"/>
          <w:rtl/>
        </w:rPr>
        <w:t xml:space="preserve"> (פורסם בנבו 10.2.16) דחה בית המשפט העליון בקשת רשות ערעור על פסק דינו של בית המשפט המחוזי, בו נדחה ערעור של המבקש על גזר דינו של בית משפט השלום, במסגרתו נגזרו עליו, לאחר שהורשע בהחזקת 31.05 גרם קוקאין,  חמישה- עשר חודשי מאסר בפועל, מאסר מותנה, התחייבות ופסילת רישיון נהיגה על תנאי. </w:t>
      </w:r>
    </w:p>
    <w:p w14:paraId="2483B344" w14:textId="77777777" w:rsidR="00BE1E5B" w:rsidRDefault="00BE1E5B" w:rsidP="00BE1E5B">
      <w:pPr>
        <w:pStyle w:val="a9"/>
        <w:spacing w:line="360" w:lineRule="auto"/>
        <w:jc w:val="both"/>
        <w:rPr>
          <w:rtl/>
        </w:rPr>
      </w:pPr>
      <w:r>
        <w:rPr>
          <w:rFonts w:hint="cs"/>
          <w:rtl/>
        </w:rPr>
        <w:t>ב</w:t>
      </w:r>
      <w:hyperlink r:id="rId15" w:history="1">
        <w:r w:rsidR="00292F22" w:rsidRPr="00292F22">
          <w:rPr>
            <w:color w:val="0000FF"/>
            <w:u w:val="single"/>
            <w:rtl/>
          </w:rPr>
          <w:t>רע"פ 1425/15</w:t>
        </w:r>
      </w:hyperlink>
      <w:r>
        <w:rPr>
          <w:rFonts w:hint="cs"/>
          <w:rtl/>
        </w:rPr>
        <w:t xml:space="preserve"> </w:t>
      </w:r>
      <w:r>
        <w:rPr>
          <w:rFonts w:hint="cs"/>
          <w:b/>
          <w:bCs/>
          <w:rtl/>
        </w:rPr>
        <w:t xml:space="preserve">טבול נ' מדינת ישראל </w:t>
      </w:r>
      <w:r>
        <w:rPr>
          <w:rFonts w:hint="cs"/>
          <w:rtl/>
        </w:rPr>
        <w:t>(פורסם בנבו 5.3.15) דחה בית המשפט העליון בקשת רשות ערעור על פסק דינו של בית המשפט המחוזי, בו התקבל ערעורה של המדינה ועונשו של המבקש, שהורשע בהחזקת 38.375 גרם קוקאין הועמד על שנים-עשר חודשי מאסר בפועל, מאסר מותנה וקנס.</w:t>
      </w:r>
    </w:p>
    <w:p w14:paraId="6B80F13F" w14:textId="77777777" w:rsidR="00BE1E5B" w:rsidRPr="007513B6" w:rsidRDefault="00BE1E5B" w:rsidP="00BE1E5B">
      <w:pPr>
        <w:pStyle w:val="a9"/>
        <w:spacing w:line="360" w:lineRule="auto"/>
        <w:jc w:val="both"/>
        <w:rPr>
          <w:rtl/>
        </w:rPr>
      </w:pPr>
      <w:r>
        <w:rPr>
          <w:rFonts w:hint="cs"/>
          <w:rtl/>
        </w:rPr>
        <w:t>ב</w:t>
      </w:r>
      <w:hyperlink r:id="rId16" w:history="1">
        <w:r w:rsidR="00292F22" w:rsidRPr="00292F22">
          <w:rPr>
            <w:color w:val="0000FF"/>
            <w:u w:val="single"/>
            <w:rtl/>
          </w:rPr>
          <w:t>ע"פ 1313/14</w:t>
        </w:r>
      </w:hyperlink>
      <w:r>
        <w:rPr>
          <w:rFonts w:hint="cs"/>
          <w:rtl/>
        </w:rPr>
        <w:t xml:space="preserve"> </w:t>
      </w:r>
      <w:r>
        <w:rPr>
          <w:rFonts w:hint="cs"/>
          <w:b/>
          <w:bCs/>
          <w:rtl/>
        </w:rPr>
        <w:t xml:space="preserve">בהתימי נ' מדינת ישראל </w:t>
      </w:r>
      <w:r>
        <w:rPr>
          <w:rFonts w:hint="cs"/>
          <w:rtl/>
        </w:rPr>
        <w:t xml:space="preserve"> (פורסם בנבו 9.6.15) דחה בית המשפט העליון ערעור על פסק דינו של בית המשפט המחוזי בו נגזרו על הנאשם, שהורשע בהחזקת כ-50 גרם קוקאין שלא לצריכה עצמית, 42 חודשי מאסר בפועל, מאסר מותנה וקנס, וכן הופעל עונש מאסר מותנה שעמד לחובתו. </w:t>
      </w:r>
    </w:p>
    <w:p w14:paraId="4CB3EAE8" w14:textId="77777777" w:rsidR="00BE1E5B" w:rsidRDefault="00BE1E5B" w:rsidP="00BE1E5B">
      <w:pPr>
        <w:pStyle w:val="a9"/>
        <w:spacing w:line="360" w:lineRule="auto"/>
        <w:jc w:val="both"/>
        <w:rPr>
          <w:rtl/>
        </w:rPr>
      </w:pPr>
      <w:r>
        <w:rPr>
          <w:rFonts w:hint="cs"/>
          <w:rtl/>
        </w:rPr>
        <w:t>ב</w:t>
      </w:r>
      <w:hyperlink r:id="rId17" w:history="1">
        <w:r w:rsidR="00292F22" w:rsidRPr="00292F22">
          <w:rPr>
            <w:color w:val="0000FF"/>
            <w:u w:val="single"/>
            <w:rtl/>
          </w:rPr>
          <w:t>רע"פ 5354/12</w:t>
        </w:r>
      </w:hyperlink>
      <w:r>
        <w:rPr>
          <w:rFonts w:hint="cs"/>
          <w:rtl/>
        </w:rPr>
        <w:t xml:space="preserve"> </w:t>
      </w:r>
      <w:r>
        <w:rPr>
          <w:rFonts w:hint="cs"/>
          <w:b/>
          <w:bCs/>
          <w:rtl/>
        </w:rPr>
        <w:t xml:space="preserve">קובר נ' מדינת ישראל </w:t>
      </w:r>
      <w:r>
        <w:rPr>
          <w:rFonts w:hint="cs"/>
          <w:rtl/>
        </w:rPr>
        <w:t xml:space="preserve">(פורסם בנבו 12.7.12) דחה בית המשפט העליון בקשת רשות ערעור על פסק דינו של בית המשפט המחוזי, שדחה את הערעור על גזר דינו של בית משפט השלום, שבו נגזרו 14 חודשי מאסר בפועל, מאסר מותנה, קנס ופסילה מלקבל או להחזיק רישיון נהיגה, על נאשם שהורשע בהחזקת 37.96 גרם קוקאין. </w:t>
      </w:r>
    </w:p>
    <w:p w14:paraId="2D47AB36" w14:textId="77777777" w:rsidR="00BE1E5B" w:rsidRPr="00921430" w:rsidRDefault="00BE1E5B" w:rsidP="00BE1E5B">
      <w:pPr>
        <w:pStyle w:val="a9"/>
        <w:spacing w:line="360" w:lineRule="auto"/>
        <w:jc w:val="both"/>
        <w:rPr>
          <w:rtl/>
        </w:rPr>
      </w:pPr>
    </w:p>
    <w:p w14:paraId="318003CB" w14:textId="77777777" w:rsidR="00BE1E5B" w:rsidRDefault="00BE1E5B" w:rsidP="00BE1E5B">
      <w:pPr>
        <w:pStyle w:val="a9"/>
        <w:numPr>
          <w:ilvl w:val="0"/>
          <w:numId w:val="1"/>
        </w:numPr>
        <w:spacing w:line="360" w:lineRule="auto"/>
        <w:jc w:val="both"/>
      </w:pPr>
      <w:r w:rsidRPr="00921430">
        <w:rPr>
          <w:rtl/>
        </w:rPr>
        <w:t xml:space="preserve">לנוכח האמור לעיל, מתחם העונש ההולם </w:t>
      </w:r>
      <w:r>
        <w:rPr>
          <w:rFonts w:hint="cs"/>
          <w:rtl/>
        </w:rPr>
        <w:t xml:space="preserve">את העבירה שביצע הנאשם הוא בין עשרים לארבעים חודשי מאסר בפועל, לצד מאסר מותנה, קנס ופסילה בפועל ועל תנאי מלקבל או להחזיק רישיון נהיגה. מתחם הקנס ההולם הוא בין 5,000 ל- 15,000 ₪. </w:t>
      </w:r>
    </w:p>
    <w:p w14:paraId="171E6009" w14:textId="77777777" w:rsidR="00BE1E5B" w:rsidRDefault="00BE1E5B" w:rsidP="00BE1E5B">
      <w:pPr>
        <w:pStyle w:val="a9"/>
        <w:rPr>
          <w:rtl/>
        </w:rPr>
      </w:pPr>
    </w:p>
    <w:p w14:paraId="0356F238" w14:textId="77777777" w:rsidR="00BE1E5B" w:rsidRDefault="00BE1E5B" w:rsidP="00BE1E5B">
      <w:pPr>
        <w:pStyle w:val="a9"/>
        <w:rPr>
          <w:rtl/>
        </w:rPr>
      </w:pPr>
    </w:p>
    <w:p w14:paraId="3997039E" w14:textId="77777777" w:rsidR="00BE1E5B" w:rsidRDefault="00BE1E5B" w:rsidP="00BE1E5B">
      <w:pPr>
        <w:pStyle w:val="a9"/>
        <w:rPr>
          <w:rtl/>
        </w:rPr>
      </w:pPr>
    </w:p>
    <w:p w14:paraId="7172A3DB" w14:textId="77777777" w:rsidR="00BE1E5B" w:rsidRPr="007B4087" w:rsidRDefault="00BE1E5B" w:rsidP="00BE1E5B">
      <w:pPr>
        <w:pStyle w:val="a9"/>
        <w:rPr>
          <w:rtl/>
        </w:rPr>
      </w:pPr>
    </w:p>
    <w:p w14:paraId="5604F222" w14:textId="77777777" w:rsidR="00BE1E5B" w:rsidRDefault="00BE1E5B" w:rsidP="00BE1E5B">
      <w:pPr>
        <w:pStyle w:val="a9"/>
        <w:spacing w:line="360" w:lineRule="auto"/>
        <w:jc w:val="both"/>
        <w:rPr>
          <w:rtl/>
        </w:rPr>
      </w:pPr>
    </w:p>
    <w:p w14:paraId="16C9D9A5" w14:textId="77777777" w:rsidR="00BE1E5B" w:rsidRPr="0014308B" w:rsidRDefault="00BE1E5B" w:rsidP="00BE1E5B">
      <w:pPr>
        <w:spacing w:line="360" w:lineRule="auto"/>
        <w:jc w:val="both"/>
        <w:rPr>
          <w:b/>
          <w:bCs/>
          <w:u w:val="single"/>
        </w:rPr>
      </w:pPr>
      <w:r w:rsidRPr="0014308B">
        <w:rPr>
          <w:rFonts w:hint="cs"/>
          <w:b/>
          <w:bCs/>
          <w:u w:val="single"/>
          <w:rtl/>
        </w:rPr>
        <w:t xml:space="preserve">העונש המתאים לנאשם </w:t>
      </w:r>
    </w:p>
    <w:p w14:paraId="58AF59DE" w14:textId="77777777" w:rsidR="00BE1E5B" w:rsidRDefault="00BE1E5B" w:rsidP="00BE1E5B">
      <w:pPr>
        <w:pStyle w:val="a9"/>
        <w:numPr>
          <w:ilvl w:val="0"/>
          <w:numId w:val="1"/>
        </w:numPr>
        <w:spacing w:line="360" w:lineRule="auto"/>
        <w:jc w:val="both"/>
      </w:pPr>
      <w:r>
        <w:rPr>
          <w:rFonts w:hint="cs"/>
          <w:rtl/>
        </w:rPr>
        <w:t xml:space="preserve">שקלתי לזכות הנאשם את הודאתו במיוחס לו, אשר היה בה משום קבלת אחריות על המעשים וחסכון בזמן שיפוטי. </w:t>
      </w:r>
    </w:p>
    <w:p w14:paraId="5A178C10" w14:textId="77777777" w:rsidR="00BE1E5B" w:rsidRDefault="00BE1E5B" w:rsidP="00BE1E5B">
      <w:pPr>
        <w:pStyle w:val="a9"/>
        <w:spacing w:line="360" w:lineRule="auto"/>
        <w:jc w:val="both"/>
      </w:pPr>
    </w:p>
    <w:p w14:paraId="546529AA" w14:textId="77777777" w:rsidR="00BE1E5B" w:rsidRDefault="00BE1E5B" w:rsidP="00BE1E5B">
      <w:pPr>
        <w:pStyle w:val="a9"/>
        <w:numPr>
          <w:ilvl w:val="0"/>
          <w:numId w:val="1"/>
        </w:numPr>
        <w:spacing w:line="360" w:lineRule="auto"/>
        <w:jc w:val="both"/>
      </w:pPr>
      <w:r>
        <w:rPr>
          <w:rFonts w:hint="cs"/>
          <w:rtl/>
        </w:rPr>
        <w:t xml:space="preserve">הנאשם בן 28. חרף גילו הצעיר עומדת לחובתו הרשעה קודמת בשתי עבירות סחר בסמים, עבירת ניסיון סחר בסמים ועבירת החזקת סמים שלא לצריכה עצמית, והוא נידון בגינן לעונש מאסר בן 19 חודשים. העובדה כי הנאשם חזר וביצע עבירת סמים חמורה  גם לאחר שהתנהל נגדו הליך פלילי וגם  לאחר שנידון למאסר, מלמדת על כישלון ההרתעה של הענישה הקודמת, ולפיכך, על צורך בענישה מחמירה יותר, בפרט כאשר לא עומדים על הפרק הליך טיפולי או שיקולי שיקום. </w:t>
      </w:r>
    </w:p>
    <w:p w14:paraId="47FC2F28" w14:textId="77777777" w:rsidR="00BE1E5B" w:rsidRDefault="00BE1E5B" w:rsidP="00BE1E5B">
      <w:pPr>
        <w:pStyle w:val="a9"/>
        <w:spacing w:line="360" w:lineRule="auto"/>
        <w:jc w:val="both"/>
      </w:pPr>
    </w:p>
    <w:p w14:paraId="30A9E78D" w14:textId="77777777" w:rsidR="00BE1E5B" w:rsidRDefault="00BE1E5B" w:rsidP="00BE1E5B">
      <w:pPr>
        <w:pStyle w:val="a9"/>
        <w:numPr>
          <w:ilvl w:val="0"/>
          <w:numId w:val="1"/>
        </w:numPr>
        <w:spacing w:line="360" w:lineRule="auto"/>
        <w:jc w:val="both"/>
      </w:pPr>
      <w:r>
        <w:rPr>
          <w:rFonts w:hint="cs"/>
          <w:rtl/>
        </w:rPr>
        <w:t xml:space="preserve">בעניינו של הנאשם לא התקבל תסקיר מבחן, לא נבחנו מידת ועומק השימוש של הנאשם בסמים וממילא אין מידע האם הסחר בסמים בתיק הקודם, והחזקת הסמים בתיק הנוכחי מלמדים גם על דפוס של שימוש והתמכרות לסמים. בנסיבות אלה, מובן כי לא ניתן להתייחס לטיפול או שיקום שיצדיקו חריגה ממתחם העונש ההולם או הקלה כלשהי עם הנאשם מטעמים אלה. בנוסף, יש לקדם את הסכנה הנשקפת ממי ששולח ידו בעיסוק בסמים קשים ומסוכנים שוב ושוב, הן בדרך של הרחקה מן החברה, הן בדרך של פסילה מלקבל או להחזיק רישיון נהיגה.  </w:t>
      </w:r>
    </w:p>
    <w:p w14:paraId="0124D3C9" w14:textId="77777777" w:rsidR="00BE1E5B" w:rsidRPr="003A1B3F" w:rsidRDefault="00BE1E5B" w:rsidP="00BE1E5B">
      <w:pPr>
        <w:pStyle w:val="a9"/>
        <w:spacing w:line="360" w:lineRule="auto"/>
        <w:jc w:val="both"/>
      </w:pPr>
    </w:p>
    <w:p w14:paraId="7CDD6509" w14:textId="77777777" w:rsidR="00BE1E5B" w:rsidRDefault="00BE1E5B" w:rsidP="00BE1E5B">
      <w:pPr>
        <w:pStyle w:val="a9"/>
        <w:numPr>
          <w:ilvl w:val="0"/>
          <w:numId w:val="1"/>
        </w:numPr>
        <w:spacing w:line="360" w:lineRule="auto"/>
        <w:jc w:val="both"/>
      </w:pPr>
      <w:r>
        <w:rPr>
          <w:rFonts w:hint="cs"/>
          <w:rtl/>
        </w:rPr>
        <w:t xml:space="preserve">מכלול הנסיבות שאינן קשורות לביצוע העבירה מוביל למסקנה כי יש לגזור על הנאשם עונש המצוי בחלקו האמצעי של  מתחם העונש ההולם. </w:t>
      </w:r>
    </w:p>
    <w:p w14:paraId="547A121D" w14:textId="77777777" w:rsidR="00BE1E5B" w:rsidRDefault="00BE1E5B" w:rsidP="00BE1E5B">
      <w:pPr>
        <w:pStyle w:val="a9"/>
        <w:spacing w:line="360" w:lineRule="auto"/>
        <w:jc w:val="both"/>
        <w:rPr>
          <w:rtl/>
        </w:rPr>
      </w:pPr>
      <w:r>
        <w:rPr>
          <w:rFonts w:hint="cs"/>
          <w:rtl/>
        </w:rPr>
        <w:t xml:space="preserve">אני ערה לעמדתה של המאשימה, אשר ביקשה לגזור על הנאשם עונש המצוי בתחתית המתחם שהציעה. עם זאת, לנאשם יש עבר פלילי רלבנטי מהשנים האחרונות, לא קיימים בעניינו שיקולי שיקום או טיפול, ועל כן לא ניתן למקם את עונשו, בשום אופן, בתחתית מתחם העונש ההולם. אעיר כי גם המאשימה עצמה התקשתה לנמק עמדתה זו, וכל שהיה בידי ב"כ המאשימה לומר במענה לשאלת מיקומו של הנאשם במתחם הוא - כי מדובר ב"שיקול הדעת של המאשימה". את זאת לא ניתן לקבל גם בהתקיים חזקת התקינות המנהלית. גם כאשר נערך הסדר טיעון ובו ניתנות הקלות כאלה או אחרות לנאשם, על הצדדים לנמק את ההסדר ואת ההקלות, ועל בית המשפט להשתכנע כי הקלות אלה אמנם מוצדקות. במקרה דנן לא הוצג כל נימוק, וממילא לא כזה שיש בו כדי להניח את הדעת, לבקשה לגזור את עונשו של הנאשם בתחתית מתחם העונש ההולם. מכל מקום, גם עונש המצוי בחלקו האמצעי של המתחם, נופל מן העונש שביקשה המאשימה לגזור בסופו של יום על הנאשם, כך שאין בכך משום חריגה מהסדר הטיעון. </w:t>
      </w:r>
    </w:p>
    <w:p w14:paraId="6A15D40D" w14:textId="77777777" w:rsidR="00BE1E5B" w:rsidRDefault="00BE1E5B" w:rsidP="00BE1E5B">
      <w:pPr>
        <w:pStyle w:val="a9"/>
        <w:spacing w:line="360" w:lineRule="auto"/>
        <w:jc w:val="both"/>
      </w:pPr>
    </w:p>
    <w:p w14:paraId="6274D7AE" w14:textId="77777777" w:rsidR="00BE1E5B" w:rsidRDefault="00BE1E5B" w:rsidP="00BE1E5B">
      <w:pPr>
        <w:pStyle w:val="a9"/>
        <w:numPr>
          <w:ilvl w:val="0"/>
          <w:numId w:val="1"/>
        </w:numPr>
        <w:spacing w:line="360" w:lineRule="auto"/>
        <w:jc w:val="both"/>
      </w:pPr>
      <w:r>
        <w:rPr>
          <w:rFonts w:hint="cs"/>
          <w:rtl/>
        </w:rPr>
        <w:t xml:space="preserve">בקביעת גובה הקנס שאגזור על הנאשם, התחשבתי גם בבקשה לחילוט הרכב, ובתוצאה שאליה הגעתי בעניין זה, כפי שתפורט בהמשך. </w:t>
      </w:r>
    </w:p>
    <w:p w14:paraId="378309B3" w14:textId="77777777" w:rsidR="00BE1E5B" w:rsidRDefault="00BE1E5B" w:rsidP="00BE1E5B">
      <w:pPr>
        <w:pStyle w:val="a9"/>
        <w:spacing w:line="360" w:lineRule="auto"/>
        <w:jc w:val="both"/>
      </w:pPr>
    </w:p>
    <w:p w14:paraId="3917E98D" w14:textId="77777777" w:rsidR="00BE1E5B" w:rsidRDefault="00BE1E5B" w:rsidP="00BE1E5B">
      <w:pPr>
        <w:pStyle w:val="a9"/>
        <w:numPr>
          <w:ilvl w:val="0"/>
          <w:numId w:val="1"/>
        </w:numPr>
        <w:spacing w:line="360" w:lineRule="auto"/>
        <w:jc w:val="both"/>
      </w:pPr>
      <w:r>
        <w:rPr>
          <w:rFonts w:hint="cs"/>
          <w:rtl/>
        </w:rPr>
        <w:t>אני גוזרת על הנאשם את העונשים הבאים:</w:t>
      </w:r>
    </w:p>
    <w:p w14:paraId="656791AC" w14:textId="77777777" w:rsidR="00BE1E5B" w:rsidRPr="002763EC" w:rsidRDefault="00BE1E5B" w:rsidP="00BE1E5B">
      <w:pPr>
        <w:pStyle w:val="a9"/>
        <w:spacing w:line="360" w:lineRule="auto"/>
        <w:jc w:val="both"/>
        <w:rPr>
          <w:rtl/>
        </w:rPr>
      </w:pPr>
    </w:p>
    <w:p w14:paraId="514C7050" w14:textId="77777777" w:rsidR="00BE1E5B" w:rsidRDefault="00BE1E5B" w:rsidP="00BE1E5B">
      <w:pPr>
        <w:spacing w:line="360" w:lineRule="auto"/>
        <w:ind w:firstLine="720"/>
        <w:jc w:val="both"/>
        <w:rPr>
          <w:rtl/>
        </w:rPr>
      </w:pPr>
      <w:r>
        <w:rPr>
          <w:rFonts w:hint="cs"/>
          <w:rtl/>
        </w:rPr>
        <w:t>א.</w:t>
      </w:r>
      <w:r>
        <w:rPr>
          <w:rFonts w:hint="cs"/>
          <w:rtl/>
        </w:rPr>
        <w:tab/>
        <w:t xml:space="preserve">עשרים ושבעה חודשי מאסר בפועל שימנו מיום מעצרו 17.9.21. </w:t>
      </w:r>
    </w:p>
    <w:p w14:paraId="7C7D9E6D" w14:textId="77777777" w:rsidR="00BE1E5B" w:rsidRDefault="00BE1E5B" w:rsidP="00BE1E5B">
      <w:pPr>
        <w:spacing w:line="360" w:lineRule="auto"/>
        <w:jc w:val="both"/>
        <w:rPr>
          <w:rtl/>
        </w:rPr>
      </w:pPr>
      <w:r>
        <w:rPr>
          <w:rFonts w:hint="cs"/>
          <w:rtl/>
        </w:rPr>
        <w:t xml:space="preserve"> </w:t>
      </w:r>
    </w:p>
    <w:p w14:paraId="7A33B4FA" w14:textId="77777777" w:rsidR="00BE1E5B" w:rsidRDefault="00BE1E5B" w:rsidP="00BE1E5B">
      <w:pPr>
        <w:spacing w:line="360" w:lineRule="auto"/>
        <w:ind w:left="1440" w:hanging="720"/>
        <w:jc w:val="both"/>
        <w:rPr>
          <w:rtl/>
        </w:rPr>
      </w:pPr>
      <w:r>
        <w:rPr>
          <w:rFonts w:hint="cs"/>
          <w:rtl/>
        </w:rPr>
        <w:t>ב.</w:t>
      </w:r>
      <w:r>
        <w:rPr>
          <w:rFonts w:hint="cs"/>
          <w:rtl/>
        </w:rPr>
        <w:tab/>
        <w:t xml:space="preserve">תשעה חודשי מאסר על תנאי למשך שלוש שנים מיום שחרורו ממאסר שלא יעבור עבירה לפי </w:t>
      </w:r>
      <w:hyperlink r:id="rId18" w:history="1">
        <w:r w:rsidR="00292F22" w:rsidRPr="00292F22">
          <w:rPr>
            <w:color w:val="0000FF"/>
            <w:u w:val="single"/>
            <w:rtl/>
          </w:rPr>
          <w:t>פקודת הסמים המסוכנים</w:t>
        </w:r>
      </w:hyperlink>
      <w:r>
        <w:rPr>
          <w:rFonts w:hint="cs"/>
          <w:rtl/>
        </w:rPr>
        <w:t xml:space="preserve"> [נוסח חדש] התשל"ג- 1973, למעט החזקת סמים לצריכה עצמית וכלים.</w:t>
      </w:r>
    </w:p>
    <w:p w14:paraId="2CB2E4EA" w14:textId="77777777" w:rsidR="00BE1E5B" w:rsidRDefault="00BE1E5B" w:rsidP="00BE1E5B">
      <w:pPr>
        <w:spacing w:line="360" w:lineRule="auto"/>
        <w:jc w:val="both"/>
        <w:rPr>
          <w:rtl/>
        </w:rPr>
      </w:pPr>
      <w:r>
        <w:rPr>
          <w:rFonts w:hint="cs"/>
          <w:rtl/>
        </w:rPr>
        <w:t xml:space="preserve"> </w:t>
      </w:r>
    </w:p>
    <w:p w14:paraId="6604B5DA" w14:textId="77777777" w:rsidR="00BE1E5B" w:rsidRDefault="00BE1E5B" w:rsidP="00BE1E5B">
      <w:pPr>
        <w:spacing w:line="360" w:lineRule="auto"/>
        <w:ind w:left="1440" w:hanging="720"/>
        <w:jc w:val="both"/>
        <w:rPr>
          <w:rtl/>
        </w:rPr>
      </w:pPr>
      <w:r>
        <w:rPr>
          <w:rFonts w:hint="cs"/>
          <w:rtl/>
        </w:rPr>
        <w:t>ג.</w:t>
      </w:r>
      <w:r>
        <w:rPr>
          <w:rFonts w:hint="cs"/>
          <w:rtl/>
        </w:rPr>
        <w:tab/>
        <w:t>קנס בסך 6,000 ₪ או 60 ימי מאסר תמורתו. הקנס ישולם בארבעה תשלומים חודשיים שווים ורצופים הראשון עד ליום 2.5.21 והבאים עד ל-1 בכל חודש עוקב. לא ישולם איזה מהתשלומים במועדו, תעמוד מלוא יתרת הקנס לפירעון מיידי.</w:t>
      </w:r>
    </w:p>
    <w:p w14:paraId="5DC16C05" w14:textId="77777777" w:rsidR="00BE1E5B" w:rsidRDefault="00BE1E5B" w:rsidP="00BE1E5B">
      <w:pPr>
        <w:spacing w:line="360" w:lineRule="auto"/>
        <w:jc w:val="both"/>
        <w:rPr>
          <w:rtl/>
        </w:rPr>
      </w:pPr>
    </w:p>
    <w:p w14:paraId="6059F75F" w14:textId="77777777" w:rsidR="00BE1E5B" w:rsidRDefault="00BE1E5B" w:rsidP="00BE1E5B">
      <w:pPr>
        <w:spacing w:line="360" w:lineRule="auto"/>
        <w:ind w:left="1440" w:hanging="720"/>
        <w:jc w:val="both"/>
        <w:rPr>
          <w:rtl/>
        </w:rPr>
      </w:pPr>
      <w:r>
        <w:rPr>
          <w:rFonts w:hint="cs"/>
          <w:rtl/>
        </w:rPr>
        <w:t>ד.</w:t>
      </w:r>
      <w:r>
        <w:rPr>
          <w:rFonts w:hint="cs"/>
          <w:rtl/>
        </w:rPr>
        <w:tab/>
        <w:t xml:space="preserve">פסילה מלקבל או להחזיק רישיון נהיגה למשך תשעה חודשים מיום שחרורו ממאסר. </w:t>
      </w:r>
    </w:p>
    <w:p w14:paraId="7673E581" w14:textId="77777777" w:rsidR="00BE1E5B" w:rsidRDefault="00BE1E5B" w:rsidP="00BE1E5B">
      <w:pPr>
        <w:spacing w:line="360" w:lineRule="auto"/>
        <w:ind w:left="1440" w:hanging="720"/>
        <w:jc w:val="both"/>
        <w:rPr>
          <w:rtl/>
        </w:rPr>
      </w:pPr>
    </w:p>
    <w:p w14:paraId="57387894" w14:textId="77777777" w:rsidR="00BE1E5B" w:rsidRDefault="00BE1E5B" w:rsidP="00BE1E5B">
      <w:pPr>
        <w:spacing w:line="360" w:lineRule="auto"/>
        <w:ind w:left="1440" w:hanging="720"/>
        <w:jc w:val="both"/>
        <w:rPr>
          <w:rtl/>
        </w:rPr>
      </w:pPr>
    </w:p>
    <w:p w14:paraId="2C76A334" w14:textId="77777777" w:rsidR="00BE1E5B" w:rsidRPr="0028378B" w:rsidRDefault="00BE1E5B" w:rsidP="00BE1E5B">
      <w:pPr>
        <w:spacing w:line="360" w:lineRule="auto"/>
        <w:jc w:val="both"/>
        <w:rPr>
          <w:b/>
          <w:bCs/>
          <w:u w:val="single"/>
        </w:rPr>
      </w:pPr>
      <w:r w:rsidRPr="0028378B">
        <w:rPr>
          <w:rFonts w:hint="cs"/>
          <w:b/>
          <w:bCs/>
          <w:u w:val="single"/>
          <w:rtl/>
        </w:rPr>
        <w:t>סוגית חילוט הרכב</w:t>
      </w:r>
    </w:p>
    <w:p w14:paraId="5E5FC8C5" w14:textId="77777777" w:rsidR="00BE1E5B" w:rsidRDefault="00BE1E5B" w:rsidP="00BE1E5B">
      <w:pPr>
        <w:pStyle w:val="a9"/>
        <w:numPr>
          <w:ilvl w:val="0"/>
          <w:numId w:val="1"/>
        </w:numPr>
        <w:spacing w:line="360" w:lineRule="auto"/>
        <w:jc w:val="both"/>
      </w:pPr>
      <w:r w:rsidRPr="006313FE">
        <w:rPr>
          <w:rFonts w:hint="cs"/>
          <w:rtl/>
        </w:rPr>
        <w:t xml:space="preserve">במסגרת החלטה משלימה להכרעת הדין, הוכרז הנאשם כ"סוחר סמים". </w:t>
      </w:r>
    </w:p>
    <w:p w14:paraId="1BA62754" w14:textId="77777777" w:rsidR="00BE1E5B" w:rsidRDefault="00BE1E5B" w:rsidP="00BE1E5B">
      <w:pPr>
        <w:pStyle w:val="a9"/>
        <w:spacing w:line="360" w:lineRule="auto"/>
        <w:jc w:val="both"/>
      </w:pPr>
      <w:r>
        <w:rPr>
          <w:rFonts w:hint="cs"/>
          <w:rtl/>
        </w:rPr>
        <w:t xml:space="preserve">המאשימה ביקשה לחלט את הרכב שבתוכו הוחזקו הסמים. בקשת החילוט נשענת גם על </w:t>
      </w:r>
      <w:hyperlink r:id="rId19" w:history="1">
        <w:r w:rsidR="00FD66C6" w:rsidRPr="00FD66C6">
          <w:rPr>
            <w:rStyle w:val="Hyperlink"/>
            <w:rFonts w:hint="eastAsia"/>
            <w:rtl/>
          </w:rPr>
          <w:t>סעיף</w:t>
        </w:r>
        <w:r w:rsidR="00FD66C6" w:rsidRPr="00FD66C6">
          <w:rPr>
            <w:rStyle w:val="Hyperlink"/>
            <w:rtl/>
          </w:rPr>
          <w:t xml:space="preserve"> 39</w:t>
        </w:r>
      </w:hyperlink>
      <w:r>
        <w:rPr>
          <w:rFonts w:hint="cs"/>
          <w:rtl/>
        </w:rPr>
        <w:t xml:space="preserve"> ל</w:t>
      </w:r>
      <w:hyperlink r:id="rId20" w:history="1">
        <w:r w:rsidR="00292F22" w:rsidRPr="00292F22">
          <w:rPr>
            <w:color w:val="0000FF"/>
            <w:u w:val="single"/>
            <w:rtl/>
          </w:rPr>
          <w:t>פקודת סדר הדין הפלילי (מעצר וחיפוש)</w:t>
        </w:r>
      </w:hyperlink>
      <w:r>
        <w:rPr>
          <w:rFonts w:hint="cs"/>
          <w:rtl/>
        </w:rPr>
        <w:t xml:space="preserve"> [נוסח חדש] התשכ"ט </w:t>
      </w:r>
      <w:r>
        <w:rPr>
          <w:rtl/>
        </w:rPr>
        <w:t>–</w:t>
      </w:r>
      <w:r>
        <w:rPr>
          <w:rFonts w:hint="cs"/>
          <w:rtl/>
        </w:rPr>
        <w:t xml:space="preserve"> 1969, שאינה מחייבת הגשת בקשה בכתב, וגם על </w:t>
      </w:r>
      <w:hyperlink r:id="rId21" w:history="1">
        <w:r w:rsidR="00FD66C6" w:rsidRPr="00FD66C6">
          <w:rPr>
            <w:rStyle w:val="Hyperlink"/>
            <w:rFonts w:hint="eastAsia"/>
            <w:rtl/>
          </w:rPr>
          <w:t>סעיף</w:t>
        </w:r>
        <w:r w:rsidR="00FD66C6" w:rsidRPr="00FD66C6">
          <w:rPr>
            <w:rStyle w:val="Hyperlink"/>
            <w:rtl/>
          </w:rPr>
          <w:t xml:space="preserve"> 36א(א)</w:t>
        </w:r>
      </w:hyperlink>
      <w:r>
        <w:rPr>
          <w:rFonts w:hint="cs"/>
          <w:rtl/>
        </w:rPr>
        <w:t xml:space="preserve"> ל</w:t>
      </w:r>
      <w:hyperlink r:id="rId22" w:history="1">
        <w:r w:rsidR="00292F22" w:rsidRPr="00292F22">
          <w:rPr>
            <w:color w:val="0000FF"/>
            <w:u w:val="single"/>
            <w:rtl/>
          </w:rPr>
          <w:t>פקודת הסמים המסוכנים</w:t>
        </w:r>
      </w:hyperlink>
      <w:r>
        <w:rPr>
          <w:rFonts w:hint="cs"/>
          <w:rtl/>
        </w:rPr>
        <w:t xml:space="preserve"> [נוסח חדש] התשל"ג- 1973. בהתאם להוראות </w:t>
      </w:r>
      <w:hyperlink r:id="rId23" w:history="1">
        <w:r w:rsidR="00FD66C6" w:rsidRPr="00FD66C6">
          <w:rPr>
            <w:rStyle w:val="Hyperlink"/>
            <w:rFonts w:hint="eastAsia"/>
            <w:rtl/>
          </w:rPr>
          <w:t>סעיף</w:t>
        </w:r>
        <w:r w:rsidR="00FD66C6" w:rsidRPr="00FD66C6">
          <w:rPr>
            <w:rStyle w:val="Hyperlink"/>
            <w:rtl/>
          </w:rPr>
          <w:t xml:space="preserve"> 36א(ה)</w:t>
        </w:r>
      </w:hyperlink>
      <w:r>
        <w:rPr>
          <w:rFonts w:hint="cs"/>
          <w:rtl/>
        </w:rPr>
        <w:t xml:space="preserve"> ל</w:t>
      </w:r>
      <w:hyperlink r:id="rId24" w:history="1">
        <w:r w:rsidR="00292F22" w:rsidRPr="00292F22">
          <w:rPr>
            <w:color w:val="0000FF"/>
            <w:u w:val="single"/>
            <w:rtl/>
          </w:rPr>
          <w:t>פקודת הסמים המסוכנים</w:t>
        </w:r>
      </w:hyperlink>
      <w:r>
        <w:rPr>
          <w:rFonts w:hint="cs"/>
          <w:rtl/>
        </w:rPr>
        <w:t xml:space="preserve">, בקשת חילוט לפי דבר חקיקה זה מחייבת ציונה בכתב מראש במסגרת כתב האישום, ובקשה כאמור אמנם נכללה בכתב האישום המתוקן במסגרת הסדר הטיעון. </w:t>
      </w:r>
    </w:p>
    <w:p w14:paraId="503F7B5C" w14:textId="77777777" w:rsidR="00BE1E5B" w:rsidRDefault="00BE1E5B" w:rsidP="00BE1E5B">
      <w:pPr>
        <w:pStyle w:val="a9"/>
        <w:spacing w:line="360" w:lineRule="auto"/>
        <w:jc w:val="both"/>
      </w:pPr>
    </w:p>
    <w:p w14:paraId="2E6C5AF4" w14:textId="77777777" w:rsidR="00BE1E5B" w:rsidRDefault="00BE1E5B" w:rsidP="00BE1E5B">
      <w:pPr>
        <w:pStyle w:val="a9"/>
        <w:numPr>
          <w:ilvl w:val="0"/>
          <w:numId w:val="1"/>
        </w:numPr>
        <w:spacing w:line="360" w:lineRule="auto"/>
        <w:jc w:val="both"/>
      </w:pPr>
      <w:r>
        <w:rPr>
          <w:rFonts w:hint="cs"/>
          <w:rtl/>
        </w:rPr>
        <w:t xml:space="preserve">מאחר ואין חולק כי הסמים הוחזקו בתוך הרכב וכי הרכב שימש לביצוע העבירה, הרי שקמה סמכות חילוט לפי שני דברי החקיקה הנ"ל. </w:t>
      </w:r>
    </w:p>
    <w:p w14:paraId="0DEA1703" w14:textId="77777777" w:rsidR="00BE1E5B" w:rsidRDefault="00BE1E5B" w:rsidP="00BE1E5B">
      <w:pPr>
        <w:pStyle w:val="a9"/>
        <w:spacing w:line="360" w:lineRule="auto"/>
        <w:jc w:val="both"/>
      </w:pPr>
    </w:p>
    <w:p w14:paraId="688195CB" w14:textId="77777777" w:rsidR="00BE1E5B" w:rsidRDefault="00BE1E5B" w:rsidP="00BE1E5B">
      <w:pPr>
        <w:pStyle w:val="a9"/>
        <w:numPr>
          <w:ilvl w:val="0"/>
          <w:numId w:val="1"/>
        </w:numPr>
        <w:spacing w:line="360" w:lineRule="auto"/>
        <w:jc w:val="both"/>
      </w:pPr>
      <w:r>
        <w:rPr>
          <w:rFonts w:hint="cs"/>
          <w:rtl/>
        </w:rPr>
        <w:t xml:space="preserve">אשת הנאשם ואחיה הגישו תצהירים ובהם טענו לזכות ברכב. הם נחקרו בבית המשפט על תצהיריהם, ובנוסף הוגשו מטעם המאשימה הודעותיו של הנאשם במשטרה, ובהן התייחסותו לרכב, לבעלות ולשימוש בו. </w:t>
      </w:r>
    </w:p>
    <w:p w14:paraId="4E5C866E" w14:textId="77777777" w:rsidR="00BE1E5B" w:rsidRDefault="00BE1E5B" w:rsidP="00BE1E5B">
      <w:pPr>
        <w:pStyle w:val="a9"/>
        <w:spacing w:line="360" w:lineRule="auto"/>
        <w:jc w:val="both"/>
      </w:pPr>
    </w:p>
    <w:p w14:paraId="4E9E0333" w14:textId="77777777" w:rsidR="00BE1E5B" w:rsidRDefault="00BE1E5B" w:rsidP="00BE1E5B">
      <w:pPr>
        <w:pStyle w:val="a9"/>
        <w:numPr>
          <w:ilvl w:val="0"/>
          <w:numId w:val="1"/>
        </w:numPr>
        <w:spacing w:line="360" w:lineRule="auto"/>
        <w:jc w:val="both"/>
      </w:pPr>
      <w:r>
        <w:rPr>
          <w:rFonts w:hint="cs"/>
          <w:rtl/>
        </w:rPr>
        <w:t xml:space="preserve">אשת הנאשם אמנם רשומה כבעלים הפורמלי של הרכב, ואולם הכלל המכריע בסוגיית החילוט הוא לא הבעלות הפורמאלית כי אם הבעלות המהותית (ראו </w:t>
      </w:r>
      <w:hyperlink r:id="rId25" w:history="1">
        <w:r w:rsidR="00292F22" w:rsidRPr="00292F22">
          <w:rPr>
            <w:color w:val="0000FF"/>
            <w:u w:val="single"/>
            <w:rtl/>
          </w:rPr>
          <w:t>ע"פ 1000/15</w:t>
        </w:r>
      </w:hyperlink>
      <w:r>
        <w:rPr>
          <w:rFonts w:hint="cs"/>
          <w:rtl/>
        </w:rPr>
        <w:t xml:space="preserve"> </w:t>
      </w:r>
      <w:r>
        <w:rPr>
          <w:rFonts w:hint="cs"/>
          <w:b/>
          <w:bCs/>
          <w:rtl/>
        </w:rPr>
        <w:t xml:space="preserve">אבו אלחוואה נ' מדינת ישראל </w:t>
      </w:r>
      <w:r>
        <w:rPr>
          <w:rFonts w:hint="cs"/>
          <w:rtl/>
        </w:rPr>
        <w:t xml:space="preserve">(פורסם בנבו 3.7.15).  </w:t>
      </w:r>
    </w:p>
    <w:p w14:paraId="1EEDA22E" w14:textId="77777777" w:rsidR="00BE1E5B" w:rsidRPr="00CC1602" w:rsidRDefault="00BE1E5B" w:rsidP="00BE1E5B">
      <w:pPr>
        <w:pStyle w:val="a9"/>
        <w:spacing w:line="360" w:lineRule="auto"/>
        <w:jc w:val="both"/>
      </w:pPr>
    </w:p>
    <w:p w14:paraId="1D7392B5" w14:textId="77777777" w:rsidR="00BE1E5B" w:rsidRDefault="00BE1E5B" w:rsidP="00BE1E5B">
      <w:pPr>
        <w:pStyle w:val="a9"/>
        <w:numPr>
          <w:ilvl w:val="0"/>
          <w:numId w:val="1"/>
        </w:numPr>
        <w:spacing w:line="360" w:lineRule="auto"/>
        <w:jc w:val="both"/>
      </w:pPr>
      <w:r>
        <w:rPr>
          <w:rFonts w:hint="cs"/>
          <w:rtl/>
        </w:rPr>
        <w:t xml:space="preserve">לאחר ששקלתי את טענות הטוענים לזכות ברכב ואת יתר הראיות שהועמדו לעיוני, כמו גם את האמור בכתב האישום המתוקן, מצאתי לקבוע כי הבעלות המהותית ברכב הייתה של הנאשם עצמו. להלן אבאר טעמי; </w:t>
      </w:r>
    </w:p>
    <w:p w14:paraId="75CFF4FB" w14:textId="77777777" w:rsidR="00BE1E5B" w:rsidRPr="00CC1602" w:rsidRDefault="00BE1E5B" w:rsidP="00BE1E5B">
      <w:pPr>
        <w:pStyle w:val="a9"/>
        <w:spacing w:line="360" w:lineRule="auto"/>
        <w:jc w:val="both"/>
      </w:pPr>
    </w:p>
    <w:p w14:paraId="45F6291C" w14:textId="77777777" w:rsidR="00BE1E5B" w:rsidRPr="006313FE" w:rsidRDefault="00BE1E5B" w:rsidP="00BE1E5B">
      <w:pPr>
        <w:pStyle w:val="a9"/>
        <w:numPr>
          <w:ilvl w:val="0"/>
          <w:numId w:val="1"/>
        </w:numPr>
        <w:spacing w:line="360" w:lineRule="auto"/>
        <w:jc w:val="both"/>
      </w:pPr>
      <w:r>
        <w:rPr>
          <w:rFonts w:hint="cs"/>
          <w:rtl/>
        </w:rPr>
        <w:t xml:space="preserve">ראשית בכתב האישום המתוקן, שהוא התשתית העובדתית המוסכמת המהווה בסיס לגזר הדין נכתב כי הרכב </w:t>
      </w:r>
      <w:r>
        <w:rPr>
          <w:rFonts w:hint="cs"/>
          <w:b/>
          <w:bCs/>
          <w:rtl/>
        </w:rPr>
        <w:t>"... בפועל משמש כרכבו הפרטי והאישי של הנאשם".</w:t>
      </w:r>
    </w:p>
    <w:p w14:paraId="0F93EE9E" w14:textId="77777777" w:rsidR="00BE1E5B" w:rsidRPr="006313FE" w:rsidRDefault="00BE1E5B" w:rsidP="00BE1E5B">
      <w:pPr>
        <w:pStyle w:val="a9"/>
        <w:spacing w:line="360" w:lineRule="auto"/>
        <w:jc w:val="both"/>
      </w:pPr>
    </w:p>
    <w:p w14:paraId="3935D5E7" w14:textId="77777777" w:rsidR="00BE1E5B" w:rsidRDefault="00BE1E5B" w:rsidP="00BE1E5B">
      <w:pPr>
        <w:pStyle w:val="a9"/>
        <w:numPr>
          <w:ilvl w:val="0"/>
          <w:numId w:val="1"/>
        </w:numPr>
        <w:spacing w:line="360" w:lineRule="auto"/>
        <w:jc w:val="both"/>
      </w:pPr>
      <w:r>
        <w:rPr>
          <w:rFonts w:hint="cs"/>
          <w:rtl/>
        </w:rPr>
        <w:t xml:space="preserve">בנוסף, בהודעותיו במשטרה הנאשם טען בתוקף כי מדובר ברכב שלו. כך למשל בהודעתו מיום 18.9.20 שורות 67-77 אמר הנאשם כי רכב הטויוטה הוא הרכב הפרטי שלו אך רשום על שם אשתו. כשנשאל מדוע נוסע על הרכב של אשתו השיב: </w:t>
      </w:r>
      <w:r>
        <w:rPr>
          <w:rFonts w:hint="cs"/>
          <w:b/>
          <w:bCs/>
          <w:rtl/>
        </w:rPr>
        <w:t>"זה הטויוטה שלי. רשמתי אותה על השם שלה. זה הרכב הפרטי שלי..."</w:t>
      </w:r>
      <w:r>
        <w:rPr>
          <w:rFonts w:hint="cs"/>
          <w:rtl/>
        </w:rPr>
        <w:t xml:space="preserve"> ולאחר מכן סירב להשיב על שאלות נוספות. </w:t>
      </w:r>
    </w:p>
    <w:p w14:paraId="615BC2BA" w14:textId="77777777" w:rsidR="00BE1E5B" w:rsidRDefault="00BE1E5B" w:rsidP="00BE1E5B">
      <w:pPr>
        <w:pStyle w:val="a9"/>
        <w:spacing w:line="360" w:lineRule="auto"/>
        <w:jc w:val="both"/>
      </w:pPr>
    </w:p>
    <w:p w14:paraId="184A422C" w14:textId="77777777" w:rsidR="00BE1E5B" w:rsidRDefault="00BE1E5B" w:rsidP="00BE1E5B">
      <w:pPr>
        <w:pStyle w:val="a9"/>
        <w:numPr>
          <w:ilvl w:val="0"/>
          <w:numId w:val="1"/>
        </w:numPr>
        <w:spacing w:line="360" w:lineRule="auto"/>
        <w:jc w:val="both"/>
      </w:pPr>
      <w:r>
        <w:rPr>
          <w:rFonts w:hint="cs"/>
          <w:rtl/>
        </w:rPr>
        <w:t xml:space="preserve">בתצהירה של אשת הנאשם, הגב' מונה סעדייה, היא טענה כי הרכב נמצא בבעלותה ונרכש מכספים שבני משפחתה מסרו לבעלה כדי שירכוש את הרכב בתנאי שיהיה בבעלותה וירשם על שמה, וטענה כי הרכב משמש אותה ואת בני משפחתה, אך מאחר ואין לה רישיון נהיגה בעלה הוא שנהג ברכב מדי יום לעבודתו, והסיע אותה ואת בני משפחתה על פי הצורך. בעדותה של הרעיה בבית המשפט היא טענה כי למעשה הכסף לא נמסר לבעלה, אלא נמסר לה על ידי אחיה והיא שמרה אותו אצלה עד שנתנה אותו לנאשם כדי שיקנה רכב. עוד עלה מתוך דבריה, כי לאחיה אין רישיון נהיגה ועל כן הנאשם מסיע גם אותם כשהם נזקקים לכך. </w:t>
      </w:r>
    </w:p>
    <w:p w14:paraId="73D95B56" w14:textId="77777777" w:rsidR="00BE1E5B" w:rsidRDefault="00BE1E5B" w:rsidP="00BE1E5B">
      <w:pPr>
        <w:pStyle w:val="a9"/>
        <w:spacing w:line="360" w:lineRule="auto"/>
        <w:jc w:val="both"/>
      </w:pPr>
    </w:p>
    <w:p w14:paraId="7491EBC6" w14:textId="77777777" w:rsidR="00BE1E5B" w:rsidRDefault="00BE1E5B" w:rsidP="00BE1E5B">
      <w:pPr>
        <w:pStyle w:val="a9"/>
        <w:numPr>
          <w:ilvl w:val="0"/>
          <w:numId w:val="1"/>
        </w:numPr>
        <w:spacing w:line="360" w:lineRule="auto"/>
        <w:jc w:val="both"/>
      </w:pPr>
      <w:r>
        <w:rPr>
          <w:rFonts w:hint="cs"/>
          <w:rtl/>
        </w:rPr>
        <w:t xml:space="preserve">בתצהירו של גיסו של הנאשם, מר יוסף סעדייה הוא טען כי הרכב שבאמצעותו בוצעה העבירה נרכש מכספים שהוא ואחיו העבירו לאחותם, אשת הנאשם, כדי לרכוש את הרכב ובתנאי שהרכב יירשם על שמה. עוד נטען כי הנאשם הוא שנוהג ברכב אך הוא משמש את אשת הנאשם, שאין לה רישיון נהיגה, והנאשם מסיעה אותה לכל מקום בעת הצורך, ואף משמש מדי פעם אחיה של האישה. בחקירתו בבית המשפט טען כי מסר לאחותו את הכסף כמתנה לכבוד הולדת בנה. </w:t>
      </w:r>
    </w:p>
    <w:p w14:paraId="1D0EFCC0" w14:textId="77777777" w:rsidR="00BE1E5B" w:rsidRPr="00A0509B" w:rsidRDefault="00BE1E5B" w:rsidP="00BE1E5B">
      <w:pPr>
        <w:pStyle w:val="a9"/>
        <w:spacing w:line="360" w:lineRule="auto"/>
        <w:jc w:val="both"/>
      </w:pPr>
    </w:p>
    <w:p w14:paraId="630301ED" w14:textId="77777777" w:rsidR="00BE1E5B" w:rsidRDefault="00BE1E5B" w:rsidP="00BE1E5B">
      <w:pPr>
        <w:pStyle w:val="a9"/>
        <w:numPr>
          <w:ilvl w:val="0"/>
          <w:numId w:val="1"/>
        </w:numPr>
        <w:spacing w:line="360" w:lineRule="auto"/>
        <w:jc w:val="both"/>
      </w:pPr>
      <w:r>
        <w:rPr>
          <w:rFonts w:hint="cs"/>
          <w:rtl/>
        </w:rPr>
        <w:t xml:space="preserve">הטענה כי הרכב נרכש מכספי אחיה של אשת הנאשם, שניתנו לה במתנה וכי הרכב בבעלותה, היא טענה כבושה שהנאשם לא טען אותה במשטרה. גם מתוך העדויות בבית המשפט לא עלה כי הכספים ניתנו כדי, או בתנאי, שאשת הנאשם תרכוש רכב, ולא הוצגה כל ראיה בדבר קיומו של תנאי שהרכב יירשם על שם האישה. לא מן הנמנע כי הרכב נרשם על שם האישה בשל קיומם של הליכי גבייה בהוצאה לפועל שהתנהלו נגד הנאשם, כפי שציין בהודעתו מיום 23.9.20 בשורה 292. </w:t>
      </w:r>
    </w:p>
    <w:p w14:paraId="056DD970" w14:textId="77777777" w:rsidR="00BE1E5B" w:rsidRDefault="00BE1E5B" w:rsidP="00BE1E5B">
      <w:pPr>
        <w:pStyle w:val="a9"/>
        <w:spacing w:line="360" w:lineRule="auto"/>
        <w:jc w:val="both"/>
      </w:pPr>
    </w:p>
    <w:p w14:paraId="623B4639" w14:textId="77777777" w:rsidR="00BE1E5B" w:rsidRDefault="00BE1E5B" w:rsidP="00BE1E5B">
      <w:pPr>
        <w:pStyle w:val="a9"/>
        <w:numPr>
          <w:ilvl w:val="0"/>
          <w:numId w:val="1"/>
        </w:numPr>
        <w:spacing w:line="360" w:lineRule="auto"/>
        <w:jc w:val="both"/>
      </w:pPr>
      <w:r>
        <w:rPr>
          <w:rFonts w:hint="cs"/>
          <w:rtl/>
        </w:rPr>
        <w:t xml:space="preserve">מדובר בסכום כסף גדול מאוד שעל פי הנטען הועבר במזומן (לטענת הרעייה כ-45,000 עד 50,000 ₪; לטענת אחיה- 50,000 ₪), מבלי שהוצגה כל ראיה בכתב למשיכת סכום כסף כזה מחשבונו של מאן דהוא, או למשיכת סכומים קטנים יותר המצטרפים לסכום זה מחשבונם של אחים נוספים, כפי שאישר העד יוסף סעדייה במענה לשאלות מדריכות של הסנגור בעניין זה. </w:t>
      </w:r>
    </w:p>
    <w:p w14:paraId="1701DCD0" w14:textId="77777777" w:rsidR="00BE1E5B" w:rsidRDefault="00BE1E5B" w:rsidP="00BE1E5B">
      <w:pPr>
        <w:pStyle w:val="a9"/>
        <w:spacing w:line="360" w:lineRule="auto"/>
        <w:jc w:val="both"/>
      </w:pPr>
    </w:p>
    <w:p w14:paraId="3D80E4D0" w14:textId="77777777" w:rsidR="00BE1E5B" w:rsidRDefault="00BE1E5B" w:rsidP="00BE1E5B">
      <w:pPr>
        <w:pStyle w:val="a9"/>
        <w:numPr>
          <w:ilvl w:val="0"/>
          <w:numId w:val="1"/>
        </w:numPr>
        <w:spacing w:line="360" w:lineRule="auto"/>
        <w:jc w:val="both"/>
      </w:pPr>
      <w:r>
        <w:rPr>
          <w:rFonts w:hint="cs"/>
          <w:rtl/>
        </w:rPr>
        <w:t>אוסיף כי אף אם ניתן היה לקבל את הטענה שהרכב נרכש מכספי מתנה שניתנו על ידי גיסיו של הנאשם לרגל הולדת בנם, הרי שאין מדובר במתנה שניתנה רק לאשת הנאשם, בנפרד מן הנאשם. הדברים עולים באופן ברור גם מתוך טענת אשת הנאשם כי זמן קצר לאחר קבלת הכסף מיהרה למסור אותו לנאשם, ומכל מקום לא התרשמתי מקיומו של משטר הפרדה רכושית בין בני הזוג.</w:t>
      </w:r>
    </w:p>
    <w:p w14:paraId="14D6E3D2" w14:textId="77777777" w:rsidR="00BE1E5B" w:rsidRPr="007A6A62" w:rsidRDefault="00BE1E5B" w:rsidP="00BE1E5B">
      <w:pPr>
        <w:pStyle w:val="a9"/>
        <w:spacing w:line="360" w:lineRule="auto"/>
        <w:jc w:val="both"/>
      </w:pPr>
    </w:p>
    <w:p w14:paraId="12EEA41E" w14:textId="77777777" w:rsidR="00BE1E5B" w:rsidRDefault="00BE1E5B" w:rsidP="00BE1E5B">
      <w:pPr>
        <w:pStyle w:val="a9"/>
        <w:numPr>
          <w:ilvl w:val="0"/>
          <w:numId w:val="1"/>
        </w:numPr>
        <w:spacing w:line="360" w:lineRule="auto"/>
        <w:jc w:val="both"/>
      </w:pPr>
      <w:r>
        <w:rPr>
          <w:rFonts w:hint="cs"/>
          <w:rtl/>
        </w:rPr>
        <w:t xml:space="preserve">לנוכח האמור לעיל, אשת הנאשם וגיסו לא הצליחו להרים את הנטל הראייתי הנדרש להוכחת הטענה כי הנאשם אינו בעל הרכב, ועובדת היות הנאשם בעל הרכב מתבססת על החזקתו המתמדת ברכב, דבריו שלו סמוך לאחר מעצרו כי הרכב הוא שלו, ומתוך העובדות המוסכמות שבכתב האישום המתוקן. </w:t>
      </w:r>
    </w:p>
    <w:p w14:paraId="681AC88C" w14:textId="77777777" w:rsidR="00BE1E5B" w:rsidRDefault="00BE1E5B" w:rsidP="00BE1E5B">
      <w:pPr>
        <w:pStyle w:val="a9"/>
        <w:spacing w:line="360" w:lineRule="auto"/>
        <w:jc w:val="both"/>
      </w:pPr>
    </w:p>
    <w:p w14:paraId="668C7ECB" w14:textId="77777777" w:rsidR="00BE1E5B" w:rsidRDefault="00BE1E5B" w:rsidP="00BE1E5B">
      <w:pPr>
        <w:pStyle w:val="a9"/>
        <w:numPr>
          <w:ilvl w:val="0"/>
          <w:numId w:val="1"/>
        </w:numPr>
        <w:spacing w:line="360" w:lineRule="auto"/>
        <w:jc w:val="both"/>
      </w:pPr>
      <w:r>
        <w:rPr>
          <w:rFonts w:hint="cs"/>
          <w:rtl/>
        </w:rPr>
        <w:t xml:space="preserve">משעה שהרכב שימש לביצוע העבירה, בהתאם להוראות </w:t>
      </w:r>
      <w:hyperlink r:id="rId26" w:history="1">
        <w:r w:rsidR="00FD66C6" w:rsidRPr="00FD66C6">
          <w:rPr>
            <w:rStyle w:val="Hyperlink"/>
            <w:rFonts w:hint="eastAsia"/>
            <w:rtl/>
          </w:rPr>
          <w:t>סעיף</w:t>
        </w:r>
        <w:r w:rsidR="00FD66C6" w:rsidRPr="00FD66C6">
          <w:rPr>
            <w:rStyle w:val="Hyperlink"/>
            <w:rtl/>
          </w:rPr>
          <w:t xml:space="preserve"> 36א(א)</w:t>
        </w:r>
      </w:hyperlink>
      <w:r>
        <w:rPr>
          <w:rFonts w:hint="cs"/>
          <w:rtl/>
        </w:rPr>
        <w:t xml:space="preserve"> ל</w:t>
      </w:r>
      <w:hyperlink r:id="rId27" w:history="1">
        <w:r w:rsidR="00292F22" w:rsidRPr="00292F22">
          <w:rPr>
            <w:color w:val="0000FF"/>
            <w:u w:val="single"/>
            <w:rtl/>
          </w:rPr>
          <w:t>פקודת הסמים המסוכנים</w:t>
        </w:r>
      </w:hyperlink>
      <w:r>
        <w:rPr>
          <w:rFonts w:hint="cs"/>
          <w:rtl/>
        </w:rPr>
        <w:t xml:space="preserve">, נדרשים נימוקים מיוחדים שלא להורות על חילוטו, בעוד שהכלל הוא חילוט רכוש כאמור. במקרה דנן גם לאחר ששקלתי את יתר העונשים שנגזרו על הנאשם, לא מצאתי כי קיימים נימוקים מיוחדים המצדיקים הימנעות מחילוט הרכב, ועל כן אני מורה על חילוטו של רכב טויטה קורולה שמספרו 58-826-32. </w:t>
      </w:r>
    </w:p>
    <w:p w14:paraId="36E92D14" w14:textId="77777777" w:rsidR="00BE1E5B" w:rsidRDefault="00BE1E5B" w:rsidP="00BE1E5B">
      <w:pPr>
        <w:pStyle w:val="a9"/>
        <w:spacing w:line="360" w:lineRule="auto"/>
        <w:jc w:val="both"/>
        <w:rPr>
          <w:rtl/>
        </w:rPr>
      </w:pPr>
    </w:p>
    <w:p w14:paraId="2A73315B" w14:textId="77777777" w:rsidR="00BE1E5B" w:rsidRDefault="00BE1E5B" w:rsidP="00BE1E5B">
      <w:pPr>
        <w:pStyle w:val="a9"/>
        <w:spacing w:line="360" w:lineRule="auto"/>
        <w:jc w:val="both"/>
        <w:rPr>
          <w:rtl/>
        </w:rPr>
      </w:pPr>
    </w:p>
    <w:p w14:paraId="203948C7" w14:textId="77777777" w:rsidR="00BE1E5B" w:rsidRPr="0088649D" w:rsidRDefault="00BE1E5B" w:rsidP="00BE1E5B">
      <w:pPr>
        <w:pStyle w:val="a9"/>
        <w:spacing w:line="360" w:lineRule="auto"/>
        <w:jc w:val="both"/>
      </w:pPr>
    </w:p>
    <w:p w14:paraId="50A9B02A" w14:textId="77777777" w:rsidR="00BE1E5B" w:rsidRDefault="00BE1E5B" w:rsidP="00BE1E5B">
      <w:pPr>
        <w:pStyle w:val="a9"/>
        <w:numPr>
          <w:ilvl w:val="0"/>
          <w:numId w:val="1"/>
        </w:numPr>
        <w:spacing w:line="360" w:lineRule="auto"/>
        <w:jc w:val="both"/>
      </w:pPr>
      <w:r>
        <w:rPr>
          <w:rFonts w:hint="cs"/>
          <w:rtl/>
        </w:rPr>
        <w:t xml:space="preserve">הסמים שנתפסו יושמדו. </w:t>
      </w:r>
    </w:p>
    <w:p w14:paraId="18D82C1A" w14:textId="77777777" w:rsidR="00BE1E5B" w:rsidRDefault="00BE1E5B" w:rsidP="00BE1E5B">
      <w:pPr>
        <w:pStyle w:val="a9"/>
        <w:spacing w:line="360" w:lineRule="auto"/>
        <w:jc w:val="both"/>
      </w:pPr>
    </w:p>
    <w:p w14:paraId="3820AA0D" w14:textId="77777777" w:rsidR="00BE1E5B" w:rsidRPr="00B05847" w:rsidRDefault="00BE1E5B" w:rsidP="00BE1E5B">
      <w:pPr>
        <w:pStyle w:val="a9"/>
        <w:numPr>
          <w:ilvl w:val="0"/>
          <w:numId w:val="1"/>
        </w:numPr>
        <w:spacing w:line="360" w:lineRule="auto"/>
        <w:jc w:val="both"/>
        <w:rPr>
          <w:rtl/>
        </w:rPr>
      </w:pPr>
      <w:r>
        <w:rPr>
          <w:rFonts w:hint="cs"/>
          <w:rtl/>
        </w:rPr>
        <w:t xml:space="preserve">זכות ערעור לבית המשפט המחוזי בירושלים בתוך 45 ימים מהיום. </w:t>
      </w:r>
    </w:p>
    <w:p w14:paraId="58288EEF" w14:textId="77777777" w:rsidR="00BE1E5B" w:rsidRPr="00B05847" w:rsidRDefault="00BE1E5B" w:rsidP="00BE1E5B">
      <w:pPr>
        <w:rPr>
          <w:rtl/>
        </w:rPr>
      </w:pPr>
    </w:p>
    <w:p w14:paraId="27005B57" w14:textId="77777777" w:rsidR="00BE1E5B" w:rsidRPr="00292F22" w:rsidRDefault="00292F22" w:rsidP="00BE1E5B">
      <w:pPr>
        <w:rPr>
          <w:color w:val="FFFFFF"/>
          <w:sz w:val="2"/>
          <w:szCs w:val="2"/>
          <w:rtl/>
        </w:rPr>
      </w:pPr>
      <w:r w:rsidRPr="00292F22">
        <w:rPr>
          <w:color w:val="FFFFFF"/>
          <w:sz w:val="2"/>
          <w:szCs w:val="2"/>
          <w:rtl/>
        </w:rPr>
        <w:t>5129371</w:t>
      </w:r>
    </w:p>
    <w:p w14:paraId="53BCDD64" w14:textId="77777777" w:rsidR="00BE1E5B" w:rsidRDefault="00292F22" w:rsidP="00BE1E5B">
      <w:pPr>
        <w:rPr>
          <w:rFonts w:cs="FrankRuehl"/>
          <w:sz w:val="28"/>
          <w:szCs w:val="28"/>
          <w:rtl/>
        </w:rPr>
      </w:pPr>
      <w:bookmarkStart w:id="8" w:name="Nitan"/>
      <w:r w:rsidRPr="00292F22">
        <w:rPr>
          <w:rFonts w:ascii="Arial" w:hAnsi="Arial"/>
          <w:color w:val="FFFFFF"/>
          <w:sz w:val="2"/>
          <w:szCs w:val="2"/>
          <w:rtl/>
        </w:rPr>
        <w:t>54678313</w:t>
      </w:r>
      <w:r>
        <w:rPr>
          <w:rFonts w:ascii="Arial" w:hAnsi="Arial"/>
          <w:rtl/>
        </w:rPr>
        <w:t xml:space="preserve">ניתן היום,  י"ב ניסן תשפ"א, 25 מרץ 2021, בנוכחות הצדדים. </w:t>
      </w:r>
      <w:bookmarkEnd w:id="8"/>
    </w:p>
    <w:p w14:paraId="0F86156E" w14:textId="77777777" w:rsidR="00BE1E5B" w:rsidRDefault="00BE1E5B" w:rsidP="00292F2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5F0D71B" w14:textId="77777777" w:rsidR="00BE1E5B" w:rsidRDefault="00BE1E5B" w:rsidP="00BE1E5B">
      <w:pPr>
        <w:jc w:val="center"/>
        <w:rPr>
          <w:rFonts w:ascii="Arial" w:hAnsi="Arial" w:cs="FrankRuehl"/>
          <w:sz w:val="28"/>
          <w:szCs w:val="28"/>
          <w:rtl/>
        </w:rPr>
      </w:pPr>
    </w:p>
    <w:p w14:paraId="2378FEDA" w14:textId="77777777" w:rsidR="00BE1E5B" w:rsidRDefault="00BE1E5B" w:rsidP="00BE1E5B">
      <w:pPr>
        <w:rPr>
          <w:rFonts w:cs="FrankRuehl"/>
          <w:sz w:val="28"/>
          <w:szCs w:val="28"/>
          <w:rtl/>
        </w:rPr>
      </w:pPr>
    </w:p>
    <w:p w14:paraId="73D5B514" w14:textId="77777777" w:rsidR="00BE1E5B" w:rsidRDefault="00BE1E5B" w:rsidP="00BE1E5B">
      <w:pPr>
        <w:pStyle w:val="a3"/>
        <w:jc w:val="center"/>
        <w:rPr>
          <w:rtl/>
        </w:rPr>
      </w:pPr>
    </w:p>
    <w:p w14:paraId="6890AFD5" w14:textId="77777777" w:rsidR="00711F6B" w:rsidRPr="00292F22" w:rsidRDefault="00711F6B" w:rsidP="00292F22">
      <w:pPr>
        <w:keepNext/>
        <w:rPr>
          <w:rFonts w:ascii="David" w:hAnsi="David"/>
          <w:color w:val="000000"/>
          <w:sz w:val="22"/>
          <w:szCs w:val="22"/>
          <w:rtl/>
        </w:rPr>
      </w:pPr>
    </w:p>
    <w:p w14:paraId="11B66A0E" w14:textId="77777777" w:rsidR="00292F22" w:rsidRPr="00292F22" w:rsidRDefault="00292F22" w:rsidP="00292F22">
      <w:pPr>
        <w:keepNext/>
        <w:rPr>
          <w:rFonts w:ascii="David" w:hAnsi="David"/>
          <w:color w:val="000000"/>
          <w:sz w:val="22"/>
          <w:szCs w:val="22"/>
          <w:rtl/>
        </w:rPr>
      </w:pPr>
      <w:r w:rsidRPr="00292F22">
        <w:rPr>
          <w:rFonts w:ascii="David" w:hAnsi="David"/>
          <w:color w:val="000000"/>
          <w:sz w:val="22"/>
          <w:szCs w:val="22"/>
          <w:rtl/>
        </w:rPr>
        <w:t>ג'ויה סקפה שפירא 54678313</w:t>
      </w:r>
    </w:p>
    <w:p w14:paraId="1E0F4F3D" w14:textId="77777777" w:rsidR="00292F22" w:rsidRDefault="00292F22" w:rsidP="00292F22">
      <w:r w:rsidRPr="00292F22">
        <w:rPr>
          <w:color w:val="000000"/>
          <w:rtl/>
        </w:rPr>
        <w:t>נוסח מסמך זה כפוף לשינויי ניסוח ועריכה</w:t>
      </w:r>
    </w:p>
    <w:p w14:paraId="4C5F9AD2" w14:textId="77777777" w:rsidR="00292F22" w:rsidRDefault="00292F22" w:rsidP="00292F22">
      <w:pPr>
        <w:rPr>
          <w:rtl/>
        </w:rPr>
      </w:pPr>
    </w:p>
    <w:p w14:paraId="0AC344F5" w14:textId="77777777" w:rsidR="00292F22" w:rsidRDefault="00292F22" w:rsidP="00292F22">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0039163E" w14:textId="77777777" w:rsidR="00292F22" w:rsidRPr="00292F22" w:rsidRDefault="00292F22" w:rsidP="00292F22">
      <w:pPr>
        <w:jc w:val="center"/>
        <w:rPr>
          <w:color w:val="0000FF"/>
          <w:u w:val="single"/>
        </w:rPr>
      </w:pPr>
    </w:p>
    <w:sectPr w:rsidR="00292F22" w:rsidRPr="00292F22" w:rsidSect="00292F22">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33BD9" w14:textId="77777777" w:rsidR="005213AD" w:rsidRDefault="005213AD" w:rsidP="002C2A1E">
      <w:r>
        <w:separator/>
      </w:r>
    </w:p>
  </w:endnote>
  <w:endnote w:type="continuationSeparator" w:id="0">
    <w:p w14:paraId="26C726FF" w14:textId="77777777" w:rsidR="005213AD" w:rsidRDefault="005213AD" w:rsidP="002C2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65573" w14:textId="77777777" w:rsidR="00292F22" w:rsidRDefault="00292F22" w:rsidP="00292F2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A58DFB1" w14:textId="77777777" w:rsidR="00604396" w:rsidRPr="00292F22" w:rsidRDefault="00292F22" w:rsidP="00292F2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84262" w14:textId="77777777" w:rsidR="00292F22" w:rsidRDefault="00292F22" w:rsidP="00292F2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43DD">
      <w:rPr>
        <w:rFonts w:ascii="FrankRuehl" w:hAnsi="FrankRuehl" w:cs="FrankRuehl"/>
        <w:noProof/>
        <w:rtl/>
      </w:rPr>
      <w:t>1</w:t>
    </w:r>
    <w:r>
      <w:rPr>
        <w:rFonts w:ascii="FrankRuehl" w:hAnsi="FrankRuehl" w:cs="FrankRuehl"/>
        <w:rtl/>
      </w:rPr>
      <w:fldChar w:fldCharType="end"/>
    </w:r>
  </w:p>
  <w:p w14:paraId="45979EA4" w14:textId="77777777" w:rsidR="00604396" w:rsidRPr="00292F22" w:rsidRDefault="00292F22" w:rsidP="00292F2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02BC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1CA79" w14:textId="77777777" w:rsidR="005213AD" w:rsidRDefault="005213AD" w:rsidP="002C2A1E">
      <w:r>
        <w:separator/>
      </w:r>
    </w:p>
  </w:footnote>
  <w:footnote w:type="continuationSeparator" w:id="0">
    <w:p w14:paraId="08250AD9" w14:textId="77777777" w:rsidR="005213AD" w:rsidRDefault="005213AD" w:rsidP="002C2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8C20F" w14:textId="77777777" w:rsidR="00292F22" w:rsidRPr="00292F22" w:rsidRDefault="00292F22" w:rsidP="00292F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57378-09-20</w:t>
    </w:r>
    <w:r>
      <w:rPr>
        <w:rFonts w:ascii="David" w:hAnsi="David"/>
        <w:color w:val="000000"/>
        <w:sz w:val="22"/>
        <w:szCs w:val="22"/>
        <w:rtl/>
      </w:rPr>
      <w:tab/>
      <w:t xml:space="preserve"> מדינת ישראל נ' עומר אבו דיא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4E0BD" w14:textId="77777777" w:rsidR="00292F22" w:rsidRPr="00292F22" w:rsidRDefault="00292F22" w:rsidP="00292F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57378-09-20</w:t>
    </w:r>
    <w:r>
      <w:rPr>
        <w:rFonts w:ascii="David" w:hAnsi="David"/>
        <w:color w:val="000000"/>
        <w:sz w:val="22"/>
        <w:szCs w:val="22"/>
        <w:rtl/>
      </w:rPr>
      <w:tab/>
      <w:t xml:space="preserve"> מדינת ישראל נ' עומר אבו דיא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615FE5"/>
    <w:multiLevelType w:val="hybridMultilevel"/>
    <w:tmpl w:val="5DEA4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93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1E5B"/>
    <w:rsid w:val="000B4D81"/>
    <w:rsid w:val="00292F22"/>
    <w:rsid w:val="002C2A1E"/>
    <w:rsid w:val="005213AD"/>
    <w:rsid w:val="00604396"/>
    <w:rsid w:val="00605C90"/>
    <w:rsid w:val="00667E09"/>
    <w:rsid w:val="00711F6B"/>
    <w:rsid w:val="009A4E4C"/>
    <w:rsid w:val="00BE1E5B"/>
    <w:rsid w:val="00C4472A"/>
    <w:rsid w:val="00EA43DD"/>
    <w:rsid w:val="00EE0E10"/>
    <w:rsid w:val="00FD1E7B"/>
    <w:rsid w:val="00FD66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F95F87"/>
  <w15:chartTrackingRefBased/>
  <w15:docId w15:val="{6E187C72-99F6-4E25-8045-52E06B48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1E5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E1E5B"/>
    <w:pPr>
      <w:tabs>
        <w:tab w:val="center" w:pos="4153"/>
        <w:tab w:val="right" w:pos="8306"/>
      </w:tabs>
    </w:pPr>
  </w:style>
  <w:style w:type="character" w:customStyle="1" w:styleId="a4">
    <w:name w:val="כותרת עליונה תו"/>
    <w:link w:val="a3"/>
    <w:rsid w:val="00BE1E5B"/>
    <w:rPr>
      <w:rFonts w:ascii="Times New Roman" w:eastAsia="Times New Roman" w:hAnsi="Times New Roman" w:cs="David"/>
      <w:sz w:val="24"/>
      <w:szCs w:val="24"/>
    </w:rPr>
  </w:style>
  <w:style w:type="paragraph" w:styleId="a5">
    <w:name w:val="footer"/>
    <w:basedOn w:val="a"/>
    <w:link w:val="a6"/>
    <w:rsid w:val="00BE1E5B"/>
    <w:pPr>
      <w:tabs>
        <w:tab w:val="center" w:pos="4153"/>
        <w:tab w:val="right" w:pos="8306"/>
      </w:tabs>
    </w:pPr>
  </w:style>
  <w:style w:type="character" w:customStyle="1" w:styleId="a6">
    <w:name w:val="כותרת תחתונה תו"/>
    <w:link w:val="a5"/>
    <w:rsid w:val="00BE1E5B"/>
    <w:rPr>
      <w:rFonts w:ascii="Times New Roman" w:eastAsia="Times New Roman" w:hAnsi="Times New Roman" w:cs="David"/>
      <w:sz w:val="24"/>
      <w:szCs w:val="24"/>
    </w:rPr>
  </w:style>
  <w:style w:type="table" w:styleId="a7">
    <w:name w:val="Table Grid"/>
    <w:basedOn w:val="a1"/>
    <w:rsid w:val="00BE1E5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E1E5B"/>
  </w:style>
  <w:style w:type="paragraph" w:styleId="a9">
    <w:name w:val="List Paragraph"/>
    <w:basedOn w:val="a"/>
    <w:qFormat/>
    <w:rsid w:val="00BE1E5B"/>
    <w:pPr>
      <w:ind w:left="720"/>
      <w:contextualSpacing/>
    </w:pPr>
  </w:style>
  <w:style w:type="character" w:styleId="Hyperlink">
    <w:name w:val="Hyperlink"/>
    <w:rsid w:val="00292F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4356442" TargetMode="External"/><Relationship Id="rId18" Type="http://schemas.openxmlformats.org/officeDocument/2006/relationships/hyperlink" Target="http://www.nevo.co.il/law/4216" TargetMode="External"/><Relationship Id="rId26" Type="http://schemas.openxmlformats.org/officeDocument/2006/relationships/hyperlink" Target="http://www.nevo.co.il/law/4216/36a.a" TargetMode="External"/><Relationship Id="rId3" Type="http://schemas.openxmlformats.org/officeDocument/2006/relationships/settings" Target="settings.xml"/><Relationship Id="rId21" Type="http://schemas.openxmlformats.org/officeDocument/2006/relationships/hyperlink" Target="http://www.nevo.co.il/law/4216/36a.a"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case/26246488" TargetMode="External"/><Relationship Id="rId17" Type="http://schemas.openxmlformats.org/officeDocument/2006/relationships/hyperlink" Target="http://www.nevo.co.il/case/5590169" TargetMode="External"/><Relationship Id="rId25" Type="http://schemas.openxmlformats.org/officeDocument/2006/relationships/hyperlink" Target="http://www.nevo.co.il/case/2013835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12063973" TargetMode="External"/><Relationship Id="rId20" Type="http://schemas.openxmlformats.org/officeDocument/2006/relationships/hyperlink" Target="http://www.nevo.co.il/law/74918"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18/39" TargetMode="External"/><Relationship Id="rId24" Type="http://schemas.openxmlformats.org/officeDocument/2006/relationships/hyperlink" Target="http://www.nevo.co.il/law/4216"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0052568" TargetMode="External"/><Relationship Id="rId23" Type="http://schemas.openxmlformats.org/officeDocument/2006/relationships/hyperlink" Target="http://www.nevo.co.il/law/4216/36a.e"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4918" TargetMode="External"/><Relationship Id="rId19" Type="http://schemas.openxmlformats.org/officeDocument/2006/relationships/hyperlink" Target="http://www.nevo.co.il/law/74918/39"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36a.e" TargetMode="External"/><Relationship Id="rId14" Type="http://schemas.openxmlformats.org/officeDocument/2006/relationships/hyperlink" Target="http://www.nevo.co.il/case/20956295" TargetMode="External"/><Relationship Id="rId22" Type="http://schemas.openxmlformats.org/officeDocument/2006/relationships/hyperlink" Target="http://www.nevo.co.il/law/4216"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36a.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2260</Words>
  <Characters>11302</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13535</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5046354</vt:i4>
      </vt:variant>
      <vt:variant>
        <vt:i4>57</vt:i4>
      </vt:variant>
      <vt:variant>
        <vt:i4>0</vt:i4>
      </vt:variant>
      <vt:variant>
        <vt:i4>5</vt:i4>
      </vt:variant>
      <vt:variant>
        <vt:lpwstr>http://www.nevo.co.il/law/4216/36a.a</vt:lpwstr>
      </vt:variant>
      <vt:variant>
        <vt:lpwstr/>
      </vt:variant>
      <vt:variant>
        <vt:i4>4063348</vt:i4>
      </vt:variant>
      <vt:variant>
        <vt:i4>54</vt:i4>
      </vt:variant>
      <vt:variant>
        <vt:i4>0</vt:i4>
      </vt:variant>
      <vt:variant>
        <vt:i4>5</vt:i4>
      </vt:variant>
      <vt:variant>
        <vt:lpwstr>http://www.nevo.co.il/case/20138359</vt:lpwstr>
      </vt:variant>
      <vt:variant>
        <vt:lpwstr/>
      </vt:variant>
      <vt:variant>
        <vt:i4>8257637</vt:i4>
      </vt:variant>
      <vt:variant>
        <vt:i4>51</vt:i4>
      </vt:variant>
      <vt:variant>
        <vt:i4>0</vt:i4>
      </vt:variant>
      <vt:variant>
        <vt:i4>5</vt:i4>
      </vt:variant>
      <vt:variant>
        <vt:lpwstr>http://www.nevo.co.il/law/4216</vt:lpwstr>
      </vt:variant>
      <vt:variant>
        <vt:lpwstr/>
      </vt:variant>
      <vt:variant>
        <vt:i4>4784210</vt:i4>
      </vt:variant>
      <vt:variant>
        <vt:i4>48</vt:i4>
      </vt:variant>
      <vt:variant>
        <vt:i4>0</vt:i4>
      </vt:variant>
      <vt:variant>
        <vt:i4>5</vt:i4>
      </vt:variant>
      <vt:variant>
        <vt:lpwstr>http://www.nevo.co.il/law/4216/36a.e</vt:lpwstr>
      </vt:variant>
      <vt:variant>
        <vt:lpwstr/>
      </vt:variant>
      <vt:variant>
        <vt:i4>8257637</vt:i4>
      </vt:variant>
      <vt:variant>
        <vt:i4>45</vt:i4>
      </vt:variant>
      <vt:variant>
        <vt:i4>0</vt:i4>
      </vt:variant>
      <vt:variant>
        <vt:i4>5</vt:i4>
      </vt:variant>
      <vt:variant>
        <vt:lpwstr>http://www.nevo.co.il/law/4216</vt:lpwstr>
      </vt:variant>
      <vt:variant>
        <vt:lpwstr/>
      </vt:variant>
      <vt:variant>
        <vt:i4>5046354</vt:i4>
      </vt:variant>
      <vt:variant>
        <vt:i4>42</vt:i4>
      </vt:variant>
      <vt:variant>
        <vt:i4>0</vt:i4>
      </vt:variant>
      <vt:variant>
        <vt:i4>5</vt:i4>
      </vt:variant>
      <vt:variant>
        <vt:lpwstr>http://www.nevo.co.il/law/4216/36a.a</vt:lpwstr>
      </vt:variant>
      <vt:variant>
        <vt:lpwstr/>
      </vt:variant>
      <vt:variant>
        <vt:i4>8323182</vt:i4>
      </vt:variant>
      <vt:variant>
        <vt:i4>39</vt:i4>
      </vt:variant>
      <vt:variant>
        <vt:i4>0</vt:i4>
      </vt:variant>
      <vt:variant>
        <vt:i4>5</vt:i4>
      </vt:variant>
      <vt:variant>
        <vt:lpwstr>http://www.nevo.co.il/law/74918</vt:lpwstr>
      </vt:variant>
      <vt:variant>
        <vt:lpwstr/>
      </vt:variant>
      <vt:variant>
        <vt:i4>6881381</vt:i4>
      </vt:variant>
      <vt:variant>
        <vt:i4>36</vt:i4>
      </vt:variant>
      <vt:variant>
        <vt:i4>0</vt:i4>
      </vt:variant>
      <vt:variant>
        <vt:i4>5</vt:i4>
      </vt:variant>
      <vt:variant>
        <vt:lpwstr>http://www.nevo.co.il/law/74918/39</vt:lpwstr>
      </vt:variant>
      <vt:variant>
        <vt:lpwstr/>
      </vt:variant>
      <vt:variant>
        <vt:i4>8257637</vt:i4>
      </vt:variant>
      <vt:variant>
        <vt:i4>33</vt:i4>
      </vt:variant>
      <vt:variant>
        <vt:i4>0</vt:i4>
      </vt:variant>
      <vt:variant>
        <vt:i4>5</vt:i4>
      </vt:variant>
      <vt:variant>
        <vt:lpwstr>http://www.nevo.co.il/law/4216</vt:lpwstr>
      </vt:variant>
      <vt:variant>
        <vt:lpwstr/>
      </vt:variant>
      <vt:variant>
        <vt:i4>3407991</vt:i4>
      </vt:variant>
      <vt:variant>
        <vt:i4>30</vt:i4>
      </vt:variant>
      <vt:variant>
        <vt:i4>0</vt:i4>
      </vt:variant>
      <vt:variant>
        <vt:i4>5</vt:i4>
      </vt:variant>
      <vt:variant>
        <vt:lpwstr>http://www.nevo.co.il/case/5590169</vt:lpwstr>
      </vt:variant>
      <vt:variant>
        <vt:lpwstr/>
      </vt:variant>
      <vt:variant>
        <vt:i4>3473529</vt:i4>
      </vt:variant>
      <vt:variant>
        <vt:i4>27</vt:i4>
      </vt:variant>
      <vt:variant>
        <vt:i4>0</vt:i4>
      </vt:variant>
      <vt:variant>
        <vt:i4>5</vt:i4>
      </vt:variant>
      <vt:variant>
        <vt:lpwstr>http://www.nevo.co.il/case/12063973</vt:lpwstr>
      </vt:variant>
      <vt:variant>
        <vt:lpwstr/>
      </vt:variant>
      <vt:variant>
        <vt:i4>3539060</vt:i4>
      </vt:variant>
      <vt:variant>
        <vt:i4>24</vt:i4>
      </vt:variant>
      <vt:variant>
        <vt:i4>0</vt:i4>
      </vt:variant>
      <vt:variant>
        <vt:i4>5</vt:i4>
      </vt:variant>
      <vt:variant>
        <vt:lpwstr>http://www.nevo.co.il/case/20052568</vt:lpwstr>
      </vt:variant>
      <vt:variant>
        <vt:lpwstr/>
      </vt:variant>
      <vt:variant>
        <vt:i4>3407987</vt:i4>
      </vt:variant>
      <vt:variant>
        <vt:i4>21</vt:i4>
      </vt:variant>
      <vt:variant>
        <vt:i4>0</vt:i4>
      </vt:variant>
      <vt:variant>
        <vt:i4>5</vt:i4>
      </vt:variant>
      <vt:variant>
        <vt:lpwstr>http://www.nevo.co.il/case/20956295</vt:lpwstr>
      </vt:variant>
      <vt:variant>
        <vt:lpwstr/>
      </vt:variant>
      <vt:variant>
        <vt:i4>3342449</vt:i4>
      </vt:variant>
      <vt:variant>
        <vt:i4>18</vt:i4>
      </vt:variant>
      <vt:variant>
        <vt:i4>0</vt:i4>
      </vt:variant>
      <vt:variant>
        <vt:i4>5</vt:i4>
      </vt:variant>
      <vt:variant>
        <vt:lpwstr>http://www.nevo.co.il/case/24356442</vt:lpwstr>
      </vt:variant>
      <vt:variant>
        <vt:lpwstr/>
      </vt:variant>
      <vt:variant>
        <vt:i4>4063346</vt:i4>
      </vt:variant>
      <vt:variant>
        <vt:i4>15</vt:i4>
      </vt:variant>
      <vt:variant>
        <vt:i4>0</vt:i4>
      </vt:variant>
      <vt:variant>
        <vt:i4>5</vt:i4>
      </vt:variant>
      <vt:variant>
        <vt:lpwstr>http://www.nevo.co.il/case/26246488</vt:lpwstr>
      </vt:variant>
      <vt:variant>
        <vt:lpwstr/>
      </vt:variant>
      <vt:variant>
        <vt:i4>6881381</vt:i4>
      </vt:variant>
      <vt:variant>
        <vt:i4>12</vt:i4>
      </vt:variant>
      <vt:variant>
        <vt:i4>0</vt:i4>
      </vt:variant>
      <vt:variant>
        <vt:i4>5</vt:i4>
      </vt:variant>
      <vt:variant>
        <vt:lpwstr>http://www.nevo.co.il/law/74918/39</vt:lpwstr>
      </vt:variant>
      <vt:variant>
        <vt:lpwstr/>
      </vt:variant>
      <vt:variant>
        <vt:i4>8323182</vt:i4>
      </vt:variant>
      <vt:variant>
        <vt:i4>9</vt:i4>
      </vt:variant>
      <vt:variant>
        <vt:i4>0</vt:i4>
      </vt:variant>
      <vt:variant>
        <vt:i4>5</vt:i4>
      </vt:variant>
      <vt:variant>
        <vt:lpwstr>http://www.nevo.co.il/law/74918</vt:lpwstr>
      </vt:variant>
      <vt:variant>
        <vt:lpwstr/>
      </vt:variant>
      <vt:variant>
        <vt:i4>4784210</vt:i4>
      </vt:variant>
      <vt:variant>
        <vt:i4>6</vt:i4>
      </vt:variant>
      <vt:variant>
        <vt:i4>0</vt:i4>
      </vt:variant>
      <vt:variant>
        <vt:i4>5</vt:i4>
      </vt:variant>
      <vt:variant>
        <vt:lpwstr>http://www.nevo.co.il/law/4216/36a.e</vt:lpwstr>
      </vt:variant>
      <vt:variant>
        <vt:lpwstr/>
      </vt:variant>
      <vt:variant>
        <vt:i4>5046354</vt:i4>
      </vt:variant>
      <vt:variant>
        <vt:i4>3</vt:i4>
      </vt:variant>
      <vt:variant>
        <vt:i4>0</vt:i4>
      </vt:variant>
      <vt:variant>
        <vt:i4>5</vt:i4>
      </vt:variant>
      <vt:variant>
        <vt:lpwstr>http://www.nevo.co.il/law/4216/36a.a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2025-04-23T00:45:00Z</dcterms:created>
  <dcterms:modified xsi:type="dcterms:W3CDTF">2025-04-23T00:45:00Z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57378</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עומר אבו דיא</vt:lpwstr>
  </property>
  <property fmtid="{D5CDD505-2E9C-101B-9397-08002B2CF9AE}" pid="10" name="LAWYER">
    <vt:lpwstr>גל נשרים;הילי ברגמן;אכרם חליחל</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20210325</vt:lpwstr>
  </property>
  <property fmtid="{D5CDD505-2E9C-101B-9397-08002B2CF9AE}" pid="14" name="TYPE_N_DATE">
    <vt:lpwstr>38020210325</vt:lpwstr>
  </property>
  <property fmtid="{D5CDD505-2E9C-101B-9397-08002B2CF9AE}" pid="15" name="WORDNUMPAGES">
    <vt:lpwstr>8</vt:lpwstr>
  </property>
  <property fmtid="{D5CDD505-2E9C-101B-9397-08002B2CF9AE}" pid="16" name="TYPE_ABS_DATE">
    <vt:lpwstr>380020210325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26246488;24356442;20956295;20052568;12063973;5590169;20138359</vt:lpwstr>
  </property>
  <property fmtid="{D5CDD505-2E9C-101B-9397-08002B2CF9AE}" pid="36" name="LAWLISTTMP1">
    <vt:lpwstr>4216/036a.a:2;036a.e</vt:lpwstr>
  </property>
  <property fmtid="{D5CDD505-2E9C-101B-9397-08002B2CF9AE}" pid="37" name="LAWLISTTMP2">
    <vt:lpwstr>74918/039</vt:lpwstr>
  </property>
</Properties>
</file>