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9D560F" w:rsidRPr="00C45E33" w14:paraId="0EA789B2" w14:textId="77777777" w:rsidTr="00342719">
        <w:trPr>
          <w:trHeight w:hRule="exact" w:val="418"/>
          <w:jc w:val="center"/>
        </w:trPr>
        <w:tc>
          <w:tcPr>
            <w:tcW w:w="8721" w:type="dxa"/>
          </w:tcPr>
          <w:p w14:paraId="5F530304" w14:textId="77777777" w:rsidR="009D560F" w:rsidRPr="00C45E33" w:rsidRDefault="009D560F" w:rsidP="00342719">
            <w:pPr>
              <w:pStyle w:val="a3"/>
              <w:jc w:val="center"/>
              <w:rPr>
                <w:rFonts w:ascii="Tahoma" w:hAnsi="Tahoma" w:cs="Tahoma"/>
                <w:color w:val="000080"/>
                <w:rtl/>
              </w:rPr>
            </w:pPr>
            <w:bookmarkStart w:id="0" w:name="LastJudge"/>
            <w:r w:rsidRPr="00C45E33">
              <w:rPr>
                <w:rFonts w:ascii="Tahoma" w:hAnsi="Tahoma" w:cs="Tahoma"/>
                <w:b/>
                <w:bCs/>
                <w:color w:val="000080"/>
                <w:rtl/>
              </w:rPr>
              <w:t>בית משפט השלום בחיפה</w:t>
            </w:r>
          </w:p>
        </w:tc>
      </w:tr>
      <w:tr w:rsidR="009D560F" w:rsidRPr="00C45E33" w14:paraId="68EC0571" w14:textId="77777777" w:rsidTr="00342719">
        <w:trPr>
          <w:trHeight w:val="337"/>
          <w:jc w:val="center"/>
        </w:trPr>
        <w:tc>
          <w:tcPr>
            <w:tcW w:w="8721" w:type="dxa"/>
          </w:tcPr>
          <w:p w14:paraId="4C5A31F4" w14:textId="77777777" w:rsidR="009D560F" w:rsidRPr="00C45E33" w:rsidRDefault="009D560F" w:rsidP="00342719">
            <w:pPr>
              <w:rPr>
                <w:b/>
                <w:bCs/>
                <w:sz w:val="26"/>
                <w:szCs w:val="26"/>
                <w:rtl/>
              </w:rPr>
            </w:pPr>
            <w:r w:rsidRPr="00C45E33">
              <w:rPr>
                <w:b/>
                <w:bCs/>
                <w:sz w:val="26"/>
                <w:szCs w:val="26"/>
                <w:rtl/>
              </w:rPr>
              <w:t xml:space="preserve">ת"פ </w:t>
            </w:r>
            <w:hyperlink r:id="rId6" w:history="1">
              <w:r w:rsidR="00FF3D0A" w:rsidRPr="00FF3D0A">
                <w:rPr>
                  <w:b/>
                  <w:bCs/>
                  <w:color w:val="0000FF"/>
                  <w:sz w:val="26"/>
                  <w:szCs w:val="26"/>
                  <w:u w:val="single"/>
                  <w:rtl/>
                </w:rPr>
                <w:t xml:space="preserve">37062-10-20 </w:t>
              </w:r>
            </w:hyperlink>
            <w:r w:rsidRPr="00C45E33">
              <w:rPr>
                <w:b/>
                <w:bCs/>
                <w:sz w:val="26"/>
                <w:szCs w:val="26"/>
                <w:rtl/>
              </w:rPr>
              <w:t xml:space="preserve"> מדינת ישראל נ' מחרום(עציר)</w:t>
            </w:r>
          </w:p>
          <w:p w14:paraId="3B3B31A3" w14:textId="77777777" w:rsidR="009D560F" w:rsidRPr="00C45E33" w:rsidRDefault="009D560F" w:rsidP="00342719">
            <w:pPr>
              <w:rPr>
                <w:rtl/>
              </w:rPr>
            </w:pPr>
          </w:p>
        </w:tc>
      </w:tr>
    </w:tbl>
    <w:p w14:paraId="4199A7FA" w14:textId="77777777" w:rsidR="009D560F" w:rsidRPr="00C45E33" w:rsidRDefault="009D560F" w:rsidP="009D560F">
      <w:pPr>
        <w:pStyle w:val="a3"/>
        <w:rPr>
          <w:rtl/>
        </w:rPr>
      </w:pPr>
      <w:r w:rsidRPr="00C45E33">
        <w:rPr>
          <w:rtl/>
        </w:rPr>
        <w:t xml:space="preserve"> </w:t>
      </w:r>
    </w:p>
    <w:p w14:paraId="3ECDF930" w14:textId="77777777" w:rsidR="009D560F" w:rsidRPr="00C45E33" w:rsidRDefault="009D560F" w:rsidP="009D560F">
      <w:pPr>
        <w:suppressLineNumbers/>
        <w:rPr>
          <w:rtl/>
        </w:rPr>
      </w:pPr>
    </w:p>
    <w:p w14:paraId="7EDD7855" w14:textId="77777777" w:rsidR="009D560F" w:rsidRPr="00C45E33" w:rsidRDefault="009D560F" w:rsidP="009D560F">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9D560F" w:rsidRPr="00C45E33" w14:paraId="0DA3FF7F" w14:textId="77777777" w:rsidTr="009D560F">
        <w:trPr>
          <w:jc w:val="center"/>
        </w:trPr>
        <w:tc>
          <w:tcPr>
            <w:tcW w:w="743" w:type="dxa"/>
            <w:shd w:val="clear" w:color="auto" w:fill="auto"/>
          </w:tcPr>
          <w:p w14:paraId="115E432D" w14:textId="77777777" w:rsidR="009D560F" w:rsidRPr="00C45E33" w:rsidRDefault="009D560F" w:rsidP="009D560F">
            <w:pPr>
              <w:jc w:val="both"/>
              <w:rPr>
                <w:rFonts w:ascii="Arial" w:hAnsi="Arial"/>
                <w:b/>
                <w:bCs/>
              </w:rPr>
            </w:pPr>
            <w:r w:rsidRPr="00C45E33">
              <w:rPr>
                <w:rFonts w:ascii="Arial" w:hAnsi="Arial" w:hint="cs"/>
                <w:b/>
                <w:bCs/>
                <w:rtl/>
              </w:rPr>
              <w:t>ב</w:t>
            </w:r>
            <w:r w:rsidRPr="00C45E33">
              <w:rPr>
                <w:rFonts w:ascii="Arial" w:hAnsi="Arial"/>
                <w:b/>
                <w:bCs/>
                <w:rtl/>
              </w:rPr>
              <w:t xml:space="preserve">פני </w:t>
            </w:r>
          </w:p>
        </w:tc>
        <w:tc>
          <w:tcPr>
            <w:tcW w:w="8077" w:type="dxa"/>
            <w:gridSpan w:val="2"/>
            <w:shd w:val="clear" w:color="auto" w:fill="auto"/>
          </w:tcPr>
          <w:p w14:paraId="6843D735" w14:textId="77777777" w:rsidR="009D560F" w:rsidRPr="00C45E33" w:rsidRDefault="009D560F" w:rsidP="00342719">
            <w:pPr>
              <w:rPr>
                <w:rFonts w:ascii="Arial" w:hAnsi="Arial" w:cs="FrankRuehl"/>
                <w:sz w:val="28"/>
                <w:szCs w:val="28"/>
                <w:highlight w:val="yellow"/>
              </w:rPr>
            </w:pPr>
            <w:r w:rsidRPr="00C45E33">
              <w:rPr>
                <w:rFonts w:hint="cs"/>
                <w:b/>
                <w:bCs/>
                <w:sz w:val="26"/>
                <w:szCs w:val="26"/>
                <w:rtl/>
              </w:rPr>
              <w:t>כב' השופטת אורית קנטור, שופטת בכירה</w:t>
            </w:r>
          </w:p>
        </w:tc>
      </w:tr>
      <w:tr w:rsidR="009D560F" w:rsidRPr="00C45E33" w14:paraId="36CC3282" w14:textId="77777777" w:rsidTr="009D560F">
        <w:trPr>
          <w:jc w:val="center"/>
        </w:trPr>
        <w:tc>
          <w:tcPr>
            <w:tcW w:w="3249" w:type="dxa"/>
            <w:gridSpan w:val="2"/>
            <w:shd w:val="clear" w:color="auto" w:fill="auto"/>
          </w:tcPr>
          <w:p w14:paraId="678D6C8C" w14:textId="77777777" w:rsidR="009D560F" w:rsidRPr="00C45E33" w:rsidRDefault="009D560F" w:rsidP="009D560F">
            <w:pPr>
              <w:bidi w:val="0"/>
              <w:jc w:val="right"/>
              <w:rPr>
                <w:rFonts w:ascii="Arial" w:hAnsi="Arial"/>
                <w:b/>
                <w:bCs/>
                <w:sz w:val="26"/>
                <w:szCs w:val="26"/>
              </w:rPr>
            </w:pPr>
            <w:bookmarkStart w:id="1" w:name="FirstAppellant"/>
          </w:p>
          <w:p w14:paraId="378A26A7" w14:textId="77777777" w:rsidR="009D560F" w:rsidRPr="00C45E33" w:rsidRDefault="009D560F" w:rsidP="009D560F">
            <w:pPr>
              <w:bidi w:val="0"/>
              <w:jc w:val="right"/>
              <w:rPr>
                <w:rFonts w:ascii="Arial" w:hAnsi="Arial"/>
                <w:b/>
                <w:bCs/>
                <w:sz w:val="26"/>
                <w:szCs w:val="26"/>
                <w:rtl/>
              </w:rPr>
            </w:pPr>
            <w:r w:rsidRPr="00C45E33">
              <w:rPr>
                <w:rFonts w:ascii="Arial" w:hAnsi="Arial"/>
                <w:b/>
                <w:bCs/>
                <w:sz w:val="26"/>
                <w:szCs w:val="26"/>
                <w:rtl/>
              </w:rPr>
              <w:t>מאשימה</w:t>
            </w:r>
          </w:p>
        </w:tc>
        <w:tc>
          <w:tcPr>
            <w:tcW w:w="5571" w:type="dxa"/>
            <w:shd w:val="clear" w:color="auto" w:fill="auto"/>
          </w:tcPr>
          <w:p w14:paraId="49F9AECE" w14:textId="77777777" w:rsidR="009D560F" w:rsidRPr="00C45E33" w:rsidRDefault="009D560F" w:rsidP="00342719">
            <w:pPr>
              <w:rPr>
                <w:rFonts w:ascii="Arial" w:hAnsi="Arial"/>
                <w:b/>
                <w:bCs/>
                <w:sz w:val="26"/>
                <w:szCs w:val="26"/>
              </w:rPr>
            </w:pPr>
          </w:p>
          <w:p w14:paraId="0AB40262" w14:textId="77777777" w:rsidR="009D560F" w:rsidRPr="00C45E33" w:rsidRDefault="009D560F" w:rsidP="00342719">
            <w:pPr>
              <w:rPr>
                <w:b/>
                <w:bCs/>
                <w:sz w:val="26"/>
                <w:szCs w:val="26"/>
              </w:rPr>
            </w:pPr>
            <w:r w:rsidRPr="00C45E33">
              <w:rPr>
                <w:rFonts w:ascii="Arial" w:hAnsi="Arial"/>
                <w:b/>
                <w:bCs/>
                <w:sz w:val="26"/>
                <w:szCs w:val="26"/>
                <w:rtl/>
              </w:rPr>
              <w:t>מדינת ישראל</w:t>
            </w:r>
          </w:p>
        </w:tc>
      </w:tr>
      <w:bookmarkEnd w:id="1"/>
      <w:tr w:rsidR="009D560F" w:rsidRPr="00C45E33" w14:paraId="70DBB38E" w14:textId="77777777" w:rsidTr="009D560F">
        <w:trPr>
          <w:jc w:val="center"/>
        </w:trPr>
        <w:tc>
          <w:tcPr>
            <w:tcW w:w="8820" w:type="dxa"/>
            <w:gridSpan w:val="3"/>
            <w:shd w:val="clear" w:color="auto" w:fill="auto"/>
          </w:tcPr>
          <w:p w14:paraId="52BA74F3" w14:textId="77777777" w:rsidR="009D560F" w:rsidRPr="00C45E33" w:rsidRDefault="009D560F" w:rsidP="00342719">
            <w:pPr>
              <w:rPr>
                <w:rFonts w:ascii="Arial" w:hAnsi="Arial"/>
                <w:b/>
                <w:bCs/>
                <w:sz w:val="26"/>
                <w:szCs w:val="26"/>
                <w:rtl/>
              </w:rPr>
            </w:pPr>
          </w:p>
          <w:p w14:paraId="5625724E" w14:textId="77777777" w:rsidR="009D560F" w:rsidRPr="00C45E33" w:rsidRDefault="009D560F" w:rsidP="009D560F">
            <w:pPr>
              <w:jc w:val="center"/>
              <w:rPr>
                <w:rFonts w:ascii="Arial" w:hAnsi="Arial"/>
                <w:b/>
                <w:bCs/>
                <w:sz w:val="26"/>
                <w:szCs w:val="26"/>
                <w:rtl/>
              </w:rPr>
            </w:pPr>
            <w:r w:rsidRPr="00C45E33">
              <w:rPr>
                <w:rFonts w:ascii="Arial" w:hAnsi="Arial"/>
                <w:b/>
                <w:bCs/>
                <w:sz w:val="26"/>
                <w:szCs w:val="26"/>
                <w:rtl/>
              </w:rPr>
              <w:t>נגד</w:t>
            </w:r>
          </w:p>
          <w:p w14:paraId="759F06FB" w14:textId="77777777" w:rsidR="009D560F" w:rsidRPr="00C45E33" w:rsidRDefault="009D560F" w:rsidP="00342719">
            <w:pPr>
              <w:rPr>
                <w:rFonts w:ascii="Arial" w:hAnsi="Arial"/>
                <w:b/>
                <w:bCs/>
                <w:sz w:val="26"/>
                <w:szCs w:val="26"/>
              </w:rPr>
            </w:pPr>
          </w:p>
        </w:tc>
      </w:tr>
      <w:tr w:rsidR="009D560F" w:rsidRPr="00C45E33" w14:paraId="3D63FEFB" w14:textId="77777777" w:rsidTr="009D560F">
        <w:trPr>
          <w:jc w:val="center"/>
        </w:trPr>
        <w:tc>
          <w:tcPr>
            <w:tcW w:w="3249" w:type="dxa"/>
            <w:gridSpan w:val="2"/>
            <w:shd w:val="clear" w:color="auto" w:fill="auto"/>
          </w:tcPr>
          <w:p w14:paraId="37844FD7" w14:textId="77777777" w:rsidR="009D560F" w:rsidRPr="00C45E33" w:rsidRDefault="009D560F" w:rsidP="00342719">
            <w:pPr>
              <w:rPr>
                <w:rFonts w:ascii="Arial" w:hAnsi="Arial"/>
                <w:b/>
                <w:bCs/>
                <w:sz w:val="26"/>
                <w:szCs w:val="26"/>
                <w:rtl/>
              </w:rPr>
            </w:pPr>
          </w:p>
          <w:p w14:paraId="69F7AB51" w14:textId="77777777" w:rsidR="009D560F" w:rsidRPr="00C45E33" w:rsidRDefault="009D560F" w:rsidP="00342719">
            <w:pPr>
              <w:rPr>
                <w:rFonts w:ascii="Arial" w:hAnsi="Arial"/>
                <w:b/>
                <w:bCs/>
                <w:sz w:val="26"/>
                <w:szCs w:val="26"/>
              </w:rPr>
            </w:pPr>
            <w:r w:rsidRPr="00C45E33">
              <w:rPr>
                <w:rFonts w:ascii="Arial" w:hAnsi="Arial"/>
                <w:b/>
                <w:bCs/>
                <w:sz w:val="26"/>
                <w:szCs w:val="26"/>
                <w:rtl/>
              </w:rPr>
              <w:t>נאשמים</w:t>
            </w:r>
          </w:p>
        </w:tc>
        <w:tc>
          <w:tcPr>
            <w:tcW w:w="5571" w:type="dxa"/>
            <w:shd w:val="clear" w:color="auto" w:fill="auto"/>
          </w:tcPr>
          <w:p w14:paraId="5D7435D0" w14:textId="77777777" w:rsidR="009D560F" w:rsidRPr="00C45E33" w:rsidRDefault="009D560F" w:rsidP="00342719">
            <w:pPr>
              <w:rPr>
                <w:rFonts w:ascii="Arial" w:hAnsi="Arial"/>
                <w:b/>
                <w:bCs/>
                <w:sz w:val="26"/>
                <w:szCs w:val="26"/>
                <w:rtl/>
              </w:rPr>
            </w:pPr>
          </w:p>
          <w:p w14:paraId="4E416246" w14:textId="77777777" w:rsidR="009D560F" w:rsidRPr="00C45E33" w:rsidRDefault="009D560F" w:rsidP="00342719">
            <w:pPr>
              <w:rPr>
                <w:b/>
                <w:bCs/>
                <w:sz w:val="26"/>
                <w:szCs w:val="26"/>
                <w:rtl/>
              </w:rPr>
            </w:pPr>
            <w:r w:rsidRPr="00C45E33">
              <w:rPr>
                <w:rFonts w:ascii="Arial" w:hAnsi="Arial"/>
                <w:b/>
                <w:bCs/>
                <w:sz w:val="26"/>
                <w:szCs w:val="26"/>
                <w:rtl/>
              </w:rPr>
              <w:t>ראזי מחרום (עציר)</w:t>
            </w:r>
          </w:p>
        </w:tc>
      </w:tr>
    </w:tbl>
    <w:p w14:paraId="4039BE12" w14:textId="77777777" w:rsidR="004D4970" w:rsidRDefault="004D4970" w:rsidP="009D560F">
      <w:pPr>
        <w:suppressLineNumbers/>
        <w:rPr>
          <w:rtl/>
        </w:rPr>
      </w:pPr>
    </w:p>
    <w:p w14:paraId="023D9F0C" w14:textId="77777777" w:rsidR="004D4970" w:rsidRPr="004D4970" w:rsidRDefault="004D4970" w:rsidP="004D4970">
      <w:pPr>
        <w:suppressLineNumbers/>
        <w:spacing w:after="120" w:line="240" w:lineRule="exact"/>
        <w:ind w:left="283" w:hanging="283"/>
        <w:jc w:val="both"/>
        <w:rPr>
          <w:rFonts w:ascii="FrankRuehl" w:hAnsi="FrankRuehl" w:cs="FrankRuehl"/>
          <w:rtl/>
        </w:rPr>
      </w:pPr>
    </w:p>
    <w:p w14:paraId="110B2F0F" w14:textId="77777777" w:rsidR="002910EE" w:rsidRPr="002910EE" w:rsidRDefault="002910EE" w:rsidP="002910EE">
      <w:pPr>
        <w:suppressLineNumbers/>
        <w:spacing w:before="120" w:after="120" w:line="240" w:lineRule="exact"/>
        <w:ind w:left="283" w:hanging="283"/>
        <w:jc w:val="both"/>
        <w:rPr>
          <w:rFonts w:ascii="FrankRuehl" w:hAnsi="FrankRuehl" w:cs="FrankRuehl"/>
          <w:rtl/>
        </w:rPr>
      </w:pPr>
    </w:p>
    <w:p w14:paraId="7518FF8E" w14:textId="77777777" w:rsidR="00C14A5C" w:rsidRDefault="00C14A5C" w:rsidP="00C14A5C">
      <w:pPr>
        <w:suppressLineNumbers/>
        <w:rPr>
          <w:rtl/>
        </w:rPr>
      </w:pPr>
      <w:bookmarkStart w:id="2" w:name="LawTable"/>
      <w:bookmarkEnd w:id="2"/>
    </w:p>
    <w:p w14:paraId="5B10E8C4" w14:textId="77777777" w:rsidR="00C14A5C" w:rsidRPr="00C14A5C" w:rsidRDefault="00C14A5C" w:rsidP="00C14A5C">
      <w:pPr>
        <w:suppressLineNumbers/>
        <w:spacing w:before="120" w:after="120" w:line="240" w:lineRule="exact"/>
        <w:ind w:left="283" w:hanging="283"/>
        <w:jc w:val="both"/>
        <w:rPr>
          <w:rFonts w:ascii="FrankRuehl" w:hAnsi="FrankRuehl" w:cs="FrankRuehl"/>
          <w:rtl/>
        </w:rPr>
      </w:pPr>
    </w:p>
    <w:p w14:paraId="32BE7C8C" w14:textId="77777777" w:rsidR="00C14A5C" w:rsidRPr="00C14A5C" w:rsidRDefault="00C14A5C" w:rsidP="00C14A5C">
      <w:pPr>
        <w:suppressLineNumbers/>
        <w:spacing w:before="120" w:after="120" w:line="240" w:lineRule="exact"/>
        <w:ind w:left="283" w:hanging="283"/>
        <w:jc w:val="both"/>
        <w:rPr>
          <w:rFonts w:ascii="FrankRuehl" w:hAnsi="FrankRuehl" w:cs="FrankRuehl"/>
          <w:rtl/>
        </w:rPr>
      </w:pPr>
    </w:p>
    <w:p w14:paraId="50BCDC6D" w14:textId="77777777" w:rsidR="00C14A5C" w:rsidRPr="00C14A5C" w:rsidRDefault="00C14A5C" w:rsidP="00C14A5C">
      <w:pPr>
        <w:suppressLineNumbers/>
        <w:spacing w:before="120" w:after="120" w:line="240" w:lineRule="exact"/>
        <w:ind w:left="283" w:hanging="283"/>
        <w:jc w:val="both"/>
        <w:rPr>
          <w:rFonts w:ascii="FrankRuehl" w:hAnsi="FrankRuehl" w:cs="FrankRuehl"/>
          <w:rtl/>
        </w:rPr>
      </w:pPr>
      <w:r w:rsidRPr="00C14A5C">
        <w:rPr>
          <w:rFonts w:ascii="FrankRuehl" w:hAnsi="FrankRuehl" w:cs="FrankRuehl"/>
          <w:rtl/>
        </w:rPr>
        <w:t xml:space="preserve">חקיקה שאוזכרה: </w:t>
      </w:r>
    </w:p>
    <w:p w14:paraId="78612C11" w14:textId="77777777" w:rsidR="00C14A5C" w:rsidRPr="00C14A5C" w:rsidRDefault="00C14A5C" w:rsidP="00C14A5C">
      <w:pPr>
        <w:suppressLineNumbers/>
        <w:spacing w:before="120" w:after="120" w:line="240" w:lineRule="exact"/>
        <w:ind w:left="283" w:hanging="283"/>
        <w:jc w:val="both"/>
        <w:rPr>
          <w:rFonts w:ascii="FrankRuehl" w:hAnsi="FrankRuehl" w:cs="FrankRuehl"/>
          <w:rtl/>
        </w:rPr>
      </w:pPr>
      <w:hyperlink r:id="rId7" w:history="1">
        <w:r w:rsidRPr="00C14A5C">
          <w:rPr>
            <w:rFonts w:ascii="FrankRuehl" w:hAnsi="FrankRuehl" w:cs="FrankRuehl"/>
            <w:color w:val="0000FF"/>
            <w:rtl/>
          </w:rPr>
          <w:t>פקודת הסמים המסוכנים [נוסח חדש], תשל"ג-1973</w:t>
        </w:r>
      </w:hyperlink>
      <w:r w:rsidRPr="00C14A5C">
        <w:rPr>
          <w:rFonts w:ascii="FrankRuehl" w:hAnsi="FrankRuehl" w:cs="FrankRuehl"/>
          <w:rtl/>
        </w:rPr>
        <w:t xml:space="preserve">: סע'  </w:t>
      </w:r>
      <w:hyperlink r:id="rId8" w:history="1">
        <w:r w:rsidRPr="00C14A5C">
          <w:rPr>
            <w:rFonts w:ascii="FrankRuehl" w:hAnsi="FrankRuehl" w:cs="FrankRuehl"/>
            <w:color w:val="0000FF"/>
            <w:rtl/>
          </w:rPr>
          <w:t>7.א.</w:t>
        </w:r>
      </w:hyperlink>
      <w:r w:rsidRPr="00C14A5C">
        <w:rPr>
          <w:rFonts w:ascii="FrankRuehl" w:hAnsi="FrankRuehl" w:cs="FrankRuehl"/>
          <w:rtl/>
        </w:rPr>
        <w:t xml:space="preserve">, </w:t>
      </w:r>
      <w:hyperlink r:id="rId9" w:history="1">
        <w:r w:rsidRPr="00C14A5C">
          <w:rPr>
            <w:rFonts w:ascii="FrankRuehl" w:hAnsi="FrankRuehl" w:cs="FrankRuehl"/>
            <w:color w:val="0000FF"/>
            <w:rtl/>
          </w:rPr>
          <w:t>7.ג</w:t>
        </w:r>
      </w:hyperlink>
    </w:p>
    <w:p w14:paraId="42E48CA6" w14:textId="77777777" w:rsidR="00C14A5C" w:rsidRPr="00C14A5C" w:rsidRDefault="00C14A5C" w:rsidP="00C14A5C">
      <w:pPr>
        <w:suppressLineNumbers/>
        <w:spacing w:before="120" w:after="120" w:line="240" w:lineRule="exact"/>
        <w:ind w:left="283" w:hanging="283"/>
        <w:jc w:val="both"/>
        <w:rPr>
          <w:rFonts w:ascii="FrankRuehl" w:hAnsi="FrankRuehl" w:cs="FrankRuehl"/>
          <w:rtl/>
        </w:rPr>
      </w:pPr>
      <w:hyperlink r:id="rId10" w:history="1">
        <w:r w:rsidRPr="00C14A5C">
          <w:rPr>
            <w:rFonts w:ascii="FrankRuehl" w:hAnsi="FrankRuehl" w:cs="FrankRuehl"/>
            <w:color w:val="0000FF"/>
            <w:rtl/>
          </w:rPr>
          <w:t>חוק העונשין, תשל"ז-1977</w:t>
        </w:r>
      </w:hyperlink>
      <w:r w:rsidRPr="00C14A5C">
        <w:rPr>
          <w:rFonts w:ascii="FrankRuehl" w:hAnsi="FrankRuehl" w:cs="FrankRuehl"/>
          <w:rtl/>
        </w:rPr>
        <w:t xml:space="preserve">: סע'  </w:t>
      </w:r>
      <w:hyperlink r:id="rId11" w:history="1">
        <w:r w:rsidRPr="00C14A5C">
          <w:rPr>
            <w:rFonts w:ascii="FrankRuehl" w:hAnsi="FrankRuehl" w:cs="FrankRuehl"/>
            <w:color w:val="0000FF"/>
            <w:rtl/>
          </w:rPr>
          <w:t>40ב</w:t>
        </w:r>
      </w:hyperlink>
      <w:r w:rsidRPr="00C14A5C">
        <w:rPr>
          <w:rFonts w:ascii="FrankRuehl" w:hAnsi="FrankRuehl" w:cs="FrankRuehl"/>
          <w:rtl/>
        </w:rPr>
        <w:t xml:space="preserve">, </w:t>
      </w:r>
      <w:hyperlink r:id="rId12" w:history="1">
        <w:r w:rsidRPr="00C14A5C">
          <w:rPr>
            <w:rFonts w:ascii="FrankRuehl" w:hAnsi="FrankRuehl" w:cs="FrankRuehl"/>
            <w:color w:val="0000FF"/>
            <w:rtl/>
          </w:rPr>
          <w:t>40ג</w:t>
        </w:r>
      </w:hyperlink>
      <w:r w:rsidRPr="00C14A5C">
        <w:rPr>
          <w:rFonts w:ascii="FrankRuehl" w:hAnsi="FrankRuehl" w:cs="FrankRuehl"/>
          <w:rtl/>
        </w:rPr>
        <w:t xml:space="preserve">, </w:t>
      </w:r>
      <w:hyperlink r:id="rId13" w:history="1">
        <w:r w:rsidRPr="00C14A5C">
          <w:rPr>
            <w:rFonts w:ascii="FrankRuehl" w:hAnsi="FrankRuehl" w:cs="FrankRuehl"/>
            <w:color w:val="0000FF"/>
            <w:rtl/>
          </w:rPr>
          <w:t>40ד'</w:t>
        </w:r>
      </w:hyperlink>
    </w:p>
    <w:p w14:paraId="54F49B8A" w14:textId="77777777" w:rsidR="00C14A5C" w:rsidRPr="00C14A5C" w:rsidRDefault="00C14A5C" w:rsidP="00C14A5C">
      <w:pPr>
        <w:suppressLineNumbers/>
        <w:rPr>
          <w:rtl/>
        </w:rPr>
      </w:pPr>
      <w:bookmarkStart w:id="3" w:name="LawTable_End"/>
      <w:bookmarkEnd w:id="3"/>
    </w:p>
    <w:p w14:paraId="46FFD1CD" w14:textId="77777777" w:rsidR="009D560F" w:rsidRPr="002910EE" w:rsidRDefault="009D560F" w:rsidP="002910EE">
      <w:pPr>
        <w:suppressLineNumbers/>
      </w:pPr>
    </w:p>
    <w:tbl>
      <w:tblPr>
        <w:bidiVisual/>
        <w:tblW w:w="8820" w:type="dxa"/>
        <w:jc w:val="center"/>
        <w:tblLook w:val="01E0" w:firstRow="1" w:lastRow="1" w:firstColumn="1" w:lastColumn="1" w:noHBand="0" w:noVBand="0"/>
      </w:tblPr>
      <w:tblGrid>
        <w:gridCol w:w="8820"/>
      </w:tblGrid>
      <w:tr w:rsidR="009D560F" w14:paraId="10C8587A" w14:textId="77777777" w:rsidTr="009D560F">
        <w:trPr>
          <w:jc w:val="center"/>
        </w:trPr>
        <w:tc>
          <w:tcPr>
            <w:tcW w:w="8820" w:type="dxa"/>
            <w:shd w:val="clear" w:color="auto" w:fill="auto"/>
          </w:tcPr>
          <w:p w14:paraId="5F20890D" w14:textId="77777777" w:rsidR="00C45E33" w:rsidRPr="00C45E33" w:rsidRDefault="00C45E33" w:rsidP="00C45E33">
            <w:pPr>
              <w:bidi w:val="0"/>
              <w:jc w:val="center"/>
              <w:rPr>
                <w:rFonts w:ascii="Arial" w:hAnsi="Arial"/>
                <w:b/>
                <w:bCs/>
                <w:sz w:val="28"/>
                <w:szCs w:val="28"/>
                <w:u w:val="single"/>
              </w:rPr>
            </w:pPr>
            <w:bookmarkStart w:id="4" w:name="PsakDin" w:colFirst="0" w:colLast="0"/>
            <w:bookmarkEnd w:id="0"/>
            <w:r w:rsidRPr="00C45E33">
              <w:rPr>
                <w:rFonts w:ascii="Arial" w:hAnsi="Arial"/>
                <w:b/>
                <w:bCs/>
                <w:sz w:val="28"/>
                <w:szCs w:val="28"/>
                <w:u w:val="single"/>
                <w:rtl/>
              </w:rPr>
              <w:t>גזר דין</w:t>
            </w:r>
          </w:p>
          <w:p w14:paraId="7E36A0EB" w14:textId="77777777" w:rsidR="009D560F" w:rsidRPr="00C45E33" w:rsidRDefault="009D560F" w:rsidP="00C45E33">
            <w:pPr>
              <w:bidi w:val="0"/>
              <w:jc w:val="center"/>
              <w:rPr>
                <w:rFonts w:ascii="Arial" w:hAnsi="Arial"/>
                <w:b/>
                <w:bCs/>
                <w:sz w:val="28"/>
                <w:szCs w:val="28"/>
                <w:u w:val="single"/>
              </w:rPr>
            </w:pPr>
          </w:p>
        </w:tc>
      </w:tr>
      <w:bookmarkEnd w:id="4"/>
    </w:tbl>
    <w:p w14:paraId="70F6F298" w14:textId="77777777" w:rsidR="009D560F" w:rsidRDefault="009D560F" w:rsidP="009D560F">
      <w:pPr>
        <w:spacing w:line="360" w:lineRule="auto"/>
        <w:jc w:val="both"/>
        <w:rPr>
          <w:rFonts w:ascii="Arial" w:hAnsi="Arial"/>
          <w:rtl/>
        </w:rPr>
      </w:pPr>
    </w:p>
    <w:p w14:paraId="4CC5ACDA" w14:textId="77777777" w:rsidR="009D560F" w:rsidRPr="00877AC5" w:rsidRDefault="009D560F" w:rsidP="009D560F">
      <w:pPr>
        <w:spacing w:line="360" w:lineRule="auto"/>
        <w:ind w:left="720" w:hanging="720"/>
        <w:jc w:val="both"/>
        <w:rPr>
          <w:rFonts w:ascii="David" w:hAnsi="David"/>
          <w:b/>
          <w:bCs/>
          <w:u w:val="single"/>
          <w:rtl/>
        </w:rPr>
      </w:pPr>
      <w:r w:rsidRPr="00877AC5">
        <w:rPr>
          <w:rFonts w:ascii="David" w:hAnsi="David"/>
          <w:b/>
          <w:bCs/>
          <w:u w:val="single"/>
          <w:rtl/>
        </w:rPr>
        <w:t>עובדות</w:t>
      </w:r>
      <w:r>
        <w:rPr>
          <w:rFonts w:ascii="David" w:hAnsi="David" w:hint="cs"/>
          <w:b/>
          <w:bCs/>
          <w:u w:val="single"/>
          <w:rtl/>
        </w:rPr>
        <w:t>:</w:t>
      </w:r>
    </w:p>
    <w:p w14:paraId="5684F5F2" w14:textId="77777777" w:rsidR="009D560F" w:rsidRPr="00877AC5" w:rsidRDefault="009D560F" w:rsidP="009D560F">
      <w:pPr>
        <w:spacing w:line="360" w:lineRule="auto"/>
        <w:ind w:left="720" w:hanging="720"/>
        <w:jc w:val="both"/>
        <w:rPr>
          <w:rFonts w:ascii="David" w:hAnsi="David"/>
          <w:rtl/>
        </w:rPr>
      </w:pPr>
      <w:r>
        <w:rPr>
          <w:rFonts w:ascii="David" w:hAnsi="David" w:hint="cs"/>
          <w:rtl/>
        </w:rPr>
        <w:t>1.</w:t>
      </w:r>
      <w:r>
        <w:rPr>
          <w:rFonts w:ascii="David" w:hAnsi="David" w:hint="cs"/>
          <w:rtl/>
        </w:rPr>
        <w:tab/>
      </w:r>
      <w:bookmarkStart w:id="5" w:name="ABSTRACT_START"/>
      <w:bookmarkEnd w:id="5"/>
      <w:r w:rsidRPr="00877AC5">
        <w:rPr>
          <w:rFonts w:ascii="David" w:hAnsi="David"/>
          <w:rtl/>
        </w:rPr>
        <w:t xml:space="preserve">הנאשם הורשע על פי הודאתו בעבירה של החזקת סמים שלא לצריכה עצמית לפי סעיפים </w:t>
      </w:r>
      <w:hyperlink r:id="rId14" w:history="1">
        <w:r w:rsidR="004D4970" w:rsidRPr="004D4970">
          <w:rPr>
            <w:rStyle w:val="Hyperlink"/>
            <w:rFonts w:ascii="David" w:hAnsi="David"/>
            <w:rtl/>
          </w:rPr>
          <w:t>7(א) ו-7(ג)</w:t>
        </w:r>
      </w:hyperlink>
      <w:r w:rsidRPr="00877AC5">
        <w:rPr>
          <w:rFonts w:ascii="David" w:hAnsi="David"/>
          <w:rtl/>
        </w:rPr>
        <w:t xml:space="preserve"> רישא ל</w:t>
      </w:r>
      <w:hyperlink r:id="rId15" w:history="1">
        <w:r w:rsidR="00C45E33" w:rsidRPr="00C45E33">
          <w:rPr>
            <w:rFonts w:ascii="David" w:hAnsi="David"/>
            <w:color w:val="0000FF"/>
            <w:u w:val="single"/>
            <w:rtl/>
          </w:rPr>
          <w:t>פקודת הסמים המסוכנים</w:t>
        </w:r>
      </w:hyperlink>
      <w:r w:rsidRPr="00877AC5">
        <w:rPr>
          <w:rFonts w:ascii="David" w:hAnsi="David"/>
          <w:rtl/>
        </w:rPr>
        <w:t>.</w:t>
      </w:r>
      <w:r>
        <w:rPr>
          <w:rFonts w:ascii="David" w:hAnsi="David"/>
          <w:rtl/>
        </w:rPr>
        <w:t xml:space="preserve"> </w:t>
      </w:r>
    </w:p>
    <w:p w14:paraId="45DC1B15" w14:textId="77777777" w:rsidR="009D560F" w:rsidRDefault="009D560F" w:rsidP="009D560F">
      <w:pPr>
        <w:pStyle w:val="a9"/>
        <w:spacing w:line="360" w:lineRule="auto"/>
        <w:ind w:hanging="720"/>
        <w:jc w:val="both"/>
        <w:rPr>
          <w:rFonts w:ascii="David" w:hAnsi="David" w:cs="David"/>
          <w:sz w:val="24"/>
          <w:szCs w:val="24"/>
          <w:rtl/>
        </w:rPr>
      </w:pPr>
    </w:p>
    <w:p w14:paraId="2807CA20"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2.</w:t>
      </w:r>
      <w:r>
        <w:rPr>
          <w:rFonts w:ascii="David" w:hAnsi="David" w:cs="David" w:hint="cs"/>
          <w:sz w:val="24"/>
          <w:szCs w:val="24"/>
          <w:rtl/>
        </w:rPr>
        <w:tab/>
      </w:r>
      <w:r w:rsidRPr="00877AC5">
        <w:rPr>
          <w:rFonts w:ascii="David" w:hAnsi="David" w:cs="David"/>
          <w:sz w:val="24"/>
          <w:szCs w:val="24"/>
          <w:rtl/>
        </w:rPr>
        <w:t xml:space="preserve">על פי עובדות כתב האישום, בתאריך 9/10/2020 נסע הנאשם ברכב ביחד עם אחר שנהג ברכב, והחזיק באזור חלציו במכנסיו כפפה ובה סם מסוכן מסוג קוקאין במשקל של 60.3262 גרם נטו. </w:t>
      </w:r>
    </w:p>
    <w:p w14:paraId="4DE1EAC4" w14:textId="77777777" w:rsidR="009D560F" w:rsidRDefault="009D560F" w:rsidP="009D560F">
      <w:pPr>
        <w:pStyle w:val="a9"/>
        <w:spacing w:line="360" w:lineRule="auto"/>
        <w:ind w:hanging="720"/>
        <w:jc w:val="both"/>
        <w:rPr>
          <w:rFonts w:ascii="David" w:hAnsi="David" w:cs="David"/>
          <w:sz w:val="24"/>
          <w:szCs w:val="24"/>
          <w:rtl/>
        </w:rPr>
      </w:pPr>
      <w:bookmarkStart w:id="6" w:name="ABSTRACT_END"/>
      <w:bookmarkEnd w:id="6"/>
    </w:p>
    <w:p w14:paraId="6EF8436E"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w:t>
      </w:r>
      <w:r>
        <w:rPr>
          <w:rFonts w:ascii="David" w:hAnsi="David" w:cs="David" w:hint="cs"/>
          <w:sz w:val="24"/>
          <w:szCs w:val="24"/>
          <w:rtl/>
        </w:rPr>
        <w:tab/>
      </w:r>
      <w:r w:rsidRPr="00877AC5">
        <w:rPr>
          <w:rFonts w:ascii="David" w:hAnsi="David" w:cs="David"/>
          <w:sz w:val="24"/>
          <w:szCs w:val="24"/>
          <w:rtl/>
        </w:rPr>
        <w:t>לאחר הודאתו, הופנה הנאשם אל שירות המבחן על מנת שיכין תסקיר בעניינו.</w:t>
      </w:r>
      <w:r>
        <w:rPr>
          <w:rFonts w:ascii="David" w:hAnsi="David" w:cs="David"/>
          <w:sz w:val="24"/>
          <w:szCs w:val="24"/>
          <w:rtl/>
        </w:rPr>
        <w:t xml:space="preserve"> </w:t>
      </w:r>
    </w:p>
    <w:p w14:paraId="453FD82F" w14:textId="77777777" w:rsidR="009D560F" w:rsidRDefault="009D560F" w:rsidP="009D560F">
      <w:pPr>
        <w:spacing w:line="360" w:lineRule="auto"/>
        <w:ind w:left="720" w:hanging="720"/>
        <w:jc w:val="both"/>
        <w:rPr>
          <w:rFonts w:ascii="David" w:hAnsi="David"/>
          <w:b/>
          <w:bCs/>
          <w:u w:val="single"/>
          <w:rtl/>
        </w:rPr>
      </w:pPr>
    </w:p>
    <w:p w14:paraId="3D555B6A" w14:textId="77777777" w:rsidR="009D560F" w:rsidRPr="00877AC5" w:rsidRDefault="009D560F" w:rsidP="009D560F">
      <w:pPr>
        <w:spacing w:line="360" w:lineRule="auto"/>
        <w:ind w:left="720" w:hanging="720"/>
        <w:jc w:val="both"/>
        <w:rPr>
          <w:rFonts w:ascii="David" w:hAnsi="David"/>
          <w:b/>
          <w:bCs/>
          <w:u w:val="single"/>
        </w:rPr>
      </w:pPr>
      <w:r w:rsidRPr="00877AC5">
        <w:rPr>
          <w:rFonts w:ascii="David" w:hAnsi="David"/>
          <w:b/>
          <w:bCs/>
          <w:u w:val="single"/>
          <w:rtl/>
        </w:rPr>
        <w:t>תסקיר שירות המבחן</w:t>
      </w:r>
      <w:r>
        <w:rPr>
          <w:rFonts w:ascii="David" w:hAnsi="David"/>
          <w:b/>
          <w:bCs/>
          <w:u w:val="single"/>
        </w:rPr>
        <w:t>:</w:t>
      </w:r>
    </w:p>
    <w:p w14:paraId="0EA0D145" w14:textId="77777777" w:rsidR="009D560F" w:rsidRPr="00877AC5" w:rsidRDefault="009D560F" w:rsidP="009D560F">
      <w:pPr>
        <w:pStyle w:val="a9"/>
        <w:spacing w:line="360" w:lineRule="auto"/>
        <w:ind w:hanging="720"/>
        <w:jc w:val="both"/>
        <w:rPr>
          <w:rFonts w:ascii="David" w:hAnsi="David" w:cs="David"/>
          <w:sz w:val="24"/>
          <w:szCs w:val="24"/>
          <w:rtl/>
        </w:rPr>
      </w:pPr>
      <w:r>
        <w:rPr>
          <w:rFonts w:ascii="David" w:hAnsi="David" w:cs="David" w:hint="cs"/>
          <w:sz w:val="24"/>
          <w:szCs w:val="24"/>
          <w:rtl/>
        </w:rPr>
        <w:t>4.</w:t>
      </w:r>
      <w:r>
        <w:rPr>
          <w:rFonts w:ascii="David" w:hAnsi="David" w:cs="David" w:hint="cs"/>
          <w:sz w:val="24"/>
          <w:szCs w:val="24"/>
          <w:rtl/>
        </w:rPr>
        <w:tab/>
      </w:r>
      <w:r w:rsidRPr="00877AC5">
        <w:rPr>
          <w:rFonts w:ascii="David" w:hAnsi="David" w:cs="David"/>
          <w:sz w:val="24"/>
          <w:szCs w:val="24"/>
          <w:rtl/>
        </w:rPr>
        <w:t xml:space="preserve">שירות המבחן ציין, כי הנאשם בן 25 , רווק וללא ילדים, עובר למעצרו התגורר בבית אמו והתקשה לשמור על יציבות במסגרת העבודה. </w:t>
      </w:r>
    </w:p>
    <w:p w14:paraId="4A88FCC9" w14:textId="77777777" w:rsidR="009D560F" w:rsidRDefault="009D560F" w:rsidP="009D560F">
      <w:pPr>
        <w:pStyle w:val="a9"/>
        <w:spacing w:line="360" w:lineRule="auto"/>
        <w:ind w:hanging="720"/>
        <w:jc w:val="both"/>
        <w:rPr>
          <w:rFonts w:ascii="David" w:hAnsi="David" w:cs="David"/>
          <w:sz w:val="24"/>
          <w:szCs w:val="24"/>
          <w:rtl/>
        </w:rPr>
      </w:pPr>
    </w:p>
    <w:p w14:paraId="0456981E"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lastRenderedPageBreak/>
        <w:t>5.</w:t>
      </w:r>
      <w:r>
        <w:rPr>
          <w:rFonts w:ascii="David" w:hAnsi="David" w:cs="David" w:hint="cs"/>
          <w:sz w:val="24"/>
          <w:szCs w:val="24"/>
          <w:rtl/>
        </w:rPr>
        <w:tab/>
      </w:r>
      <w:r w:rsidRPr="00877AC5">
        <w:rPr>
          <w:rFonts w:ascii="David" w:hAnsi="David" w:cs="David"/>
          <w:sz w:val="24"/>
          <w:szCs w:val="24"/>
          <w:rtl/>
        </w:rPr>
        <w:t>שירות המבחן ציין ,כי הנאשם שוהה בבית מעצר "גלבו</w:t>
      </w:r>
      <w:r>
        <w:rPr>
          <w:rFonts w:ascii="David" w:hAnsi="David" w:cs="David"/>
          <w:sz w:val="24"/>
          <w:szCs w:val="24"/>
          <w:rtl/>
        </w:rPr>
        <w:t>ע" מאז מעצרו בחודש אוקטובר 2020</w:t>
      </w:r>
      <w:r w:rsidRPr="00877AC5">
        <w:rPr>
          <w:rFonts w:ascii="David" w:hAnsi="David" w:cs="David"/>
          <w:sz w:val="24"/>
          <w:szCs w:val="24"/>
          <w:rtl/>
        </w:rPr>
        <w:t>,</w:t>
      </w:r>
      <w:r>
        <w:rPr>
          <w:rFonts w:ascii="David" w:hAnsi="David" w:cs="David" w:hint="cs"/>
          <w:sz w:val="24"/>
          <w:szCs w:val="24"/>
          <w:rtl/>
        </w:rPr>
        <w:t xml:space="preserve"> </w:t>
      </w:r>
      <w:r w:rsidRPr="00877AC5">
        <w:rPr>
          <w:rFonts w:ascii="David" w:hAnsi="David" w:cs="David"/>
          <w:sz w:val="24"/>
          <w:szCs w:val="24"/>
          <w:rtl/>
        </w:rPr>
        <w:t xml:space="preserve">והוא תיאר כי חווית המעצר קשה עבורו מאחר שמעולם לא היה מאחורי סורג ובריח. במסגרת מעצרו משתתף הנאשם בקבוצות טיפוליות שונות כגון קבוצה לשליטה בכעסים. </w:t>
      </w:r>
    </w:p>
    <w:p w14:paraId="09167C5C" w14:textId="77777777" w:rsidR="009D560F" w:rsidRDefault="009D560F" w:rsidP="009D560F">
      <w:pPr>
        <w:pStyle w:val="a9"/>
        <w:spacing w:line="360" w:lineRule="auto"/>
        <w:ind w:hanging="720"/>
        <w:jc w:val="both"/>
        <w:rPr>
          <w:rFonts w:ascii="David" w:hAnsi="David" w:cs="David"/>
          <w:sz w:val="24"/>
          <w:szCs w:val="24"/>
          <w:rtl/>
        </w:rPr>
      </w:pPr>
    </w:p>
    <w:p w14:paraId="3EAD9782"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6.</w:t>
      </w:r>
      <w:r>
        <w:rPr>
          <w:rFonts w:ascii="David" w:hAnsi="David" w:cs="David" w:hint="cs"/>
          <w:sz w:val="24"/>
          <w:szCs w:val="24"/>
          <w:rtl/>
        </w:rPr>
        <w:tab/>
      </w:r>
      <w:r w:rsidRPr="00877AC5">
        <w:rPr>
          <w:rFonts w:ascii="David" w:hAnsi="David" w:cs="David"/>
          <w:sz w:val="24"/>
          <w:szCs w:val="24"/>
          <w:rtl/>
        </w:rPr>
        <w:t xml:space="preserve">הנאשם שיתף, כי שנה לאחר שאביו נרצח, כשהיה בן 18, החל לצרוך קנאביס ולהסתובב בחברה שולית הצורכת סמי רחוב. </w:t>
      </w:r>
    </w:p>
    <w:p w14:paraId="249A3803" w14:textId="77777777" w:rsidR="009D560F" w:rsidRDefault="009D560F" w:rsidP="009D560F">
      <w:pPr>
        <w:pStyle w:val="a9"/>
        <w:spacing w:line="360" w:lineRule="auto"/>
        <w:ind w:hanging="720"/>
        <w:jc w:val="both"/>
        <w:rPr>
          <w:rFonts w:ascii="David" w:hAnsi="David" w:cs="David"/>
          <w:sz w:val="24"/>
          <w:szCs w:val="24"/>
          <w:rtl/>
        </w:rPr>
      </w:pPr>
    </w:p>
    <w:p w14:paraId="4B638024"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7.</w:t>
      </w:r>
      <w:r>
        <w:rPr>
          <w:rFonts w:ascii="David" w:hAnsi="David" w:cs="David" w:hint="cs"/>
          <w:sz w:val="24"/>
          <w:szCs w:val="24"/>
          <w:rtl/>
        </w:rPr>
        <w:tab/>
      </w:r>
      <w:r w:rsidRPr="00877AC5">
        <w:rPr>
          <w:rFonts w:ascii="David" w:hAnsi="David" w:cs="David"/>
          <w:sz w:val="24"/>
          <w:szCs w:val="24"/>
          <w:rtl/>
        </w:rPr>
        <w:t xml:space="preserve">שירות המבחן התייחס לכך שלנאשם הרשעה קודמת אחת מחודש מאי 2014 בגין ביצוע עבירת שוד מזויין בחבורה ובאלימות וסיוע לחבלה חמורה. בעקבות הרשעתו, נדון הנאשם למאסר בעבודות שירות וצו מבחן למשך שנה וחצי. </w:t>
      </w:r>
    </w:p>
    <w:p w14:paraId="4337AFA2" w14:textId="77777777" w:rsidR="009D560F" w:rsidRDefault="009D560F" w:rsidP="009D560F">
      <w:pPr>
        <w:pStyle w:val="a9"/>
        <w:spacing w:line="360" w:lineRule="auto"/>
        <w:ind w:hanging="720"/>
        <w:jc w:val="both"/>
        <w:rPr>
          <w:rFonts w:ascii="David" w:hAnsi="David" w:cs="David"/>
          <w:sz w:val="24"/>
          <w:szCs w:val="24"/>
          <w:rtl/>
        </w:rPr>
      </w:pPr>
    </w:p>
    <w:p w14:paraId="4A59A96D"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8.</w:t>
      </w:r>
      <w:r>
        <w:rPr>
          <w:rFonts w:ascii="David" w:hAnsi="David" w:cs="David" w:hint="cs"/>
          <w:sz w:val="24"/>
          <w:szCs w:val="24"/>
          <w:rtl/>
        </w:rPr>
        <w:tab/>
      </w:r>
      <w:r w:rsidRPr="00877AC5">
        <w:rPr>
          <w:rFonts w:ascii="David" w:hAnsi="David" w:cs="David"/>
          <w:sz w:val="24"/>
          <w:szCs w:val="24"/>
          <w:rtl/>
        </w:rPr>
        <w:t>שירות המבחן ציין כי הנאשם לקח אחריות על ביצוע העבירה, שלל מטרות</w:t>
      </w:r>
      <w:r>
        <w:rPr>
          <w:rFonts w:ascii="David" w:hAnsi="David" w:cs="David"/>
          <w:sz w:val="24"/>
          <w:szCs w:val="24"/>
          <w:rtl/>
        </w:rPr>
        <w:t xml:space="preserve"> </w:t>
      </w:r>
      <w:r w:rsidRPr="00877AC5">
        <w:rPr>
          <w:rFonts w:ascii="David" w:hAnsi="David" w:cs="David"/>
          <w:sz w:val="24"/>
          <w:szCs w:val="24"/>
          <w:rtl/>
        </w:rPr>
        <w:t>סחר או כי היה מודע לכך שמדובר בסם מסוג קוקאין.</w:t>
      </w:r>
      <w:r>
        <w:rPr>
          <w:rFonts w:ascii="David" w:hAnsi="David" w:cs="David"/>
          <w:sz w:val="24"/>
          <w:szCs w:val="24"/>
          <w:rtl/>
        </w:rPr>
        <w:t xml:space="preserve"> </w:t>
      </w:r>
      <w:r w:rsidRPr="00877AC5">
        <w:rPr>
          <w:rFonts w:ascii="David" w:hAnsi="David" w:cs="David"/>
          <w:sz w:val="24"/>
          <w:szCs w:val="24"/>
          <w:rtl/>
        </w:rPr>
        <w:t>לדבריו,</w:t>
      </w:r>
      <w:r>
        <w:rPr>
          <w:rFonts w:ascii="David" w:hAnsi="David" w:cs="David"/>
          <w:sz w:val="24"/>
          <w:szCs w:val="24"/>
          <w:rtl/>
        </w:rPr>
        <w:t xml:space="preserve"> </w:t>
      </w:r>
      <w:r w:rsidRPr="00877AC5">
        <w:rPr>
          <w:rFonts w:ascii="David" w:hAnsi="David" w:cs="David"/>
          <w:sz w:val="24"/>
          <w:szCs w:val="24"/>
          <w:rtl/>
        </w:rPr>
        <w:t>רצה לרכוש סם מסוג קנאביס, אולם מתוך מצוקה כלכלית עקב אחר אדם אשר היה ידוע כסוחר סמים</w:t>
      </w:r>
      <w:r>
        <w:rPr>
          <w:rFonts w:ascii="David" w:hAnsi="David" w:cs="David"/>
          <w:sz w:val="24"/>
          <w:szCs w:val="24"/>
          <w:rtl/>
        </w:rPr>
        <w:t xml:space="preserve"> </w:t>
      </w:r>
      <w:r w:rsidRPr="00877AC5">
        <w:rPr>
          <w:rFonts w:ascii="David" w:hAnsi="David" w:cs="David"/>
          <w:sz w:val="24"/>
          <w:szCs w:val="24"/>
          <w:rtl/>
        </w:rPr>
        <w:t xml:space="preserve">על מנת לקחת סמים ממקום המסתור שלו. כך, מצא את הכפפה ובתוכה הסם, אולם הוא החביא אותה על גופו ולא פתח אותה. </w:t>
      </w:r>
    </w:p>
    <w:p w14:paraId="6CC590B0" w14:textId="77777777" w:rsidR="009D560F" w:rsidRDefault="009D560F" w:rsidP="009D560F">
      <w:pPr>
        <w:pStyle w:val="a9"/>
        <w:spacing w:line="360" w:lineRule="auto"/>
        <w:ind w:hanging="720"/>
        <w:jc w:val="both"/>
        <w:rPr>
          <w:rFonts w:ascii="David" w:hAnsi="David" w:cs="David"/>
          <w:sz w:val="24"/>
          <w:szCs w:val="24"/>
          <w:rtl/>
        </w:rPr>
      </w:pPr>
    </w:p>
    <w:p w14:paraId="724CA4D3"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9.</w:t>
      </w:r>
      <w:r>
        <w:rPr>
          <w:rFonts w:ascii="David" w:hAnsi="David" w:cs="David" w:hint="cs"/>
          <w:sz w:val="24"/>
          <w:szCs w:val="24"/>
          <w:rtl/>
        </w:rPr>
        <w:tab/>
      </w:r>
      <w:r w:rsidRPr="00877AC5">
        <w:rPr>
          <w:rFonts w:ascii="David" w:hAnsi="David" w:cs="David"/>
          <w:sz w:val="24"/>
          <w:szCs w:val="24"/>
          <w:rtl/>
        </w:rPr>
        <w:t xml:space="preserve">שירות המבחן התרשם, כי כיום מגלה הנאשם מודעות מילולית ראשונה לבעיית ההתמכרות שלו ומעוניין לבחון אפשרויות שיקומיות בתחום. </w:t>
      </w:r>
    </w:p>
    <w:p w14:paraId="015C1A48" w14:textId="77777777" w:rsidR="009D560F" w:rsidRDefault="009D560F" w:rsidP="009D560F">
      <w:pPr>
        <w:pStyle w:val="a9"/>
        <w:spacing w:line="360" w:lineRule="auto"/>
        <w:ind w:hanging="720"/>
        <w:jc w:val="both"/>
        <w:rPr>
          <w:rFonts w:ascii="David" w:hAnsi="David" w:cs="David"/>
          <w:sz w:val="24"/>
          <w:szCs w:val="24"/>
          <w:rtl/>
        </w:rPr>
      </w:pPr>
    </w:p>
    <w:p w14:paraId="4568F7B9"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10.</w:t>
      </w:r>
      <w:r>
        <w:rPr>
          <w:rFonts w:ascii="David" w:hAnsi="David" w:cs="David" w:hint="cs"/>
          <w:sz w:val="24"/>
          <w:szCs w:val="24"/>
          <w:rtl/>
        </w:rPr>
        <w:tab/>
      </w:r>
      <w:r w:rsidRPr="00877AC5">
        <w:rPr>
          <w:rFonts w:ascii="David" w:hAnsi="David" w:cs="David"/>
          <w:sz w:val="24"/>
          <w:szCs w:val="24"/>
          <w:rtl/>
        </w:rPr>
        <w:t xml:space="preserve">להערכת שירות המבחן, מאפייני אישיותו והתרשמות שירות המבחן מצביעים על כך שקיים סיכון לחזרה על התנהגות פורצת גבול וביצוע עבירות דומות מצדו בעתיד. </w:t>
      </w:r>
    </w:p>
    <w:p w14:paraId="66F45D8E" w14:textId="77777777" w:rsidR="009D560F" w:rsidRDefault="009D560F" w:rsidP="009D560F">
      <w:pPr>
        <w:pStyle w:val="a9"/>
        <w:spacing w:line="360" w:lineRule="auto"/>
        <w:ind w:hanging="720"/>
        <w:jc w:val="both"/>
        <w:rPr>
          <w:rFonts w:ascii="David" w:hAnsi="David" w:cs="David"/>
          <w:sz w:val="24"/>
          <w:szCs w:val="24"/>
          <w:rtl/>
        </w:rPr>
      </w:pPr>
    </w:p>
    <w:p w14:paraId="47B604BA"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11.</w:t>
      </w:r>
      <w:r>
        <w:rPr>
          <w:rFonts w:ascii="David" w:hAnsi="David" w:cs="David" w:hint="cs"/>
          <w:sz w:val="24"/>
          <w:szCs w:val="24"/>
          <w:rtl/>
        </w:rPr>
        <w:tab/>
      </w:r>
      <w:r w:rsidRPr="00877AC5">
        <w:rPr>
          <w:rFonts w:ascii="David" w:hAnsi="David" w:cs="David"/>
          <w:sz w:val="24"/>
          <w:szCs w:val="24"/>
          <w:rtl/>
        </w:rPr>
        <w:t>שירות המבחן התרשם, כי ביטויי המוטיבציה של הנאשם מקורם בהשלכות ההליכים המשפטיים.</w:t>
      </w:r>
      <w:r>
        <w:rPr>
          <w:rFonts w:ascii="David" w:hAnsi="David" w:cs="David"/>
          <w:sz w:val="24"/>
          <w:szCs w:val="24"/>
          <w:rtl/>
        </w:rPr>
        <w:t xml:space="preserve"> </w:t>
      </w:r>
    </w:p>
    <w:p w14:paraId="2CE01BE1" w14:textId="77777777" w:rsidR="009D560F" w:rsidRDefault="009D560F" w:rsidP="009D560F">
      <w:pPr>
        <w:pStyle w:val="a9"/>
        <w:spacing w:line="360" w:lineRule="auto"/>
        <w:ind w:hanging="720"/>
        <w:jc w:val="both"/>
        <w:rPr>
          <w:rFonts w:ascii="David" w:hAnsi="David" w:cs="David"/>
          <w:sz w:val="24"/>
          <w:szCs w:val="24"/>
          <w:rtl/>
        </w:rPr>
      </w:pPr>
    </w:p>
    <w:p w14:paraId="2C9A4515"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12.</w:t>
      </w:r>
      <w:r>
        <w:rPr>
          <w:rFonts w:ascii="David" w:hAnsi="David" w:cs="David" w:hint="cs"/>
          <w:sz w:val="24"/>
          <w:szCs w:val="24"/>
          <w:rtl/>
        </w:rPr>
        <w:tab/>
      </w:r>
      <w:r w:rsidRPr="00877AC5">
        <w:rPr>
          <w:rFonts w:ascii="David" w:hAnsi="David" w:cs="David"/>
          <w:sz w:val="24"/>
          <w:szCs w:val="24"/>
          <w:rtl/>
        </w:rPr>
        <w:t xml:space="preserve">שירות המבחן נמנע מלבוא בהמלצה טיפולית והמליץ על הטלת ענישה מרתיעה שתהווה גבול ברור להתנהגותו של הנאשם. </w:t>
      </w:r>
    </w:p>
    <w:p w14:paraId="3558EEE7" w14:textId="77777777" w:rsidR="009D560F" w:rsidRDefault="009D560F" w:rsidP="009D560F">
      <w:pPr>
        <w:spacing w:line="360" w:lineRule="auto"/>
        <w:ind w:left="720" w:hanging="720"/>
        <w:jc w:val="both"/>
        <w:rPr>
          <w:rFonts w:ascii="David" w:hAnsi="David"/>
          <w:b/>
          <w:bCs/>
          <w:u w:val="single"/>
          <w:rtl/>
        </w:rPr>
      </w:pPr>
    </w:p>
    <w:p w14:paraId="2FD1D734" w14:textId="77777777" w:rsidR="009D560F" w:rsidRPr="00877AC5" w:rsidRDefault="009D560F" w:rsidP="009D560F">
      <w:pPr>
        <w:spacing w:line="360" w:lineRule="auto"/>
        <w:ind w:left="720" w:hanging="720"/>
        <w:jc w:val="both"/>
        <w:rPr>
          <w:rFonts w:ascii="David" w:hAnsi="David"/>
          <w:b/>
          <w:bCs/>
          <w:u w:val="single"/>
        </w:rPr>
      </w:pPr>
      <w:r w:rsidRPr="00877AC5">
        <w:rPr>
          <w:rFonts w:ascii="David" w:hAnsi="David"/>
          <w:b/>
          <w:bCs/>
          <w:u w:val="single"/>
          <w:rtl/>
        </w:rPr>
        <w:t>ראיות הצדדים לעונש</w:t>
      </w:r>
      <w:r>
        <w:rPr>
          <w:rFonts w:ascii="David" w:hAnsi="David" w:hint="cs"/>
          <w:b/>
          <w:bCs/>
          <w:u w:val="single"/>
          <w:rtl/>
        </w:rPr>
        <w:t>:</w:t>
      </w:r>
    </w:p>
    <w:p w14:paraId="2039C414" w14:textId="77777777" w:rsidR="009D560F" w:rsidRPr="00877AC5" w:rsidRDefault="009D560F" w:rsidP="009D560F">
      <w:pPr>
        <w:pStyle w:val="a9"/>
        <w:spacing w:line="360" w:lineRule="auto"/>
        <w:ind w:hanging="720"/>
        <w:jc w:val="both"/>
        <w:rPr>
          <w:rFonts w:ascii="David" w:hAnsi="David" w:cs="David"/>
          <w:sz w:val="24"/>
          <w:szCs w:val="24"/>
          <w:rtl/>
        </w:rPr>
      </w:pPr>
      <w:r>
        <w:rPr>
          <w:rFonts w:ascii="David" w:hAnsi="David" w:cs="David" w:hint="cs"/>
          <w:sz w:val="24"/>
          <w:szCs w:val="24"/>
          <w:rtl/>
        </w:rPr>
        <w:t>13.</w:t>
      </w:r>
      <w:r>
        <w:rPr>
          <w:rFonts w:ascii="David" w:hAnsi="David" w:cs="David" w:hint="cs"/>
          <w:sz w:val="24"/>
          <w:szCs w:val="24"/>
          <w:rtl/>
        </w:rPr>
        <w:tab/>
      </w:r>
      <w:r w:rsidRPr="00877AC5">
        <w:rPr>
          <w:rFonts w:ascii="David" w:hAnsi="David" w:cs="David"/>
          <w:sz w:val="24"/>
          <w:szCs w:val="24"/>
          <w:rtl/>
        </w:rPr>
        <w:t xml:space="preserve">מטעם ההגנה העידה אמו של הנאשם-הגב', מרוות מחרום. לדבריה, התפתחותו של הנאשם הייתה תקינה לחלוטין, העדה ואביו המנוח של הנאשם שנפטר היו אנשי חינוך ואחיו ואחיותיו מלומדים. בשנת 2014, אביו של הנאשם נרצח לנגד עיניו ואז חל בו שינוי דרסטי ודרמטי. </w:t>
      </w:r>
    </w:p>
    <w:p w14:paraId="6323F31A" w14:textId="77777777" w:rsidR="009D560F" w:rsidRDefault="009D560F" w:rsidP="009D560F">
      <w:pPr>
        <w:pStyle w:val="a9"/>
        <w:spacing w:line="360" w:lineRule="auto"/>
        <w:ind w:hanging="720"/>
        <w:jc w:val="both"/>
        <w:rPr>
          <w:rFonts w:ascii="David" w:hAnsi="David" w:cs="David"/>
          <w:sz w:val="24"/>
          <w:szCs w:val="24"/>
          <w:rtl/>
        </w:rPr>
      </w:pPr>
    </w:p>
    <w:p w14:paraId="7532235B"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14.</w:t>
      </w:r>
      <w:r>
        <w:rPr>
          <w:rFonts w:ascii="David" w:hAnsi="David" w:cs="David" w:hint="cs"/>
          <w:sz w:val="24"/>
          <w:szCs w:val="24"/>
          <w:rtl/>
        </w:rPr>
        <w:tab/>
      </w:r>
      <w:r w:rsidRPr="00877AC5">
        <w:rPr>
          <w:rFonts w:ascii="David" w:hAnsi="David" w:cs="David"/>
          <w:sz w:val="24"/>
          <w:szCs w:val="24"/>
          <w:rtl/>
        </w:rPr>
        <w:t>העדה העידה, כי לאחר מעצרו של הנאשם, היא לא רצתה לדבר עמו, אולם בעקבות תחנוניו של הנאשם לאחיו, היא הסכימה לדבר עמו והוא</w:t>
      </w:r>
      <w:r>
        <w:rPr>
          <w:rFonts w:ascii="David" w:hAnsi="David" w:cs="David"/>
          <w:sz w:val="24"/>
          <w:szCs w:val="24"/>
          <w:rtl/>
        </w:rPr>
        <w:t xml:space="preserve"> </w:t>
      </w:r>
      <w:r w:rsidRPr="00877AC5">
        <w:rPr>
          <w:rFonts w:ascii="David" w:hAnsi="David" w:cs="David"/>
          <w:sz w:val="24"/>
          <w:szCs w:val="24"/>
          <w:rtl/>
        </w:rPr>
        <w:t>מתקשר אליה מדי</w:t>
      </w:r>
      <w:r>
        <w:rPr>
          <w:rFonts w:ascii="David" w:hAnsi="David" w:cs="David"/>
          <w:sz w:val="24"/>
          <w:szCs w:val="24"/>
          <w:rtl/>
        </w:rPr>
        <w:t xml:space="preserve"> </w:t>
      </w:r>
      <w:r w:rsidRPr="00877AC5">
        <w:rPr>
          <w:rFonts w:ascii="David" w:hAnsi="David" w:cs="David"/>
          <w:sz w:val="24"/>
          <w:szCs w:val="24"/>
          <w:rtl/>
        </w:rPr>
        <w:t>יום ומביע צער וחרטה.</w:t>
      </w:r>
    </w:p>
    <w:p w14:paraId="1F833E04" w14:textId="77777777" w:rsidR="009D560F" w:rsidRDefault="009D560F" w:rsidP="009D560F">
      <w:pPr>
        <w:pStyle w:val="a9"/>
        <w:spacing w:line="360" w:lineRule="auto"/>
        <w:ind w:hanging="720"/>
        <w:jc w:val="both"/>
        <w:rPr>
          <w:rFonts w:ascii="David" w:hAnsi="David" w:cs="David"/>
          <w:sz w:val="24"/>
          <w:szCs w:val="24"/>
          <w:rtl/>
        </w:rPr>
      </w:pPr>
    </w:p>
    <w:p w14:paraId="08EEDEEC"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lastRenderedPageBreak/>
        <w:t>15.</w:t>
      </w:r>
      <w:r>
        <w:rPr>
          <w:rFonts w:ascii="David" w:hAnsi="David" w:cs="David" w:hint="cs"/>
          <w:sz w:val="24"/>
          <w:szCs w:val="24"/>
          <w:rtl/>
        </w:rPr>
        <w:tab/>
      </w:r>
      <w:r w:rsidRPr="00877AC5">
        <w:rPr>
          <w:rFonts w:ascii="David" w:hAnsi="David" w:cs="David"/>
          <w:sz w:val="24"/>
          <w:szCs w:val="24"/>
          <w:rtl/>
        </w:rPr>
        <w:t xml:space="preserve">העדה הוסיפה, כי הנאשם הוא בנה הבכור והיא אמרה לו שהיא מבינה, הם לבד בלי האב, אך הנאשם אכזב אותה מאוד. הנאשם השיב לה לדבריה, כי הוא אכזב את עצמו ואת אביו ולא ציפה שיגרר למקומות כאלה ורק עכשיו הוא מבין את חומרת המצב אליו הוא נקלע ולפני כן לא הבין עד כמה המצב חמור וכעת הביע נכונות להשתחרר ולהשתקם, כשהיא מצידה הביעה נכונות לתמוך בו בכל מה שניתן וצריך. </w:t>
      </w:r>
    </w:p>
    <w:p w14:paraId="4EEAB171" w14:textId="77777777" w:rsidR="009D560F" w:rsidRDefault="009D560F" w:rsidP="009D560F">
      <w:pPr>
        <w:pStyle w:val="a9"/>
        <w:spacing w:line="360" w:lineRule="auto"/>
        <w:ind w:hanging="720"/>
        <w:jc w:val="both"/>
        <w:rPr>
          <w:rFonts w:ascii="David" w:hAnsi="David" w:cs="David"/>
          <w:sz w:val="24"/>
          <w:szCs w:val="24"/>
          <w:rtl/>
        </w:rPr>
      </w:pPr>
    </w:p>
    <w:p w14:paraId="1CA60E40" w14:textId="77777777" w:rsidR="009D560F" w:rsidRDefault="009D560F" w:rsidP="009D560F">
      <w:pPr>
        <w:pStyle w:val="a9"/>
        <w:spacing w:line="360" w:lineRule="auto"/>
        <w:ind w:hanging="720"/>
        <w:jc w:val="both"/>
        <w:rPr>
          <w:rFonts w:ascii="David" w:hAnsi="David" w:cs="David"/>
          <w:sz w:val="24"/>
          <w:szCs w:val="24"/>
          <w:rtl/>
        </w:rPr>
      </w:pPr>
      <w:r>
        <w:rPr>
          <w:rFonts w:ascii="David" w:hAnsi="David" w:cs="David" w:hint="cs"/>
          <w:sz w:val="24"/>
          <w:szCs w:val="24"/>
          <w:rtl/>
        </w:rPr>
        <w:t>16.</w:t>
      </w:r>
      <w:r>
        <w:rPr>
          <w:rFonts w:ascii="David" w:hAnsi="David" w:cs="David" w:hint="cs"/>
          <w:sz w:val="24"/>
          <w:szCs w:val="24"/>
          <w:rtl/>
        </w:rPr>
        <w:tab/>
      </w:r>
      <w:r w:rsidRPr="00877AC5">
        <w:rPr>
          <w:rFonts w:ascii="David" w:hAnsi="David" w:cs="David"/>
          <w:sz w:val="24"/>
          <w:szCs w:val="24"/>
          <w:rtl/>
        </w:rPr>
        <w:t xml:space="preserve">העדה ביקשה להתחשב במצב. </w:t>
      </w:r>
    </w:p>
    <w:p w14:paraId="297D6AB1" w14:textId="77777777" w:rsidR="009D560F" w:rsidRPr="00877AC5" w:rsidRDefault="009D560F" w:rsidP="009D560F">
      <w:pPr>
        <w:pStyle w:val="a9"/>
        <w:spacing w:line="360" w:lineRule="auto"/>
        <w:ind w:hanging="720"/>
        <w:jc w:val="both"/>
        <w:rPr>
          <w:rFonts w:ascii="David" w:hAnsi="David" w:cs="David"/>
          <w:sz w:val="24"/>
          <w:szCs w:val="24"/>
        </w:rPr>
      </w:pPr>
    </w:p>
    <w:p w14:paraId="4B72E00B" w14:textId="77777777" w:rsidR="009D560F" w:rsidRPr="00877AC5" w:rsidRDefault="009D560F" w:rsidP="009D560F">
      <w:pPr>
        <w:spacing w:line="360" w:lineRule="auto"/>
        <w:ind w:left="720" w:hanging="720"/>
        <w:jc w:val="both"/>
        <w:rPr>
          <w:rFonts w:ascii="David" w:hAnsi="David"/>
          <w:b/>
          <w:bCs/>
          <w:u w:val="single"/>
          <w:rtl/>
        </w:rPr>
      </w:pPr>
      <w:r w:rsidRPr="00877AC5">
        <w:rPr>
          <w:rFonts w:ascii="David" w:hAnsi="David"/>
          <w:b/>
          <w:bCs/>
          <w:u w:val="single"/>
          <w:rtl/>
        </w:rPr>
        <w:t>טיעוני המאשימה</w:t>
      </w:r>
      <w:r>
        <w:rPr>
          <w:rFonts w:ascii="David" w:hAnsi="David" w:hint="cs"/>
          <w:b/>
          <w:bCs/>
          <w:u w:val="single"/>
          <w:rtl/>
        </w:rPr>
        <w:t xml:space="preserve"> לעונש:</w:t>
      </w:r>
    </w:p>
    <w:p w14:paraId="1109D460" w14:textId="77777777" w:rsidR="009D560F" w:rsidRPr="00877AC5" w:rsidRDefault="009D560F" w:rsidP="009D560F">
      <w:pPr>
        <w:pStyle w:val="a9"/>
        <w:spacing w:line="360" w:lineRule="auto"/>
        <w:ind w:hanging="720"/>
        <w:jc w:val="both"/>
        <w:rPr>
          <w:rFonts w:ascii="David" w:hAnsi="David" w:cs="David"/>
          <w:sz w:val="24"/>
          <w:szCs w:val="24"/>
          <w:rtl/>
        </w:rPr>
      </w:pPr>
      <w:r>
        <w:rPr>
          <w:rFonts w:ascii="David" w:hAnsi="David" w:cs="David" w:hint="cs"/>
          <w:sz w:val="24"/>
          <w:szCs w:val="24"/>
          <w:rtl/>
        </w:rPr>
        <w:t>17.</w:t>
      </w:r>
      <w:r>
        <w:rPr>
          <w:rFonts w:ascii="David" w:hAnsi="David" w:cs="David" w:hint="cs"/>
          <w:sz w:val="24"/>
          <w:szCs w:val="24"/>
          <w:rtl/>
        </w:rPr>
        <w:tab/>
      </w:r>
      <w:r w:rsidRPr="00877AC5">
        <w:rPr>
          <w:rFonts w:ascii="David" w:hAnsi="David" w:cs="David"/>
          <w:sz w:val="24"/>
          <w:szCs w:val="24"/>
          <w:rtl/>
        </w:rPr>
        <w:t>ב"כ המאשימה הגישה גיליון רישום פלילי והפנתה לכך שיש לו הרשעה קודמת בעבירת סיוע לשוד.</w:t>
      </w:r>
    </w:p>
    <w:p w14:paraId="41251A33" w14:textId="77777777" w:rsidR="009D560F" w:rsidRDefault="009D560F" w:rsidP="009D560F">
      <w:pPr>
        <w:pStyle w:val="a9"/>
        <w:spacing w:line="360" w:lineRule="auto"/>
        <w:ind w:hanging="720"/>
        <w:jc w:val="both"/>
        <w:rPr>
          <w:rFonts w:ascii="David" w:hAnsi="David" w:cs="David"/>
          <w:sz w:val="24"/>
          <w:szCs w:val="24"/>
          <w:rtl/>
        </w:rPr>
      </w:pPr>
    </w:p>
    <w:p w14:paraId="476B00A0"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18.</w:t>
      </w:r>
      <w:r>
        <w:rPr>
          <w:rFonts w:ascii="David" w:hAnsi="David" w:cs="David" w:hint="cs"/>
          <w:sz w:val="24"/>
          <w:szCs w:val="24"/>
          <w:rtl/>
        </w:rPr>
        <w:tab/>
      </w:r>
      <w:r w:rsidRPr="00877AC5">
        <w:rPr>
          <w:rFonts w:ascii="David" w:hAnsi="David" w:cs="David"/>
          <w:sz w:val="24"/>
          <w:szCs w:val="24"/>
          <w:rtl/>
        </w:rPr>
        <w:t xml:space="preserve">ב"כ המאשימה הדגישה בטיעוניה את סוג הסם-קוקאין וכן כמותו- כ-60 גרם וציינה, כי מדובר בכמות שהיא פי 200 מהכמות המוגדרת לצריכה עצמית. </w:t>
      </w:r>
    </w:p>
    <w:p w14:paraId="6F03DBC1" w14:textId="77777777" w:rsidR="009D560F" w:rsidRDefault="009D560F" w:rsidP="009D560F">
      <w:pPr>
        <w:pStyle w:val="a9"/>
        <w:spacing w:line="360" w:lineRule="auto"/>
        <w:ind w:hanging="720"/>
        <w:jc w:val="both"/>
        <w:rPr>
          <w:rFonts w:ascii="David" w:hAnsi="David" w:cs="David"/>
          <w:sz w:val="24"/>
          <w:szCs w:val="24"/>
          <w:rtl/>
        </w:rPr>
      </w:pPr>
    </w:p>
    <w:p w14:paraId="02126EF5"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19.</w:t>
      </w:r>
      <w:r>
        <w:rPr>
          <w:rFonts w:ascii="David" w:hAnsi="David" w:cs="David" w:hint="cs"/>
          <w:sz w:val="24"/>
          <w:szCs w:val="24"/>
          <w:rtl/>
        </w:rPr>
        <w:tab/>
      </w:r>
      <w:r w:rsidRPr="00877AC5">
        <w:rPr>
          <w:rFonts w:ascii="David" w:hAnsi="David" w:cs="David"/>
          <w:sz w:val="24"/>
          <w:szCs w:val="24"/>
          <w:rtl/>
        </w:rPr>
        <w:t>ב"כ המאשימה ציינה, כי</w:t>
      </w:r>
      <w:r>
        <w:rPr>
          <w:rFonts w:ascii="David" w:hAnsi="David" w:cs="David"/>
          <w:sz w:val="24"/>
          <w:szCs w:val="24"/>
          <w:rtl/>
        </w:rPr>
        <w:t xml:space="preserve"> </w:t>
      </w:r>
      <w:r w:rsidRPr="00877AC5">
        <w:rPr>
          <w:rFonts w:ascii="David" w:hAnsi="David" w:cs="David"/>
          <w:sz w:val="24"/>
          <w:szCs w:val="24"/>
          <w:rtl/>
        </w:rPr>
        <w:t>כתוצאה ממעשיו של הנאשם נפגעו הערכים המוגנים של הגנה על שלום הציבור וביטחונו. בנוסף ציינה, כי</w:t>
      </w:r>
      <w:r>
        <w:rPr>
          <w:rFonts w:ascii="David" w:hAnsi="David" w:cs="David"/>
          <w:sz w:val="24"/>
          <w:szCs w:val="24"/>
          <w:rtl/>
        </w:rPr>
        <w:t xml:space="preserve"> </w:t>
      </w:r>
      <w:r w:rsidRPr="00877AC5">
        <w:rPr>
          <w:rFonts w:ascii="David" w:hAnsi="David" w:cs="David"/>
          <w:sz w:val="24"/>
          <w:szCs w:val="24"/>
          <w:rtl/>
        </w:rPr>
        <w:t>מדובר בסמים מסוכנים שהפצתם עלולה לגרום למשתמשים בהם סכנת חיים ואף מוות.</w:t>
      </w:r>
    </w:p>
    <w:p w14:paraId="18375997" w14:textId="77777777" w:rsidR="009D560F" w:rsidRDefault="009D560F" w:rsidP="009D560F">
      <w:pPr>
        <w:pStyle w:val="a9"/>
        <w:spacing w:line="360" w:lineRule="auto"/>
        <w:ind w:hanging="720"/>
        <w:jc w:val="both"/>
        <w:rPr>
          <w:rFonts w:ascii="David" w:hAnsi="David" w:cs="David"/>
          <w:sz w:val="24"/>
          <w:szCs w:val="24"/>
          <w:rtl/>
        </w:rPr>
      </w:pPr>
    </w:p>
    <w:p w14:paraId="1E74AC42"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20.</w:t>
      </w:r>
      <w:r>
        <w:rPr>
          <w:rFonts w:ascii="David" w:hAnsi="David" w:cs="David" w:hint="cs"/>
          <w:sz w:val="24"/>
          <w:szCs w:val="24"/>
          <w:rtl/>
        </w:rPr>
        <w:tab/>
      </w:r>
      <w:r w:rsidRPr="00877AC5">
        <w:rPr>
          <w:rFonts w:ascii="David" w:hAnsi="David" w:cs="David"/>
          <w:sz w:val="24"/>
          <w:szCs w:val="24"/>
          <w:rtl/>
        </w:rPr>
        <w:t xml:space="preserve">ב"כ המאשימה הפנתה לפסיקה, ממנה עולה כי במקרים דומים נקבעו מתחמי ענישה הנעים בין 3-5 שנות מאסר, אותו ביקשה לאמץ גם בענייננו, לצד ענישה נלווית. </w:t>
      </w:r>
    </w:p>
    <w:p w14:paraId="7D012582" w14:textId="77777777" w:rsidR="009D560F" w:rsidRDefault="009D560F" w:rsidP="009D560F">
      <w:pPr>
        <w:pStyle w:val="a9"/>
        <w:spacing w:line="360" w:lineRule="auto"/>
        <w:ind w:hanging="720"/>
        <w:jc w:val="both"/>
        <w:rPr>
          <w:rFonts w:ascii="David" w:hAnsi="David" w:cs="David"/>
          <w:sz w:val="24"/>
          <w:szCs w:val="24"/>
          <w:rtl/>
        </w:rPr>
      </w:pPr>
    </w:p>
    <w:p w14:paraId="3008DBA5" w14:textId="77777777" w:rsidR="009D560F" w:rsidRPr="00877AC5" w:rsidRDefault="009D560F" w:rsidP="009D560F">
      <w:pPr>
        <w:pStyle w:val="a9"/>
        <w:spacing w:line="360" w:lineRule="auto"/>
        <w:ind w:hanging="720"/>
        <w:jc w:val="both"/>
        <w:rPr>
          <w:rFonts w:ascii="David" w:hAnsi="David" w:cs="David"/>
          <w:sz w:val="24"/>
          <w:szCs w:val="24"/>
          <w:rtl/>
        </w:rPr>
      </w:pPr>
      <w:r>
        <w:rPr>
          <w:rFonts w:ascii="David" w:hAnsi="David" w:cs="David" w:hint="cs"/>
          <w:sz w:val="24"/>
          <w:szCs w:val="24"/>
          <w:rtl/>
        </w:rPr>
        <w:t>21.</w:t>
      </w:r>
      <w:r>
        <w:rPr>
          <w:rFonts w:ascii="David" w:hAnsi="David" w:cs="David" w:hint="cs"/>
          <w:sz w:val="24"/>
          <w:szCs w:val="24"/>
          <w:rtl/>
        </w:rPr>
        <w:tab/>
      </w:r>
      <w:r w:rsidRPr="00877AC5">
        <w:rPr>
          <w:rFonts w:ascii="David" w:hAnsi="David" w:cs="David"/>
          <w:sz w:val="24"/>
          <w:szCs w:val="24"/>
          <w:rtl/>
        </w:rPr>
        <w:t>ב"כ המאשימה התייחסה לעברו הפלילי של הנאשם וציינה, כי הרשעתו הקודמת של הנאשם הינה משנת 2015-אז הוטלו עליו 6 חודשי מאסר בפועל בדרך של עבודות שירות וצו מבחן, שהופקע עקב חוסר שיתוף פעולה מצד הנאשם</w:t>
      </w:r>
      <w:r>
        <w:rPr>
          <w:rFonts w:ascii="David" w:hAnsi="David" w:cs="David"/>
          <w:sz w:val="24"/>
          <w:szCs w:val="24"/>
          <w:rtl/>
        </w:rPr>
        <w:t xml:space="preserve"> </w:t>
      </w:r>
      <w:r w:rsidRPr="00877AC5">
        <w:rPr>
          <w:rFonts w:ascii="David" w:hAnsi="David" w:cs="David"/>
          <w:sz w:val="24"/>
          <w:szCs w:val="24"/>
          <w:rtl/>
        </w:rPr>
        <w:t>ולאחר שהוגשה בקשה להפקעה, הנאשם הביע נכונות להמשיך להשתלב בטיפול בצו המבחן. אלה לא הועילו לנאשם והוא שב וחזר על ביצוע עבירות.</w:t>
      </w:r>
    </w:p>
    <w:p w14:paraId="5EDF26AD" w14:textId="77777777" w:rsidR="009D560F" w:rsidRDefault="009D560F" w:rsidP="009D560F">
      <w:pPr>
        <w:pStyle w:val="a9"/>
        <w:spacing w:line="360" w:lineRule="auto"/>
        <w:ind w:hanging="720"/>
        <w:jc w:val="both"/>
        <w:rPr>
          <w:rFonts w:ascii="David" w:hAnsi="David" w:cs="David"/>
          <w:sz w:val="24"/>
          <w:szCs w:val="24"/>
          <w:rtl/>
        </w:rPr>
      </w:pPr>
    </w:p>
    <w:p w14:paraId="31DB9D9B"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22.</w:t>
      </w:r>
      <w:r>
        <w:rPr>
          <w:rFonts w:ascii="David" w:hAnsi="David" w:cs="David" w:hint="cs"/>
          <w:sz w:val="24"/>
          <w:szCs w:val="24"/>
          <w:rtl/>
        </w:rPr>
        <w:tab/>
      </w:r>
      <w:r w:rsidRPr="00877AC5">
        <w:rPr>
          <w:rFonts w:ascii="David" w:hAnsi="David" w:cs="David"/>
          <w:sz w:val="24"/>
          <w:szCs w:val="24"/>
          <w:rtl/>
        </w:rPr>
        <w:t xml:space="preserve">ב"כ המאשימה הפנתה לאמור בתסקיר שירות המבחן ממנו עולה שגם בהרשעתו הקודמת התקשה הנאשם להשתלב בטיפול והשתלבותו התאפיינה באי יציבות. בנוסף, הנאשם לא לקח אחריות מלאה על מעשיו בפני שירות המבחן, טען שלא החזיק בסם למטרות סחר וכי לא ידע שמדובר בקוקאין אלא חשב שמדובר בקנאביס-טענה שאין בה ממש, לעמדת המאשימה, לאור הריח השונה והמראה השונה של סוגי הסם והנאשם-המשתמש בקנאביס מגיל צעיר, יכול היה להבין . </w:t>
      </w:r>
    </w:p>
    <w:p w14:paraId="513A0638" w14:textId="77777777" w:rsidR="009D560F" w:rsidRDefault="009D560F" w:rsidP="009D560F">
      <w:pPr>
        <w:pStyle w:val="a9"/>
        <w:spacing w:line="360" w:lineRule="auto"/>
        <w:ind w:hanging="720"/>
        <w:jc w:val="both"/>
        <w:rPr>
          <w:rFonts w:ascii="David" w:hAnsi="David" w:cs="David"/>
          <w:sz w:val="24"/>
          <w:szCs w:val="24"/>
          <w:rtl/>
        </w:rPr>
      </w:pPr>
    </w:p>
    <w:p w14:paraId="3A0D740D"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23.</w:t>
      </w:r>
      <w:r>
        <w:rPr>
          <w:rFonts w:ascii="David" w:hAnsi="David" w:cs="David" w:hint="cs"/>
          <w:sz w:val="24"/>
          <w:szCs w:val="24"/>
          <w:rtl/>
        </w:rPr>
        <w:tab/>
      </w:r>
      <w:r w:rsidRPr="00877AC5">
        <w:rPr>
          <w:rFonts w:ascii="David" w:hAnsi="David" w:cs="David"/>
          <w:sz w:val="24"/>
          <w:szCs w:val="24"/>
          <w:rtl/>
        </w:rPr>
        <w:t>ב"כ המאשימה ביקשה לגזור את עונשו של הנאשם ברף האמצעי עד גבוה של מתחם</w:t>
      </w:r>
      <w:r>
        <w:rPr>
          <w:rFonts w:ascii="David" w:hAnsi="David" w:cs="David"/>
          <w:sz w:val="24"/>
          <w:szCs w:val="24"/>
          <w:rtl/>
        </w:rPr>
        <w:t xml:space="preserve"> </w:t>
      </w:r>
      <w:r w:rsidRPr="00877AC5">
        <w:rPr>
          <w:rFonts w:ascii="David" w:hAnsi="David" w:cs="David"/>
          <w:sz w:val="24"/>
          <w:szCs w:val="24"/>
          <w:rtl/>
        </w:rPr>
        <w:t>העונש ההולם וכן</w:t>
      </w:r>
      <w:r>
        <w:rPr>
          <w:rFonts w:ascii="David" w:hAnsi="David" w:cs="David"/>
          <w:sz w:val="24"/>
          <w:szCs w:val="24"/>
          <w:rtl/>
        </w:rPr>
        <w:t xml:space="preserve"> </w:t>
      </w:r>
      <w:r w:rsidRPr="00877AC5">
        <w:rPr>
          <w:rFonts w:ascii="David" w:hAnsi="David" w:cs="David"/>
          <w:sz w:val="24"/>
          <w:szCs w:val="24"/>
          <w:rtl/>
        </w:rPr>
        <w:t>ביקשה להטיל מאסר על תנאי, קנס, שלילת רישיון ופסילה מלהחזיק ברישיון בפועל ועל תנאי וכן ביקה להשמיד את הסמים.</w:t>
      </w:r>
    </w:p>
    <w:p w14:paraId="3129EB2B" w14:textId="77777777" w:rsidR="009D560F" w:rsidRPr="00877AC5" w:rsidRDefault="009D560F" w:rsidP="009D560F">
      <w:pPr>
        <w:spacing w:line="360" w:lineRule="auto"/>
        <w:ind w:left="720" w:hanging="720"/>
        <w:jc w:val="both"/>
        <w:rPr>
          <w:rFonts w:ascii="David" w:hAnsi="David"/>
        </w:rPr>
      </w:pPr>
    </w:p>
    <w:p w14:paraId="302F9F4C" w14:textId="77777777" w:rsidR="009D560F" w:rsidRPr="00877AC5" w:rsidRDefault="009D560F" w:rsidP="009D560F">
      <w:pPr>
        <w:spacing w:line="360" w:lineRule="auto"/>
        <w:ind w:left="720" w:hanging="720"/>
        <w:jc w:val="both"/>
        <w:rPr>
          <w:rFonts w:ascii="David" w:hAnsi="David"/>
          <w:b/>
          <w:bCs/>
          <w:u w:val="single"/>
          <w:rtl/>
        </w:rPr>
      </w:pPr>
      <w:r w:rsidRPr="00877AC5">
        <w:rPr>
          <w:rFonts w:ascii="David" w:hAnsi="David"/>
          <w:b/>
          <w:bCs/>
          <w:u w:val="single"/>
          <w:rtl/>
        </w:rPr>
        <w:t>טיעוני ההגנה</w:t>
      </w:r>
      <w:r>
        <w:rPr>
          <w:rFonts w:ascii="David" w:hAnsi="David" w:hint="cs"/>
          <w:b/>
          <w:bCs/>
          <w:u w:val="single"/>
          <w:rtl/>
        </w:rPr>
        <w:t xml:space="preserve"> לעונש:</w:t>
      </w:r>
    </w:p>
    <w:p w14:paraId="2DFEF5CF" w14:textId="77777777" w:rsidR="009D560F" w:rsidRPr="00877AC5" w:rsidRDefault="009D560F" w:rsidP="009D560F">
      <w:pPr>
        <w:pStyle w:val="a9"/>
        <w:spacing w:line="360" w:lineRule="auto"/>
        <w:ind w:hanging="720"/>
        <w:jc w:val="both"/>
        <w:rPr>
          <w:rFonts w:ascii="David" w:hAnsi="David" w:cs="David"/>
          <w:sz w:val="24"/>
          <w:szCs w:val="24"/>
          <w:rtl/>
        </w:rPr>
      </w:pPr>
      <w:r>
        <w:rPr>
          <w:rFonts w:ascii="David" w:hAnsi="David" w:cs="David" w:hint="cs"/>
          <w:sz w:val="24"/>
          <w:szCs w:val="24"/>
          <w:rtl/>
        </w:rPr>
        <w:t>24.</w:t>
      </w:r>
      <w:r>
        <w:rPr>
          <w:rFonts w:ascii="David" w:hAnsi="David" w:cs="David" w:hint="cs"/>
          <w:sz w:val="24"/>
          <w:szCs w:val="24"/>
          <w:rtl/>
        </w:rPr>
        <w:tab/>
      </w:r>
      <w:r w:rsidRPr="00877AC5">
        <w:rPr>
          <w:rFonts w:ascii="David" w:hAnsi="David" w:cs="David"/>
          <w:sz w:val="24"/>
          <w:szCs w:val="24"/>
          <w:rtl/>
        </w:rPr>
        <w:t xml:space="preserve">לטענת ב"כ הנאשם, הנאשם לא הכחיש כי החזיק בסמים, אלא הודה בהחזקתם ומסר, כי בסופו של יום נודע לו שזה קוקאין. כך גם בחקירתו וגם בפני שירות המבחן. </w:t>
      </w:r>
    </w:p>
    <w:p w14:paraId="2928DFD1" w14:textId="77777777" w:rsidR="009D560F" w:rsidRDefault="009D560F" w:rsidP="009D560F">
      <w:pPr>
        <w:pStyle w:val="a9"/>
        <w:spacing w:line="360" w:lineRule="auto"/>
        <w:ind w:hanging="720"/>
        <w:jc w:val="both"/>
        <w:rPr>
          <w:rFonts w:ascii="David" w:hAnsi="David" w:cs="David"/>
          <w:sz w:val="24"/>
          <w:szCs w:val="24"/>
          <w:rtl/>
        </w:rPr>
      </w:pPr>
    </w:p>
    <w:p w14:paraId="201F11B2"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25.</w:t>
      </w:r>
      <w:r>
        <w:rPr>
          <w:rFonts w:ascii="David" w:hAnsi="David" w:cs="David" w:hint="cs"/>
          <w:sz w:val="24"/>
          <w:szCs w:val="24"/>
          <w:rtl/>
        </w:rPr>
        <w:tab/>
      </w:r>
      <w:r w:rsidRPr="00877AC5">
        <w:rPr>
          <w:rFonts w:ascii="David" w:hAnsi="David" w:cs="David"/>
          <w:sz w:val="24"/>
          <w:szCs w:val="24"/>
          <w:rtl/>
        </w:rPr>
        <w:t xml:space="preserve">ב"כ הנאשם הביע פליאה על כך שבמקרים אחרים המאשימה מפנה לפסיקה לפיה מסקנות שירות המבחן מהוות המלצה בלבד ואילו במקרה דנן מבקשת הפרקליטות לאמץ את מסקנות שירות המבחן והמלצותיו. </w:t>
      </w:r>
    </w:p>
    <w:p w14:paraId="62F6990D" w14:textId="77777777" w:rsidR="009D560F" w:rsidRDefault="009D560F" w:rsidP="009D560F">
      <w:pPr>
        <w:pStyle w:val="a9"/>
        <w:spacing w:line="360" w:lineRule="auto"/>
        <w:ind w:hanging="720"/>
        <w:jc w:val="both"/>
        <w:rPr>
          <w:rFonts w:ascii="David" w:hAnsi="David" w:cs="David"/>
          <w:sz w:val="24"/>
          <w:szCs w:val="24"/>
          <w:rtl/>
        </w:rPr>
      </w:pPr>
    </w:p>
    <w:p w14:paraId="295A7B30"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26.</w:t>
      </w:r>
      <w:r>
        <w:rPr>
          <w:rFonts w:ascii="David" w:hAnsi="David" w:cs="David" w:hint="cs"/>
          <w:sz w:val="24"/>
          <w:szCs w:val="24"/>
          <w:rtl/>
        </w:rPr>
        <w:tab/>
      </w:r>
      <w:r w:rsidRPr="00877AC5">
        <w:rPr>
          <w:rFonts w:ascii="David" w:hAnsi="David" w:cs="David"/>
          <w:sz w:val="24"/>
          <w:szCs w:val="24"/>
          <w:rtl/>
        </w:rPr>
        <w:t xml:space="preserve">ב"כ הנאשם הוסיף, כי אכן התסקיר שלילי, אולם מדובר בהמלצה בלבד, וברוב המקרים, כמו גם בעניינו של הנאשם, לא חל שינוי בעמדת שירות המבחן מאז תסקיר המעצר ועד לתסקיר לעניין העונש. </w:t>
      </w:r>
    </w:p>
    <w:p w14:paraId="0F34B6C2" w14:textId="77777777" w:rsidR="009D560F" w:rsidRDefault="009D560F" w:rsidP="009D560F">
      <w:pPr>
        <w:pStyle w:val="a9"/>
        <w:spacing w:line="360" w:lineRule="auto"/>
        <w:ind w:hanging="720"/>
        <w:jc w:val="both"/>
        <w:rPr>
          <w:rFonts w:ascii="David" w:hAnsi="David" w:cs="David"/>
          <w:sz w:val="24"/>
          <w:szCs w:val="24"/>
          <w:rtl/>
        </w:rPr>
      </w:pPr>
    </w:p>
    <w:p w14:paraId="7453ED8A"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27.</w:t>
      </w:r>
      <w:r>
        <w:rPr>
          <w:rFonts w:ascii="David" w:hAnsi="David" w:cs="David" w:hint="cs"/>
          <w:sz w:val="24"/>
          <w:szCs w:val="24"/>
          <w:rtl/>
        </w:rPr>
        <w:tab/>
      </w:r>
      <w:r w:rsidRPr="00877AC5">
        <w:rPr>
          <w:rFonts w:ascii="David" w:hAnsi="David" w:cs="David"/>
          <w:sz w:val="24"/>
          <w:szCs w:val="24"/>
          <w:rtl/>
        </w:rPr>
        <w:t>ב"כ הנאשם הפנה למקרה שנדון בפניי, בו הוחזקו סמים מסוג הרואין וקוקאין, כשהסמים היו מחולקים ל מנות, ונקבע מתחם עונש הולם הנע בין 15-30 חודשי מאסר. נגזרו בסופו של דבר 14 חודשי מאסר סטייה תוך סטייה קלה ממתחם העונש ההולם מטעמי שיקום(</w:t>
      </w:r>
      <w:hyperlink r:id="rId16" w:history="1">
        <w:r w:rsidR="00C45E33" w:rsidRPr="00C45E33">
          <w:rPr>
            <w:rFonts w:ascii="David" w:hAnsi="David" w:cs="David"/>
            <w:color w:val="0000FF"/>
            <w:sz w:val="24"/>
            <w:szCs w:val="24"/>
            <w:u w:val="single"/>
            <w:rtl/>
          </w:rPr>
          <w:t>ת.פ. 39278-09-19</w:t>
        </w:r>
      </w:hyperlink>
      <w:r w:rsidRPr="00877AC5">
        <w:rPr>
          <w:rFonts w:ascii="David" w:hAnsi="David" w:cs="David"/>
          <w:sz w:val="24"/>
          <w:szCs w:val="24"/>
          <w:rtl/>
        </w:rPr>
        <w:t xml:space="preserve"> והערעור שהוגש-</w:t>
      </w:r>
      <w:hyperlink r:id="rId17" w:history="1">
        <w:r w:rsidR="00C45E33" w:rsidRPr="00C45E33">
          <w:rPr>
            <w:rFonts w:ascii="David" w:hAnsi="David" w:cs="David"/>
            <w:color w:val="0000FF"/>
            <w:sz w:val="24"/>
            <w:szCs w:val="24"/>
            <w:u w:val="single"/>
            <w:rtl/>
          </w:rPr>
          <w:t>ע.פ. 7732-04-20</w:t>
        </w:r>
      </w:hyperlink>
      <w:r w:rsidRPr="00877AC5">
        <w:rPr>
          <w:rFonts w:ascii="David" w:hAnsi="David" w:cs="David"/>
          <w:sz w:val="24"/>
          <w:szCs w:val="24"/>
          <w:rtl/>
        </w:rPr>
        <w:t>).</w:t>
      </w:r>
    </w:p>
    <w:p w14:paraId="52CCC8C2" w14:textId="77777777" w:rsidR="009D560F" w:rsidRDefault="009D560F" w:rsidP="009D560F">
      <w:pPr>
        <w:pStyle w:val="a9"/>
        <w:spacing w:line="360" w:lineRule="auto"/>
        <w:ind w:hanging="720"/>
        <w:jc w:val="both"/>
        <w:rPr>
          <w:rFonts w:ascii="David" w:hAnsi="David" w:cs="David"/>
          <w:sz w:val="24"/>
          <w:szCs w:val="24"/>
          <w:rtl/>
        </w:rPr>
      </w:pPr>
    </w:p>
    <w:p w14:paraId="153E9D9C"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sz w:val="24"/>
          <w:szCs w:val="24"/>
          <w:rtl/>
        </w:rPr>
        <w:tab/>
      </w:r>
      <w:r w:rsidRPr="00877AC5">
        <w:rPr>
          <w:rFonts w:ascii="David" w:hAnsi="David" w:cs="David"/>
          <w:sz w:val="24"/>
          <w:szCs w:val="24"/>
          <w:rtl/>
        </w:rPr>
        <w:t>בנוסף, הפנה הסניגור למקרה נוסף בו דובר בסמים מסוג הרואין, קוקאין וקנאביס, בית המשפט אימץ אפיק שיקומי והטיל עונש מאסר למשך 9 חודשים לריצוי בעבודות שירות, כשמתחם העונש ההולם שנקבע הינו שתיים וחצי שנות מאסר ועד חמש שנות מאסר, בגין כמויות גדולות יותר מענייננו .</w:t>
      </w:r>
    </w:p>
    <w:p w14:paraId="1E312910" w14:textId="77777777" w:rsidR="009D560F" w:rsidRDefault="009D560F" w:rsidP="009D560F">
      <w:pPr>
        <w:pStyle w:val="a9"/>
        <w:spacing w:line="360" w:lineRule="auto"/>
        <w:ind w:hanging="720"/>
        <w:jc w:val="both"/>
        <w:rPr>
          <w:rFonts w:ascii="David" w:hAnsi="David" w:cs="David"/>
          <w:sz w:val="24"/>
          <w:szCs w:val="24"/>
          <w:rtl/>
        </w:rPr>
      </w:pPr>
    </w:p>
    <w:p w14:paraId="5F0117EA" w14:textId="77777777" w:rsidR="009D560F" w:rsidRPr="00877AC5" w:rsidRDefault="009D560F" w:rsidP="009D560F">
      <w:pPr>
        <w:pStyle w:val="a9"/>
        <w:spacing w:line="360" w:lineRule="auto"/>
        <w:ind w:hanging="720"/>
        <w:jc w:val="both"/>
        <w:rPr>
          <w:rFonts w:ascii="David" w:hAnsi="David" w:cs="David"/>
          <w:sz w:val="24"/>
          <w:szCs w:val="24"/>
          <w:rtl/>
        </w:rPr>
      </w:pPr>
      <w:r>
        <w:rPr>
          <w:rFonts w:ascii="David" w:hAnsi="David" w:cs="David" w:hint="cs"/>
          <w:sz w:val="24"/>
          <w:szCs w:val="24"/>
          <w:rtl/>
        </w:rPr>
        <w:t>28.</w:t>
      </w:r>
      <w:r>
        <w:rPr>
          <w:rFonts w:ascii="David" w:hAnsi="David" w:cs="David" w:hint="cs"/>
          <w:sz w:val="24"/>
          <w:szCs w:val="24"/>
          <w:rtl/>
        </w:rPr>
        <w:tab/>
      </w:r>
      <w:r w:rsidRPr="00877AC5">
        <w:rPr>
          <w:rFonts w:ascii="David" w:hAnsi="David" w:cs="David"/>
          <w:sz w:val="24"/>
          <w:szCs w:val="24"/>
          <w:rtl/>
        </w:rPr>
        <w:t>ב"כ הנאשם ביקש לקבוע, כי מתחם העונש ההולם נע בין 14 ועד 30 חודשי מאסר,</w:t>
      </w:r>
      <w:r>
        <w:rPr>
          <w:rFonts w:ascii="David" w:hAnsi="David" w:cs="David"/>
          <w:sz w:val="24"/>
          <w:szCs w:val="24"/>
          <w:rtl/>
        </w:rPr>
        <w:t xml:space="preserve"> </w:t>
      </w:r>
      <w:r w:rsidRPr="00877AC5">
        <w:rPr>
          <w:rFonts w:ascii="David" w:hAnsi="David" w:cs="David"/>
          <w:sz w:val="24"/>
          <w:szCs w:val="24"/>
          <w:rtl/>
        </w:rPr>
        <w:t>כאשר עניינו של הנאשם צריך להיות ברף התחתון של המתחם.</w:t>
      </w:r>
    </w:p>
    <w:p w14:paraId="47FF4253" w14:textId="77777777" w:rsidR="009D560F" w:rsidRDefault="009D560F" w:rsidP="009D560F">
      <w:pPr>
        <w:pStyle w:val="a9"/>
        <w:spacing w:line="360" w:lineRule="auto"/>
        <w:ind w:hanging="720"/>
        <w:jc w:val="both"/>
        <w:rPr>
          <w:rFonts w:ascii="David" w:hAnsi="David" w:cs="David"/>
          <w:sz w:val="24"/>
          <w:szCs w:val="24"/>
          <w:rtl/>
        </w:rPr>
      </w:pPr>
    </w:p>
    <w:p w14:paraId="26A04D96"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29.</w:t>
      </w:r>
      <w:r>
        <w:rPr>
          <w:rFonts w:ascii="David" w:hAnsi="David" w:cs="David" w:hint="cs"/>
          <w:sz w:val="24"/>
          <w:szCs w:val="24"/>
          <w:rtl/>
        </w:rPr>
        <w:tab/>
      </w:r>
      <w:r w:rsidRPr="00877AC5">
        <w:rPr>
          <w:rFonts w:ascii="David" w:hAnsi="David" w:cs="David"/>
          <w:sz w:val="24"/>
          <w:szCs w:val="24"/>
          <w:rtl/>
        </w:rPr>
        <w:t xml:space="preserve">לטענת ב"כ הנאשם, לנאשם לא הייתה מעולם הרשעה בעבירה של סמים לרבות שימוש ואין מדובר בנאשם שהינו רצידיביסט. </w:t>
      </w:r>
    </w:p>
    <w:p w14:paraId="6ECD2864" w14:textId="77777777" w:rsidR="009D560F" w:rsidRDefault="009D560F" w:rsidP="009D560F">
      <w:pPr>
        <w:pStyle w:val="a9"/>
        <w:spacing w:line="360" w:lineRule="auto"/>
        <w:ind w:hanging="720"/>
        <w:jc w:val="both"/>
        <w:rPr>
          <w:rFonts w:ascii="David" w:hAnsi="David" w:cs="David"/>
          <w:sz w:val="24"/>
          <w:szCs w:val="24"/>
          <w:rtl/>
        </w:rPr>
      </w:pPr>
    </w:p>
    <w:p w14:paraId="4F93674F"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30.</w:t>
      </w:r>
      <w:r>
        <w:rPr>
          <w:rFonts w:ascii="David" w:hAnsi="David" w:cs="David" w:hint="cs"/>
          <w:sz w:val="24"/>
          <w:szCs w:val="24"/>
          <w:rtl/>
        </w:rPr>
        <w:tab/>
      </w:r>
      <w:r w:rsidRPr="00877AC5">
        <w:rPr>
          <w:rFonts w:ascii="David" w:hAnsi="David" w:cs="David"/>
          <w:sz w:val="24"/>
          <w:szCs w:val="24"/>
          <w:rtl/>
        </w:rPr>
        <w:t>ב"כ הנאשם הפנה לנסיבות חייו הקשות של הנאשם ולעובדה כי רצח אביו ארע לנגד עיניו ומבחינתו הדבר ארע באשמתו</w:t>
      </w:r>
      <w:r>
        <w:rPr>
          <w:rFonts w:ascii="David" w:hAnsi="David" w:cs="David"/>
          <w:sz w:val="24"/>
          <w:szCs w:val="24"/>
          <w:rtl/>
        </w:rPr>
        <w:t xml:space="preserve"> </w:t>
      </w:r>
      <w:r w:rsidRPr="00877AC5">
        <w:rPr>
          <w:rFonts w:ascii="David" w:hAnsi="David" w:cs="David"/>
          <w:sz w:val="24"/>
          <w:szCs w:val="24"/>
          <w:rtl/>
        </w:rPr>
        <w:t>של הנאשם, שהיה אז בן 18, היות וריב בינו לבין אחר הוביל לרצח של אביו, לאחר</w:t>
      </w:r>
      <w:r>
        <w:rPr>
          <w:rFonts w:ascii="David" w:hAnsi="David" w:cs="David"/>
          <w:sz w:val="24"/>
          <w:szCs w:val="24"/>
          <w:rtl/>
        </w:rPr>
        <w:t xml:space="preserve"> </w:t>
      </w:r>
      <w:r w:rsidRPr="00877AC5">
        <w:rPr>
          <w:rFonts w:ascii="David" w:hAnsi="David" w:cs="David"/>
          <w:sz w:val="24"/>
          <w:szCs w:val="24"/>
          <w:rtl/>
        </w:rPr>
        <w:t>שהאב הגיע להפריד.</w:t>
      </w:r>
    </w:p>
    <w:p w14:paraId="64EF1997" w14:textId="77777777" w:rsidR="009D560F" w:rsidRDefault="009D560F" w:rsidP="009D560F">
      <w:pPr>
        <w:pStyle w:val="a9"/>
        <w:spacing w:line="360" w:lineRule="auto"/>
        <w:ind w:hanging="720"/>
        <w:jc w:val="both"/>
        <w:rPr>
          <w:rFonts w:ascii="David" w:hAnsi="David" w:cs="David"/>
          <w:sz w:val="24"/>
          <w:szCs w:val="24"/>
          <w:rtl/>
        </w:rPr>
      </w:pPr>
    </w:p>
    <w:p w14:paraId="43B5922B"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31.</w:t>
      </w:r>
      <w:r>
        <w:rPr>
          <w:rFonts w:ascii="David" w:hAnsi="David" w:cs="David"/>
          <w:sz w:val="24"/>
          <w:szCs w:val="24"/>
          <w:rtl/>
        </w:rPr>
        <w:tab/>
      </w:r>
      <w:r w:rsidRPr="00877AC5">
        <w:rPr>
          <w:rFonts w:ascii="David" w:hAnsi="David" w:cs="David"/>
          <w:sz w:val="24"/>
          <w:szCs w:val="24"/>
          <w:rtl/>
        </w:rPr>
        <w:t xml:space="preserve">ב"כ הנאשם ציין, כי לפני כן החל הנאשם ללמוד טכנאות שיניים, הדבר מופיע גם בתסקיר, והוא עבד בנמל בתור סבל. </w:t>
      </w:r>
    </w:p>
    <w:p w14:paraId="27B54D12" w14:textId="77777777" w:rsidR="009D560F" w:rsidRDefault="009D560F" w:rsidP="009D560F">
      <w:pPr>
        <w:pStyle w:val="a9"/>
        <w:spacing w:line="360" w:lineRule="auto"/>
        <w:ind w:hanging="720"/>
        <w:jc w:val="both"/>
        <w:rPr>
          <w:rFonts w:ascii="David" w:hAnsi="David" w:cs="David"/>
          <w:sz w:val="24"/>
          <w:szCs w:val="24"/>
          <w:rtl/>
        </w:rPr>
      </w:pPr>
    </w:p>
    <w:p w14:paraId="715A7005"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32.</w:t>
      </w:r>
      <w:r>
        <w:rPr>
          <w:rFonts w:ascii="David" w:hAnsi="David" w:cs="David" w:hint="cs"/>
          <w:sz w:val="24"/>
          <w:szCs w:val="24"/>
          <w:rtl/>
        </w:rPr>
        <w:tab/>
      </w:r>
      <w:r w:rsidRPr="00877AC5">
        <w:rPr>
          <w:rFonts w:ascii="David" w:hAnsi="David" w:cs="David"/>
          <w:sz w:val="24"/>
          <w:szCs w:val="24"/>
          <w:rtl/>
        </w:rPr>
        <w:t xml:space="preserve">ב"כ הנאשם ציין, כי הנאשם עצור מיום 9/10/2020, דהיינו-מעל חמישה חודשים, ללא עבירת משמעת כלשהי. </w:t>
      </w:r>
    </w:p>
    <w:p w14:paraId="358870C5" w14:textId="77777777" w:rsidR="009D560F" w:rsidRDefault="009D560F" w:rsidP="009D560F">
      <w:pPr>
        <w:pStyle w:val="a9"/>
        <w:spacing w:line="360" w:lineRule="auto"/>
        <w:ind w:hanging="720"/>
        <w:jc w:val="both"/>
        <w:rPr>
          <w:rFonts w:ascii="David" w:hAnsi="David" w:cs="David"/>
          <w:sz w:val="24"/>
          <w:szCs w:val="24"/>
          <w:rtl/>
        </w:rPr>
      </w:pPr>
    </w:p>
    <w:p w14:paraId="4E5B0045"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33.</w:t>
      </w:r>
      <w:r>
        <w:rPr>
          <w:rFonts w:ascii="David" w:hAnsi="David" w:cs="David" w:hint="cs"/>
          <w:sz w:val="24"/>
          <w:szCs w:val="24"/>
          <w:rtl/>
        </w:rPr>
        <w:tab/>
      </w:r>
      <w:r w:rsidRPr="00877AC5">
        <w:rPr>
          <w:rFonts w:ascii="David" w:hAnsi="David" w:cs="David"/>
          <w:sz w:val="24"/>
          <w:szCs w:val="24"/>
          <w:rtl/>
        </w:rPr>
        <w:t>ב"כ הנאשם הוסיף, כי מדובר בנאשם שבא מבית של אנשי חינוך עם אחות שסיימה לימודי רפואה ואח שעתיד להתחיל את לימודי הרפואה.</w:t>
      </w:r>
    </w:p>
    <w:p w14:paraId="14263494" w14:textId="77777777" w:rsidR="009D560F" w:rsidRDefault="009D560F" w:rsidP="009D560F">
      <w:pPr>
        <w:pStyle w:val="a9"/>
        <w:spacing w:line="360" w:lineRule="auto"/>
        <w:ind w:hanging="720"/>
        <w:jc w:val="both"/>
        <w:rPr>
          <w:rFonts w:ascii="David" w:hAnsi="David" w:cs="David"/>
          <w:sz w:val="24"/>
          <w:szCs w:val="24"/>
          <w:rtl/>
        </w:rPr>
      </w:pPr>
    </w:p>
    <w:p w14:paraId="18BBDF9E"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34.</w:t>
      </w:r>
      <w:r>
        <w:rPr>
          <w:rFonts w:ascii="David" w:hAnsi="David" w:cs="David" w:hint="cs"/>
          <w:sz w:val="24"/>
          <w:szCs w:val="24"/>
          <w:rtl/>
        </w:rPr>
        <w:tab/>
      </w:r>
      <w:r w:rsidRPr="00877AC5">
        <w:rPr>
          <w:rFonts w:ascii="David" w:hAnsi="David" w:cs="David"/>
          <w:sz w:val="24"/>
          <w:szCs w:val="24"/>
          <w:rtl/>
        </w:rPr>
        <w:t>לעמדת ההגנה, האיזון הראוי בין 15 חודשי מאסר לריצוי בפועל משרתים את תכלית הענישה.</w:t>
      </w:r>
    </w:p>
    <w:p w14:paraId="7A7E7FAB" w14:textId="77777777" w:rsidR="009D560F" w:rsidRDefault="009D560F" w:rsidP="009D560F">
      <w:pPr>
        <w:pStyle w:val="a9"/>
        <w:spacing w:line="360" w:lineRule="auto"/>
        <w:ind w:hanging="720"/>
        <w:jc w:val="both"/>
        <w:rPr>
          <w:rFonts w:ascii="David" w:hAnsi="David" w:cs="David"/>
          <w:sz w:val="24"/>
          <w:szCs w:val="24"/>
          <w:rtl/>
        </w:rPr>
      </w:pPr>
    </w:p>
    <w:p w14:paraId="61F4CA11"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35.</w:t>
      </w:r>
      <w:r>
        <w:rPr>
          <w:rFonts w:ascii="David" w:hAnsi="David" w:cs="David" w:hint="cs"/>
          <w:sz w:val="24"/>
          <w:szCs w:val="24"/>
          <w:rtl/>
        </w:rPr>
        <w:tab/>
      </w:r>
      <w:r w:rsidRPr="00877AC5">
        <w:rPr>
          <w:rFonts w:ascii="David" w:hAnsi="David" w:cs="David"/>
          <w:sz w:val="24"/>
          <w:szCs w:val="24"/>
          <w:rtl/>
        </w:rPr>
        <w:t xml:space="preserve">ב"כ הנאשם הוסיף וציין, כי ניתן היה לנהל את התיק לאור כך שלא היה יסוד סביר לחשד כי מדובר בסמים וקיימות טענות לגבי החיפוש. ניידת הבלשים הייתה במסגרת אכיפת קורונה ולא היה מידע מודיעני כלשהו. למרות זאת, הנאשם בחר להודות, הביע חרטה אמיתית וכנה, ואולי אם היה מנהל משפטו היה מקבל הסדר טיעון מקל או ביטול כתב האישום. למרות זאת, הוא לקח אחריות מתוך רצון לשלם את המחיר ולשלם את חובו לחברה. </w:t>
      </w:r>
    </w:p>
    <w:p w14:paraId="06F8CD43" w14:textId="77777777" w:rsidR="009D560F" w:rsidRDefault="009D560F" w:rsidP="009D560F">
      <w:pPr>
        <w:pStyle w:val="a9"/>
        <w:spacing w:line="360" w:lineRule="auto"/>
        <w:ind w:hanging="720"/>
        <w:jc w:val="both"/>
        <w:rPr>
          <w:rFonts w:ascii="David" w:hAnsi="David" w:cs="David"/>
          <w:sz w:val="24"/>
          <w:szCs w:val="24"/>
          <w:rtl/>
        </w:rPr>
      </w:pPr>
    </w:p>
    <w:p w14:paraId="11E74A13"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36.</w:t>
      </w:r>
      <w:r>
        <w:rPr>
          <w:rFonts w:ascii="David" w:hAnsi="David" w:cs="David" w:hint="cs"/>
          <w:sz w:val="24"/>
          <w:szCs w:val="24"/>
          <w:rtl/>
        </w:rPr>
        <w:tab/>
      </w:r>
      <w:r w:rsidRPr="00877AC5">
        <w:rPr>
          <w:rFonts w:ascii="David" w:hAnsi="David" w:cs="David"/>
          <w:sz w:val="24"/>
          <w:szCs w:val="24"/>
          <w:rtl/>
        </w:rPr>
        <w:t xml:space="preserve">בנוסף, ציין הסניגור, כי בהודאתו, חסך הנאשם העדתם של 27 עדי תביעה. </w:t>
      </w:r>
    </w:p>
    <w:p w14:paraId="7111805C" w14:textId="77777777" w:rsidR="009D560F" w:rsidRDefault="009D560F" w:rsidP="009D560F">
      <w:pPr>
        <w:pStyle w:val="a9"/>
        <w:spacing w:line="360" w:lineRule="auto"/>
        <w:ind w:hanging="720"/>
        <w:jc w:val="both"/>
        <w:rPr>
          <w:rFonts w:ascii="David" w:hAnsi="David" w:cs="David"/>
          <w:sz w:val="24"/>
          <w:szCs w:val="24"/>
          <w:rtl/>
        </w:rPr>
      </w:pPr>
    </w:p>
    <w:p w14:paraId="477631DF"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37.</w:t>
      </w:r>
      <w:r>
        <w:rPr>
          <w:rFonts w:ascii="David" w:hAnsi="David" w:cs="David" w:hint="cs"/>
          <w:sz w:val="24"/>
          <w:szCs w:val="24"/>
          <w:rtl/>
        </w:rPr>
        <w:tab/>
      </w:r>
      <w:r w:rsidRPr="00877AC5">
        <w:rPr>
          <w:rFonts w:ascii="David" w:hAnsi="David" w:cs="David"/>
          <w:sz w:val="24"/>
          <w:szCs w:val="24"/>
          <w:rtl/>
        </w:rPr>
        <w:t xml:space="preserve">ב"כ הנאשם אף ציין, כי הנאשם עצור מזה למעלה מחמישה חודשים ותנאי מעצר שונים מתנאי מאסר וקשים מהם. </w:t>
      </w:r>
    </w:p>
    <w:p w14:paraId="1C6419F2" w14:textId="77777777" w:rsidR="009D560F" w:rsidRDefault="009D560F" w:rsidP="009D560F">
      <w:pPr>
        <w:pStyle w:val="a9"/>
        <w:spacing w:line="360" w:lineRule="auto"/>
        <w:ind w:hanging="720"/>
        <w:jc w:val="both"/>
        <w:rPr>
          <w:rFonts w:ascii="David" w:hAnsi="David" w:cs="David"/>
          <w:sz w:val="24"/>
          <w:szCs w:val="24"/>
          <w:rtl/>
        </w:rPr>
      </w:pPr>
    </w:p>
    <w:p w14:paraId="47441BE6"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38.</w:t>
      </w:r>
      <w:r>
        <w:rPr>
          <w:rFonts w:ascii="David" w:hAnsi="David" w:cs="David" w:hint="cs"/>
          <w:sz w:val="24"/>
          <w:szCs w:val="24"/>
          <w:rtl/>
        </w:rPr>
        <w:tab/>
      </w:r>
      <w:r w:rsidRPr="00877AC5">
        <w:rPr>
          <w:rFonts w:ascii="David" w:hAnsi="David" w:cs="David"/>
          <w:sz w:val="24"/>
          <w:szCs w:val="24"/>
          <w:rtl/>
        </w:rPr>
        <w:t>בנוסף, לטענתו לא נגרם נזק כלשהו בפועל</w:t>
      </w:r>
      <w:r>
        <w:rPr>
          <w:rFonts w:ascii="David" w:hAnsi="David" w:cs="David"/>
          <w:sz w:val="24"/>
          <w:szCs w:val="24"/>
          <w:rtl/>
        </w:rPr>
        <w:t xml:space="preserve"> </w:t>
      </w:r>
      <w:r w:rsidRPr="00877AC5">
        <w:rPr>
          <w:rFonts w:ascii="David" w:hAnsi="David" w:cs="David"/>
          <w:sz w:val="24"/>
          <w:szCs w:val="24"/>
          <w:rtl/>
        </w:rPr>
        <w:t>ויש לאבחן ממקרה של סחר למשל לקטינים או לאנשים אחרים.</w:t>
      </w:r>
    </w:p>
    <w:p w14:paraId="1AEF2F3B" w14:textId="77777777" w:rsidR="009D560F" w:rsidRDefault="009D560F" w:rsidP="009D560F">
      <w:pPr>
        <w:pStyle w:val="a9"/>
        <w:spacing w:line="360" w:lineRule="auto"/>
        <w:ind w:hanging="720"/>
        <w:jc w:val="both"/>
        <w:rPr>
          <w:rFonts w:ascii="David" w:hAnsi="David" w:cs="David"/>
          <w:sz w:val="24"/>
          <w:szCs w:val="24"/>
          <w:rtl/>
        </w:rPr>
      </w:pPr>
    </w:p>
    <w:p w14:paraId="64F3BAC1" w14:textId="77777777" w:rsidR="009D560F" w:rsidRPr="00877AC5" w:rsidRDefault="009D560F" w:rsidP="009D560F">
      <w:pPr>
        <w:pStyle w:val="a9"/>
        <w:spacing w:line="360" w:lineRule="auto"/>
        <w:ind w:hanging="720"/>
        <w:jc w:val="both"/>
        <w:rPr>
          <w:rFonts w:ascii="David" w:hAnsi="David" w:cs="David"/>
          <w:sz w:val="24"/>
          <w:szCs w:val="24"/>
        </w:rPr>
      </w:pPr>
      <w:r>
        <w:rPr>
          <w:rFonts w:ascii="David" w:hAnsi="David" w:cs="David" w:hint="cs"/>
          <w:sz w:val="24"/>
          <w:szCs w:val="24"/>
          <w:rtl/>
        </w:rPr>
        <w:t>39.</w:t>
      </w:r>
      <w:r>
        <w:rPr>
          <w:rFonts w:ascii="David" w:hAnsi="David" w:cs="David" w:hint="cs"/>
          <w:sz w:val="24"/>
          <w:szCs w:val="24"/>
          <w:rtl/>
        </w:rPr>
        <w:tab/>
      </w:r>
      <w:r w:rsidRPr="00877AC5">
        <w:rPr>
          <w:rFonts w:ascii="David" w:hAnsi="David" w:cs="David"/>
          <w:sz w:val="24"/>
          <w:szCs w:val="24"/>
          <w:rtl/>
        </w:rPr>
        <w:t xml:space="preserve">הנאשם ביקש לומר כי הוא מצטער על מעשיו, קשה לו במעצר, הוא בקושי מתפקד ובקושי אוכל והוא מבטיח שלא יחזור שוב על טעותו ולא יחזור שוב לבתי משפט. </w:t>
      </w:r>
    </w:p>
    <w:p w14:paraId="75507386" w14:textId="77777777" w:rsidR="009D560F" w:rsidRPr="00877AC5" w:rsidRDefault="009D560F" w:rsidP="009D560F">
      <w:pPr>
        <w:spacing w:line="360" w:lineRule="auto"/>
        <w:ind w:left="720" w:hanging="720"/>
        <w:jc w:val="both"/>
        <w:rPr>
          <w:rFonts w:ascii="Arial" w:hAnsi="Arial"/>
          <w:rtl/>
        </w:rPr>
      </w:pPr>
    </w:p>
    <w:p w14:paraId="2A6CCDB9" w14:textId="77777777" w:rsidR="009D560F" w:rsidRPr="00CD4132" w:rsidRDefault="009D560F" w:rsidP="009D560F">
      <w:pPr>
        <w:spacing w:line="360" w:lineRule="auto"/>
        <w:ind w:left="720" w:hanging="720"/>
        <w:jc w:val="both"/>
        <w:rPr>
          <w:rFonts w:ascii="Arial" w:hAnsi="Arial"/>
          <w:b/>
          <w:bCs/>
          <w:u w:val="single"/>
          <w:rtl/>
        </w:rPr>
      </w:pPr>
      <w:r w:rsidRPr="00CD4132">
        <w:rPr>
          <w:rFonts w:ascii="Arial" w:hAnsi="Arial" w:hint="cs"/>
          <w:b/>
          <w:bCs/>
          <w:u w:val="single"/>
          <w:rtl/>
        </w:rPr>
        <w:t>דיון והכרעה:</w:t>
      </w:r>
    </w:p>
    <w:p w14:paraId="2B1CF75E" w14:textId="77777777" w:rsidR="009D560F" w:rsidRDefault="009D560F" w:rsidP="009D560F">
      <w:pPr>
        <w:spacing w:line="360" w:lineRule="auto"/>
        <w:ind w:left="720" w:hanging="720"/>
        <w:jc w:val="both"/>
      </w:pPr>
      <w:r>
        <w:rPr>
          <w:rFonts w:ascii="Arial" w:hAnsi="Arial" w:hint="cs"/>
          <w:rtl/>
        </w:rPr>
        <w:t xml:space="preserve">40. </w:t>
      </w:r>
      <w:r>
        <w:rPr>
          <w:rtl/>
        </w:rPr>
        <w:tab/>
        <w:t>תיקון 113 ל</w:t>
      </w:r>
      <w:hyperlink r:id="rId18" w:history="1">
        <w:r w:rsidR="00C45E33" w:rsidRPr="00C45E33">
          <w:rPr>
            <w:color w:val="0000FF"/>
            <w:u w:val="single"/>
            <w:rtl/>
          </w:rPr>
          <w:t>חוק העונשין</w:t>
        </w:r>
      </w:hyperlink>
      <w:r>
        <w:rPr>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w:t>
      </w:r>
      <w:hyperlink r:id="rId19" w:history="1">
        <w:r w:rsidR="004D4970" w:rsidRPr="004D4970">
          <w:rPr>
            <w:rStyle w:val="Hyperlink"/>
            <w:rtl/>
          </w:rPr>
          <w:t>סעיף 40ב</w:t>
        </w:r>
      </w:hyperlink>
      <w:r>
        <w:rPr>
          <w:rtl/>
        </w:rPr>
        <w:t xml:space="preserve"> לחוק העונשין, תשל"ז – 1977),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 (</w:t>
      </w:r>
      <w:hyperlink r:id="rId20" w:history="1">
        <w:r w:rsidR="004D4970" w:rsidRPr="004D4970">
          <w:rPr>
            <w:rStyle w:val="Hyperlink"/>
            <w:rtl/>
          </w:rPr>
          <w:t>סעיף 40ג</w:t>
        </w:r>
      </w:hyperlink>
      <w:r>
        <w:rPr>
          <w:rtl/>
        </w:rPr>
        <w:t xml:space="preserve"> לחוק הנ"ל). </w:t>
      </w:r>
    </w:p>
    <w:p w14:paraId="114A9DBA" w14:textId="77777777" w:rsidR="009D560F" w:rsidRDefault="009D560F" w:rsidP="009D560F">
      <w:pPr>
        <w:spacing w:line="360" w:lineRule="auto"/>
        <w:jc w:val="both"/>
      </w:pPr>
    </w:p>
    <w:p w14:paraId="7691B478" w14:textId="77777777" w:rsidR="009D560F" w:rsidRDefault="009D560F" w:rsidP="009D560F">
      <w:pPr>
        <w:spacing w:line="360" w:lineRule="auto"/>
        <w:ind w:left="720" w:hanging="720"/>
        <w:rPr>
          <w:rtl/>
        </w:rPr>
      </w:pPr>
      <w:r>
        <w:rPr>
          <w:rFonts w:hint="cs"/>
          <w:rtl/>
        </w:rPr>
        <w:t xml:space="preserve">41. </w:t>
      </w:r>
      <w:r>
        <w:rPr>
          <w:rtl/>
        </w:rPr>
        <w:tab/>
        <w:t>הערכים החברתיים שנפגעו כתוצאה ממעשיו של הנאשם הם הפגיעה בשלום הציבור בהיות נגע הסמים בגדר מחולל פשיעה על כל גווניה כמו גם הפגיעה בגופם של אלה הצורכים סמים אותם רוכשים מנאשמים דוגמת הנאשם.</w:t>
      </w:r>
    </w:p>
    <w:p w14:paraId="4EC55FDF" w14:textId="77777777" w:rsidR="009D560F" w:rsidRDefault="009D560F" w:rsidP="009D560F">
      <w:pPr>
        <w:spacing w:line="360" w:lineRule="auto"/>
        <w:rPr>
          <w:rtl/>
        </w:rPr>
      </w:pPr>
    </w:p>
    <w:p w14:paraId="04FBC6A8" w14:textId="77777777" w:rsidR="009D560F" w:rsidRDefault="009D560F" w:rsidP="009D560F">
      <w:pPr>
        <w:spacing w:line="360" w:lineRule="auto"/>
        <w:ind w:left="720" w:hanging="720"/>
        <w:rPr>
          <w:rtl/>
        </w:rPr>
      </w:pPr>
      <w:r>
        <w:rPr>
          <w:rFonts w:hint="cs"/>
          <w:rtl/>
        </w:rPr>
        <w:t>42.</w:t>
      </w:r>
      <w:r>
        <w:rPr>
          <w:rFonts w:hint="cs"/>
          <w:rtl/>
        </w:rPr>
        <w:tab/>
        <w:t xml:space="preserve">אשר למידת הפגיעה - מדובר ברמת פגיעה גבוהה בשים לב לסוג הסם וכמותו - סם מסוג קוקאין במשקל נטו של 60.3262 גר'. </w:t>
      </w:r>
    </w:p>
    <w:p w14:paraId="4A00C9F0" w14:textId="77777777" w:rsidR="009D560F" w:rsidRDefault="009D560F" w:rsidP="009D560F">
      <w:pPr>
        <w:spacing w:line="360" w:lineRule="auto"/>
        <w:ind w:left="720" w:hanging="720"/>
        <w:rPr>
          <w:rtl/>
        </w:rPr>
      </w:pPr>
    </w:p>
    <w:p w14:paraId="1B4FCACA" w14:textId="77777777" w:rsidR="009D560F" w:rsidRDefault="009D560F" w:rsidP="009D560F">
      <w:pPr>
        <w:spacing w:line="360" w:lineRule="auto"/>
        <w:ind w:left="720" w:hanging="720"/>
        <w:rPr>
          <w:rtl/>
        </w:rPr>
      </w:pPr>
      <w:r>
        <w:rPr>
          <w:rFonts w:hint="cs"/>
          <w:rtl/>
        </w:rPr>
        <w:t>43.</w:t>
      </w:r>
      <w:r>
        <w:rPr>
          <w:rFonts w:hint="cs"/>
          <w:rtl/>
        </w:rPr>
        <w:tab/>
      </w:r>
      <w:r>
        <w:rPr>
          <w:rtl/>
        </w:rPr>
        <w:t xml:space="preserve">אשר לנסיבות הקשורות בעבירה – </w:t>
      </w:r>
    </w:p>
    <w:p w14:paraId="5F236F9D" w14:textId="77777777" w:rsidR="009D560F" w:rsidRDefault="009D560F" w:rsidP="009D560F">
      <w:pPr>
        <w:spacing w:line="360" w:lineRule="auto"/>
        <w:ind w:left="720" w:hanging="720"/>
        <w:rPr>
          <w:rtl/>
        </w:rPr>
      </w:pPr>
      <w:r>
        <w:rPr>
          <w:rtl/>
        </w:rPr>
        <w:tab/>
      </w:r>
      <w:r>
        <w:rPr>
          <w:rFonts w:hint="cs"/>
          <w:rtl/>
        </w:rPr>
        <w:t xml:space="preserve">על פי עובדות כתב האישום הנאשם היה ביחד עם אחר ברכב, כשהאחר נהג ברכב והנאשם ישב לידו. הנאשם החזיק באיזור חלציו במכנסיו כפפה ובה סם מסוכן מסוג קוקאין במשקל הנ"ל. </w:t>
      </w:r>
    </w:p>
    <w:p w14:paraId="6D7DB7C5" w14:textId="77777777" w:rsidR="009D560F" w:rsidRDefault="009D560F" w:rsidP="009D560F">
      <w:pPr>
        <w:spacing w:line="360" w:lineRule="auto"/>
        <w:ind w:left="720" w:hanging="720"/>
        <w:rPr>
          <w:rtl/>
        </w:rPr>
      </w:pPr>
    </w:p>
    <w:p w14:paraId="0AFFE353" w14:textId="77777777" w:rsidR="009D560F" w:rsidRDefault="009D560F" w:rsidP="009D560F">
      <w:pPr>
        <w:spacing w:line="360" w:lineRule="auto"/>
        <w:ind w:left="720" w:hanging="720"/>
        <w:rPr>
          <w:rtl/>
        </w:rPr>
      </w:pPr>
      <w:r>
        <w:rPr>
          <w:rtl/>
        </w:rPr>
        <w:tab/>
      </w:r>
      <w:r>
        <w:rPr>
          <w:rFonts w:hint="cs"/>
          <w:rtl/>
        </w:rPr>
        <w:t xml:space="preserve">אין טענה כי הסם היה מחולק למנות או ארוז בשקיות. </w:t>
      </w:r>
    </w:p>
    <w:p w14:paraId="15C0AA37" w14:textId="77777777" w:rsidR="009D560F" w:rsidRDefault="009D560F" w:rsidP="009D560F">
      <w:pPr>
        <w:spacing w:line="360" w:lineRule="auto"/>
        <w:ind w:left="720" w:hanging="720"/>
        <w:rPr>
          <w:rtl/>
        </w:rPr>
      </w:pPr>
    </w:p>
    <w:p w14:paraId="1B4EC943" w14:textId="77777777" w:rsidR="009D560F" w:rsidRDefault="009D560F" w:rsidP="009D560F">
      <w:pPr>
        <w:spacing w:line="360" w:lineRule="auto"/>
        <w:ind w:left="720" w:hanging="720"/>
        <w:rPr>
          <w:rtl/>
        </w:rPr>
      </w:pPr>
      <w:r>
        <w:rPr>
          <w:rFonts w:hint="cs"/>
          <w:rtl/>
        </w:rPr>
        <w:t>44.</w:t>
      </w:r>
      <w:r>
        <w:rPr>
          <w:rFonts w:hint="cs"/>
          <w:rtl/>
        </w:rPr>
        <w:tab/>
        <w:t>אשר למדיניות הענישה - הצדדים הפנו לפסיקה התומכת בטיעוניהם, אולם כל מקרה לגופו וכל מקרה לנסיבותיו.</w:t>
      </w:r>
    </w:p>
    <w:p w14:paraId="388BDB8B" w14:textId="77777777" w:rsidR="009D560F" w:rsidRDefault="009D560F" w:rsidP="009D560F">
      <w:pPr>
        <w:spacing w:line="360" w:lineRule="auto"/>
        <w:ind w:left="720" w:hanging="720"/>
        <w:rPr>
          <w:rtl/>
        </w:rPr>
      </w:pPr>
    </w:p>
    <w:p w14:paraId="687232EB" w14:textId="77777777" w:rsidR="009D560F" w:rsidRDefault="009D560F" w:rsidP="009D560F">
      <w:pPr>
        <w:spacing w:line="360" w:lineRule="auto"/>
        <w:ind w:left="720" w:hanging="720"/>
        <w:rPr>
          <w:rtl/>
        </w:rPr>
      </w:pPr>
      <w:r>
        <w:rPr>
          <w:rtl/>
        </w:rPr>
        <w:tab/>
      </w:r>
      <w:r>
        <w:rPr>
          <w:rFonts w:hint="cs"/>
          <w:rtl/>
        </w:rPr>
        <w:t>לעניין זה הפנה אותי הסניגור לגזר הדין שניתן על ידי ב</w:t>
      </w:r>
      <w:hyperlink r:id="rId21" w:history="1">
        <w:r w:rsidR="00C45E33" w:rsidRPr="00C45E33">
          <w:rPr>
            <w:color w:val="0000FF"/>
            <w:u w:val="single"/>
            <w:rtl/>
          </w:rPr>
          <w:t>ת.פ. 39278-09-19</w:t>
        </w:r>
      </w:hyperlink>
      <w:r>
        <w:rPr>
          <w:rFonts w:hint="cs"/>
          <w:rtl/>
        </w:rPr>
        <w:t xml:space="preserve"> </w:t>
      </w:r>
      <w:r w:rsidRPr="00A22811">
        <w:rPr>
          <w:rFonts w:hint="cs"/>
          <w:b/>
          <w:bCs/>
          <w:rtl/>
        </w:rPr>
        <w:t>מדינת ישראל נ' מחמוד אבו דבוס</w:t>
      </w:r>
      <w:r>
        <w:rPr>
          <w:rFonts w:hint="cs"/>
          <w:rtl/>
        </w:rPr>
        <w:t xml:space="preserve"> שם קבעתי ביחס לנאשם שהחזיק בסם מסוכן מסוג הירואין במשקל של 43.31 גר' נטו ובסם מסוכן מסוג קוקאין במשקל של 8.63 גר' נטו מתחם עונש הולם שנע בין 15 לבין 30 חודשי מאסר בפועל. </w:t>
      </w:r>
    </w:p>
    <w:p w14:paraId="00184FE5" w14:textId="77777777" w:rsidR="009D560F" w:rsidRDefault="009D560F" w:rsidP="009D560F">
      <w:pPr>
        <w:spacing w:line="360" w:lineRule="auto"/>
        <w:ind w:left="720" w:hanging="720"/>
        <w:rPr>
          <w:rtl/>
        </w:rPr>
      </w:pPr>
    </w:p>
    <w:p w14:paraId="3FBDB498" w14:textId="77777777" w:rsidR="009D560F" w:rsidRDefault="009D560F" w:rsidP="009D560F">
      <w:pPr>
        <w:spacing w:line="360" w:lineRule="auto"/>
        <w:ind w:left="720" w:hanging="720"/>
        <w:rPr>
          <w:rtl/>
        </w:rPr>
      </w:pPr>
      <w:r>
        <w:rPr>
          <w:rtl/>
        </w:rPr>
        <w:tab/>
      </w:r>
      <w:r>
        <w:rPr>
          <w:rFonts w:hint="cs"/>
          <w:rtl/>
        </w:rPr>
        <w:t xml:space="preserve">ערעור שהגישה המאשימה על גזר הדין במסגרת </w:t>
      </w:r>
      <w:hyperlink r:id="rId22" w:history="1">
        <w:r w:rsidR="00C45E33" w:rsidRPr="00C45E33">
          <w:rPr>
            <w:color w:val="0000FF"/>
            <w:u w:val="single"/>
            <w:rtl/>
          </w:rPr>
          <w:t>עפ"ג 7732-04-20</w:t>
        </w:r>
      </w:hyperlink>
      <w:r>
        <w:rPr>
          <w:rFonts w:hint="cs"/>
          <w:rtl/>
        </w:rPr>
        <w:t xml:space="preserve"> נדחה כשבית המשפט המחוזי לא מצא עילה המצדיקה סטייה ממתחם העונש שקבעתי הגם שקבע כי אכן מדובר בענישה הנוטה לקולא. </w:t>
      </w:r>
    </w:p>
    <w:p w14:paraId="6BC61218" w14:textId="77777777" w:rsidR="009D560F" w:rsidRDefault="009D560F" w:rsidP="009D560F">
      <w:pPr>
        <w:spacing w:line="360" w:lineRule="auto"/>
        <w:ind w:left="720" w:hanging="720"/>
        <w:rPr>
          <w:rtl/>
        </w:rPr>
      </w:pPr>
    </w:p>
    <w:p w14:paraId="28B11942" w14:textId="77777777" w:rsidR="009D560F" w:rsidRDefault="009D560F" w:rsidP="009D560F">
      <w:pPr>
        <w:spacing w:line="360" w:lineRule="auto"/>
        <w:ind w:left="720" w:hanging="720"/>
        <w:rPr>
          <w:rtl/>
        </w:rPr>
      </w:pPr>
      <w:r>
        <w:rPr>
          <w:rtl/>
        </w:rPr>
        <w:tab/>
      </w:r>
      <w:r>
        <w:rPr>
          <w:rFonts w:hint="cs"/>
          <w:rtl/>
        </w:rPr>
        <w:t xml:space="preserve">יש לציין כי באותו אישום הגם שמדובר בכמות כוללת פחותה מכמות הסם שנתפסה בחזקת הנאשם, הסם היה מחולק באריזות פלסטיק סגורות חלקן בקשר וחלקן בחום, באופן המחזק את החזקה כי מדובר בהחזקה למטרת סחר בעוד שבענייננו החזיק הנאשם את הסם בתוך כפפה. </w:t>
      </w:r>
    </w:p>
    <w:p w14:paraId="2D22BA3E" w14:textId="77777777" w:rsidR="009D560F" w:rsidRDefault="009D560F" w:rsidP="009D560F">
      <w:pPr>
        <w:spacing w:line="360" w:lineRule="auto"/>
        <w:ind w:left="720" w:hanging="720"/>
        <w:rPr>
          <w:rtl/>
        </w:rPr>
      </w:pPr>
    </w:p>
    <w:p w14:paraId="284F9805" w14:textId="77777777" w:rsidR="009D560F" w:rsidRDefault="009D560F" w:rsidP="009D560F">
      <w:pPr>
        <w:spacing w:line="360" w:lineRule="auto"/>
        <w:ind w:left="720" w:hanging="720"/>
        <w:rPr>
          <w:rtl/>
        </w:rPr>
      </w:pPr>
      <w:r>
        <w:rPr>
          <w:rFonts w:hint="cs"/>
          <w:rtl/>
        </w:rPr>
        <w:t xml:space="preserve">45. </w:t>
      </w:r>
      <w:r>
        <w:rPr>
          <w:rFonts w:hint="cs"/>
          <w:rtl/>
        </w:rPr>
        <w:tab/>
      </w:r>
      <w:r>
        <w:rPr>
          <w:rtl/>
        </w:rPr>
        <w:t>בהתחשב איפוא בעיקרון ההלימה, בערכים החברתיים שנפגעו, במידת הפגיעה באותם ערכים, בנסיבות הקשורות בעבירה ובמדיניות הענישה, אני קובעת כי מתחם העונש ההולם</w:t>
      </w:r>
      <w:r>
        <w:rPr>
          <w:rFonts w:hint="cs"/>
          <w:rtl/>
        </w:rPr>
        <w:t xml:space="preserve"> נע בין 15 לבין 30 חודשי מאסר בפועל. </w:t>
      </w:r>
    </w:p>
    <w:p w14:paraId="1087B3D6" w14:textId="77777777" w:rsidR="009D560F" w:rsidRDefault="009D560F" w:rsidP="009D560F">
      <w:pPr>
        <w:spacing w:line="360" w:lineRule="auto"/>
        <w:ind w:left="720" w:hanging="720"/>
        <w:rPr>
          <w:rtl/>
        </w:rPr>
      </w:pPr>
    </w:p>
    <w:p w14:paraId="410ADF2D" w14:textId="77777777" w:rsidR="009D560F" w:rsidRDefault="009D560F" w:rsidP="009D560F">
      <w:pPr>
        <w:spacing w:line="360" w:lineRule="auto"/>
        <w:ind w:left="720" w:hanging="720"/>
        <w:rPr>
          <w:rtl/>
        </w:rPr>
      </w:pPr>
      <w:r>
        <w:rPr>
          <w:rFonts w:hint="cs"/>
          <w:rtl/>
        </w:rPr>
        <w:t>46.</w:t>
      </w:r>
      <w:r>
        <w:rPr>
          <w:rFonts w:hint="cs"/>
          <w:rtl/>
        </w:rPr>
        <w:tab/>
      </w:r>
      <w:r>
        <w:rPr>
          <w:rtl/>
        </w:rPr>
        <w:t>אשר לנסיבות שאינן קשורות בביצוע העבירה –</w:t>
      </w:r>
    </w:p>
    <w:p w14:paraId="5920914C" w14:textId="77777777" w:rsidR="009D560F" w:rsidRDefault="009D560F" w:rsidP="009D560F">
      <w:pPr>
        <w:spacing w:line="360" w:lineRule="auto"/>
        <w:ind w:left="720" w:hanging="720"/>
        <w:rPr>
          <w:rtl/>
        </w:rPr>
      </w:pPr>
      <w:r>
        <w:rPr>
          <w:rtl/>
        </w:rPr>
        <w:tab/>
      </w:r>
      <w:r>
        <w:rPr>
          <w:rFonts w:hint="cs"/>
          <w:rtl/>
        </w:rPr>
        <w:t xml:space="preserve">הנאשם הודה בהזדמנות הראשונה, ללא תיקון כתב האישום ובכך חסך מזמנם של הצדדים, העדים ובית המשפט כשכתב האישום כולל 27 עדי תביעה. </w:t>
      </w:r>
    </w:p>
    <w:p w14:paraId="5172E32E" w14:textId="77777777" w:rsidR="009D560F" w:rsidRDefault="009D560F" w:rsidP="009D560F">
      <w:pPr>
        <w:spacing w:line="360" w:lineRule="auto"/>
        <w:ind w:left="720" w:hanging="720"/>
        <w:rPr>
          <w:rtl/>
        </w:rPr>
      </w:pPr>
    </w:p>
    <w:p w14:paraId="3F823BFF" w14:textId="77777777" w:rsidR="009D560F" w:rsidRDefault="009D560F" w:rsidP="009D560F">
      <w:pPr>
        <w:spacing w:line="360" w:lineRule="auto"/>
        <w:ind w:left="720" w:hanging="720"/>
        <w:rPr>
          <w:rtl/>
        </w:rPr>
      </w:pPr>
      <w:r>
        <w:rPr>
          <w:rtl/>
        </w:rPr>
        <w:tab/>
      </w:r>
      <w:r>
        <w:rPr>
          <w:rFonts w:hint="cs"/>
          <w:rtl/>
        </w:rPr>
        <w:t>לחובת הנאשם הרשעה קודמת מיום 14/7/15 בגין עבירה של סיוע לשוד מזויין מכוחה הוטל עליו מאסר בן 6 חודשים לריצוי בעבודות שירות.</w:t>
      </w:r>
    </w:p>
    <w:p w14:paraId="024468C7" w14:textId="77777777" w:rsidR="009D560F" w:rsidRDefault="009D560F" w:rsidP="009D560F">
      <w:pPr>
        <w:spacing w:line="360" w:lineRule="auto"/>
        <w:ind w:left="720" w:hanging="720"/>
        <w:rPr>
          <w:rtl/>
        </w:rPr>
      </w:pPr>
    </w:p>
    <w:p w14:paraId="1574442E" w14:textId="77777777" w:rsidR="009D560F" w:rsidRDefault="009D560F" w:rsidP="009D560F">
      <w:pPr>
        <w:spacing w:line="360" w:lineRule="auto"/>
        <w:ind w:left="720" w:hanging="720"/>
        <w:rPr>
          <w:rtl/>
        </w:rPr>
      </w:pPr>
      <w:r>
        <w:rPr>
          <w:rtl/>
        </w:rPr>
        <w:tab/>
      </w:r>
      <w:r>
        <w:rPr>
          <w:rFonts w:hint="cs"/>
          <w:rtl/>
        </w:rPr>
        <w:t xml:space="preserve">אין לחובת הנאשם הרשעות בעבירות של סחר בסמים או של שימוש בסמים. </w:t>
      </w:r>
    </w:p>
    <w:p w14:paraId="286860CC" w14:textId="77777777" w:rsidR="009D560F" w:rsidRDefault="009D560F" w:rsidP="009D560F">
      <w:pPr>
        <w:spacing w:line="360" w:lineRule="auto"/>
        <w:ind w:left="720" w:hanging="720"/>
        <w:rPr>
          <w:rtl/>
        </w:rPr>
      </w:pPr>
    </w:p>
    <w:p w14:paraId="4756328C" w14:textId="77777777" w:rsidR="009D560F" w:rsidRDefault="009D560F" w:rsidP="009D560F">
      <w:pPr>
        <w:spacing w:line="360" w:lineRule="auto"/>
        <w:ind w:left="720" w:hanging="720"/>
        <w:rPr>
          <w:rtl/>
        </w:rPr>
      </w:pPr>
      <w:r>
        <w:rPr>
          <w:rtl/>
        </w:rPr>
        <w:tab/>
      </w:r>
      <w:r>
        <w:rPr>
          <w:rFonts w:hint="cs"/>
          <w:rtl/>
        </w:rPr>
        <w:t xml:space="preserve">אביו של הנאשם מצא את מותו בנסיבות טרגיות בסביבת שנת 2014 עת נרצח לנגד עיניו, כשהנאשם האשים את עצמו בתרומה לאירוע. אימו של הנאשם ואביו המנוח היו אנשי חינוך, אחותו רופאה ואחיו מתעתד ללמוד רפואה. </w:t>
      </w:r>
    </w:p>
    <w:p w14:paraId="50DE06CA" w14:textId="77777777" w:rsidR="009D560F" w:rsidRDefault="009D560F" w:rsidP="009D560F">
      <w:pPr>
        <w:spacing w:line="360" w:lineRule="auto"/>
        <w:ind w:left="720" w:hanging="720"/>
        <w:rPr>
          <w:rtl/>
        </w:rPr>
      </w:pPr>
    </w:p>
    <w:p w14:paraId="70B75CBB" w14:textId="77777777" w:rsidR="009D560F" w:rsidRDefault="009D560F" w:rsidP="009D560F">
      <w:pPr>
        <w:spacing w:line="360" w:lineRule="auto"/>
        <w:ind w:left="720" w:hanging="720"/>
        <w:rPr>
          <w:rtl/>
        </w:rPr>
      </w:pPr>
      <w:r>
        <w:rPr>
          <w:rtl/>
        </w:rPr>
        <w:tab/>
      </w:r>
      <w:r>
        <w:rPr>
          <w:rFonts w:hint="cs"/>
          <w:rtl/>
        </w:rPr>
        <w:t>טרם מעצרו החל הנאשם ללמוד טכנאות שיניים שלפני כן עבד בנמל בתור סבל.</w:t>
      </w:r>
    </w:p>
    <w:p w14:paraId="456D5A9C" w14:textId="77777777" w:rsidR="009D560F" w:rsidRDefault="009D560F" w:rsidP="009D560F">
      <w:pPr>
        <w:spacing w:line="360" w:lineRule="auto"/>
        <w:ind w:left="720" w:hanging="720"/>
        <w:rPr>
          <w:rtl/>
        </w:rPr>
      </w:pPr>
    </w:p>
    <w:p w14:paraId="0F39E313" w14:textId="77777777" w:rsidR="009D560F" w:rsidRDefault="009D560F" w:rsidP="009D560F">
      <w:pPr>
        <w:spacing w:line="360" w:lineRule="auto"/>
        <w:ind w:left="720" w:hanging="720"/>
        <w:rPr>
          <w:rtl/>
        </w:rPr>
      </w:pPr>
      <w:r>
        <w:rPr>
          <w:rtl/>
        </w:rPr>
        <w:tab/>
      </w:r>
      <w:r>
        <w:rPr>
          <w:rFonts w:hint="cs"/>
          <w:rtl/>
        </w:rPr>
        <w:t xml:space="preserve">הנאשם עצור מיום 9/10/20 כשאין חולק כי תנאי מעצר קשים מתנאי מאסר דווקא בתקופה זו, תקופת מגפת הקורונה. הנאשם לא שוחרר בחלופה הגם שיתכן והדבר היה נשקל כשניתן למצוא נימוק לכך בטיעוניה של האם אשר תחילה הביעה כעס רב על מעשיו של הנאשם אם כי לדבריה נוכח הבטחותיו - חידשה עימו את הקשר. </w:t>
      </w:r>
    </w:p>
    <w:p w14:paraId="3AC8FF8F" w14:textId="77777777" w:rsidR="009D560F" w:rsidRDefault="009D560F" w:rsidP="009D560F">
      <w:pPr>
        <w:spacing w:line="360" w:lineRule="auto"/>
        <w:ind w:left="720" w:hanging="720"/>
        <w:rPr>
          <w:rtl/>
        </w:rPr>
      </w:pPr>
    </w:p>
    <w:p w14:paraId="4C00D881" w14:textId="77777777" w:rsidR="009D560F" w:rsidRDefault="009D560F" w:rsidP="009D560F">
      <w:pPr>
        <w:spacing w:line="360" w:lineRule="auto"/>
        <w:ind w:left="720" w:hanging="720"/>
        <w:rPr>
          <w:rtl/>
        </w:rPr>
      </w:pPr>
      <w:r>
        <w:rPr>
          <w:rtl/>
        </w:rPr>
        <w:tab/>
      </w:r>
      <w:r>
        <w:rPr>
          <w:rFonts w:hint="cs"/>
          <w:rtl/>
        </w:rPr>
        <w:t xml:space="preserve">הנאשם עצמו הביע צער על מעשיו והבטיח שלא יחזור על טעותו. </w:t>
      </w:r>
    </w:p>
    <w:p w14:paraId="577EB89C" w14:textId="77777777" w:rsidR="009D560F" w:rsidRDefault="009D560F" w:rsidP="009D560F">
      <w:pPr>
        <w:spacing w:line="360" w:lineRule="auto"/>
        <w:ind w:left="720" w:hanging="720"/>
        <w:rPr>
          <w:rtl/>
        </w:rPr>
      </w:pPr>
    </w:p>
    <w:p w14:paraId="337D1A28" w14:textId="77777777" w:rsidR="009D560F" w:rsidRDefault="009D560F" w:rsidP="009D560F">
      <w:pPr>
        <w:spacing w:line="360" w:lineRule="auto"/>
        <w:ind w:left="720" w:hanging="720"/>
        <w:rPr>
          <w:rtl/>
        </w:rPr>
      </w:pPr>
      <w:r>
        <w:rPr>
          <w:rFonts w:hint="cs"/>
          <w:rtl/>
        </w:rPr>
        <w:t>47.</w:t>
      </w:r>
      <w:r>
        <w:rPr>
          <w:rFonts w:hint="cs"/>
          <w:rtl/>
        </w:rPr>
        <w:tab/>
      </w:r>
      <w:r>
        <w:rPr>
          <w:rtl/>
        </w:rPr>
        <w:t xml:space="preserve">בהתאם להוראת </w:t>
      </w:r>
      <w:hyperlink r:id="rId23" w:history="1">
        <w:r w:rsidR="004D4970" w:rsidRPr="004D4970">
          <w:rPr>
            <w:rStyle w:val="Hyperlink"/>
            <w:rtl/>
          </w:rPr>
          <w:t>סעיף 40ד'</w:t>
        </w:r>
      </w:hyperlink>
      <w:r>
        <w:rPr>
          <w:rtl/>
        </w:rPr>
        <w:t xml:space="preserve"> ל</w:t>
      </w:r>
      <w:hyperlink r:id="rId24" w:history="1">
        <w:r w:rsidR="00C45E33" w:rsidRPr="00C45E33">
          <w:rPr>
            <w:color w:val="0000FF"/>
            <w:u w:val="single"/>
            <w:rtl/>
          </w:rPr>
          <w:t>חוק העונשין</w:t>
        </w:r>
      </w:hyperlink>
      <w:r>
        <w:rPr>
          <w:rtl/>
        </w:rPr>
        <w:t xml:space="preserve"> רשאי בית המשפט לחרוג ממתחם העונש ההולם אם מצא בית המשפט כי הנאשם השתקם או כי יש סיכוי של ממש כי ישתקם.</w:t>
      </w:r>
    </w:p>
    <w:p w14:paraId="61613012" w14:textId="77777777" w:rsidR="009D560F" w:rsidRDefault="009D560F" w:rsidP="009D560F">
      <w:pPr>
        <w:spacing w:line="360" w:lineRule="auto"/>
        <w:ind w:left="720" w:hanging="720"/>
        <w:rPr>
          <w:rtl/>
        </w:rPr>
      </w:pPr>
    </w:p>
    <w:p w14:paraId="687DFD93" w14:textId="77777777" w:rsidR="009D560F" w:rsidRDefault="009D560F" w:rsidP="009D560F">
      <w:pPr>
        <w:spacing w:line="360" w:lineRule="auto"/>
        <w:ind w:left="720" w:hanging="720"/>
        <w:rPr>
          <w:rtl/>
        </w:rPr>
      </w:pPr>
      <w:r>
        <w:rPr>
          <w:rtl/>
        </w:rPr>
        <w:tab/>
      </w:r>
      <w:r>
        <w:rPr>
          <w:rFonts w:hint="cs"/>
          <w:rtl/>
        </w:rPr>
        <w:t xml:space="preserve">בעניינו של הנאשם התקבל תסקיר של שירות המבחן אשר סקר את נסיבותיו האישיות והמשפחתיות של הנאשם. להתרשמות שירות המבחן גם אם כיום הנאשם מגלה מודעות מילולית ראשונית לבעיית ההתמכרות בחייו ומעוניין לבחון אפשרויות שיקום, הרי מאפייני אישיותו כעולה מהתסקיר כמו גם הבעיות התפקודיות והחברתיות במישורי חייו השונים, מצביעים על כך כי קיים סיכון לחזרה על התנהגות פורצת גבולות וביצוע עבירות דומות בעתיד. </w:t>
      </w:r>
    </w:p>
    <w:p w14:paraId="4475E4D7" w14:textId="77777777" w:rsidR="009D560F" w:rsidRDefault="009D560F" w:rsidP="009D560F">
      <w:pPr>
        <w:spacing w:line="360" w:lineRule="auto"/>
        <w:ind w:left="720" w:hanging="720"/>
        <w:rPr>
          <w:rtl/>
        </w:rPr>
      </w:pPr>
    </w:p>
    <w:p w14:paraId="79D8F048" w14:textId="77777777" w:rsidR="009D560F" w:rsidRDefault="009D560F" w:rsidP="009D560F">
      <w:pPr>
        <w:spacing w:line="360" w:lineRule="auto"/>
        <w:ind w:left="720" w:hanging="720"/>
        <w:rPr>
          <w:rtl/>
        </w:rPr>
      </w:pPr>
      <w:r>
        <w:rPr>
          <w:rFonts w:hint="cs"/>
          <w:rtl/>
        </w:rPr>
        <w:t>48.</w:t>
      </w:r>
      <w:r>
        <w:rPr>
          <w:rFonts w:hint="cs"/>
          <w:rtl/>
        </w:rPr>
        <w:tab/>
        <w:t xml:space="preserve">שירות המבחן מציין עוד כי מערכת התמיכה בחייו של הנאשם מתקשה להוות גורם מקדם ומקור למוטיבציה לעריכת שינוי משמעותי בחייו, כשהנאשם אף מפגין חוסר בשלות באשר לאפשרות הטיפול בעניינו. ביטויי המוטיבציה לשינוי מקורם בהשלכות ההליך המשפטי המתקיים ולא מתוך תובנה או חיבור אמיתי לנסיבות שהובילו אותו להתנהלות פורצת גבול. לכן נמנע שירות המבחן מהמלצה טיפולית בעניינו של הנאשם. </w:t>
      </w:r>
    </w:p>
    <w:p w14:paraId="1286F4BE" w14:textId="77777777" w:rsidR="009D560F" w:rsidRDefault="009D560F" w:rsidP="009D560F">
      <w:pPr>
        <w:spacing w:line="360" w:lineRule="auto"/>
        <w:ind w:left="720" w:hanging="720"/>
        <w:rPr>
          <w:rtl/>
        </w:rPr>
      </w:pPr>
    </w:p>
    <w:p w14:paraId="5E67D6CB" w14:textId="77777777" w:rsidR="009D560F" w:rsidRDefault="009D560F" w:rsidP="009D560F">
      <w:pPr>
        <w:spacing w:line="360" w:lineRule="auto"/>
        <w:ind w:left="720" w:hanging="720"/>
        <w:rPr>
          <w:rtl/>
        </w:rPr>
      </w:pPr>
      <w:r>
        <w:rPr>
          <w:rtl/>
        </w:rPr>
        <w:tab/>
      </w:r>
      <w:r>
        <w:rPr>
          <w:rFonts w:hint="cs"/>
          <w:rtl/>
        </w:rPr>
        <w:t>בנסיבות אלה אין מקום לחרוג ממתחם העונש ההולם בשל העדר שיקולי שיקום.</w:t>
      </w:r>
    </w:p>
    <w:p w14:paraId="50A8054F" w14:textId="77777777" w:rsidR="009D560F" w:rsidRDefault="009D560F" w:rsidP="009D560F">
      <w:pPr>
        <w:spacing w:line="360" w:lineRule="auto"/>
        <w:ind w:left="720" w:hanging="720"/>
        <w:rPr>
          <w:rtl/>
        </w:rPr>
      </w:pPr>
    </w:p>
    <w:p w14:paraId="58E08030" w14:textId="77777777" w:rsidR="009D560F" w:rsidRDefault="009D560F" w:rsidP="009D560F">
      <w:pPr>
        <w:spacing w:line="360" w:lineRule="auto"/>
        <w:ind w:left="720" w:hanging="720"/>
        <w:rPr>
          <w:rtl/>
        </w:rPr>
      </w:pPr>
      <w:r>
        <w:rPr>
          <w:rFonts w:hint="cs"/>
          <w:rtl/>
        </w:rPr>
        <w:t>49.</w:t>
      </w:r>
      <w:r>
        <w:rPr>
          <w:rFonts w:hint="cs"/>
          <w:rtl/>
        </w:rPr>
        <w:tab/>
        <w:t xml:space="preserve">בחרתי לגזור על הנאשם עונש מאסר המצוי ברף תחתון יחסית של המתחם בשים לב לכך שאין לחובתו הרשעות בעבירות דומות, להודייה בהזדמנות הראשונה ולנסיבות הטרגיות של המשפחה אשר מן הסתם היה בהם כדי לתרום להדרדרותו של הנאשם ולמצבו ההתמכרותי. זאת, מבלי להתעלם מחומרת העבירה ומהכמות הניכרת של הסם שהוחזק. </w:t>
      </w:r>
    </w:p>
    <w:p w14:paraId="37A29F22" w14:textId="77777777" w:rsidR="009D560F" w:rsidRDefault="009D560F" w:rsidP="009D560F">
      <w:pPr>
        <w:spacing w:line="360" w:lineRule="auto"/>
        <w:ind w:left="720" w:hanging="720"/>
        <w:rPr>
          <w:rtl/>
        </w:rPr>
      </w:pPr>
    </w:p>
    <w:p w14:paraId="74BFB231" w14:textId="77777777" w:rsidR="009D560F" w:rsidRDefault="009D560F" w:rsidP="009D560F">
      <w:pPr>
        <w:spacing w:line="360" w:lineRule="auto"/>
        <w:ind w:left="720" w:hanging="720"/>
        <w:rPr>
          <w:rtl/>
        </w:rPr>
      </w:pPr>
      <w:r>
        <w:rPr>
          <w:rFonts w:hint="cs"/>
          <w:rtl/>
        </w:rPr>
        <w:t>50.</w:t>
      </w:r>
      <w:r>
        <w:rPr>
          <w:rFonts w:hint="cs"/>
          <w:rtl/>
        </w:rPr>
        <w:tab/>
        <w:t>אשר על כן אני אני דנה את הנאשם למאסר בפועל לתקופה של 17 חודשים שיחושבו מיום מעצרו 9/10/20.</w:t>
      </w:r>
    </w:p>
    <w:p w14:paraId="7923EFA4" w14:textId="77777777" w:rsidR="009D560F" w:rsidRDefault="009D560F" w:rsidP="009D560F">
      <w:pPr>
        <w:spacing w:line="360" w:lineRule="auto"/>
        <w:ind w:left="720" w:hanging="720"/>
        <w:rPr>
          <w:rtl/>
        </w:rPr>
      </w:pPr>
    </w:p>
    <w:p w14:paraId="72AD71DE" w14:textId="77777777" w:rsidR="009D560F" w:rsidRDefault="009D560F" w:rsidP="009D560F">
      <w:pPr>
        <w:spacing w:line="360" w:lineRule="auto"/>
        <w:ind w:left="720" w:hanging="720"/>
        <w:rPr>
          <w:rtl/>
        </w:rPr>
      </w:pPr>
      <w:r>
        <w:rPr>
          <w:rtl/>
        </w:rPr>
        <w:tab/>
      </w:r>
      <w:r>
        <w:rPr>
          <w:rFonts w:hint="cs"/>
          <w:rtl/>
        </w:rPr>
        <w:t>אני דנה את הנאשם למאסר על תנאי לתקופה של 8 חודשים למשך שלוש שנים והתנאי הוא כי לא יעבור עבירה מסוג פשע בניגוד ל</w:t>
      </w:r>
      <w:hyperlink r:id="rId25" w:history="1">
        <w:r w:rsidR="00C45E33" w:rsidRPr="00C45E33">
          <w:rPr>
            <w:color w:val="0000FF"/>
            <w:u w:val="single"/>
            <w:rtl/>
          </w:rPr>
          <w:t>פקודת הסמים המסוכנים</w:t>
        </w:r>
      </w:hyperlink>
      <w:r>
        <w:rPr>
          <w:rFonts w:hint="cs"/>
          <w:rtl/>
        </w:rPr>
        <w:t xml:space="preserve">. </w:t>
      </w:r>
    </w:p>
    <w:p w14:paraId="02F64544" w14:textId="77777777" w:rsidR="009D560F" w:rsidRDefault="009D560F" w:rsidP="009D560F">
      <w:pPr>
        <w:spacing w:line="360" w:lineRule="auto"/>
        <w:ind w:left="720" w:hanging="720"/>
        <w:rPr>
          <w:rtl/>
        </w:rPr>
      </w:pPr>
    </w:p>
    <w:p w14:paraId="3CCBFFAB" w14:textId="77777777" w:rsidR="009D560F" w:rsidRDefault="009D560F" w:rsidP="009D560F">
      <w:pPr>
        <w:spacing w:line="360" w:lineRule="auto"/>
        <w:ind w:left="720" w:hanging="720"/>
        <w:rPr>
          <w:rtl/>
        </w:rPr>
      </w:pPr>
      <w:r>
        <w:rPr>
          <w:rtl/>
        </w:rPr>
        <w:tab/>
      </w:r>
      <w:r>
        <w:rPr>
          <w:rFonts w:hint="cs"/>
          <w:rtl/>
        </w:rPr>
        <w:t xml:space="preserve">אני פוסלת את הנאשם מקבל או מהחזיק רשיון נהיגה לתקופה של 8 חודשים. </w:t>
      </w:r>
    </w:p>
    <w:p w14:paraId="791C2547" w14:textId="77777777" w:rsidR="009D560F" w:rsidRDefault="009D560F" w:rsidP="009D560F">
      <w:pPr>
        <w:spacing w:line="360" w:lineRule="auto"/>
        <w:jc w:val="both"/>
        <w:rPr>
          <w:rtl/>
        </w:rPr>
      </w:pPr>
    </w:p>
    <w:p w14:paraId="47CF03B0" w14:textId="77777777" w:rsidR="009D560F" w:rsidRDefault="009D560F" w:rsidP="009D560F">
      <w:pPr>
        <w:spacing w:line="360" w:lineRule="auto"/>
        <w:jc w:val="both"/>
        <w:rPr>
          <w:rtl/>
        </w:rPr>
      </w:pPr>
      <w:r>
        <w:rPr>
          <w:rFonts w:hint="cs"/>
          <w:rtl/>
        </w:rPr>
        <w:t xml:space="preserve">הסמים יושמדו. </w:t>
      </w:r>
    </w:p>
    <w:p w14:paraId="6BCD4A2E" w14:textId="77777777" w:rsidR="009D560F" w:rsidRDefault="009D560F" w:rsidP="009D560F">
      <w:pPr>
        <w:spacing w:line="360" w:lineRule="auto"/>
        <w:jc w:val="both"/>
        <w:rPr>
          <w:rtl/>
        </w:rPr>
      </w:pPr>
    </w:p>
    <w:p w14:paraId="3DA3BF59" w14:textId="77777777" w:rsidR="009D560F" w:rsidRDefault="009D560F" w:rsidP="009D560F">
      <w:pPr>
        <w:spacing w:line="360" w:lineRule="auto"/>
        <w:jc w:val="both"/>
        <w:rPr>
          <w:rtl/>
        </w:rPr>
      </w:pPr>
      <w:r>
        <w:rPr>
          <w:rFonts w:hint="cs"/>
          <w:rtl/>
        </w:rPr>
        <w:t xml:space="preserve">הודע על זכות ערעור תוך 45 יום. </w:t>
      </w:r>
    </w:p>
    <w:p w14:paraId="4DF07DE4" w14:textId="77777777" w:rsidR="009D560F" w:rsidRDefault="009D560F" w:rsidP="009D560F">
      <w:pPr>
        <w:rPr>
          <w:rtl/>
        </w:rPr>
      </w:pPr>
    </w:p>
    <w:p w14:paraId="1E1A7563" w14:textId="77777777" w:rsidR="009D560F" w:rsidRPr="00877AC5" w:rsidRDefault="009D560F" w:rsidP="009D560F">
      <w:pPr>
        <w:spacing w:line="360" w:lineRule="auto"/>
        <w:ind w:left="720" w:hanging="720"/>
        <w:jc w:val="both"/>
        <w:rPr>
          <w:rFonts w:ascii="Arial" w:hAnsi="Arial"/>
          <w:rtl/>
        </w:rPr>
      </w:pPr>
    </w:p>
    <w:p w14:paraId="78161D78" w14:textId="77777777" w:rsidR="009D560F" w:rsidRPr="00877AC5" w:rsidRDefault="00C45E33" w:rsidP="009D560F">
      <w:pPr>
        <w:spacing w:line="360" w:lineRule="auto"/>
        <w:ind w:left="720" w:hanging="720"/>
        <w:jc w:val="both"/>
        <w:rPr>
          <w:rFonts w:ascii="Arial" w:hAnsi="Arial"/>
          <w:rtl/>
        </w:rPr>
      </w:pPr>
      <w:bookmarkStart w:id="7" w:name="Nitan"/>
      <w:r>
        <w:rPr>
          <w:rFonts w:ascii="Arial" w:hAnsi="Arial"/>
          <w:rtl/>
        </w:rPr>
        <w:t xml:space="preserve">ניתן היום, ט' אייר תשפ"א, 21 אפריל 2021, בהעדר הצדדים. </w:t>
      </w:r>
      <w:bookmarkEnd w:id="7"/>
    </w:p>
    <w:p w14:paraId="037581E1" w14:textId="77777777" w:rsidR="009D560F" w:rsidRPr="00877AC5" w:rsidRDefault="009D560F" w:rsidP="009D560F">
      <w:pPr>
        <w:spacing w:line="360" w:lineRule="auto"/>
        <w:ind w:left="720" w:hanging="720"/>
        <w:jc w:val="both"/>
      </w:pPr>
    </w:p>
    <w:p w14:paraId="4E043CD3" w14:textId="77777777" w:rsidR="009D560F" w:rsidRPr="00C45E33" w:rsidRDefault="00C45E33" w:rsidP="009D560F">
      <w:pPr>
        <w:spacing w:line="360" w:lineRule="auto"/>
        <w:ind w:left="720" w:hanging="720"/>
        <w:jc w:val="both"/>
        <w:rPr>
          <w:rFonts w:ascii="Arial" w:hAnsi="Arial"/>
          <w:color w:val="FFFFFF"/>
          <w:sz w:val="2"/>
          <w:szCs w:val="2"/>
          <w:rtl/>
        </w:rPr>
      </w:pPr>
      <w:r w:rsidRPr="00C45E33">
        <w:rPr>
          <w:rFonts w:ascii="Arial" w:hAnsi="Arial"/>
          <w:color w:val="FFFFFF"/>
          <w:sz w:val="2"/>
          <w:szCs w:val="2"/>
          <w:rtl/>
        </w:rPr>
        <w:t>5129371</w:t>
      </w:r>
    </w:p>
    <w:p w14:paraId="139E4B50" w14:textId="77777777" w:rsidR="009D560F" w:rsidRPr="00C45E33" w:rsidRDefault="00C45E33" w:rsidP="009D560F">
      <w:pPr>
        <w:spacing w:line="360" w:lineRule="auto"/>
        <w:ind w:left="720" w:hanging="720"/>
        <w:jc w:val="both"/>
        <w:rPr>
          <w:rFonts w:ascii="Arial" w:hAnsi="Arial"/>
          <w:color w:val="FFFFFF"/>
          <w:sz w:val="2"/>
          <w:szCs w:val="2"/>
          <w:rtl/>
        </w:rPr>
      </w:pPr>
      <w:r w:rsidRPr="00C45E33">
        <w:rPr>
          <w:rFonts w:ascii="Arial" w:hAnsi="Arial"/>
          <w:color w:val="FFFFFF"/>
          <w:sz w:val="2"/>
          <w:szCs w:val="2"/>
          <w:rtl/>
        </w:rPr>
        <w:t>54678313</w:t>
      </w:r>
    </w:p>
    <w:p w14:paraId="3ABBFBAD" w14:textId="77777777" w:rsidR="009D560F" w:rsidRPr="00877AC5" w:rsidRDefault="009D560F" w:rsidP="009D560F">
      <w:pPr>
        <w:spacing w:line="360" w:lineRule="auto"/>
        <w:ind w:left="720" w:hanging="720"/>
        <w:jc w:val="both"/>
        <w:rPr>
          <w:rFonts w:ascii="Arial" w:hAnsi="Arial"/>
          <w:rtl/>
        </w:rPr>
      </w:pPr>
    </w:p>
    <w:p w14:paraId="58B2FDDA" w14:textId="77777777" w:rsidR="009D560F" w:rsidRPr="00877AC5" w:rsidRDefault="009D560F" w:rsidP="009D560F">
      <w:pPr>
        <w:spacing w:line="360" w:lineRule="auto"/>
        <w:ind w:left="720" w:hanging="720"/>
        <w:jc w:val="both"/>
        <w:rPr>
          <w:rFonts w:ascii="Arial" w:hAnsi="Arial"/>
          <w:rtl/>
        </w:rPr>
      </w:pPr>
    </w:p>
    <w:p w14:paraId="65C18483" w14:textId="77777777" w:rsidR="009D560F" w:rsidRPr="00877AC5" w:rsidRDefault="009D560F" w:rsidP="009D560F">
      <w:pPr>
        <w:spacing w:line="360" w:lineRule="auto"/>
        <w:ind w:left="720" w:hanging="720"/>
        <w:jc w:val="both"/>
        <w:rPr>
          <w:rFonts w:ascii="Arial" w:hAnsi="Arial"/>
          <w:rtl/>
        </w:rPr>
      </w:pPr>
    </w:p>
    <w:p w14:paraId="4C057A25" w14:textId="77777777" w:rsidR="009D560F" w:rsidRPr="00877AC5" w:rsidRDefault="009D560F" w:rsidP="009D560F">
      <w:pPr>
        <w:spacing w:line="360" w:lineRule="auto"/>
        <w:ind w:left="720" w:hanging="720"/>
        <w:jc w:val="both"/>
        <w:rPr>
          <w:rFonts w:ascii="Arial" w:hAnsi="Arial"/>
          <w:rtl/>
        </w:rPr>
      </w:pPr>
    </w:p>
    <w:p w14:paraId="092BAE25" w14:textId="77777777" w:rsidR="004B53F9" w:rsidRPr="00C45E33" w:rsidRDefault="004B53F9" w:rsidP="00C45E33">
      <w:pPr>
        <w:keepNext/>
        <w:rPr>
          <w:rFonts w:ascii="David" w:hAnsi="David" w:hint="cs"/>
          <w:color w:val="000000"/>
          <w:sz w:val="22"/>
          <w:szCs w:val="22"/>
          <w:rtl/>
        </w:rPr>
      </w:pPr>
    </w:p>
    <w:p w14:paraId="6BC4669A" w14:textId="77777777" w:rsidR="00C45E33" w:rsidRPr="00C45E33" w:rsidRDefault="00C45E33" w:rsidP="00C45E33">
      <w:pPr>
        <w:keepNext/>
        <w:rPr>
          <w:rFonts w:ascii="David" w:hAnsi="David"/>
          <w:color w:val="000000"/>
          <w:sz w:val="22"/>
          <w:szCs w:val="22"/>
          <w:rtl/>
        </w:rPr>
      </w:pPr>
      <w:r w:rsidRPr="00C45E33">
        <w:rPr>
          <w:rFonts w:ascii="David" w:hAnsi="David"/>
          <w:color w:val="000000"/>
          <w:sz w:val="22"/>
          <w:szCs w:val="22"/>
          <w:rtl/>
        </w:rPr>
        <w:t>אורית קנטור 54678313</w:t>
      </w:r>
    </w:p>
    <w:p w14:paraId="68A125BE" w14:textId="77777777" w:rsidR="00C45E33" w:rsidRDefault="00C45E33" w:rsidP="00C45E33">
      <w:r w:rsidRPr="00C45E33">
        <w:rPr>
          <w:color w:val="000000"/>
          <w:rtl/>
        </w:rPr>
        <w:t>נוסח מסמך זה כפוף לשינויי ניסוח ועריכה</w:t>
      </w:r>
    </w:p>
    <w:p w14:paraId="0931D759" w14:textId="77777777" w:rsidR="00C45E33" w:rsidRDefault="00C45E33" w:rsidP="00C45E33">
      <w:pPr>
        <w:rPr>
          <w:rtl/>
        </w:rPr>
      </w:pPr>
    </w:p>
    <w:p w14:paraId="581F2555" w14:textId="77777777" w:rsidR="00C45E33" w:rsidRDefault="00C45E33" w:rsidP="00C45E33">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DE809F7" w14:textId="77777777" w:rsidR="00C45E33" w:rsidRPr="00C45E33" w:rsidRDefault="00C45E33" w:rsidP="00C45E33">
      <w:pPr>
        <w:jc w:val="center"/>
        <w:rPr>
          <w:rFonts w:hint="cs"/>
          <w:color w:val="0000FF"/>
          <w:u w:val="single"/>
        </w:rPr>
      </w:pPr>
    </w:p>
    <w:sectPr w:rsidR="00C45E33" w:rsidRPr="00C45E33" w:rsidSect="00C45E33">
      <w:headerReference w:type="even" r:id="rId27"/>
      <w:headerReference w:type="default" r:id="rId28"/>
      <w:footerReference w:type="even" r:id="rId29"/>
      <w:footerReference w:type="default" r:id="rId30"/>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7CDD9" w14:textId="77777777" w:rsidR="00540E08" w:rsidRDefault="00540E08" w:rsidP="00E5434A">
      <w:r>
        <w:separator/>
      </w:r>
    </w:p>
  </w:endnote>
  <w:endnote w:type="continuationSeparator" w:id="0">
    <w:p w14:paraId="7555CD13" w14:textId="77777777" w:rsidR="00540E08" w:rsidRDefault="00540E08" w:rsidP="00E54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D022D" w14:textId="77777777" w:rsidR="00C45E33" w:rsidRDefault="00C45E33" w:rsidP="00C45E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396F69" w14:textId="77777777" w:rsidR="00C45E33" w:rsidRPr="00C45E33" w:rsidRDefault="00C45E33" w:rsidP="00C45E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8D5EB" w14:textId="77777777" w:rsidR="00C45E33" w:rsidRDefault="00C45E33" w:rsidP="00C45E3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AA286B">
      <w:rPr>
        <w:rStyle w:val="a8"/>
        <w:rFonts w:ascii="FrankRuehl" w:hAnsi="FrankRuehl" w:cs="FrankRuehl"/>
        <w:noProof/>
        <w:rtl/>
      </w:rPr>
      <w:t>1</w:t>
    </w:r>
    <w:r>
      <w:rPr>
        <w:rStyle w:val="a8"/>
        <w:rFonts w:ascii="FrankRuehl" w:hAnsi="FrankRuehl" w:cs="FrankRuehl"/>
        <w:rtl/>
      </w:rPr>
      <w:fldChar w:fldCharType="end"/>
    </w:r>
  </w:p>
  <w:p w14:paraId="405385B1" w14:textId="77777777" w:rsidR="00342719" w:rsidRPr="00C45E33" w:rsidRDefault="00C45E33" w:rsidP="00C45E33">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4D0C1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DDD11" w14:textId="77777777" w:rsidR="00540E08" w:rsidRDefault="00540E08" w:rsidP="00E5434A">
      <w:r>
        <w:separator/>
      </w:r>
    </w:p>
  </w:footnote>
  <w:footnote w:type="continuationSeparator" w:id="0">
    <w:p w14:paraId="5FB6E0FC" w14:textId="77777777" w:rsidR="00540E08" w:rsidRDefault="00540E08" w:rsidP="00E54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68B7E" w14:textId="77777777" w:rsidR="00C45E33" w:rsidRPr="00C45E33" w:rsidRDefault="00C45E33" w:rsidP="00C45E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37062-10-20</w:t>
    </w:r>
    <w:r>
      <w:rPr>
        <w:rFonts w:ascii="David" w:hAnsi="David"/>
        <w:color w:val="000000"/>
        <w:sz w:val="22"/>
        <w:szCs w:val="22"/>
        <w:rtl/>
      </w:rPr>
      <w:tab/>
      <w:t xml:space="preserve"> מדינת ישראל נ' ראזי מחרום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717B5" w14:textId="77777777" w:rsidR="00C45E33" w:rsidRPr="00C45E33" w:rsidRDefault="00C45E33" w:rsidP="00C45E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37062-10-20</w:t>
    </w:r>
    <w:r>
      <w:rPr>
        <w:rFonts w:ascii="David" w:hAnsi="David"/>
        <w:color w:val="000000"/>
        <w:sz w:val="22"/>
        <w:szCs w:val="22"/>
        <w:rtl/>
      </w:rPr>
      <w:tab/>
      <w:t xml:space="preserve"> מדינת ישראל נ' ראזי מחרום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560F"/>
    <w:rsid w:val="001B5A3B"/>
    <w:rsid w:val="002910EE"/>
    <w:rsid w:val="00342719"/>
    <w:rsid w:val="00405302"/>
    <w:rsid w:val="0044015B"/>
    <w:rsid w:val="004B53F9"/>
    <w:rsid w:val="004D4970"/>
    <w:rsid w:val="00540E08"/>
    <w:rsid w:val="0058761C"/>
    <w:rsid w:val="009D560F"/>
    <w:rsid w:val="00AA286B"/>
    <w:rsid w:val="00B2596A"/>
    <w:rsid w:val="00C14A5C"/>
    <w:rsid w:val="00C45E33"/>
    <w:rsid w:val="00D20488"/>
    <w:rsid w:val="00E5434A"/>
    <w:rsid w:val="00FF3D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0C4CAD"/>
  <w15:chartTrackingRefBased/>
  <w15:docId w15:val="{2FC42664-8B89-4A40-A629-E55492FD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560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560F"/>
    <w:pPr>
      <w:tabs>
        <w:tab w:val="center" w:pos="4153"/>
        <w:tab w:val="right" w:pos="8306"/>
      </w:tabs>
    </w:pPr>
  </w:style>
  <w:style w:type="character" w:customStyle="1" w:styleId="a4">
    <w:name w:val="כותרת עליונה תו"/>
    <w:link w:val="a3"/>
    <w:rsid w:val="009D560F"/>
    <w:rPr>
      <w:rFonts w:ascii="Times New Roman" w:eastAsia="Times New Roman" w:hAnsi="Times New Roman" w:cs="David"/>
      <w:sz w:val="24"/>
      <w:szCs w:val="24"/>
    </w:rPr>
  </w:style>
  <w:style w:type="paragraph" w:styleId="a5">
    <w:name w:val="footer"/>
    <w:basedOn w:val="a"/>
    <w:link w:val="a6"/>
    <w:rsid w:val="009D560F"/>
    <w:pPr>
      <w:tabs>
        <w:tab w:val="center" w:pos="4153"/>
        <w:tab w:val="right" w:pos="8306"/>
      </w:tabs>
    </w:pPr>
  </w:style>
  <w:style w:type="character" w:customStyle="1" w:styleId="a6">
    <w:name w:val="כותרת תחתונה תו"/>
    <w:link w:val="a5"/>
    <w:rsid w:val="009D560F"/>
    <w:rPr>
      <w:rFonts w:ascii="Times New Roman" w:eastAsia="Times New Roman" w:hAnsi="Times New Roman" w:cs="David"/>
      <w:sz w:val="24"/>
      <w:szCs w:val="24"/>
    </w:rPr>
  </w:style>
  <w:style w:type="table" w:styleId="a7">
    <w:name w:val="Table Grid"/>
    <w:basedOn w:val="a1"/>
    <w:rsid w:val="009D560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560F"/>
    <w:rPr>
      <w:noProof w:val="0"/>
    </w:rPr>
  </w:style>
  <w:style w:type="paragraph" w:styleId="a9">
    <w:name w:val="List Paragraph"/>
    <w:basedOn w:val="a"/>
    <w:qFormat/>
    <w:rsid w:val="009D560F"/>
    <w:pPr>
      <w:spacing w:after="160" w:line="256" w:lineRule="auto"/>
      <w:ind w:left="720"/>
      <w:contextualSpacing/>
    </w:pPr>
    <w:rPr>
      <w:rFonts w:ascii="Calibri" w:eastAsia="Calibri" w:hAnsi="Calibri" w:cs="Arial"/>
      <w:sz w:val="22"/>
      <w:szCs w:val="22"/>
    </w:rPr>
  </w:style>
  <w:style w:type="character" w:styleId="aa">
    <w:name w:val="line number"/>
    <w:rsid w:val="009D560F"/>
  </w:style>
  <w:style w:type="character" w:styleId="Hyperlink">
    <w:name w:val="Hyperlink"/>
    <w:rsid w:val="00C45E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604359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c" TargetMode="External"/><Relationship Id="rId17" Type="http://schemas.openxmlformats.org/officeDocument/2006/relationships/hyperlink" Target="http://www.nevo.co.il/case/26589937"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26043596" TargetMode="External"/><Relationship Id="rId20" Type="http://schemas.openxmlformats.org/officeDocument/2006/relationships/hyperlink" Target="http://www.nevo.co.il/law/70301/40c"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case/27084144"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40d"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70301/40b"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6589937"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2188</Words>
  <Characters>10941</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13103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3997811</vt:i4>
      </vt:variant>
      <vt:variant>
        <vt:i4>48</vt:i4>
      </vt:variant>
      <vt:variant>
        <vt:i4>0</vt:i4>
      </vt:variant>
      <vt:variant>
        <vt:i4>5</vt:i4>
      </vt:variant>
      <vt:variant>
        <vt:lpwstr>http://www.nevo.co.il/case/26589937</vt:lpwstr>
      </vt:variant>
      <vt:variant>
        <vt:lpwstr/>
      </vt:variant>
      <vt:variant>
        <vt:i4>3670131</vt:i4>
      </vt:variant>
      <vt:variant>
        <vt:i4>45</vt:i4>
      </vt:variant>
      <vt:variant>
        <vt:i4>0</vt:i4>
      </vt:variant>
      <vt:variant>
        <vt:i4>5</vt:i4>
      </vt:variant>
      <vt:variant>
        <vt:lpwstr>http://www.nevo.co.il/case/26043596</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3997811</vt:i4>
      </vt:variant>
      <vt:variant>
        <vt:i4>33</vt:i4>
      </vt:variant>
      <vt:variant>
        <vt:i4>0</vt:i4>
      </vt:variant>
      <vt:variant>
        <vt:i4>5</vt:i4>
      </vt:variant>
      <vt:variant>
        <vt:lpwstr>http://www.nevo.co.il/case/26589937</vt:lpwstr>
      </vt:variant>
      <vt:variant>
        <vt:lpwstr/>
      </vt:variant>
      <vt:variant>
        <vt:i4>3670131</vt:i4>
      </vt:variant>
      <vt:variant>
        <vt:i4>30</vt:i4>
      </vt:variant>
      <vt:variant>
        <vt:i4>0</vt:i4>
      </vt:variant>
      <vt:variant>
        <vt:i4>5</vt:i4>
      </vt:variant>
      <vt:variant>
        <vt:lpwstr>http://www.nevo.co.il/case/26043596</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3276922</vt:i4>
      </vt:variant>
      <vt:variant>
        <vt:i4>0</vt:i4>
      </vt:variant>
      <vt:variant>
        <vt:i4>0</vt:i4>
      </vt:variant>
      <vt:variant>
        <vt:i4>5</vt:i4>
      </vt:variant>
      <vt:variant>
        <vt:lpwstr>http://www.nevo.co.il/case/27084144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2025-04-23T00:46:00Z</dcterms:created>
  <dcterms:modified xsi:type="dcterms:W3CDTF">2025-04-23T00:46:00Z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37062</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ראזי מחרום</vt:lpwstr>
  </property>
  <property fmtid="{D5CDD505-2E9C-101B-9397-08002B2CF9AE}" pid="10" name="JUDGE">
    <vt:lpwstr>אורית קנטור</vt:lpwstr>
  </property>
  <property fmtid="{D5CDD505-2E9C-101B-9397-08002B2CF9AE}" pid="11" name="CITY">
    <vt:lpwstr>חי'</vt:lpwstr>
  </property>
  <property fmtid="{D5CDD505-2E9C-101B-9397-08002B2CF9AE}" pid="12" name="DATE">
    <vt:lpwstr>20210421</vt:lpwstr>
  </property>
  <property fmtid="{D5CDD505-2E9C-101B-9397-08002B2CF9AE}" pid="13" name="TYPE_N_DATE">
    <vt:lpwstr>38020210421</vt:lpwstr>
  </property>
  <property fmtid="{D5CDD505-2E9C-101B-9397-08002B2CF9AE}" pid="14" name="WORDNUMPAGES">
    <vt:lpwstr>8</vt:lpwstr>
  </property>
  <property fmtid="{D5CDD505-2E9C-101B-9397-08002B2CF9AE}" pid="15" name="TYPE_ABS_DATE">
    <vt:lpwstr>380020210421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27084144;26043596:2;26589937:2</vt:lpwstr>
  </property>
  <property fmtid="{D5CDD505-2E9C-101B-9397-08002B2CF9AE}" pid="36" name="LAWLISTTMP1">
    <vt:lpwstr>4216/007.a;007.c</vt:lpwstr>
  </property>
  <property fmtid="{D5CDD505-2E9C-101B-9397-08002B2CF9AE}" pid="37" name="LAWLISTTMP2">
    <vt:lpwstr>70301/040b;040c;040d</vt:lpwstr>
  </property>
</Properties>
</file>