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4F0481" w:rsidRPr="00237A7B" w14:paraId="0FB23555" w14:textId="77777777" w:rsidTr="001008C0">
        <w:trPr>
          <w:gridAfter w:val="1"/>
          <w:wAfter w:w="99" w:type="dxa"/>
          <w:trHeight w:hRule="exact" w:val="418"/>
          <w:jc w:val="center"/>
        </w:trPr>
        <w:tc>
          <w:tcPr>
            <w:tcW w:w="8721" w:type="dxa"/>
            <w:gridSpan w:val="4"/>
          </w:tcPr>
          <w:p w14:paraId="1101DE1A" w14:textId="77777777" w:rsidR="004F0481" w:rsidRPr="00237A7B" w:rsidRDefault="004F0481" w:rsidP="00206091">
            <w:pPr>
              <w:pStyle w:val="a4"/>
              <w:jc w:val="center"/>
              <w:rPr>
                <w:rFonts w:ascii="Tahoma" w:hAnsi="Tahoma" w:cs="Tahoma"/>
                <w:color w:val="000080"/>
                <w:rtl/>
              </w:rPr>
            </w:pPr>
            <w:bookmarkStart w:id="0" w:name="LastJudge"/>
            <w:r w:rsidRPr="00237A7B">
              <w:rPr>
                <w:rFonts w:ascii="Tahoma" w:hAnsi="Tahoma" w:cs="Tahoma"/>
                <w:b/>
                <w:bCs/>
                <w:color w:val="000080"/>
                <w:rtl/>
              </w:rPr>
              <w:t>בית משפט השלום בבאר שבע</w:t>
            </w:r>
          </w:p>
        </w:tc>
      </w:tr>
      <w:tr w:rsidR="004F0481" w:rsidRPr="00237A7B" w14:paraId="4B3EF223" w14:textId="77777777" w:rsidTr="001008C0">
        <w:trPr>
          <w:gridAfter w:val="1"/>
          <w:wAfter w:w="99" w:type="dxa"/>
          <w:trHeight w:val="337"/>
          <w:jc w:val="center"/>
        </w:trPr>
        <w:tc>
          <w:tcPr>
            <w:tcW w:w="5055" w:type="dxa"/>
            <w:gridSpan w:val="3"/>
          </w:tcPr>
          <w:p w14:paraId="42B4C5F6" w14:textId="77777777" w:rsidR="004F0481" w:rsidRPr="00237A7B" w:rsidRDefault="004F0481" w:rsidP="00206091">
            <w:pPr>
              <w:rPr>
                <w:rFonts w:ascii="David" w:hAnsi="David"/>
                <w:b/>
                <w:bCs/>
                <w:sz w:val="28"/>
                <w:szCs w:val="28"/>
                <w:rtl/>
              </w:rPr>
            </w:pPr>
            <w:r w:rsidRPr="00237A7B">
              <w:rPr>
                <w:rFonts w:ascii="David" w:hAnsi="David"/>
                <w:b/>
                <w:bCs/>
                <w:sz w:val="28"/>
                <w:szCs w:val="28"/>
                <w:rtl/>
              </w:rPr>
              <w:t>ת"פ 40920-10-20 מדינת ישראל נ' אלסייד</w:t>
            </w:r>
          </w:p>
          <w:p w14:paraId="2C1B3E2B" w14:textId="77777777" w:rsidR="004F0481" w:rsidRPr="00237A7B" w:rsidRDefault="004F0481" w:rsidP="00206091">
            <w:pPr>
              <w:pStyle w:val="a4"/>
              <w:rPr>
                <w:rFonts w:cs="FrankRuehl"/>
                <w:sz w:val="28"/>
                <w:szCs w:val="28"/>
                <w:rtl/>
              </w:rPr>
            </w:pPr>
          </w:p>
        </w:tc>
        <w:tc>
          <w:tcPr>
            <w:tcW w:w="3666" w:type="dxa"/>
          </w:tcPr>
          <w:p w14:paraId="2C2CBC42" w14:textId="77777777" w:rsidR="004F0481" w:rsidRPr="00237A7B" w:rsidRDefault="004F0481" w:rsidP="00206091">
            <w:pPr>
              <w:pStyle w:val="a4"/>
              <w:jc w:val="right"/>
              <w:rPr>
                <w:rFonts w:cs="FrankRuehl"/>
                <w:sz w:val="28"/>
                <w:szCs w:val="28"/>
                <w:rtl/>
              </w:rPr>
            </w:pPr>
          </w:p>
        </w:tc>
      </w:tr>
      <w:tr w:rsidR="004F0481" w:rsidRPr="00237A7B" w14:paraId="30C0F10F" w14:textId="77777777" w:rsidTr="001008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8DC1177" w14:textId="77777777" w:rsidR="004F0481" w:rsidRPr="00237A7B" w:rsidRDefault="004F0481" w:rsidP="004F0481">
            <w:pPr>
              <w:jc w:val="both"/>
              <w:rPr>
                <w:rFonts w:ascii="David" w:hAnsi="David"/>
                <w:b/>
                <w:bCs/>
                <w:sz w:val="26"/>
                <w:szCs w:val="26"/>
              </w:rPr>
            </w:pPr>
            <w:r w:rsidRPr="00237A7B">
              <w:rPr>
                <w:rFonts w:hint="cs"/>
                <w:rtl/>
              </w:rPr>
              <w:t xml:space="preserve"> </w:t>
            </w:r>
            <w:r w:rsidRPr="00237A7B">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3D96D986" w14:textId="77777777" w:rsidR="004F0481" w:rsidRPr="00237A7B" w:rsidRDefault="004F0481" w:rsidP="00206091">
            <w:pPr>
              <w:rPr>
                <w:rFonts w:ascii="David" w:hAnsi="David"/>
                <w:b/>
                <w:bCs/>
                <w:sz w:val="26"/>
                <w:szCs w:val="26"/>
                <w:rtl/>
              </w:rPr>
            </w:pPr>
            <w:r w:rsidRPr="00237A7B">
              <w:rPr>
                <w:rFonts w:ascii="David" w:hAnsi="David"/>
                <w:b/>
                <w:bCs/>
                <w:sz w:val="26"/>
                <w:szCs w:val="26"/>
                <w:rtl/>
              </w:rPr>
              <w:t>כבוד השופט  יניב בן הרוש</w:t>
            </w:r>
          </w:p>
          <w:p w14:paraId="5F23B49B" w14:textId="77777777" w:rsidR="004F0481" w:rsidRPr="00237A7B" w:rsidRDefault="004F0481" w:rsidP="00206091">
            <w:pPr>
              <w:rPr>
                <w:rFonts w:ascii="David" w:hAnsi="David"/>
                <w:b/>
                <w:bCs/>
                <w:sz w:val="26"/>
                <w:szCs w:val="26"/>
                <w:rtl/>
              </w:rPr>
            </w:pPr>
          </w:p>
          <w:p w14:paraId="77D490B9" w14:textId="77777777" w:rsidR="004F0481" w:rsidRPr="00237A7B" w:rsidRDefault="004F0481" w:rsidP="004F0481">
            <w:pPr>
              <w:jc w:val="both"/>
              <w:rPr>
                <w:rFonts w:ascii="David" w:hAnsi="David"/>
                <w:b/>
                <w:bCs/>
                <w:sz w:val="26"/>
                <w:szCs w:val="26"/>
              </w:rPr>
            </w:pPr>
          </w:p>
        </w:tc>
      </w:tr>
      <w:tr w:rsidR="004F0481" w:rsidRPr="00237A7B" w14:paraId="2BF23756" w14:textId="77777777" w:rsidTr="001008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EC9CFF" w14:textId="77777777" w:rsidR="004F0481" w:rsidRPr="00237A7B" w:rsidRDefault="004F0481" w:rsidP="004F0481">
            <w:pPr>
              <w:jc w:val="both"/>
              <w:rPr>
                <w:rFonts w:ascii="David" w:hAnsi="David"/>
                <w:b/>
                <w:bCs/>
                <w:sz w:val="26"/>
                <w:szCs w:val="26"/>
              </w:rPr>
            </w:pPr>
            <w:bookmarkStart w:id="1" w:name="FirstAppellant"/>
            <w:bookmarkStart w:id="2" w:name="FirstLawyer"/>
            <w:r w:rsidRPr="00237A7B">
              <w:rPr>
                <w:rFonts w:ascii="David" w:hAnsi="David"/>
                <w:b/>
                <w:bCs/>
                <w:sz w:val="26"/>
                <w:szCs w:val="26"/>
                <w:rtl/>
              </w:rPr>
              <w:t>בעניין:</w:t>
            </w:r>
          </w:p>
        </w:tc>
        <w:tc>
          <w:tcPr>
            <w:tcW w:w="3219" w:type="dxa"/>
            <w:tcBorders>
              <w:top w:val="nil"/>
              <w:left w:val="nil"/>
              <w:bottom w:val="nil"/>
              <w:right w:val="nil"/>
            </w:tcBorders>
            <w:shd w:val="clear" w:color="auto" w:fill="auto"/>
          </w:tcPr>
          <w:p w14:paraId="344FC698" w14:textId="77777777" w:rsidR="004F0481" w:rsidRPr="00237A7B" w:rsidRDefault="004F0481" w:rsidP="004F0481">
            <w:pPr>
              <w:suppressLineNumbers/>
              <w:rPr>
                <w:b/>
                <w:bCs/>
              </w:rPr>
            </w:pPr>
            <w:r w:rsidRPr="00237A7B">
              <w:rPr>
                <w:rFonts w:ascii="Arial" w:hAnsi="Arial" w:hint="cs"/>
                <w:b/>
                <w:bCs/>
                <w:sz w:val="26"/>
                <w:szCs w:val="26"/>
                <w:rtl/>
              </w:rPr>
              <w:t>ה</w:t>
            </w:r>
            <w:r w:rsidRPr="00237A7B">
              <w:rPr>
                <w:rFonts w:ascii="Arial" w:hAnsi="Arial"/>
                <w:b/>
                <w:bCs/>
                <w:sz w:val="26"/>
                <w:szCs w:val="26"/>
                <w:rtl/>
              </w:rPr>
              <w:t>מאשימה</w:t>
            </w:r>
          </w:p>
          <w:p w14:paraId="738274AE" w14:textId="77777777" w:rsidR="004F0481" w:rsidRPr="00237A7B" w:rsidRDefault="004F0481" w:rsidP="00206091">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6EC331A4" w14:textId="77777777" w:rsidR="004F0481" w:rsidRPr="00237A7B" w:rsidRDefault="004F0481" w:rsidP="004F0481">
            <w:pPr>
              <w:suppressLineNumbers/>
              <w:rPr>
                <w:rFonts w:ascii="Arial" w:hAnsi="Arial"/>
                <w:b/>
                <w:bCs/>
                <w:sz w:val="26"/>
                <w:szCs w:val="26"/>
                <w:rtl/>
              </w:rPr>
            </w:pPr>
            <w:r w:rsidRPr="00237A7B">
              <w:rPr>
                <w:rFonts w:ascii="Arial" w:hAnsi="Arial"/>
                <w:b/>
                <w:bCs/>
                <w:sz w:val="26"/>
                <w:szCs w:val="26"/>
                <w:rtl/>
              </w:rPr>
              <w:t>מדינת ישראל</w:t>
            </w:r>
            <w:r w:rsidRPr="00237A7B">
              <w:rPr>
                <w:rFonts w:ascii="Arial" w:hAnsi="Arial" w:hint="cs"/>
                <w:b/>
                <w:bCs/>
                <w:sz w:val="26"/>
                <w:szCs w:val="26"/>
                <w:rtl/>
              </w:rPr>
              <w:t xml:space="preserve">-תביעות נגב </w:t>
            </w:r>
          </w:p>
          <w:p w14:paraId="51545949" w14:textId="77777777" w:rsidR="004F0481" w:rsidRPr="00237A7B" w:rsidRDefault="004F0481" w:rsidP="004F0481">
            <w:pPr>
              <w:suppressLineNumbers/>
              <w:rPr>
                <w:b/>
                <w:bCs/>
              </w:rPr>
            </w:pPr>
            <w:r w:rsidRPr="00237A7B">
              <w:rPr>
                <w:rFonts w:ascii="Arial" w:hAnsi="Arial"/>
                <w:b/>
                <w:bCs/>
                <w:sz w:val="26"/>
                <w:szCs w:val="26"/>
                <w:rtl/>
              </w:rPr>
              <w:t>ע"י ב"כ עוה"ד</w:t>
            </w:r>
            <w:r w:rsidRPr="00237A7B">
              <w:rPr>
                <w:rFonts w:ascii="Arial" w:hAnsi="Arial" w:hint="cs"/>
                <w:b/>
                <w:bCs/>
                <w:sz w:val="26"/>
                <w:szCs w:val="26"/>
                <w:rtl/>
              </w:rPr>
              <w:t xml:space="preserve"> מאירי לב ועו"ד שירה רוג</w:t>
            </w:r>
          </w:p>
        </w:tc>
      </w:tr>
      <w:bookmarkEnd w:id="1"/>
      <w:bookmarkEnd w:id="2"/>
      <w:tr w:rsidR="004F0481" w:rsidRPr="00237A7B" w14:paraId="07E62F3E" w14:textId="77777777" w:rsidTr="001008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41B4B7" w14:textId="77777777" w:rsidR="004F0481" w:rsidRPr="00237A7B" w:rsidRDefault="004F0481" w:rsidP="004F0481">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21BE751F" w14:textId="77777777" w:rsidR="004F0481" w:rsidRPr="00237A7B" w:rsidRDefault="004F0481" w:rsidP="004F0481">
            <w:pPr>
              <w:jc w:val="center"/>
              <w:rPr>
                <w:rFonts w:ascii="David" w:hAnsi="David"/>
                <w:b/>
                <w:bCs/>
                <w:sz w:val="26"/>
                <w:szCs w:val="26"/>
                <w:rtl/>
              </w:rPr>
            </w:pPr>
          </w:p>
          <w:p w14:paraId="229FF949" w14:textId="77777777" w:rsidR="004F0481" w:rsidRPr="00237A7B" w:rsidRDefault="004F0481" w:rsidP="004F0481">
            <w:pPr>
              <w:jc w:val="center"/>
              <w:rPr>
                <w:rFonts w:ascii="David" w:hAnsi="David"/>
                <w:b/>
                <w:bCs/>
                <w:sz w:val="26"/>
                <w:szCs w:val="26"/>
                <w:rtl/>
              </w:rPr>
            </w:pPr>
            <w:r w:rsidRPr="00237A7B">
              <w:rPr>
                <w:rFonts w:ascii="David" w:hAnsi="David"/>
                <w:b/>
                <w:bCs/>
                <w:sz w:val="26"/>
                <w:szCs w:val="26"/>
                <w:rtl/>
              </w:rPr>
              <w:t>נגד</w:t>
            </w:r>
          </w:p>
          <w:p w14:paraId="6E2B22E2" w14:textId="77777777" w:rsidR="004F0481" w:rsidRPr="00237A7B" w:rsidRDefault="004F0481" w:rsidP="004F0481">
            <w:pPr>
              <w:jc w:val="both"/>
              <w:rPr>
                <w:rFonts w:ascii="David" w:hAnsi="David"/>
                <w:b/>
                <w:bCs/>
                <w:sz w:val="26"/>
                <w:szCs w:val="26"/>
              </w:rPr>
            </w:pPr>
          </w:p>
        </w:tc>
      </w:tr>
      <w:tr w:rsidR="004F0481" w:rsidRPr="00237A7B" w14:paraId="26C76C47" w14:textId="77777777" w:rsidTr="001008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AF09CF" w14:textId="77777777" w:rsidR="004F0481" w:rsidRPr="00237A7B" w:rsidRDefault="004F0481" w:rsidP="00206091">
            <w:pPr>
              <w:rPr>
                <w:rFonts w:ascii="David" w:hAnsi="David"/>
                <w:b/>
                <w:bCs/>
                <w:sz w:val="26"/>
                <w:szCs w:val="26"/>
                <w:rtl/>
              </w:rPr>
            </w:pPr>
          </w:p>
        </w:tc>
        <w:tc>
          <w:tcPr>
            <w:tcW w:w="3219" w:type="dxa"/>
            <w:tcBorders>
              <w:top w:val="nil"/>
              <w:left w:val="nil"/>
              <w:bottom w:val="nil"/>
              <w:right w:val="nil"/>
            </w:tcBorders>
            <w:shd w:val="clear" w:color="auto" w:fill="auto"/>
          </w:tcPr>
          <w:p w14:paraId="6A180B16" w14:textId="77777777" w:rsidR="004F0481" w:rsidRPr="00237A7B" w:rsidRDefault="004F0481" w:rsidP="00206091">
            <w:pPr>
              <w:rPr>
                <w:rFonts w:ascii="Arial" w:hAnsi="Arial"/>
                <w:b/>
                <w:bCs/>
                <w:sz w:val="26"/>
                <w:szCs w:val="26"/>
                <w:rtl/>
              </w:rPr>
            </w:pPr>
            <w:r w:rsidRPr="00237A7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76E305F" w14:textId="77777777" w:rsidR="004F0481" w:rsidRPr="00237A7B" w:rsidRDefault="004F0481" w:rsidP="004F0481">
            <w:pPr>
              <w:suppressLineNumbers/>
              <w:rPr>
                <w:rFonts w:ascii="Arial" w:hAnsi="Arial"/>
                <w:b/>
                <w:bCs/>
                <w:sz w:val="26"/>
                <w:szCs w:val="26"/>
                <w:rtl/>
              </w:rPr>
            </w:pPr>
            <w:r w:rsidRPr="00237A7B">
              <w:rPr>
                <w:rFonts w:ascii="Arial" w:hAnsi="Arial"/>
                <w:b/>
                <w:bCs/>
                <w:sz w:val="26"/>
                <w:szCs w:val="26"/>
                <w:rtl/>
              </w:rPr>
              <w:t>סעיד אלסייד</w:t>
            </w:r>
            <w:r w:rsidRPr="00237A7B">
              <w:rPr>
                <w:rFonts w:ascii="Arial" w:hAnsi="Arial" w:hint="cs"/>
                <w:b/>
                <w:bCs/>
                <w:sz w:val="26"/>
                <w:szCs w:val="26"/>
                <w:rtl/>
              </w:rPr>
              <w:t xml:space="preserve">-בעצמו </w:t>
            </w:r>
          </w:p>
          <w:p w14:paraId="19427D23" w14:textId="77777777" w:rsidR="004F0481" w:rsidRPr="00237A7B" w:rsidRDefault="004F0481" w:rsidP="004F0481">
            <w:pPr>
              <w:suppressLineNumbers/>
              <w:rPr>
                <w:b/>
                <w:bCs/>
              </w:rPr>
            </w:pPr>
            <w:r w:rsidRPr="00237A7B">
              <w:rPr>
                <w:rFonts w:ascii="Arial" w:hAnsi="Arial"/>
                <w:b/>
                <w:bCs/>
                <w:sz w:val="26"/>
                <w:szCs w:val="26"/>
                <w:rtl/>
              </w:rPr>
              <w:t>ע"י ב"כ עוה"ד</w:t>
            </w:r>
            <w:r w:rsidRPr="00237A7B">
              <w:rPr>
                <w:rFonts w:ascii="Arial" w:hAnsi="Arial" w:hint="cs"/>
                <w:b/>
                <w:bCs/>
                <w:sz w:val="26"/>
                <w:szCs w:val="26"/>
                <w:rtl/>
              </w:rPr>
              <w:t xml:space="preserve"> בן בן יהודה</w:t>
            </w:r>
            <w:r w:rsidRPr="00237A7B">
              <w:rPr>
                <w:rFonts w:hint="cs"/>
                <w:b/>
                <w:bCs/>
                <w:rtl/>
              </w:rPr>
              <w:t xml:space="preserve"> </w:t>
            </w:r>
          </w:p>
        </w:tc>
      </w:tr>
    </w:tbl>
    <w:p w14:paraId="4B919AFC" w14:textId="77777777" w:rsidR="001008C0" w:rsidRDefault="001008C0" w:rsidP="00237A7B">
      <w:pPr>
        <w:rPr>
          <w:sz w:val="26"/>
          <w:szCs w:val="26"/>
          <w:rtl/>
        </w:rPr>
      </w:pPr>
    </w:p>
    <w:p w14:paraId="2BF3A26B" w14:textId="77777777" w:rsidR="001008C0" w:rsidRPr="001008C0" w:rsidRDefault="001008C0" w:rsidP="001008C0">
      <w:pPr>
        <w:spacing w:after="120" w:line="240" w:lineRule="exact"/>
        <w:ind w:left="283" w:hanging="283"/>
        <w:jc w:val="both"/>
        <w:rPr>
          <w:rFonts w:ascii="FrankRuehl" w:hAnsi="FrankRuehl" w:cs="FrankRuehl"/>
          <w:rtl/>
        </w:rPr>
      </w:pPr>
    </w:p>
    <w:p w14:paraId="3CAAB9CA" w14:textId="77777777" w:rsidR="008463B0" w:rsidRPr="008463B0" w:rsidRDefault="008463B0" w:rsidP="008463B0">
      <w:pPr>
        <w:spacing w:before="120" w:after="120" w:line="240" w:lineRule="exact"/>
        <w:ind w:left="283" w:hanging="283"/>
        <w:jc w:val="both"/>
        <w:rPr>
          <w:rFonts w:ascii="FrankRuehl" w:hAnsi="FrankRuehl" w:cs="FrankRuehl"/>
          <w:rtl/>
        </w:rPr>
      </w:pPr>
    </w:p>
    <w:p w14:paraId="7CA648D4" w14:textId="77777777" w:rsidR="00A762D7" w:rsidRDefault="00A762D7" w:rsidP="00A762D7">
      <w:pPr>
        <w:rPr>
          <w:sz w:val="26"/>
          <w:szCs w:val="26"/>
          <w:rtl/>
        </w:rPr>
      </w:pPr>
      <w:bookmarkStart w:id="3" w:name="LawTable"/>
      <w:bookmarkEnd w:id="3"/>
    </w:p>
    <w:p w14:paraId="1244F40A" w14:textId="77777777" w:rsidR="00A762D7" w:rsidRPr="00A762D7" w:rsidRDefault="00A762D7" w:rsidP="00A762D7">
      <w:pPr>
        <w:spacing w:before="120" w:after="120" w:line="240" w:lineRule="exact"/>
        <w:ind w:left="283" w:hanging="283"/>
        <w:jc w:val="both"/>
        <w:rPr>
          <w:rFonts w:ascii="FrankRuehl" w:hAnsi="FrankRuehl" w:cs="FrankRuehl"/>
          <w:rtl/>
        </w:rPr>
      </w:pPr>
    </w:p>
    <w:p w14:paraId="7A52E365" w14:textId="77777777" w:rsidR="00A762D7" w:rsidRPr="00A762D7" w:rsidRDefault="00A762D7" w:rsidP="00A762D7">
      <w:pPr>
        <w:spacing w:before="120" w:after="120" w:line="240" w:lineRule="exact"/>
        <w:ind w:left="283" w:hanging="283"/>
        <w:jc w:val="both"/>
        <w:rPr>
          <w:rFonts w:ascii="FrankRuehl" w:hAnsi="FrankRuehl" w:cs="FrankRuehl"/>
          <w:rtl/>
        </w:rPr>
      </w:pPr>
    </w:p>
    <w:p w14:paraId="58EA89A2" w14:textId="77777777" w:rsidR="00A762D7" w:rsidRPr="00A762D7" w:rsidRDefault="00A762D7" w:rsidP="00A762D7">
      <w:pPr>
        <w:spacing w:before="120" w:after="120" w:line="240" w:lineRule="exact"/>
        <w:ind w:left="283" w:hanging="283"/>
        <w:jc w:val="both"/>
        <w:rPr>
          <w:rFonts w:ascii="FrankRuehl" w:hAnsi="FrankRuehl" w:cs="FrankRuehl"/>
          <w:rtl/>
        </w:rPr>
      </w:pPr>
      <w:r w:rsidRPr="00A762D7">
        <w:rPr>
          <w:rFonts w:ascii="FrankRuehl" w:hAnsi="FrankRuehl" w:cs="FrankRuehl"/>
          <w:rtl/>
        </w:rPr>
        <w:t xml:space="preserve">חקיקה שאוזכרה: </w:t>
      </w:r>
    </w:p>
    <w:p w14:paraId="38AEF414" w14:textId="77777777" w:rsidR="00A762D7" w:rsidRPr="00A762D7" w:rsidRDefault="00A762D7" w:rsidP="00A762D7">
      <w:pPr>
        <w:spacing w:before="120" w:after="120" w:line="240" w:lineRule="exact"/>
        <w:ind w:left="283" w:hanging="283"/>
        <w:jc w:val="both"/>
        <w:rPr>
          <w:rFonts w:ascii="FrankRuehl" w:hAnsi="FrankRuehl" w:cs="FrankRuehl"/>
          <w:rtl/>
        </w:rPr>
      </w:pPr>
      <w:hyperlink r:id="rId7" w:history="1">
        <w:r w:rsidRPr="00A762D7">
          <w:rPr>
            <w:rFonts w:ascii="FrankRuehl" w:hAnsi="FrankRuehl" w:cs="FrankRuehl"/>
            <w:color w:val="0000FF"/>
            <w:rtl/>
          </w:rPr>
          <w:t>פקודת הסמים המסוכנים [נוסח חדש], תשל"ג-1973</w:t>
        </w:r>
      </w:hyperlink>
      <w:r w:rsidRPr="00A762D7">
        <w:rPr>
          <w:rFonts w:ascii="FrankRuehl" w:hAnsi="FrankRuehl" w:cs="FrankRuehl"/>
          <w:rtl/>
        </w:rPr>
        <w:t xml:space="preserve">: סע'  </w:t>
      </w:r>
      <w:hyperlink r:id="rId8" w:history="1">
        <w:r w:rsidRPr="00A762D7">
          <w:rPr>
            <w:rFonts w:ascii="FrankRuehl" w:hAnsi="FrankRuehl" w:cs="FrankRuehl"/>
            <w:color w:val="0000FF"/>
            <w:rtl/>
          </w:rPr>
          <w:t>6</w:t>
        </w:r>
      </w:hyperlink>
    </w:p>
    <w:p w14:paraId="2AD67025" w14:textId="77777777" w:rsidR="00A762D7" w:rsidRPr="00A762D7" w:rsidRDefault="00A762D7" w:rsidP="00A762D7">
      <w:pPr>
        <w:rPr>
          <w:sz w:val="26"/>
          <w:szCs w:val="26"/>
          <w:rtl/>
        </w:rPr>
      </w:pPr>
      <w:bookmarkStart w:id="4" w:name="LawTable_End"/>
      <w:bookmarkEnd w:id="4"/>
    </w:p>
    <w:p w14:paraId="7F98FCDA" w14:textId="77777777" w:rsidR="004F0481" w:rsidRPr="008463B0" w:rsidRDefault="004F0481" w:rsidP="008463B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F0481" w14:paraId="23F4C3E8" w14:textId="77777777" w:rsidTr="004F0481">
        <w:trPr>
          <w:trHeight w:val="355"/>
          <w:jc w:val="center"/>
        </w:trPr>
        <w:tc>
          <w:tcPr>
            <w:tcW w:w="8820" w:type="dxa"/>
            <w:tcBorders>
              <w:top w:val="nil"/>
              <w:left w:val="nil"/>
              <w:bottom w:val="nil"/>
              <w:right w:val="nil"/>
            </w:tcBorders>
            <w:shd w:val="clear" w:color="auto" w:fill="auto"/>
          </w:tcPr>
          <w:p w14:paraId="2B2926FD" w14:textId="77777777" w:rsidR="00237A7B" w:rsidRPr="00237A7B" w:rsidRDefault="00237A7B" w:rsidP="00237A7B">
            <w:pPr>
              <w:jc w:val="center"/>
              <w:rPr>
                <w:rFonts w:ascii="David" w:hAnsi="David"/>
                <w:b/>
                <w:bCs/>
                <w:sz w:val="32"/>
                <w:szCs w:val="32"/>
                <w:u w:val="single"/>
                <w:rtl/>
              </w:rPr>
            </w:pPr>
            <w:bookmarkStart w:id="5" w:name="PsakDin" w:colFirst="0" w:colLast="0"/>
            <w:bookmarkEnd w:id="0"/>
            <w:r w:rsidRPr="00237A7B">
              <w:rPr>
                <w:rFonts w:ascii="David" w:hAnsi="David"/>
                <w:b/>
                <w:bCs/>
                <w:sz w:val="32"/>
                <w:szCs w:val="32"/>
                <w:u w:val="single"/>
                <w:rtl/>
              </w:rPr>
              <w:t>גזר דין</w:t>
            </w:r>
          </w:p>
          <w:p w14:paraId="64C9920C" w14:textId="77777777" w:rsidR="004F0481" w:rsidRPr="00237A7B" w:rsidRDefault="004F0481" w:rsidP="00237A7B">
            <w:pPr>
              <w:jc w:val="center"/>
              <w:rPr>
                <w:rFonts w:ascii="David" w:hAnsi="David"/>
                <w:bCs/>
                <w:sz w:val="32"/>
                <w:szCs w:val="32"/>
                <w:u w:val="single"/>
                <w:rtl/>
              </w:rPr>
            </w:pPr>
          </w:p>
        </w:tc>
      </w:tr>
      <w:bookmarkEnd w:id="5"/>
    </w:tbl>
    <w:p w14:paraId="000C6431" w14:textId="77777777" w:rsidR="004F0481" w:rsidRPr="000F2247" w:rsidRDefault="004F0481" w:rsidP="004F0481">
      <w:pPr>
        <w:rPr>
          <w:rFonts w:ascii="Arial" w:hAnsi="Arial"/>
          <w:b/>
          <w:bCs/>
          <w:sz w:val="26"/>
          <w:szCs w:val="26"/>
          <w:rtl/>
        </w:rPr>
      </w:pPr>
    </w:p>
    <w:p w14:paraId="766C5529" w14:textId="77777777" w:rsidR="004F0481" w:rsidRPr="000F2247" w:rsidRDefault="004F0481" w:rsidP="004F0481">
      <w:pPr>
        <w:rPr>
          <w:rFonts w:ascii="Arial" w:hAnsi="Arial"/>
          <w:b/>
          <w:bCs/>
          <w:sz w:val="26"/>
          <w:szCs w:val="26"/>
          <w:rtl/>
        </w:rPr>
      </w:pPr>
    </w:p>
    <w:p w14:paraId="350BE9ED" w14:textId="77777777" w:rsidR="004F0481" w:rsidRDefault="004F0481" w:rsidP="004F0481">
      <w:pPr>
        <w:spacing w:line="360" w:lineRule="auto"/>
        <w:jc w:val="both"/>
        <w:rPr>
          <w:rFonts w:ascii="David" w:hAnsi="David"/>
          <w:b/>
          <w:bCs/>
          <w:sz w:val="28"/>
          <w:szCs w:val="28"/>
          <w:u w:val="single"/>
        </w:rPr>
      </w:pPr>
      <w:r>
        <w:rPr>
          <w:rFonts w:ascii="David" w:hAnsi="David"/>
          <w:b/>
          <w:bCs/>
          <w:sz w:val="28"/>
          <w:szCs w:val="28"/>
          <w:u w:val="single"/>
          <w:rtl/>
        </w:rPr>
        <w:t>רקע</w:t>
      </w:r>
    </w:p>
    <w:p w14:paraId="2519FD18" w14:textId="77777777" w:rsidR="004F0481" w:rsidRDefault="004F0481" w:rsidP="004F0481">
      <w:pPr>
        <w:pStyle w:val="ab"/>
        <w:numPr>
          <w:ilvl w:val="0"/>
          <w:numId w:val="2"/>
        </w:numPr>
        <w:spacing w:after="0"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הודה והורשע ביום 29.9.21 במסגרת הסדר, בכתב אישום מתוקן בעבירת </w:t>
      </w:r>
      <w:r>
        <w:rPr>
          <w:rFonts w:ascii="David" w:hAnsi="David" w:cs="David"/>
          <w:b/>
          <w:bCs/>
          <w:sz w:val="24"/>
          <w:szCs w:val="24"/>
          <w:rtl/>
        </w:rPr>
        <w:t>גידול סם מסוכן</w:t>
      </w:r>
      <w:r>
        <w:rPr>
          <w:rFonts w:ascii="David" w:hAnsi="David" w:cs="David"/>
          <w:sz w:val="24"/>
          <w:szCs w:val="24"/>
          <w:rtl/>
        </w:rPr>
        <w:t xml:space="preserve"> – עבירה על </w:t>
      </w:r>
      <w:hyperlink r:id="rId9" w:history="1">
        <w:r w:rsidR="001008C0" w:rsidRPr="001008C0">
          <w:rPr>
            <w:rStyle w:val="Hyperlink"/>
            <w:rFonts w:ascii="David" w:hAnsi="David" w:cs="David"/>
            <w:sz w:val="24"/>
            <w:szCs w:val="24"/>
            <w:rtl/>
          </w:rPr>
          <w:t>סעיף 6</w:t>
        </w:r>
      </w:hyperlink>
      <w:r>
        <w:rPr>
          <w:rFonts w:ascii="David" w:hAnsi="David" w:cs="David"/>
          <w:sz w:val="24"/>
          <w:szCs w:val="24"/>
          <w:rtl/>
        </w:rPr>
        <w:t xml:space="preserve"> ל</w:t>
      </w:r>
      <w:hyperlink r:id="rId10" w:history="1">
        <w:r w:rsidR="00237A7B" w:rsidRPr="00237A7B">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w:t>
      </w:r>
      <w:r>
        <w:rPr>
          <w:rFonts w:ascii="David" w:hAnsi="David" w:cs="David"/>
          <w:b/>
          <w:bCs/>
          <w:sz w:val="24"/>
          <w:szCs w:val="24"/>
          <w:rtl/>
        </w:rPr>
        <w:t>פקודת הסמים</w:t>
      </w:r>
      <w:r>
        <w:rPr>
          <w:rFonts w:ascii="David" w:hAnsi="David" w:cs="David"/>
          <w:sz w:val="24"/>
          <w:szCs w:val="24"/>
          <w:rtl/>
        </w:rPr>
        <w:t>") בכך שביום 28.1.18 גידל בביתו 19 שתילי סם מסוכן מסוג קנבוס במשקל 2.3 קילוגרם נטו. בנסיבות האמורות החזיק אף 3 שקי דשן, מאוורר וציוד תיאורה ששימשו אותו לגידול הסם.</w:t>
      </w:r>
    </w:p>
    <w:p w14:paraId="710F4CF2" w14:textId="77777777" w:rsidR="004F0481" w:rsidRDefault="004F0481" w:rsidP="004F0481">
      <w:pPr>
        <w:pStyle w:val="ab"/>
        <w:spacing w:after="0" w:line="360" w:lineRule="auto"/>
        <w:jc w:val="both"/>
        <w:rPr>
          <w:rFonts w:ascii="David" w:hAnsi="David" w:cs="David"/>
          <w:sz w:val="24"/>
          <w:szCs w:val="24"/>
        </w:rPr>
      </w:pPr>
      <w:bookmarkStart w:id="7" w:name="ABSTRACT_END"/>
      <w:bookmarkEnd w:id="7"/>
    </w:p>
    <w:p w14:paraId="7307C7D6" w14:textId="77777777" w:rsidR="004F0481" w:rsidRDefault="004F0481" w:rsidP="004F0481">
      <w:pPr>
        <w:pStyle w:val="ab"/>
        <w:numPr>
          <w:ilvl w:val="0"/>
          <w:numId w:val="2"/>
        </w:numPr>
        <w:spacing w:after="0" w:line="360" w:lineRule="auto"/>
        <w:ind w:hanging="352"/>
        <w:jc w:val="both"/>
        <w:rPr>
          <w:rFonts w:ascii="David" w:hAnsi="David" w:cs="David"/>
          <w:sz w:val="24"/>
          <w:szCs w:val="24"/>
        </w:rPr>
      </w:pPr>
      <w:r>
        <w:rPr>
          <w:rFonts w:ascii="David" w:hAnsi="David" w:cs="David"/>
          <w:sz w:val="24"/>
          <w:szCs w:val="24"/>
          <w:rtl/>
        </w:rPr>
        <w:t xml:space="preserve">במסגרת ההסדר סוכם כי הנאשם יישלח לשירות מבחן אך לא היו הסכמות עונשיות. </w:t>
      </w:r>
      <w:r>
        <w:rPr>
          <w:rFonts w:ascii="David" w:hAnsi="David" w:cs="David"/>
          <w:sz w:val="24"/>
          <w:szCs w:val="24"/>
        </w:rPr>
        <w:t xml:space="preserve"> </w:t>
      </w:r>
    </w:p>
    <w:p w14:paraId="0C8A5A8D" w14:textId="77777777" w:rsidR="004F0481" w:rsidRDefault="004F0481" w:rsidP="004F0481">
      <w:pPr>
        <w:pStyle w:val="ab"/>
        <w:spacing w:after="0" w:line="360" w:lineRule="auto"/>
        <w:jc w:val="both"/>
        <w:rPr>
          <w:rFonts w:ascii="David" w:hAnsi="David" w:cs="David"/>
          <w:sz w:val="24"/>
          <w:szCs w:val="24"/>
        </w:rPr>
      </w:pPr>
    </w:p>
    <w:p w14:paraId="32C085CD" w14:textId="77777777" w:rsidR="004F0481" w:rsidRDefault="004F0481" w:rsidP="004F0481">
      <w:pPr>
        <w:pStyle w:val="ab"/>
        <w:numPr>
          <w:ilvl w:val="0"/>
          <w:numId w:val="2"/>
        </w:numPr>
        <w:spacing w:after="0" w:line="360" w:lineRule="auto"/>
        <w:ind w:hanging="352"/>
        <w:jc w:val="both"/>
        <w:rPr>
          <w:rFonts w:ascii="David" w:hAnsi="David" w:cs="David"/>
          <w:sz w:val="24"/>
          <w:szCs w:val="24"/>
        </w:rPr>
      </w:pPr>
      <w:r>
        <w:rPr>
          <w:rFonts w:ascii="David" w:hAnsi="David" w:cs="David"/>
          <w:sz w:val="24"/>
          <w:szCs w:val="24"/>
          <w:rtl/>
        </w:rPr>
        <w:t xml:space="preserve">ביום 12.5.22 התקבל תסקיר שירות המבחן ממנו עלה כי הנאשם לא היה זמין וכי מספר ניסיונות לאתרו לא עלו יפה. </w:t>
      </w:r>
    </w:p>
    <w:p w14:paraId="1ED9D441" w14:textId="77777777" w:rsidR="004F0481" w:rsidRDefault="004F0481" w:rsidP="004F0481">
      <w:pPr>
        <w:pStyle w:val="ab"/>
        <w:rPr>
          <w:rFonts w:ascii="David" w:hAnsi="David" w:cs="David"/>
          <w:sz w:val="24"/>
          <w:szCs w:val="24"/>
        </w:rPr>
      </w:pPr>
    </w:p>
    <w:p w14:paraId="25B07FBB" w14:textId="77777777" w:rsidR="004F0481" w:rsidRDefault="004F0481" w:rsidP="004F0481">
      <w:pPr>
        <w:pStyle w:val="ab"/>
        <w:numPr>
          <w:ilvl w:val="0"/>
          <w:numId w:val="2"/>
        </w:numPr>
        <w:spacing w:after="0" w:line="360" w:lineRule="auto"/>
        <w:ind w:hanging="352"/>
        <w:jc w:val="both"/>
        <w:rPr>
          <w:rFonts w:ascii="David" w:hAnsi="David" w:cs="David"/>
          <w:sz w:val="24"/>
          <w:szCs w:val="24"/>
          <w:rtl/>
        </w:rPr>
      </w:pPr>
      <w:r>
        <w:rPr>
          <w:rFonts w:ascii="David" w:hAnsi="David" w:cs="David"/>
          <w:sz w:val="24"/>
          <w:szCs w:val="24"/>
          <w:rtl/>
        </w:rPr>
        <w:lastRenderedPageBreak/>
        <w:t xml:space="preserve">ביום 23.5.22 לא התייצב הנאשם לדיון בעניינו וסנגורו מסר כי הנאשם ניתק עמו קשר. בהמשך לכך, ביום 6.6.22 לא התייצב הנאשם לדיון בעניינו. אף ביום 13.6.22 לא התייצב הנאשם לדיון בעניינו, אך נוכח אישור מסירה הוצא כנגדו צו הבאה. ביום 18.7.22 התייצב הנאשם ומסר כי עורך דין בן יהודה ייצג אותו בהליך אך מסר שעורך דין בן יהודה מסר לו שלא יוכל להתייצב לדיון לפיכך ביקש דחיה. ובמועד הנדחה, ביום 12.9.22 התייצב הנאשם ומסר כי עורך דין בן יהודה לא יוכל להתייצב לדיון לפיכך ביקש דחיה. </w:t>
      </w:r>
    </w:p>
    <w:p w14:paraId="7F20F2A9" w14:textId="77777777" w:rsidR="004F0481" w:rsidRDefault="004F0481" w:rsidP="004F0481">
      <w:pPr>
        <w:pStyle w:val="ab"/>
        <w:rPr>
          <w:rFonts w:ascii="David" w:hAnsi="David" w:cs="David"/>
          <w:sz w:val="24"/>
          <w:szCs w:val="24"/>
        </w:rPr>
      </w:pPr>
    </w:p>
    <w:p w14:paraId="2E0A3368" w14:textId="77777777" w:rsidR="004F0481" w:rsidRDefault="004F0481" w:rsidP="004F0481">
      <w:pPr>
        <w:pStyle w:val="ab"/>
        <w:numPr>
          <w:ilvl w:val="0"/>
          <w:numId w:val="2"/>
        </w:numPr>
        <w:spacing w:after="0" w:line="360" w:lineRule="auto"/>
        <w:ind w:hanging="352"/>
        <w:jc w:val="both"/>
        <w:rPr>
          <w:rFonts w:ascii="David" w:hAnsi="David" w:cs="David"/>
          <w:sz w:val="24"/>
          <w:szCs w:val="24"/>
          <w:rtl/>
        </w:rPr>
      </w:pPr>
      <w:r>
        <w:rPr>
          <w:rFonts w:ascii="David" w:hAnsi="David" w:cs="David"/>
          <w:sz w:val="24"/>
          <w:szCs w:val="24"/>
          <w:rtl/>
        </w:rPr>
        <w:t>ביום 31.10.22 בחלוף כארבע שנים מיום ביצוע העבירות התקיימו הטיעונים לעונש.</w:t>
      </w:r>
    </w:p>
    <w:p w14:paraId="5862F9EA" w14:textId="77777777" w:rsidR="004F0481" w:rsidRDefault="004F0481" w:rsidP="004F0481">
      <w:pPr>
        <w:spacing w:line="360" w:lineRule="auto"/>
        <w:ind w:left="360"/>
        <w:jc w:val="both"/>
        <w:rPr>
          <w:rFonts w:ascii="David" w:hAnsi="David"/>
          <w:b/>
          <w:bCs/>
          <w:u w:val="single"/>
        </w:rPr>
      </w:pPr>
    </w:p>
    <w:p w14:paraId="681A7DBE" w14:textId="77777777" w:rsidR="004F0481" w:rsidRDefault="004F0481" w:rsidP="004F0481">
      <w:pPr>
        <w:spacing w:line="360" w:lineRule="auto"/>
        <w:jc w:val="both"/>
        <w:rPr>
          <w:rFonts w:ascii="David" w:hAnsi="David"/>
          <w:b/>
          <w:bCs/>
          <w:sz w:val="28"/>
          <w:szCs w:val="28"/>
          <w:u w:val="single"/>
          <w:rtl/>
        </w:rPr>
      </w:pPr>
      <w:r>
        <w:rPr>
          <w:rFonts w:ascii="David" w:hAnsi="David"/>
          <w:b/>
          <w:bCs/>
          <w:sz w:val="28"/>
          <w:szCs w:val="28"/>
          <w:u w:val="single"/>
          <w:rtl/>
        </w:rPr>
        <w:t>טיעוני הצדדים:</w:t>
      </w:r>
    </w:p>
    <w:p w14:paraId="5B56C5E7" w14:textId="77777777" w:rsidR="004F0481" w:rsidRDefault="004F0481" w:rsidP="004F0481">
      <w:pPr>
        <w:spacing w:line="360" w:lineRule="auto"/>
        <w:jc w:val="both"/>
        <w:rPr>
          <w:rFonts w:ascii="David" w:hAnsi="David"/>
          <w:b/>
          <w:bCs/>
          <w:u w:val="single"/>
          <w:rtl/>
        </w:rPr>
      </w:pPr>
    </w:p>
    <w:p w14:paraId="2AF30DA1" w14:textId="77777777" w:rsidR="004F0481" w:rsidRDefault="004F0481" w:rsidP="004F0481">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ב"כ המאשימה הגישה את גיליון הרשעותיו הקודמות של הנאשם (</w:t>
      </w:r>
      <w:r>
        <w:rPr>
          <w:rFonts w:ascii="David" w:hAnsi="David" w:cs="David"/>
          <w:b/>
          <w:bCs/>
          <w:sz w:val="24"/>
          <w:szCs w:val="24"/>
          <w:rtl/>
        </w:rPr>
        <w:t>ת/1</w:t>
      </w:r>
      <w:r>
        <w:rPr>
          <w:rFonts w:ascii="David" w:hAnsi="David" w:cs="David"/>
          <w:sz w:val="24"/>
          <w:szCs w:val="24"/>
          <w:rtl/>
        </w:rPr>
        <w:t xml:space="preserve">) המונה הרשעה יחידה בעבירת החזקת סם בגינה הוטל עליו עונש צופה פני עתיד. עתרה למתחם של 10 חודשי מאסר ועד 20 חודשי מאסר. עתרה להטיל עונש בשליש התחתון של המתחם זאת לצד ההתחייבויות שלא לבצע עבירה, קנס, פסילת רישיון בפועל ופסילה על תנאי. ב"כ המאשימה אף הפנה לפסיקה, אשר בה לשיטתו יש כדי לתמוך במתחם העונש לו עתר.  </w:t>
      </w:r>
    </w:p>
    <w:p w14:paraId="495EA3BE" w14:textId="77777777" w:rsidR="004F0481" w:rsidRDefault="004F0481" w:rsidP="004F0481">
      <w:pPr>
        <w:pStyle w:val="ab"/>
        <w:spacing w:after="0" w:line="360" w:lineRule="auto"/>
        <w:jc w:val="both"/>
        <w:rPr>
          <w:rFonts w:ascii="David" w:hAnsi="David" w:cs="David"/>
          <w:sz w:val="24"/>
          <w:szCs w:val="24"/>
        </w:rPr>
      </w:pPr>
    </w:p>
    <w:p w14:paraId="4EBC8A16" w14:textId="77777777" w:rsidR="004F0481" w:rsidRDefault="004F0481" w:rsidP="004F0481">
      <w:pPr>
        <w:pStyle w:val="ab"/>
        <w:numPr>
          <w:ilvl w:val="0"/>
          <w:numId w:val="2"/>
        </w:numPr>
        <w:spacing w:after="0" w:line="360" w:lineRule="auto"/>
        <w:jc w:val="both"/>
        <w:rPr>
          <w:rFonts w:ascii="David" w:hAnsi="David" w:cs="David"/>
          <w:sz w:val="24"/>
          <w:szCs w:val="24"/>
        </w:rPr>
      </w:pPr>
      <w:r>
        <w:rPr>
          <w:rFonts w:ascii="David" w:hAnsi="David" w:cs="David"/>
          <w:sz w:val="24"/>
          <w:szCs w:val="24"/>
          <w:rtl/>
        </w:rPr>
        <w:t>ב"כ הנאשם</w:t>
      </w:r>
      <w:r>
        <w:rPr>
          <w:rFonts w:ascii="David" w:hAnsi="David" w:cs="David"/>
          <w:b/>
          <w:bCs/>
          <w:sz w:val="24"/>
          <w:szCs w:val="24"/>
          <w:rtl/>
        </w:rPr>
        <w:t xml:space="preserve"> </w:t>
      </w:r>
      <w:r>
        <w:rPr>
          <w:rFonts w:ascii="David" w:hAnsi="David" w:cs="David"/>
          <w:sz w:val="24"/>
          <w:szCs w:val="24"/>
          <w:rtl/>
        </w:rPr>
        <w:t>הפנה לשינוי בגישת המחוקק ביחס לסם מסוג קנאביס. טען כי הנאשם גידל כמות קטנה של שתילים ואף הפנה לכך שגרסתו במשטרה הייתה שגידל את הסם לשימושו העצמי. הפנה לכך שמאז לא הסתבך הנאשם בעבירות נוספות. עתר לקבל הזדמנות נוספת בפני שירות המבחן. הגיש פסיקה התומכת במתחם לו עתר – מתחם הנע מעבודות שירות ועד שנת מאסר בפועל. ביקש שלא לשלוח את הנאשם אל מאחורי סורג ובריח.</w:t>
      </w:r>
    </w:p>
    <w:p w14:paraId="320A5492" w14:textId="77777777" w:rsidR="004F0481" w:rsidRDefault="004F0481" w:rsidP="004F0481">
      <w:pPr>
        <w:pStyle w:val="ab"/>
        <w:spacing w:after="0" w:line="360" w:lineRule="auto"/>
        <w:jc w:val="both"/>
        <w:rPr>
          <w:rFonts w:ascii="David" w:hAnsi="David" w:cs="David"/>
          <w:sz w:val="24"/>
          <w:szCs w:val="24"/>
        </w:rPr>
      </w:pPr>
    </w:p>
    <w:p w14:paraId="515B3211" w14:textId="77777777" w:rsidR="004F0481" w:rsidRDefault="004F0481" w:rsidP="004F0481">
      <w:pPr>
        <w:spacing w:line="360" w:lineRule="auto"/>
        <w:jc w:val="both"/>
        <w:rPr>
          <w:rFonts w:ascii="David" w:hAnsi="David"/>
          <w:b/>
          <w:bCs/>
          <w:sz w:val="28"/>
          <w:szCs w:val="28"/>
          <w:u w:val="single"/>
        </w:rPr>
      </w:pPr>
      <w:r>
        <w:rPr>
          <w:rFonts w:ascii="David" w:hAnsi="David"/>
          <w:b/>
          <w:bCs/>
          <w:sz w:val="28"/>
          <w:szCs w:val="28"/>
          <w:u w:val="single"/>
          <w:rtl/>
        </w:rPr>
        <w:t>קביעת מתחם העונש ההולם</w:t>
      </w:r>
    </w:p>
    <w:p w14:paraId="329C8587" w14:textId="77777777" w:rsidR="004F0481" w:rsidRDefault="004F0481" w:rsidP="004F0481">
      <w:pPr>
        <w:spacing w:line="360" w:lineRule="auto"/>
        <w:jc w:val="both"/>
        <w:rPr>
          <w:rFonts w:ascii="David" w:hAnsi="David"/>
          <w:b/>
          <w:bCs/>
          <w:u w:val="single"/>
          <w:rtl/>
        </w:rPr>
      </w:pPr>
    </w:p>
    <w:p w14:paraId="39BB4D3B" w14:textId="77777777" w:rsidR="004F0481" w:rsidRDefault="004F0481" w:rsidP="004F0481">
      <w:pPr>
        <w:spacing w:line="360" w:lineRule="auto"/>
        <w:ind w:firstLine="360"/>
        <w:jc w:val="both"/>
        <w:rPr>
          <w:rFonts w:ascii="David" w:hAnsi="David"/>
          <w:u w:val="single"/>
          <w:rtl/>
        </w:rPr>
      </w:pPr>
      <w:r>
        <w:rPr>
          <w:rFonts w:ascii="David" w:hAnsi="David"/>
          <w:b/>
          <w:bCs/>
          <w:u w:val="single"/>
          <w:rtl/>
        </w:rPr>
        <w:t>הערכים המוגנים</w:t>
      </w:r>
      <w:r>
        <w:rPr>
          <w:rFonts w:ascii="David" w:hAnsi="David"/>
          <w:rtl/>
        </w:rPr>
        <w:t xml:space="preserve">: </w:t>
      </w:r>
    </w:p>
    <w:p w14:paraId="618EAB52" w14:textId="77777777" w:rsidR="004F0481" w:rsidRDefault="004F0481" w:rsidP="004F0481">
      <w:pPr>
        <w:pStyle w:val="ab"/>
        <w:numPr>
          <w:ilvl w:val="0"/>
          <w:numId w:val="2"/>
        </w:numPr>
        <w:spacing w:after="0" w:line="360" w:lineRule="auto"/>
        <w:jc w:val="both"/>
        <w:rPr>
          <w:rFonts w:cs="David"/>
          <w:sz w:val="24"/>
          <w:szCs w:val="24"/>
          <w:rtl/>
        </w:rPr>
      </w:pPr>
      <w:r>
        <w:rPr>
          <w:rFonts w:ascii="David" w:hAnsi="David" w:cs="David"/>
          <w:sz w:val="24"/>
          <w:szCs w:val="24"/>
          <w:rtl/>
        </w:rPr>
        <w:t xml:space="preserve">בעבירות סם </w:t>
      </w:r>
      <w:r>
        <w:rPr>
          <w:rFonts w:cs="David"/>
          <w:sz w:val="24"/>
          <w:szCs w:val="24"/>
          <w:rtl/>
        </w:rPr>
        <w:t xml:space="preserve">הערכים המוגנים רבים ונרחבים משום שההשפעה של שימוש בסם הינה השפעה אשר חוצה גבולות וערכים ומהווה מצע לביצוע עבירות רכוש, עבירות אלימות ועבירות נוספות המבוצעות על ידי מי שמשתמש, סוחר או מחזיק בסם מסוכן. שימוש ממושך בסם מסוכן עלול לגרום לפגיעה גופנית ונפשית של המשתמש בו, כזו שתצריך טיפול רפואי שעלותו נופלת על החברה. </w:t>
      </w:r>
      <w:r>
        <w:rPr>
          <w:rFonts w:cs="David"/>
          <w:sz w:val="24"/>
          <w:szCs w:val="24"/>
          <w:rtl/>
          <w:lang w:eastAsia="he-IL"/>
        </w:rPr>
        <w:t>ב</w:t>
      </w:r>
      <w:hyperlink r:id="rId11" w:history="1">
        <w:r w:rsidR="00237A7B" w:rsidRPr="00237A7B">
          <w:rPr>
            <w:rFonts w:cs="David" w:hint="cs"/>
            <w:color w:val="0000FF"/>
            <w:sz w:val="24"/>
            <w:szCs w:val="24"/>
            <w:u w:val="single"/>
            <w:rtl/>
            <w:lang w:eastAsia="he-IL"/>
          </w:rPr>
          <w:t>ע</w:t>
        </w:r>
        <w:r w:rsidR="00237A7B" w:rsidRPr="00237A7B">
          <w:rPr>
            <w:rFonts w:cs="David"/>
            <w:color w:val="0000FF"/>
            <w:sz w:val="24"/>
            <w:szCs w:val="24"/>
            <w:u w:val="single"/>
            <w:rtl/>
            <w:lang w:eastAsia="he-IL"/>
          </w:rPr>
          <w:t>"</w:t>
        </w:r>
        <w:r w:rsidR="00237A7B" w:rsidRPr="00237A7B">
          <w:rPr>
            <w:rFonts w:cs="David" w:hint="cs"/>
            <w:color w:val="0000FF"/>
            <w:sz w:val="24"/>
            <w:szCs w:val="24"/>
            <w:u w:val="single"/>
            <w:rtl/>
            <w:lang w:eastAsia="he-IL"/>
          </w:rPr>
          <w:t>פ</w:t>
        </w:r>
        <w:r w:rsidR="00237A7B" w:rsidRPr="00237A7B">
          <w:rPr>
            <w:rFonts w:cs="David"/>
            <w:color w:val="0000FF"/>
            <w:sz w:val="24"/>
            <w:szCs w:val="24"/>
            <w:u w:val="single"/>
            <w:rtl/>
            <w:lang w:eastAsia="he-IL"/>
          </w:rPr>
          <w:t xml:space="preserve"> 3117/12</w:t>
        </w:r>
      </w:hyperlink>
      <w:r>
        <w:rPr>
          <w:rFonts w:cs="David"/>
          <w:sz w:val="24"/>
          <w:szCs w:val="24"/>
          <w:rtl/>
          <w:lang w:eastAsia="he-IL"/>
        </w:rPr>
        <w:t xml:space="preserve"> </w:t>
      </w:r>
      <w:r>
        <w:rPr>
          <w:rFonts w:cs="David" w:hint="cs"/>
          <w:b/>
          <w:bCs/>
          <w:sz w:val="24"/>
          <w:szCs w:val="24"/>
          <w:rtl/>
          <w:lang w:eastAsia="he-IL"/>
        </w:rPr>
        <w:t xml:space="preserve">ארביב נ' מדינת ישראל </w:t>
      </w:r>
      <w:r>
        <w:rPr>
          <w:rFonts w:cs="David" w:hint="cs"/>
          <w:sz w:val="24"/>
          <w:szCs w:val="24"/>
          <w:rtl/>
          <w:lang w:eastAsia="he-IL"/>
        </w:rPr>
        <w:t>נקבע כי:</w:t>
      </w:r>
    </w:p>
    <w:p w14:paraId="394F4F4B" w14:textId="77777777" w:rsidR="004F0481" w:rsidRDefault="004F0481" w:rsidP="004F0481">
      <w:pPr>
        <w:pStyle w:val="ab"/>
        <w:spacing w:after="0" w:line="360" w:lineRule="auto"/>
        <w:jc w:val="both"/>
        <w:rPr>
          <w:rFonts w:cs="David"/>
          <w:sz w:val="24"/>
          <w:szCs w:val="24"/>
        </w:rPr>
      </w:pPr>
    </w:p>
    <w:p w14:paraId="32A1B64E" w14:textId="77777777" w:rsidR="004F0481" w:rsidRDefault="004F0481" w:rsidP="004F0481">
      <w:pPr>
        <w:pStyle w:val="ab"/>
        <w:spacing w:after="0" w:line="360" w:lineRule="auto"/>
        <w:ind w:left="1440"/>
        <w:jc w:val="both"/>
        <w:rPr>
          <w:rFonts w:ascii="David" w:hAnsi="David" w:cs="David"/>
          <w:b/>
          <w:bCs/>
          <w:sz w:val="24"/>
          <w:szCs w:val="24"/>
          <w:u w:val="single"/>
          <w:rtl/>
        </w:rPr>
      </w:pPr>
      <w:r>
        <w:rPr>
          <w:rFonts w:ascii="David" w:hAnsi="David" w:cs="David"/>
          <w:b/>
          <w:bCs/>
          <w:sz w:val="24"/>
          <w:szCs w:val="24"/>
          <w:rtl/>
        </w:rPr>
        <w:t>"בית משפט זה עמד, לא אחת, על חומרתן היתירה של עבירות הסמים, ועל ההשלכות הקשות שיש לשימוש בסם על גופו ועל נפשו של המשתמש"</w:t>
      </w:r>
    </w:p>
    <w:p w14:paraId="00DBA1CF" w14:textId="77777777" w:rsidR="004F0481" w:rsidRDefault="004F0481" w:rsidP="004F0481">
      <w:pPr>
        <w:pStyle w:val="ab"/>
        <w:spacing w:after="0" w:line="360" w:lineRule="auto"/>
        <w:ind w:left="1440"/>
        <w:jc w:val="both"/>
        <w:rPr>
          <w:rFonts w:ascii="David" w:hAnsi="David" w:cs="David"/>
          <w:b/>
          <w:bCs/>
          <w:sz w:val="24"/>
          <w:szCs w:val="24"/>
          <w:u w:val="single"/>
          <w:rtl/>
        </w:rPr>
      </w:pPr>
    </w:p>
    <w:p w14:paraId="04DB4304" w14:textId="77777777" w:rsidR="004F0481" w:rsidRDefault="004F0481" w:rsidP="004F0481">
      <w:pPr>
        <w:pStyle w:val="a"/>
        <w:numPr>
          <w:ilvl w:val="0"/>
          <w:numId w:val="2"/>
        </w:numPr>
        <w:tabs>
          <w:tab w:val="left" w:pos="720"/>
        </w:tabs>
        <w:spacing w:after="200"/>
        <w:contextualSpacing/>
        <w:jc w:val="both"/>
        <w:rPr>
          <w:b/>
          <w:bCs/>
          <w:u w:val="single"/>
        </w:rPr>
      </w:pPr>
      <w:r>
        <w:rPr>
          <w:rFonts w:hint="cs"/>
          <w:rtl/>
        </w:rPr>
        <w:lastRenderedPageBreak/>
        <w:t xml:space="preserve">מידת הפגיעה בערכים הללו הינה ברף הבינוני, משום שמחד גיסא מדובר בסמים במשקל לא נמוך, כ-2.3 קילוגרם ואף כמות השתילים אינה מן הנמוכות, 19 שתילים. כמו כן הנאשם החזיק ציוד לגידול סם המעיד על מאפייני גידול מסחרי. ואילו מאידך גיסא, הסם גודל בבית הנאשם ולא במקום שנשכר לשם כך במיוחד. כמו כן, וגם אם הכמויות לא נמוכות כלל ועיקר, הרי שוודאי ישנם מקרים בהם מדובר בכמויות גבוהות יותר ובאינדיקציות מובהקות יותר לגידול מסחרי.   </w:t>
      </w:r>
    </w:p>
    <w:p w14:paraId="6AA6A880" w14:textId="77777777" w:rsidR="004F0481" w:rsidRDefault="004F0481" w:rsidP="004F0481">
      <w:pPr>
        <w:pStyle w:val="a"/>
        <w:numPr>
          <w:ilvl w:val="0"/>
          <w:numId w:val="0"/>
        </w:numPr>
        <w:tabs>
          <w:tab w:val="left" w:pos="720"/>
        </w:tabs>
        <w:spacing w:after="200"/>
        <w:ind w:left="720"/>
        <w:contextualSpacing/>
        <w:jc w:val="both"/>
        <w:rPr>
          <w:b/>
          <w:bCs/>
          <w:u w:val="single"/>
        </w:rPr>
      </w:pPr>
    </w:p>
    <w:p w14:paraId="169B16BE" w14:textId="77777777" w:rsidR="004F0481" w:rsidRDefault="004F0481" w:rsidP="004F0481">
      <w:pPr>
        <w:spacing w:line="360" w:lineRule="auto"/>
        <w:ind w:firstLine="360"/>
        <w:jc w:val="both"/>
        <w:rPr>
          <w:rFonts w:ascii="David" w:hAnsi="David"/>
          <w:b/>
          <w:bCs/>
          <w:u w:val="single"/>
        </w:rPr>
      </w:pPr>
      <w:r>
        <w:rPr>
          <w:rFonts w:ascii="David" w:hAnsi="David"/>
          <w:b/>
          <w:bCs/>
          <w:u w:val="single"/>
          <w:rtl/>
        </w:rPr>
        <w:t>מדיניות הענישה הנוהגת:</w:t>
      </w:r>
    </w:p>
    <w:p w14:paraId="56C44240" w14:textId="77777777" w:rsidR="004F0481" w:rsidRDefault="004F0481" w:rsidP="004F0481">
      <w:pPr>
        <w:spacing w:line="360" w:lineRule="auto"/>
        <w:ind w:firstLine="360"/>
        <w:jc w:val="both"/>
        <w:rPr>
          <w:rFonts w:ascii="David" w:hAnsi="David"/>
          <w:b/>
          <w:bCs/>
          <w:u w:val="single"/>
          <w:rtl/>
        </w:rPr>
      </w:pPr>
    </w:p>
    <w:p w14:paraId="422E792D" w14:textId="77777777" w:rsidR="004F0481" w:rsidRDefault="004F0481" w:rsidP="004F0481">
      <w:pPr>
        <w:numPr>
          <w:ilvl w:val="0"/>
          <w:numId w:val="2"/>
        </w:numPr>
        <w:spacing w:after="200" w:line="360" w:lineRule="auto"/>
        <w:jc w:val="both"/>
        <w:rPr>
          <w:rFonts w:ascii="Calibri" w:eastAsia="Calibri" w:hAnsi="Calibri"/>
          <w:rtl/>
        </w:rPr>
      </w:pPr>
      <w:r>
        <w:rPr>
          <w:rtl/>
        </w:rPr>
        <w:t xml:space="preserve">בפתח הדברים יש לזכור כי מדובר בעבירה שהמחוקק קבע בגינה עונש של 20 שנות מאסר, נתון שיש בו כדי ללמד על החומרה הרבה שמייחס המחוקק לעבירות מסוג זה. </w:t>
      </w:r>
    </w:p>
    <w:p w14:paraId="0BEB8AB8" w14:textId="77777777" w:rsidR="004F0481" w:rsidRDefault="004F0481" w:rsidP="004F0481">
      <w:pPr>
        <w:numPr>
          <w:ilvl w:val="0"/>
          <w:numId w:val="2"/>
        </w:numPr>
        <w:spacing w:after="200" w:line="360" w:lineRule="auto"/>
        <w:jc w:val="both"/>
      </w:pPr>
      <w:r>
        <w:rPr>
          <w:rFonts w:ascii="David" w:hAnsi="David"/>
          <w:rtl/>
        </w:rPr>
        <w:t xml:space="preserve">בכל הנוגע לענישה הנוהגת בעבירות מסוג זה, </w:t>
      </w:r>
      <w:r>
        <w:rPr>
          <w:rtl/>
        </w:rPr>
        <w:t xml:space="preserve">הרי שקיים מנעד רחב מאוד של עונשים. יש לזכור כי את הפסיקה יש לבחון לא רק בשים לב לתוצאה הסופית, אלא בעיקר בשים לב למתחמי הענישה. זאת משום, שעונשו הסופי של כל נאשם הינו לגופו ועל פי נסיבותיו האישיות והמיוחדות לו. </w:t>
      </w:r>
    </w:p>
    <w:p w14:paraId="66356060" w14:textId="77777777" w:rsidR="004F0481" w:rsidRDefault="004F0481" w:rsidP="004F0481">
      <w:pPr>
        <w:pStyle w:val="ab"/>
        <w:numPr>
          <w:ilvl w:val="0"/>
          <w:numId w:val="2"/>
        </w:numPr>
        <w:spacing w:after="160" w:line="360" w:lineRule="auto"/>
        <w:jc w:val="both"/>
        <w:rPr>
          <w:rFonts w:ascii="David" w:hAnsi="David" w:cs="David"/>
          <w:color w:val="000000"/>
          <w:sz w:val="24"/>
          <w:szCs w:val="24"/>
        </w:rPr>
      </w:pPr>
      <w:r>
        <w:rPr>
          <w:rFonts w:ascii="David" w:hAnsi="David" w:cs="David"/>
          <w:color w:val="000000"/>
          <w:sz w:val="24"/>
          <w:szCs w:val="24"/>
          <w:rtl/>
        </w:rPr>
        <w:t>ב</w:t>
      </w:r>
      <w:hyperlink r:id="rId12" w:history="1">
        <w:r w:rsidR="00237A7B" w:rsidRPr="00237A7B">
          <w:rPr>
            <w:rFonts w:ascii="David" w:hAnsi="David" w:cs="David"/>
            <w:color w:val="0000FF"/>
            <w:sz w:val="24"/>
            <w:szCs w:val="24"/>
            <w:u w:val="single"/>
            <w:rtl/>
          </w:rPr>
          <w:t>רע"פ 314/16</w:t>
        </w:r>
      </w:hyperlink>
      <w:r>
        <w:rPr>
          <w:rFonts w:ascii="David" w:hAnsi="David" w:cs="David"/>
          <w:color w:val="000000"/>
          <w:sz w:val="24"/>
          <w:szCs w:val="24"/>
          <w:rtl/>
        </w:rPr>
        <w:t xml:space="preserve"> </w:t>
      </w:r>
      <w:r>
        <w:rPr>
          <w:rFonts w:ascii="David" w:hAnsi="David" w:cs="David"/>
          <w:b/>
          <w:bCs/>
          <w:color w:val="000000"/>
          <w:sz w:val="24"/>
          <w:szCs w:val="24"/>
          <w:rtl/>
        </w:rPr>
        <w:t>גיא בן צבי נגד מדינת ישראל</w:t>
      </w:r>
      <w:r>
        <w:rPr>
          <w:rFonts w:ascii="David" w:hAnsi="David" w:cs="David"/>
          <w:color w:val="000000"/>
          <w:sz w:val="24"/>
          <w:szCs w:val="24"/>
          <w:rtl/>
        </w:rPr>
        <w:t xml:space="preserve"> , הנאשם הודה והורשע בעבירה של גידול סם מסוכן. הנאשם הקים מעבדה בדירה ייעודית ששכר לשם כך וגידל סם מסוכן מסוג קנבוס במשקל העולה על 2.5 ק"ג וכן רכש ציוד רב לגידול סם. לנאשם היה עבר פלילי בעבירת סחר בסם. בית המשפט השלום גזר עליו 6 חודשי מאסר בדרך של עבודות שרות ועונשים נלווים. ערעור המדינה על קולת העונש התקבל ובית המשפט המחוזי גזר עליו 10 חודשי מאסר בפועל.</w:t>
      </w:r>
    </w:p>
    <w:p w14:paraId="28BF312C" w14:textId="77777777" w:rsidR="004F0481" w:rsidRDefault="004F0481" w:rsidP="004F0481">
      <w:pPr>
        <w:pStyle w:val="ab"/>
        <w:spacing w:line="360" w:lineRule="auto"/>
        <w:ind w:left="1080"/>
        <w:jc w:val="both"/>
        <w:rPr>
          <w:rFonts w:ascii="David" w:hAnsi="David" w:cs="David"/>
          <w:color w:val="000000"/>
          <w:sz w:val="24"/>
          <w:szCs w:val="24"/>
        </w:rPr>
      </w:pPr>
    </w:p>
    <w:p w14:paraId="49CE26D9" w14:textId="77777777" w:rsidR="004F0481" w:rsidRDefault="004F0481" w:rsidP="004F0481">
      <w:pPr>
        <w:pStyle w:val="ab"/>
        <w:numPr>
          <w:ilvl w:val="0"/>
          <w:numId w:val="2"/>
        </w:numPr>
        <w:spacing w:after="160" w:line="360" w:lineRule="auto"/>
        <w:jc w:val="both"/>
        <w:rPr>
          <w:rFonts w:ascii="David" w:hAnsi="David" w:cs="David"/>
          <w:color w:val="000000"/>
          <w:sz w:val="24"/>
          <w:szCs w:val="24"/>
        </w:rPr>
      </w:pPr>
      <w:r>
        <w:rPr>
          <w:rFonts w:ascii="David" w:hAnsi="David" w:cs="David"/>
          <w:color w:val="000000"/>
          <w:sz w:val="24"/>
          <w:szCs w:val="24"/>
          <w:rtl/>
        </w:rPr>
        <w:t>ב</w:t>
      </w:r>
      <w:hyperlink r:id="rId13" w:history="1">
        <w:r w:rsidR="00237A7B" w:rsidRPr="00237A7B">
          <w:rPr>
            <w:rFonts w:ascii="David" w:hAnsi="David" w:cs="David"/>
            <w:color w:val="0000FF"/>
            <w:sz w:val="24"/>
            <w:szCs w:val="24"/>
            <w:u w:val="single"/>
            <w:rtl/>
          </w:rPr>
          <w:t>רע"פ 1787/15</w:t>
        </w:r>
      </w:hyperlink>
      <w:r>
        <w:rPr>
          <w:rFonts w:ascii="David" w:hAnsi="David" w:cs="David"/>
          <w:color w:val="000000"/>
          <w:sz w:val="24"/>
          <w:szCs w:val="24"/>
          <w:rtl/>
        </w:rPr>
        <w:t xml:space="preserve"> </w:t>
      </w:r>
      <w:r>
        <w:rPr>
          <w:rFonts w:ascii="David" w:hAnsi="David" w:cs="David"/>
          <w:b/>
          <w:bCs/>
          <w:color w:val="000000"/>
          <w:sz w:val="24"/>
          <w:szCs w:val="24"/>
          <w:rtl/>
        </w:rPr>
        <w:t>עמר נ' מדינת ישראל</w:t>
      </w:r>
      <w:r>
        <w:rPr>
          <w:rFonts w:ascii="David" w:hAnsi="David" w:cs="David"/>
          <w:color w:val="000000"/>
          <w:sz w:val="24"/>
          <w:szCs w:val="24"/>
          <w:rtl/>
        </w:rPr>
        <w:t xml:space="preserve"> , הנאשם הודה והורשע בגידול של 9 שתילי סם מסוכן מסוג קנבוס, במשקל כולל של 4.38 ק"ג. בנוסף, החזיק בסכומי כסף, ציוד לגידול הסם, ומשקל אלקטרוני. בית המשפט קמא, השית עליו עונש של 8 חודשי מאסר בפועל, לצד ענישה נלווית. נקבע מתחם ענישה בין 8 חודשי מאסר לבין 20 חודשים. המלצת שירות המבחן שלא להשית מאסר נדחתה. ערעור שהוגש לבית המשפט המחוזי נדחה, וכך גם בקשת רשות ערעור לבית המשפט העליון.  </w:t>
      </w:r>
    </w:p>
    <w:p w14:paraId="04B51FB6" w14:textId="77777777" w:rsidR="004F0481" w:rsidRDefault="004F0481" w:rsidP="004F0481">
      <w:pPr>
        <w:pStyle w:val="ab"/>
        <w:spacing w:after="160" w:line="360" w:lineRule="auto"/>
        <w:jc w:val="both"/>
        <w:rPr>
          <w:rFonts w:ascii="David" w:hAnsi="David" w:cs="David"/>
          <w:color w:val="000000"/>
          <w:sz w:val="24"/>
          <w:szCs w:val="24"/>
        </w:rPr>
      </w:pPr>
    </w:p>
    <w:p w14:paraId="338E4A88" w14:textId="77777777" w:rsidR="004F0481" w:rsidRDefault="004F0481" w:rsidP="004F0481">
      <w:pPr>
        <w:pStyle w:val="ab"/>
        <w:numPr>
          <w:ilvl w:val="0"/>
          <w:numId w:val="2"/>
        </w:numPr>
        <w:spacing w:after="160" w:line="360" w:lineRule="auto"/>
        <w:jc w:val="both"/>
        <w:rPr>
          <w:rFonts w:ascii="David" w:hAnsi="David" w:cs="David"/>
          <w:color w:val="000000"/>
          <w:sz w:val="24"/>
          <w:szCs w:val="24"/>
        </w:rPr>
      </w:pPr>
      <w:r>
        <w:rPr>
          <w:rFonts w:ascii="David" w:hAnsi="David" w:cs="David"/>
          <w:color w:val="000000"/>
          <w:sz w:val="24"/>
          <w:szCs w:val="24"/>
          <w:rtl/>
        </w:rPr>
        <w:t>ב</w:t>
      </w:r>
      <w:hyperlink r:id="rId14" w:history="1">
        <w:r w:rsidR="00237A7B" w:rsidRPr="00237A7B">
          <w:rPr>
            <w:rFonts w:ascii="David" w:hAnsi="David" w:cs="David"/>
            <w:color w:val="0000FF"/>
            <w:sz w:val="24"/>
            <w:szCs w:val="24"/>
            <w:u w:val="single"/>
            <w:rtl/>
          </w:rPr>
          <w:t>רע"פ 8237/15</w:t>
        </w:r>
      </w:hyperlink>
      <w:r>
        <w:rPr>
          <w:rFonts w:ascii="David" w:hAnsi="David" w:cs="David"/>
          <w:color w:val="000000"/>
          <w:sz w:val="24"/>
          <w:szCs w:val="24"/>
          <w:rtl/>
        </w:rPr>
        <w:t xml:space="preserve"> </w:t>
      </w:r>
      <w:r>
        <w:rPr>
          <w:rFonts w:ascii="David" w:hAnsi="David" w:cs="David"/>
          <w:b/>
          <w:bCs/>
          <w:color w:val="000000"/>
          <w:sz w:val="24"/>
          <w:szCs w:val="24"/>
          <w:rtl/>
        </w:rPr>
        <w:t>בן זקן נ' מדינת ישראל</w:t>
      </w:r>
      <w:r>
        <w:rPr>
          <w:rFonts w:ascii="David" w:hAnsi="David" w:cs="David"/>
          <w:color w:val="000000"/>
          <w:sz w:val="24"/>
          <w:szCs w:val="24"/>
          <w:rtl/>
        </w:rPr>
        <w:t xml:space="preserve"> גידל הנאשם 26 שתילי קנבוס במשקל כולל של 8.4 ק"ג. הנאשם היה בעל עבר פלילי שכלל 4 הרשעות קודמות. הנאשם הודה בכתב האישום ושירות המבחן המליץ שלא להשית עליו רכיב מאסר. בית משפט השלום השית עליו מאסר בן 7 חודשי מאסר בפועל, יחד עם עונשים נוספים למרות האופק השיקומי. בית המשפט המחוזי דחה ערעור הנאשם. בקשה לרשות ערעור נדחתה אף היא. </w:t>
      </w:r>
    </w:p>
    <w:p w14:paraId="74CE0CD5" w14:textId="77777777" w:rsidR="004F0481" w:rsidRDefault="004F0481" w:rsidP="004F0481">
      <w:pPr>
        <w:numPr>
          <w:ilvl w:val="0"/>
          <w:numId w:val="2"/>
        </w:numPr>
        <w:spacing w:after="200" w:line="360" w:lineRule="auto"/>
        <w:jc w:val="both"/>
        <w:rPr>
          <w:rFonts w:ascii="Calibri" w:eastAsia="Calibri" w:hAnsi="Calibri"/>
          <w:rtl/>
        </w:rPr>
      </w:pPr>
      <w:r>
        <w:rPr>
          <w:rtl/>
        </w:rPr>
        <w:t>ב</w:t>
      </w:r>
      <w:hyperlink r:id="rId15" w:history="1">
        <w:r w:rsidR="00237A7B" w:rsidRPr="00237A7B">
          <w:rPr>
            <w:color w:val="0000FF"/>
            <w:u w:val="single"/>
            <w:rtl/>
          </w:rPr>
          <w:t>רע"פ 5018/18</w:t>
        </w:r>
      </w:hyperlink>
      <w:r>
        <w:rPr>
          <w:rtl/>
        </w:rPr>
        <w:t xml:space="preserve"> </w:t>
      </w:r>
      <w:r>
        <w:rPr>
          <w:b/>
          <w:bCs/>
          <w:rtl/>
        </w:rPr>
        <w:t>בוזגלו נ' מדינת ישראל</w:t>
      </w:r>
      <w:r>
        <w:rPr>
          <w:rtl/>
        </w:rPr>
        <w:t xml:space="preserve"> הורשע הנאשם בגידול 544 גרם קנביס והכשלת שוטר. נקבע מתחם ענישה החל ממאסר בן מספר חודשים שיכול וירוצה בעבודות שירות ועד 12 חודשי מאסר. </w:t>
      </w:r>
    </w:p>
    <w:p w14:paraId="1FCF47E2" w14:textId="77777777" w:rsidR="004F0481" w:rsidRDefault="004F0481" w:rsidP="004F0481">
      <w:pPr>
        <w:pStyle w:val="ab"/>
        <w:numPr>
          <w:ilvl w:val="0"/>
          <w:numId w:val="2"/>
        </w:numPr>
        <w:spacing w:after="160" w:line="360" w:lineRule="auto"/>
        <w:jc w:val="both"/>
        <w:rPr>
          <w:rFonts w:ascii="David" w:hAnsi="David" w:cs="David"/>
          <w:color w:val="000000"/>
          <w:sz w:val="24"/>
          <w:szCs w:val="24"/>
        </w:rPr>
      </w:pPr>
      <w:r>
        <w:rPr>
          <w:rFonts w:ascii="David" w:hAnsi="David" w:cs="David"/>
          <w:color w:val="000000"/>
          <w:sz w:val="24"/>
          <w:szCs w:val="24"/>
          <w:rtl/>
        </w:rPr>
        <w:t>ב</w:t>
      </w:r>
      <w:hyperlink r:id="rId16" w:history="1">
        <w:r w:rsidR="00237A7B" w:rsidRPr="00237A7B">
          <w:rPr>
            <w:rFonts w:ascii="David" w:hAnsi="David" w:cs="David"/>
            <w:color w:val="0000FF"/>
            <w:sz w:val="24"/>
            <w:szCs w:val="24"/>
            <w:u w:val="single"/>
            <w:rtl/>
          </w:rPr>
          <w:t>עפ"ג 62171-05-17</w:t>
        </w:r>
      </w:hyperlink>
      <w:r>
        <w:rPr>
          <w:rFonts w:ascii="David" w:hAnsi="David" w:cs="David"/>
          <w:b/>
          <w:bCs/>
          <w:color w:val="000000"/>
          <w:sz w:val="24"/>
          <w:szCs w:val="24"/>
          <w:rtl/>
        </w:rPr>
        <w:t xml:space="preserve"> אבי חן נ' מדינת ישראל</w:t>
      </w:r>
      <w:r>
        <w:rPr>
          <w:rFonts w:ascii="David" w:hAnsi="David" w:cs="David"/>
          <w:color w:val="000000"/>
          <w:sz w:val="24"/>
          <w:szCs w:val="24"/>
          <w:rtl/>
        </w:rPr>
        <w:t xml:space="preserve"> גידל הנאשם 18 שתילי קנבוס במשקל 3.85 ק"ג בדירה בה היה ציוד ייעודי לגידול סם. כמו כן בהמשך הקים דירה נוספת לגידול סם ואיכלס אותה בציוד ייעודי לכך. בית המשפט קבע מתחם  8-20 חודשי מאסר, ובשים לב לקיומן של 9 הרשעות קודמות בעברו, הטיל עליו 12 חודשי מאסר בפועל.</w:t>
      </w:r>
    </w:p>
    <w:p w14:paraId="6E05705B" w14:textId="77777777" w:rsidR="004F0481" w:rsidRDefault="004F0481" w:rsidP="004F0481">
      <w:pPr>
        <w:pStyle w:val="ab"/>
        <w:spacing w:after="160" w:line="360" w:lineRule="auto"/>
        <w:jc w:val="both"/>
        <w:rPr>
          <w:rFonts w:ascii="David" w:hAnsi="David" w:cs="David"/>
          <w:color w:val="000000"/>
          <w:sz w:val="24"/>
          <w:szCs w:val="24"/>
        </w:rPr>
      </w:pPr>
    </w:p>
    <w:p w14:paraId="61B4494B" w14:textId="77777777" w:rsidR="004F0481" w:rsidRDefault="004F0481" w:rsidP="004F0481">
      <w:pPr>
        <w:pStyle w:val="ab"/>
        <w:numPr>
          <w:ilvl w:val="0"/>
          <w:numId w:val="2"/>
        </w:numPr>
        <w:spacing w:after="160" w:line="360" w:lineRule="auto"/>
        <w:jc w:val="both"/>
        <w:rPr>
          <w:rFonts w:ascii="David" w:hAnsi="David" w:cs="David"/>
          <w:color w:val="000000"/>
          <w:sz w:val="24"/>
          <w:szCs w:val="24"/>
        </w:rPr>
      </w:pPr>
      <w:r>
        <w:rPr>
          <w:rFonts w:ascii="David" w:hAnsi="David" w:cs="David"/>
          <w:color w:val="000000"/>
          <w:sz w:val="24"/>
          <w:szCs w:val="24"/>
          <w:rtl/>
        </w:rPr>
        <w:t>ב</w:t>
      </w:r>
      <w:hyperlink r:id="rId17" w:history="1">
        <w:r w:rsidR="00237A7B" w:rsidRPr="00237A7B">
          <w:rPr>
            <w:rFonts w:ascii="David" w:hAnsi="David" w:cs="David"/>
            <w:color w:val="0000FF"/>
            <w:sz w:val="24"/>
            <w:szCs w:val="24"/>
            <w:u w:val="single"/>
            <w:rtl/>
          </w:rPr>
          <w:t>ת.פ. 42477-10-17</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אבו עסא</w:t>
      </w:r>
      <w:r>
        <w:rPr>
          <w:rFonts w:ascii="David" w:hAnsi="David" w:cs="David"/>
          <w:color w:val="000000"/>
          <w:sz w:val="24"/>
          <w:szCs w:val="24"/>
          <w:rtl/>
        </w:rPr>
        <w:t xml:space="preserve"> גידל הנאשם, צעיר כבן 18 בזמן ביצוע העבירה, 100 שתילים של קנבוס, במשקל של כ- 1.2 ק"ג. בית המשפט הטיל עליו עונש בן 10 חודשי מאסר בפועל. </w:t>
      </w:r>
    </w:p>
    <w:p w14:paraId="5C6CB45C" w14:textId="77777777" w:rsidR="004F0481" w:rsidRDefault="004F0481" w:rsidP="004F0481">
      <w:pPr>
        <w:pStyle w:val="ab"/>
        <w:spacing w:after="160" w:line="360" w:lineRule="auto"/>
        <w:jc w:val="both"/>
        <w:rPr>
          <w:rFonts w:ascii="David" w:hAnsi="David" w:cs="David"/>
          <w:color w:val="000000"/>
          <w:sz w:val="24"/>
          <w:szCs w:val="24"/>
        </w:rPr>
      </w:pPr>
    </w:p>
    <w:p w14:paraId="51501FC3" w14:textId="77777777" w:rsidR="004F0481" w:rsidRDefault="004F0481" w:rsidP="004F0481">
      <w:pPr>
        <w:spacing w:line="360" w:lineRule="auto"/>
        <w:ind w:firstLine="360"/>
        <w:jc w:val="both"/>
        <w:rPr>
          <w:rFonts w:ascii="David" w:eastAsia="Calibri" w:hAnsi="David"/>
          <w:b/>
          <w:bCs/>
          <w:u w:val="single"/>
        </w:rPr>
      </w:pPr>
      <w:r>
        <w:rPr>
          <w:rFonts w:ascii="David" w:hAnsi="David"/>
          <w:b/>
          <w:bCs/>
          <w:u w:val="single"/>
          <w:rtl/>
        </w:rPr>
        <w:t>הנסיבות הקשורות בביצוע העבירה:</w:t>
      </w:r>
    </w:p>
    <w:p w14:paraId="09DF5CBA" w14:textId="77777777" w:rsidR="004F0481" w:rsidRDefault="004F0481" w:rsidP="004F0481">
      <w:pPr>
        <w:pStyle w:val="ab"/>
        <w:numPr>
          <w:ilvl w:val="0"/>
          <w:numId w:val="2"/>
        </w:numPr>
        <w:spacing w:after="0" w:line="360" w:lineRule="auto"/>
        <w:jc w:val="both"/>
        <w:rPr>
          <w:rFonts w:ascii="David" w:hAnsi="David" w:cs="David"/>
          <w:sz w:val="24"/>
          <w:szCs w:val="24"/>
        </w:rPr>
      </w:pPr>
      <w:r>
        <w:rPr>
          <w:rFonts w:cs="David"/>
          <w:sz w:val="24"/>
          <w:szCs w:val="24"/>
          <w:rtl/>
        </w:rPr>
        <w:t>ב</w:t>
      </w:r>
      <w:hyperlink r:id="rId18" w:history="1">
        <w:r w:rsidR="00237A7B" w:rsidRPr="00237A7B">
          <w:rPr>
            <w:rFonts w:cs="David" w:hint="cs"/>
            <w:color w:val="0000FF"/>
            <w:sz w:val="24"/>
            <w:szCs w:val="24"/>
            <w:u w:val="single"/>
            <w:rtl/>
          </w:rPr>
          <w:t>רע</w:t>
        </w:r>
        <w:r w:rsidR="00237A7B" w:rsidRPr="00237A7B">
          <w:rPr>
            <w:rFonts w:cs="David"/>
            <w:color w:val="0000FF"/>
            <w:sz w:val="24"/>
            <w:szCs w:val="24"/>
            <w:u w:val="single"/>
            <w:rtl/>
          </w:rPr>
          <w:t>"</w:t>
        </w:r>
        <w:r w:rsidR="00237A7B" w:rsidRPr="00237A7B">
          <w:rPr>
            <w:rFonts w:cs="David" w:hint="cs"/>
            <w:color w:val="0000FF"/>
            <w:sz w:val="24"/>
            <w:szCs w:val="24"/>
            <w:u w:val="single"/>
            <w:rtl/>
          </w:rPr>
          <w:t>פ</w:t>
        </w:r>
        <w:r w:rsidR="00237A7B" w:rsidRPr="00237A7B">
          <w:rPr>
            <w:rFonts w:cs="David"/>
            <w:color w:val="0000FF"/>
            <w:sz w:val="24"/>
            <w:szCs w:val="24"/>
            <w:u w:val="single"/>
            <w:rtl/>
          </w:rPr>
          <w:t xml:space="preserve"> 4512/15</w:t>
        </w:r>
      </w:hyperlink>
      <w:r>
        <w:rPr>
          <w:rFonts w:cs="David"/>
          <w:sz w:val="24"/>
          <w:szCs w:val="24"/>
          <w:rtl/>
        </w:rPr>
        <w:t xml:space="preserve"> </w:t>
      </w:r>
      <w:r>
        <w:rPr>
          <w:rFonts w:cs="David"/>
          <w:b/>
          <w:bCs/>
          <w:sz w:val="24"/>
          <w:szCs w:val="24"/>
          <w:rtl/>
        </w:rPr>
        <w:t>הרוש נ' מדינת ישראל</w:t>
      </w:r>
      <w:r>
        <w:rPr>
          <w:rFonts w:cs="David"/>
          <w:sz w:val="24"/>
          <w:szCs w:val="24"/>
          <w:rtl/>
        </w:rPr>
        <w:t xml:space="preserve"> </w:t>
      </w:r>
      <w:r>
        <w:rPr>
          <w:rFonts w:ascii="David" w:hAnsi="David" w:cs="David"/>
          <w:sz w:val="24"/>
          <w:szCs w:val="24"/>
          <w:rtl/>
        </w:rPr>
        <w:t xml:space="preserve">מנה בית המשפט את המשתנים אשר יש לבחון ביחס לעבירות הגידול:  </w:t>
      </w:r>
    </w:p>
    <w:p w14:paraId="58F4F9BA" w14:textId="77777777" w:rsidR="004F0481" w:rsidRDefault="004F0481" w:rsidP="004F0481">
      <w:pPr>
        <w:pStyle w:val="ab"/>
        <w:spacing w:after="0" w:line="360" w:lineRule="auto"/>
        <w:jc w:val="both"/>
        <w:rPr>
          <w:rFonts w:ascii="David" w:hAnsi="David" w:cs="David"/>
          <w:sz w:val="24"/>
          <w:szCs w:val="24"/>
        </w:rPr>
      </w:pPr>
    </w:p>
    <w:p w14:paraId="491D2A37" w14:textId="77777777" w:rsidR="004F0481" w:rsidRDefault="004F0481" w:rsidP="004F0481">
      <w:pPr>
        <w:pStyle w:val="ab"/>
        <w:spacing w:after="0" w:line="360" w:lineRule="auto"/>
        <w:ind w:left="1440"/>
        <w:jc w:val="both"/>
        <w:rPr>
          <w:rFonts w:ascii="David" w:hAnsi="David" w:cs="David"/>
          <w:sz w:val="26"/>
          <w:szCs w:val="26"/>
        </w:rPr>
      </w:pPr>
      <w:r>
        <w:rPr>
          <w:rFonts w:ascii="David" w:hAnsi="David" w:cs="David"/>
          <w:b/>
          <w:bCs/>
          <w:color w:val="000000"/>
          <w:spacing w:val="10"/>
          <w:sz w:val="24"/>
          <w:szCs w:val="24"/>
          <w:shd w:val="clear" w:color="auto" w:fill="FFFFFF"/>
          <w:rtl/>
        </w:rPr>
        <w:t>"עונשו של המבקש נגזר, בסופו של יום, על בסיס כלל נסיבות המקרה, ובכללן, אופן הקמת המעבדה; אבזורה של המעבדה; שטחה ...; היקף הייצור; כמות השתילים ומשקל הסם</w:t>
      </w:r>
      <w:r>
        <w:rPr>
          <w:rFonts w:ascii="David" w:hAnsi="David" w:cs="David"/>
          <w:b/>
          <w:bCs/>
          <w:color w:val="000000"/>
          <w:spacing w:val="10"/>
          <w:sz w:val="24"/>
          <w:szCs w:val="24"/>
          <w:shd w:val="clear" w:color="auto" w:fill="FFFFFF"/>
        </w:rPr>
        <w:t>.</w:t>
      </w:r>
      <w:r>
        <w:rPr>
          <w:rFonts w:ascii="David" w:hAnsi="David" w:cs="David"/>
          <w:sz w:val="26"/>
          <w:szCs w:val="26"/>
          <w:rtl/>
        </w:rPr>
        <w:t xml:space="preserve"> </w:t>
      </w:r>
      <w:r>
        <w:rPr>
          <w:rFonts w:ascii="David" w:hAnsi="David" w:cs="David" w:hint="cs"/>
          <w:sz w:val="26"/>
          <w:szCs w:val="26"/>
          <w:rtl/>
        </w:rPr>
        <w:t>"</w:t>
      </w:r>
    </w:p>
    <w:p w14:paraId="7EE94B0E" w14:textId="77777777" w:rsidR="004F0481" w:rsidRDefault="004F0481" w:rsidP="004F0481">
      <w:pPr>
        <w:pStyle w:val="ab"/>
        <w:spacing w:after="0" w:line="360" w:lineRule="auto"/>
        <w:jc w:val="both"/>
        <w:rPr>
          <w:rFonts w:ascii="David" w:hAnsi="David" w:cs="David"/>
          <w:sz w:val="24"/>
          <w:szCs w:val="24"/>
          <w:rtl/>
        </w:rPr>
      </w:pPr>
    </w:p>
    <w:p w14:paraId="56F15870" w14:textId="77777777" w:rsidR="004F0481" w:rsidRDefault="004F0481" w:rsidP="004F0481">
      <w:pPr>
        <w:pStyle w:val="ab"/>
        <w:numPr>
          <w:ilvl w:val="0"/>
          <w:numId w:val="2"/>
        </w:numPr>
        <w:spacing w:after="0" w:line="360" w:lineRule="auto"/>
        <w:jc w:val="both"/>
        <w:rPr>
          <w:rFonts w:ascii="David" w:hAnsi="David" w:cs="David"/>
          <w:sz w:val="24"/>
          <w:szCs w:val="24"/>
        </w:rPr>
      </w:pPr>
      <w:r>
        <w:rPr>
          <w:rFonts w:ascii="David" w:hAnsi="David" w:cs="David"/>
          <w:sz w:val="24"/>
          <w:szCs w:val="24"/>
          <w:rtl/>
        </w:rPr>
        <w:t xml:space="preserve">בענייננו, כאמור מדובר במספר שתילים ובמשקל מצטבר לא נמוך כלל ועיקר, אך גם לא גבוה במיוחד. הנאשם השתמש בציוד ייעודי לגידול סם, גם אם עשה זאת בחדר בביתו. לפיכך, מדובר בעבירה ברף הבינוני של עבירות גידול הסמים.  </w:t>
      </w:r>
    </w:p>
    <w:p w14:paraId="03DAA060" w14:textId="77777777" w:rsidR="004F0481" w:rsidRDefault="004F0481" w:rsidP="004F0481">
      <w:pPr>
        <w:pStyle w:val="ab"/>
        <w:spacing w:after="0" w:line="360" w:lineRule="auto"/>
        <w:jc w:val="both"/>
        <w:rPr>
          <w:rFonts w:ascii="David" w:hAnsi="David" w:cs="David"/>
          <w:sz w:val="24"/>
          <w:szCs w:val="24"/>
        </w:rPr>
      </w:pPr>
    </w:p>
    <w:p w14:paraId="754734A0" w14:textId="77777777" w:rsidR="004F0481" w:rsidRDefault="004F0481" w:rsidP="004F0481">
      <w:pPr>
        <w:pStyle w:val="ab"/>
        <w:numPr>
          <w:ilvl w:val="0"/>
          <w:numId w:val="2"/>
        </w:numPr>
        <w:spacing w:after="0" w:line="360" w:lineRule="auto"/>
        <w:jc w:val="both"/>
        <w:rPr>
          <w:rFonts w:ascii="David" w:hAnsi="David" w:cs="David"/>
          <w:b/>
          <w:bCs/>
          <w:sz w:val="24"/>
          <w:szCs w:val="24"/>
        </w:rPr>
      </w:pPr>
      <w:r>
        <w:rPr>
          <w:rFonts w:ascii="David" w:hAnsi="David" w:cs="David"/>
          <w:b/>
          <w:bCs/>
          <w:sz w:val="24"/>
          <w:szCs w:val="24"/>
          <w:rtl/>
        </w:rPr>
        <w:t>לאחר שבחנתי את הערכים המוגנים שנפגעו מביצוע העבירה על ידי הנאשם, מידת הפגיעה בערכים אלו, ובנסיבות ביצוע העבירה, הרי שאני קובע כי מתחם העונש הראוי הינו החל מ-8 חודשי מאסר שיכול וירוצו בעבודות שירות ועד 18 חודשי מאסר מאחורי סורג ובריח.</w:t>
      </w:r>
    </w:p>
    <w:p w14:paraId="47BACF57" w14:textId="77777777" w:rsidR="004F0481" w:rsidRDefault="004F0481" w:rsidP="004F0481">
      <w:pPr>
        <w:pStyle w:val="ab"/>
        <w:spacing w:after="0" w:line="360" w:lineRule="auto"/>
        <w:ind w:left="1440"/>
        <w:jc w:val="both"/>
        <w:rPr>
          <w:rFonts w:ascii="David" w:hAnsi="David" w:cs="David"/>
          <w:sz w:val="24"/>
          <w:szCs w:val="24"/>
          <w:rtl/>
        </w:rPr>
      </w:pPr>
    </w:p>
    <w:p w14:paraId="64B12820" w14:textId="77777777" w:rsidR="004F0481" w:rsidRDefault="004F0481" w:rsidP="004F0481">
      <w:pPr>
        <w:spacing w:line="360" w:lineRule="auto"/>
        <w:jc w:val="both"/>
        <w:rPr>
          <w:rFonts w:ascii="David" w:hAnsi="David"/>
          <w:sz w:val="28"/>
          <w:szCs w:val="28"/>
        </w:rPr>
      </w:pPr>
      <w:r>
        <w:rPr>
          <w:rFonts w:ascii="David" w:hAnsi="David"/>
          <w:b/>
          <w:bCs/>
          <w:sz w:val="28"/>
          <w:szCs w:val="28"/>
          <w:u w:val="single"/>
          <w:rtl/>
        </w:rPr>
        <w:t>סטייה ממתחם העונש ההולם</w:t>
      </w:r>
      <w:r>
        <w:rPr>
          <w:rFonts w:ascii="David" w:hAnsi="David"/>
          <w:sz w:val="28"/>
          <w:szCs w:val="28"/>
          <w:rtl/>
        </w:rPr>
        <w:t>:</w:t>
      </w:r>
    </w:p>
    <w:p w14:paraId="7B5D4690" w14:textId="77777777" w:rsidR="004F0481" w:rsidRDefault="004F0481" w:rsidP="004F0481">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על נאשם המבקש לסטות לקולה ממתחם העונש ההולם הנטל להציג ראיות לכך שעבר הליך שיקומי משמעותי. [ראו למשל: </w:t>
      </w:r>
      <w:hyperlink r:id="rId19" w:history="1">
        <w:r w:rsidR="00237A7B" w:rsidRPr="00237A7B">
          <w:rPr>
            <w:rFonts w:ascii="David" w:hAnsi="David" w:cs="David"/>
            <w:color w:val="0000FF"/>
            <w:sz w:val="24"/>
            <w:szCs w:val="24"/>
            <w:u w:val="single"/>
            <w:rtl/>
          </w:rPr>
          <w:t>רע"פ 1705/22</w:t>
        </w:r>
      </w:hyperlink>
      <w:r>
        <w:rPr>
          <w:rFonts w:ascii="David" w:hAnsi="David" w:cs="David"/>
          <w:sz w:val="24"/>
          <w:szCs w:val="24"/>
          <w:rtl/>
        </w:rPr>
        <w:t xml:space="preserve"> </w:t>
      </w:r>
      <w:r>
        <w:rPr>
          <w:rFonts w:ascii="David" w:hAnsi="David" w:cs="David"/>
          <w:b/>
          <w:bCs/>
          <w:sz w:val="24"/>
          <w:szCs w:val="24"/>
          <w:rtl/>
        </w:rPr>
        <w:t>אלצראיעה נ' מדינת ישראל</w:t>
      </w:r>
      <w:r>
        <w:rPr>
          <w:rFonts w:ascii="David" w:hAnsi="David" w:cs="David"/>
          <w:sz w:val="24"/>
          <w:szCs w:val="24"/>
          <w:rtl/>
        </w:rPr>
        <w:t xml:space="preserve">] בענייננו לא הוצגו כל ראיות בעניין, ולמעשה הנאשם אף לא התייצב בפני שירות המבחן. </w:t>
      </w:r>
    </w:p>
    <w:p w14:paraId="4468F494" w14:textId="77777777" w:rsidR="004F0481" w:rsidRDefault="004F0481" w:rsidP="004F0481">
      <w:pPr>
        <w:pStyle w:val="ab"/>
        <w:spacing w:after="0" w:line="360" w:lineRule="auto"/>
        <w:jc w:val="both"/>
        <w:rPr>
          <w:rFonts w:ascii="David" w:hAnsi="David" w:cs="David"/>
          <w:sz w:val="24"/>
          <w:szCs w:val="24"/>
        </w:rPr>
      </w:pPr>
    </w:p>
    <w:p w14:paraId="097BABC2" w14:textId="77777777" w:rsidR="004F0481" w:rsidRDefault="004F0481" w:rsidP="004F0481">
      <w:pPr>
        <w:pStyle w:val="ab"/>
        <w:numPr>
          <w:ilvl w:val="0"/>
          <w:numId w:val="2"/>
        </w:numPr>
        <w:spacing w:after="0" w:line="360" w:lineRule="auto"/>
        <w:jc w:val="both"/>
        <w:rPr>
          <w:rFonts w:ascii="David" w:hAnsi="David" w:cs="David"/>
          <w:sz w:val="24"/>
          <w:szCs w:val="24"/>
        </w:rPr>
      </w:pPr>
      <w:r>
        <w:rPr>
          <w:rFonts w:ascii="David" w:hAnsi="David" w:cs="David"/>
          <w:sz w:val="24"/>
          <w:szCs w:val="24"/>
          <w:rtl/>
        </w:rPr>
        <w:t>בנסיבות הללו, לא נמצא כל טעם לסטייה ממתחם העונש ההולם.</w:t>
      </w:r>
    </w:p>
    <w:p w14:paraId="6878EAB8" w14:textId="77777777" w:rsidR="004F0481" w:rsidRDefault="004F0481" w:rsidP="004F0481">
      <w:pPr>
        <w:pStyle w:val="ab"/>
        <w:spacing w:line="360" w:lineRule="auto"/>
        <w:jc w:val="both"/>
        <w:rPr>
          <w:rFonts w:ascii="David" w:hAnsi="David" w:cs="David"/>
          <w:sz w:val="24"/>
          <w:szCs w:val="24"/>
          <w:rtl/>
        </w:rPr>
      </w:pPr>
    </w:p>
    <w:p w14:paraId="01D18C5C" w14:textId="77777777" w:rsidR="004F0481" w:rsidRDefault="004F0481" w:rsidP="004F0481">
      <w:pPr>
        <w:spacing w:line="360" w:lineRule="auto"/>
        <w:jc w:val="both"/>
        <w:rPr>
          <w:rFonts w:ascii="David" w:hAnsi="David"/>
          <w:b/>
          <w:bCs/>
          <w:sz w:val="28"/>
          <w:szCs w:val="28"/>
          <w:u w:val="single"/>
          <w:rtl/>
        </w:rPr>
      </w:pPr>
      <w:r>
        <w:rPr>
          <w:rFonts w:ascii="David" w:hAnsi="David"/>
          <w:b/>
          <w:bCs/>
          <w:sz w:val="28"/>
          <w:szCs w:val="28"/>
          <w:u w:val="single"/>
          <w:rtl/>
        </w:rPr>
        <w:t>קביעת העונש ההולם בתוך המתחם</w:t>
      </w:r>
    </w:p>
    <w:p w14:paraId="5F024E08" w14:textId="77777777" w:rsidR="004F0481" w:rsidRDefault="004F0481" w:rsidP="004F0481">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לשם קביעת העונש ההולם, בגדרי מתחם העונש, על בית המשפט להידרש לנסיבות שאינן קשורות בביצוע העבירה:  </w:t>
      </w:r>
    </w:p>
    <w:p w14:paraId="767873FA" w14:textId="77777777" w:rsidR="004F0481" w:rsidRDefault="004F0481" w:rsidP="004F0481">
      <w:pPr>
        <w:pStyle w:val="ab"/>
        <w:spacing w:after="0" w:line="360" w:lineRule="auto"/>
        <w:jc w:val="both"/>
        <w:rPr>
          <w:rFonts w:ascii="David" w:hAnsi="David" w:cs="David"/>
          <w:sz w:val="24"/>
          <w:szCs w:val="24"/>
        </w:rPr>
      </w:pPr>
    </w:p>
    <w:p w14:paraId="06064452" w14:textId="77777777" w:rsidR="004F0481" w:rsidRDefault="004F0481" w:rsidP="004F0481">
      <w:pPr>
        <w:numPr>
          <w:ilvl w:val="0"/>
          <w:numId w:val="3"/>
        </w:numPr>
        <w:spacing w:line="360" w:lineRule="auto"/>
        <w:ind w:left="1080"/>
        <w:contextualSpacing/>
        <w:jc w:val="both"/>
        <w:rPr>
          <w:rFonts w:ascii="David" w:hAnsi="David"/>
        </w:rPr>
      </w:pPr>
      <w:r>
        <w:rPr>
          <w:rFonts w:ascii="David" w:hAnsi="David"/>
          <w:rtl/>
        </w:rPr>
        <w:t>הנאשם הודה, ולקח אחריות על מעשיו.</w:t>
      </w:r>
    </w:p>
    <w:p w14:paraId="3977B310" w14:textId="77777777" w:rsidR="004F0481" w:rsidRDefault="004F0481" w:rsidP="004F0481">
      <w:pPr>
        <w:spacing w:line="360" w:lineRule="auto"/>
        <w:ind w:left="1080"/>
        <w:contextualSpacing/>
        <w:jc w:val="both"/>
        <w:rPr>
          <w:rFonts w:ascii="David" w:hAnsi="David"/>
        </w:rPr>
      </w:pPr>
    </w:p>
    <w:p w14:paraId="401D4C45" w14:textId="77777777" w:rsidR="004F0481" w:rsidRDefault="004F0481" w:rsidP="004F0481">
      <w:pPr>
        <w:numPr>
          <w:ilvl w:val="0"/>
          <w:numId w:val="3"/>
        </w:numPr>
        <w:spacing w:line="360" w:lineRule="auto"/>
        <w:ind w:left="1080"/>
        <w:contextualSpacing/>
        <w:jc w:val="both"/>
        <w:rPr>
          <w:rFonts w:ascii="David" w:hAnsi="David"/>
        </w:rPr>
      </w:pPr>
      <w:r>
        <w:rPr>
          <w:rFonts w:ascii="David" w:hAnsi="David"/>
          <w:rtl/>
        </w:rPr>
        <w:t xml:space="preserve">לחובת הנאשם הרשעה פלילית יחידה מן העניין - עבירת החזקת סם – אך בה נגזר על הנאשם עונה צופה פני עתיד.  </w:t>
      </w:r>
    </w:p>
    <w:p w14:paraId="3F03DCA4" w14:textId="77777777" w:rsidR="004F0481" w:rsidRDefault="004F0481" w:rsidP="004F0481">
      <w:pPr>
        <w:spacing w:line="360" w:lineRule="auto"/>
        <w:ind w:left="720"/>
        <w:contextualSpacing/>
        <w:jc w:val="both"/>
        <w:rPr>
          <w:rFonts w:ascii="David" w:hAnsi="David"/>
        </w:rPr>
      </w:pPr>
    </w:p>
    <w:p w14:paraId="123456CC" w14:textId="77777777" w:rsidR="004F0481" w:rsidRDefault="004F0481" w:rsidP="004F0481">
      <w:pPr>
        <w:numPr>
          <w:ilvl w:val="0"/>
          <w:numId w:val="3"/>
        </w:numPr>
        <w:spacing w:line="360" w:lineRule="auto"/>
        <w:ind w:left="1080"/>
        <w:contextualSpacing/>
        <w:jc w:val="both"/>
        <w:rPr>
          <w:rFonts w:ascii="David" w:hAnsi="David"/>
        </w:rPr>
      </w:pPr>
      <w:r>
        <w:rPr>
          <w:rFonts w:ascii="David" w:hAnsi="David"/>
          <w:rtl/>
        </w:rPr>
        <w:t xml:space="preserve">הנאשם לא עמד בקשר עם שירות המבחן.  </w:t>
      </w:r>
    </w:p>
    <w:p w14:paraId="7CF29411" w14:textId="77777777" w:rsidR="004F0481" w:rsidRDefault="004F0481" w:rsidP="004F0481">
      <w:pPr>
        <w:pStyle w:val="ab"/>
        <w:rPr>
          <w:rFonts w:ascii="David" w:hAnsi="David" w:cs="David"/>
          <w:sz w:val="24"/>
          <w:szCs w:val="24"/>
        </w:rPr>
      </w:pPr>
    </w:p>
    <w:p w14:paraId="012746B7" w14:textId="77777777" w:rsidR="004F0481" w:rsidRDefault="004F0481" w:rsidP="004F0481">
      <w:pPr>
        <w:numPr>
          <w:ilvl w:val="0"/>
          <w:numId w:val="3"/>
        </w:numPr>
        <w:spacing w:line="360" w:lineRule="auto"/>
        <w:ind w:left="1080"/>
        <w:contextualSpacing/>
        <w:jc w:val="both"/>
        <w:rPr>
          <w:rFonts w:ascii="David" w:hAnsi="David"/>
          <w:rtl/>
        </w:rPr>
      </w:pPr>
      <w:r>
        <w:rPr>
          <w:rFonts w:ascii="David" w:hAnsi="David"/>
          <w:rtl/>
        </w:rPr>
        <w:t xml:space="preserve">הנאשם אינו צעיר או מבוגר במיוחד באופן המצדיק התחשבות בגילו. </w:t>
      </w:r>
    </w:p>
    <w:p w14:paraId="5AD09BBE" w14:textId="77777777" w:rsidR="004F0481" w:rsidRDefault="004F0481" w:rsidP="004F0481">
      <w:pPr>
        <w:pStyle w:val="ab"/>
        <w:rPr>
          <w:rFonts w:ascii="David" w:hAnsi="David" w:cs="David"/>
          <w:sz w:val="24"/>
          <w:szCs w:val="24"/>
        </w:rPr>
      </w:pPr>
    </w:p>
    <w:p w14:paraId="0FF3A9E2" w14:textId="77777777" w:rsidR="004F0481" w:rsidRDefault="004F0481" w:rsidP="004F0481">
      <w:pPr>
        <w:numPr>
          <w:ilvl w:val="0"/>
          <w:numId w:val="3"/>
        </w:numPr>
        <w:spacing w:line="360" w:lineRule="auto"/>
        <w:ind w:left="1080"/>
        <w:contextualSpacing/>
        <w:jc w:val="both"/>
        <w:rPr>
          <w:rFonts w:ascii="David" w:hAnsi="David"/>
          <w:rtl/>
        </w:rPr>
      </w:pPr>
      <w:r>
        <w:rPr>
          <w:rFonts w:ascii="David" w:hAnsi="David"/>
          <w:rtl/>
        </w:rPr>
        <w:t>הגם שחלף זמן ממועד ביצוע העבירות, לא התרשמתי כי המדינה השתהתה בטיפול בתיק. ולמעשה הנאשם הוא זה שנעדר מדיונים רבים.  יחד עם זאת, הנאשם לא הסתבך מאז בתיקים פליליים נוספים.</w:t>
      </w:r>
    </w:p>
    <w:p w14:paraId="11C90A96" w14:textId="77777777" w:rsidR="004F0481" w:rsidRDefault="004F0481" w:rsidP="004F0481">
      <w:pPr>
        <w:pStyle w:val="ab"/>
        <w:rPr>
          <w:rFonts w:ascii="David" w:hAnsi="David" w:cs="David"/>
          <w:sz w:val="24"/>
          <w:szCs w:val="24"/>
        </w:rPr>
      </w:pPr>
    </w:p>
    <w:p w14:paraId="68A7DAE8" w14:textId="77777777" w:rsidR="004F0481" w:rsidRDefault="004F0481" w:rsidP="004F0481">
      <w:pPr>
        <w:numPr>
          <w:ilvl w:val="0"/>
          <w:numId w:val="3"/>
        </w:numPr>
        <w:spacing w:line="360" w:lineRule="auto"/>
        <w:ind w:left="1080"/>
        <w:contextualSpacing/>
        <w:jc w:val="both"/>
        <w:rPr>
          <w:rFonts w:ascii="David" w:hAnsi="David"/>
          <w:rtl/>
        </w:rPr>
      </w:pPr>
      <w:r>
        <w:rPr>
          <w:rFonts w:ascii="David" w:hAnsi="David"/>
          <w:rtl/>
        </w:rPr>
        <w:t xml:space="preserve">בכל הנוגע לפגיעה של העונש בנאשם, הרי שבקביעת העונש בתוך המתחם אף יש לקחת בחשבון את העובדה שמדובר בנאשם שלא ריצה מאסר מאחורי סורג ובריח מימיו ועל כן פגיעה של עונש מאסר מאחורי סורג ובריח עלולה להיות משמעותית. </w:t>
      </w:r>
    </w:p>
    <w:p w14:paraId="0A85DBE3" w14:textId="77777777" w:rsidR="004F0481" w:rsidRDefault="004F0481" w:rsidP="004F0481">
      <w:pPr>
        <w:spacing w:line="360" w:lineRule="auto"/>
        <w:contextualSpacing/>
        <w:jc w:val="both"/>
        <w:rPr>
          <w:rFonts w:ascii="David" w:hAnsi="David"/>
        </w:rPr>
      </w:pPr>
    </w:p>
    <w:p w14:paraId="4C5152A1" w14:textId="77777777" w:rsidR="004F0481" w:rsidRDefault="004F0481" w:rsidP="004F0481">
      <w:pPr>
        <w:pStyle w:val="ab"/>
        <w:numPr>
          <w:ilvl w:val="0"/>
          <w:numId w:val="2"/>
        </w:numPr>
        <w:spacing w:after="0" w:line="360" w:lineRule="auto"/>
        <w:jc w:val="both"/>
        <w:rPr>
          <w:rFonts w:ascii="David" w:hAnsi="David" w:cs="David"/>
          <w:sz w:val="24"/>
          <w:szCs w:val="24"/>
        </w:rPr>
      </w:pPr>
      <w:r>
        <w:rPr>
          <w:rFonts w:ascii="David" w:hAnsi="David" w:cs="David"/>
          <w:sz w:val="24"/>
          <w:szCs w:val="24"/>
          <w:rtl/>
        </w:rPr>
        <w:t xml:space="preserve">נוכח נתונים אלו, הרי שהעונש הראוי הינו ברף הנמוך של המתחם, אך לא בתחתיתו ממש.  </w:t>
      </w:r>
    </w:p>
    <w:p w14:paraId="66DBC90C" w14:textId="77777777" w:rsidR="004F0481" w:rsidRDefault="004F0481" w:rsidP="004F0481">
      <w:pPr>
        <w:pStyle w:val="ab"/>
        <w:spacing w:after="0" w:line="360" w:lineRule="auto"/>
        <w:jc w:val="both"/>
        <w:rPr>
          <w:rFonts w:ascii="David" w:hAnsi="David" w:cs="David"/>
          <w:sz w:val="24"/>
          <w:szCs w:val="24"/>
        </w:rPr>
      </w:pPr>
    </w:p>
    <w:p w14:paraId="18BCB40B" w14:textId="77777777" w:rsidR="004F0481" w:rsidRDefault="004F0481" w:rsidP="004F0481">
      <w:pPr>
        <w:spacing w:line="360" w:lineRule="auto"/>
        <w:jc w:val="both"/>
        <w:rPr>
          <w:rFonts w:ascii="David" w:hAnsi="David"/>
          <w:b/>
          <w:bCs/>
          <w:sz w:val="28"/>
          <w:szCs w:val="28"/>
          <w:u w:val="single"/>
          <w:rtl/>
        </w:rPr>
      </w:pPr>
      <w:r>
        <w:rPr>
          <w:rFonts w:ascii="David" w:hAnsi="David"/>
          <w:b/>
          <w:bCs/>
          <w:sz w:val="28"/>
          <w:szCs w:val="28"/>
          <w:u w:val="single"/>
          <w:rtl/>
        </w:rPr>
        <w:t>גזירת העונש</w:t>
      </w:r>
    </w:p>
    <w:p w14:paraId="1A53C5F1" w14:textId="77777777" w:rsidR="004F0481" w:rsidRDefault="004F0481" w:rsidP="004F0481">
      <w:pPr>
        <w:pStyle w:val="ab"/>
        <w:numPr>
          <w:ilvl w:val="0"/>
          <w:numId w:val="2"/>
        </w:numPr>
        <w:spacing w:after="0" w:line="360" w:lineRule="auto"/>
        <w:jc w:val="both"/>
        <w:rPr>
          <w:rFonts w:ascii="David" w:hAnsi="David" w:cs="David"/>
          <w:sz w:val="24"/>
          <w:szCs w:val="24"/>
          <w:rtl/>
        </w:rPr>
      </w:pPr>
      <w:r>
        <w:rPr>
          <w:rFonts w:ascii="David" w:hAnsi="David" w:cs="David"/>
          <w:sz w:val="24"/>
          <w:szCs w:val="24"/>
          <w:rtl/>
        </w:rPr>
        <w:t>לאחר ששקלתי את כלל השיקולים לעיל, לקולה ולחומרה, אני גוזר על הנאשם את העונשים הבאים:</w:t>
      </w:r>
    </w:p>
    <w:p w14:paraId="1ADD6E05" w14:textId="77777777" w:rsidR="004F0481" w:rsidRDefault="004F0481" w:rsidP="004F0481">
      <w:pPr>
        <w:pStyle w:val="ab"/>
        <w:spacing w:after="0" w:line="360" w:lineRule="auto"/>
        <w:jc w:val="both"/>
        <w:rPr>
          <w:rFonts w:ascii="David" w:hAnsi="David" w:cs="David"/>
          <w:sz w:val="24"/>
          <w:szCs w:val="24"/>
        </w:rPr>
      </w:pPr>
    </w:p>
    <w:p w14:paraId="3BD26386" w14:textId="77777777" w:rsidR="004F0481" w:rsidRDefault="004F0481" w:rsidP="004F0481">
      <w:pPr>
        <w:numPr>
          <w:ilvl w:val="0"/>
          <w:numId w:val="4"/>
        </w:numPr>
        <w:spacing w:line="360" w:lineRule="auto"/>
        <w:ind w:left="1080"/>
        <w:contextualSpacing/>
        <w:jc w:val="both"/>
        <w:rPr>
          <w:rFonts w:ascii="David" w:hAnsi="David"/>
          <w:rtl/>
        </w:rPr>
      </w:pPr>
      <w:r>
        <w:rPr>
          <w:rFonts w:ascii="David" w:hAnsi="David"/>
          <w:rtl/>
        </w:rPr>
        <w:t>9 חודשי מאסר בפועל שירוצו על דרך עבודות שירות באולם הקונכיה ומגרשי ספורט – חברת כיוונים. ברחוב האצ"ל 2, החל מיום 26.2.23.</w:t>
      </w:r>
    </w:p>
    <w:p w14:paraId="1140DDE1" w14:textId="77777777" w:rsidR="004F0481" w:rsidRDefault="004F0481" w:rsidP="004F0481">
      <w:pPr>
        <w:spacing w:line="360" w:lineRule="auto"/>
        <w:ind w:left="1080"/>
        <w:contextualSpacing/>
        <w:jc w:val="both"/>
        <w:rPr>
          <w:rFonts w:ascii="David" w:hAnsi="David"/>
        </w:rPr>
      </w:pPr>
    </w:p>
    <w:p w14:paraId="008CBE2F" w14:textId="77777777" w:rsidR="004F0481" w:rsidRDefault="004F0481" w:rsidP="004F0481">
      <w:pPr>
        <w:numPr>
          <w:ilvl w:val="0"/>
          <w:numId w:val="4"/>
        </w:numPr>
        <w:spacing w:line="360" w:lineRule="auto"/>
        <w:ind w:left="1080"/>
        <w:contextualSpacing/>
        <w:jc w:val="both"/>
        <w:rPr>
          <w:rFonts w:ascii="David" w:hAnsi="David"/>
        </w:rPr>
      </w:pPr>
      <w:r>
        <w:rPr>
          <w:rFonts w:ascii="David" w:hAnsi="David"/>
          <w:rtl/>
        </w:rPr>
        <w:t>אני מזהיר את הנאשם, כי עליו לנהוג בהתאם לכללים ולתנאים שתקבע הממונה על עבודות השירות, ושאם לא יעשה כן, יכול ויופסקו עבודות השירות, והוא יידרש לרצות את יתרת עונשו בכלא.</w:t>
      </w:r>
    </w:p>
    <w:p w14:paraId="3268C274" w14:textId="77777777" w:rsidR="004F0481" w:rsidRDefault="004F0481" w:rsidP="004F0481">
      <w:pPr>
        <w:spacing w:line="360" w:lineRule="auto"/>
        <w:ind w:left="1440"/>
        <w:contextualSpacing/>
        <w:jc w:val="both"/>
        <w:rPr>
          <w:rFonts w:ascii="David" w:hAnsi="David"/>
        </w:rPr>
      </w:pPr>
    </w:p>
    <w:p w14:paraId="77F8AA84" w14:textId="77777777" w:rsidR="004F0481" w:rsidRDefault="004F0481" w:rsidP="004F0481">
      <w:pPr>
        <w:pStyle w:val="ab"/>
        <w:numPr>
          <w:ilvl w:val="0"/>
          <w:numId w:val="4"/>
        </w:numPr>
        <w:spacing w:before="60" w:after="0" w:line="360" w:lineRule="auto"/>
        <w:ind w:left="1080"/>
        <w:jc w:val="both"/>
        <w:rPr>
          <w:rFonts w:ascii="David" w:hAnsi="David" w:cs="David"/>
          <w:sz w:val="24"/>
          <w:szCs w:val="24"/>
        </w:rPr>
      </w:pPr>
      <w:r>
        <w:rPr>
          <w:rFonts w:ascii="David" w:hAnsi="David" w:cs="David"/>
          <w:sz w:val="24"/>
          <w:szCs w:val="24"/>
          <w:rtl/>
        </w:rPr>
        <w:t>3 חודשי מאסר מותנה למשך 3 שנים מהיום. מאסר זה יופעל במידה והנאשם יעבור במשך תקופת התנאי עבירת סם מסוג עוון.</w:t>
      </w:r>
    </w:p>
    <w:p w14:paraId="19B26F25" w14:textId="77777777" w:rsidR="004F0481" w:rsidRDefault="004F0481" w:rsidP="004F0481">
      <w:pPr>
        <w:pStyle w:val="ab"/>
        <w:spacing w:line="360" w:lineRule="auto"/>
        <w:rPr>
          <w:rFonts w:ascii="David" w:hAnsi="David" w:cs="David"/>
          <w:sz w:val="24"/>
          <w:szCs w:val="24"/>
        </w:rPr>
      </w:pPr>
    </w:p>
    <w:p w14:paraId="6D5EB0EF" w14:textId="77777777" w:rsidR="004F0481" w:rsidRDefault="004F0481" w:rsidP="004F0481">
      <w:pPr>
        <w:pStyle w:val="ab"/>
        <w:numPr>
          <w:ilvl w:val="0"/>
          <w:numId w:val="4"/>
        </w:numPr>
        <w:spacing w:before="60" w:after="0" w:line="360" w:lineRule="auto"/>
        <w:ind w:left="1080"/>
        <w:jc w:val="both"/>
        <w:rPr>
          <w:rFonts w:ascii="David" w:hAnsi="David" w:cs="David"/>
          <w:sz w:val="24"/>
          <w:szCs w:val="24"/>
          <w:rtl/>
        </w:rPr>
      </w:pPr>
      <w:r>
        <w:rPr>
          <w:rFonts w:ascii="David" w:hAnsi="David" w:cs="David"/>
          <w:sz w:val="24"/>
          <w:szCs w:val="24"/>
          <w:rtl/>
        </w:rPr>
        <w:t>6 חודשי מאסר מותנה למשך 3 שנים מהיום. מאסר זה יופעל במידה והנאשם יעבור במשך תקופת התנאי עבירת סם מסוג פשע.</w:t>
      </w:r>
    </w:p>
    <w:p w14:paraId="64B6C080" w14:textId="77777777" w:rsidR="004F0481" w:rsidRDefault="004F0481" w:rsidP="004F0481">
      <w:pPr>
        <w:pStyle w:val="ab"/>
        <w:rPr>
          <w:rFonts w:ascii="David" w:hAnsi="David" w:cs="David"/>
          <w:sz w:val="24"/>
          <w:szCs w:val="24"/>
        </w:rPr>
      </w:pPr>
    </w:p>
    <w:p w14:paraId="5203DC1F" w14:textId="77777777" w:rsidR="004F0481" w:rsidRDefault="004F0481" w:rsidP="004F0481">
      <w:pPr>
        <w:pStyle w:val="ab"/>
        <w:numPr>
          <w:ilvl w:val="0"/>
          <w:numId w:val="4"/>
        </w:numPr>
        <w:spacing w:before="60" w:after="0" w:line="360" w:lineRule="auto"/>
        <w:ind w:left="1080"/>
        <w:jc w:val="both"/>
        <w:rPr>
          <w:rFonts w:ascii="David" w:hAnsi="David" w:cs="David"/>
          <w:sz w:val="24"/>
          <w:szCs w:val="24"/>
        </w:rPr>
      </w:pPr>
      <w:r>
        <w:rPr>
          <w:rFonts w:ascii="David" w:hAnsi="David" w:cs="David"/>
          <w:sz w:val="24"/>
          <w:szCs w:val="24"/>
          <w:rtl/>
        </w:rPr>
        <w:t>קנס בסך 8,000 ₪ או 40 ימי מאסר תחתם. הקנס ישולם בעשרה תשלומים חודשיים שווים החל מיום 1.</w:t>
      </w:r>
      <w:r>
        <w:rPr>
          <w:rFonts w:ascii="David" w:hAnsi="David" w:cs="David" w:hint="cs"/>
          <w:sz w:val="24"/>
          <w:szCs w:val="24"/>
          <w:rtl/>
        </w:rPr>
        <w:t>12</w:t>
      </w:r>
      <w:r>
        <w:rPr>
          <w:rFonts w:ascii="David" w:hAnsi="David" w:cs="David"/>
          <w:sz w:val="24"/>
          <w:szCs w:val="24"/>
          <w:rtl/>
        </w:rPr>
        <w:t>.23  ובכל ראשון לחודש שלאחריו.</w:t>
      </w:r>
    </w:p>
    <w:p w14:paraId="79206122" w14:textId="77777777" w:rsidR="004F0481" w:rsidRDefault="004F0481" w:rsidP="004F0481">
      <w:pPr>
        <w:pStyle w:val="ab"/>
        <w:spacing w:before="60" w:after="0" w:line="360" w:lineRule="auto"/>
        <w:ind w:left="1080"/>
        <w:jc w:val="both"/>
        <w:rPr>
          <w:rFonts w:ascii="David" w:hAnsi="David" w:cs="David"/>
          <w:sz w:val="24"/>
          <w:szCs w:val="24"/>
          <w:rtl/>
        </w:rPr>
      </w:pPr>
    </w:p>
    <w:p w14:paraId="6A3B4751" w14:textId="77777777" w:rsidR="004F0481" w:rsidRDefault="004F0481" w:rsidP="004F0481">
      <w:pPr>
        <w:spacing w:line="360" w:lineRule="auto"/>
        <w:ind w:left="360" w:firstLine="720"/>
        <w:jc w:val="both"/>
      </w:pPr>
      <w:r>
        <w:rPr>
          <w:rFonts w:hint="cs"/>
          <w:rtl/>
        </w:rPr>
        <w:t xml:space="preserve">את הקנס ניתן לשלם כעבור  3 ימים מהיום באחת מהדרכים הבאות: </w:t>
      </w:r>
    </w:p>
    <w:p w14:paraId="7F2BD2E7" w14:textId="77777777" w:rsidR="004F0481" w:rsidRDefault="004F0481" w:rsidP="004F0481">
      <w:pPr>
        <w:numPr>
          <w:ilvl w:val="0"/>
          <w:numId w:val="5"/>
        </w:numPr>
        <w:spacing w:line="360" w:lineRule="auto"/>
        <w:jc w:val="both"/>
      </w:pPr>
      <w:r>
        <w:rPr>
          <w:rFonts w:hint="cs"/>
          <w:rtl/>
        </w:rPr>
        <w:t xml:space="preserve">בכרטיס אשראי – באתר המקוון של רשות האכיפה והגבייה, </w:t>
      </w:r>
      <w:r>
        <w:t xml:space="preserve">www.eca.gov.il </w:t>
      </w:r>
      <w:r>
        <w:rPr>
          <w:rFonts w:hint="cs"/>
          <w:rtl/>
        </w:rPr>
        <w:t>.</w:t>
      </w:r>
    </w:p>
    <w:p w14:paraId="4F46D803" w14:textId="77777777" w:rsidR="004F0481" w:rsidRDefault="004F0481" w:rsidP="004F0481">
      <w:pPr>
        <w:numPr>
          <w:ilvl w:val="0"/>
          <w:numId w:val="5"/>
        </w:numPr>
        <w:spacing w:line="360" w:lineRule="auto"/>
        <w:jc w:val="both"/>
        <w:rPr>
          <w:rFonts w:ascii="David" w:hAnsi="David"/>
        </w:rPr>
      </w:pPr>
      <w:r>
        <w:rPr>
          <w:rFonts w:hint="cs"/>
          <w:rtl/>
        </w:rPr>
        <w:t>מוקד שירות טלפוני בשרות עצמי (מרכז גבייה)</w:t>
      </w:r>
      <w:r w:rsidR="00237A7B">
        <w:rPr>
          <w:rFonts w:hint="cs"/>
          <w:rtl/>
        </w:rPr>
        <w:t xml:space="preserve"> </w:t>
      </w:r>
      <w:r>
        <w:rPr>
          <w:rFonts w:hint="cs"/>
          <w:rtl/>
        </w:rPr>
        <w:t xml:space="preserve"> – בטלפון 35592* או בטלפון 073-2055000</w:t>
      </w:r>
    </w:p>
    <w:p w14:paraId="6BD9BABC" w14:textId="77777777" w:rsidR="004F0481" w:rsidRDefault="004F0481" w:rsidP="004F0481">
      <w:pPr>
        <w:numPr>
          <w:ilvl w:val="0"/>
          <w:numId w:val="5"/>
        </w:numPr>
        <w:spacing w:line="360" w:lineRule="auto"/>
        <w:jc w:val="both"/>
      </w:pPr>
      <w:r>
        <w:rPr>
          <w:rFonts w:hint="cs"/>
          <w:rtl/>
        </w:rPr>
        <w:t>במזומן בכל סניף של בנק הדואר – בהצגת תעודת זהות בלבד (אין צורך בהצגת בשוברי תשלום).</w:t>
      </w:r>
    </w:p>
    <w:p w14:paraId="1ADDC1B9" w14:textId="77777777" w:rsidR="004F0481" w:rsidRDefault="004F0481" w:rsidP="004F0481">
      <w:pPr>
        <w:spacing w:line="360" w:lineRule="auto"/>
        <w:jc w:val="both"/>
      </w:pPr>
    </w:p>
    <w:p w14:paraId="485DA0C3" w14:textId="77777777" w:rsidR="004F0481" w:rsidRDefault="004F0481" w:rsidP="004F0481"/>
    <w:p w14:paraId="4AED286A" w14:textId="77777777" w:rsidR="004F0481" w:rsidRDefault="004F0481" w:rsidP="004F0481">
      <w:pPr>
        <w:pStyle w:val="ab"/>
        <w:rPr>
          <w:rFonts w:ascii="David" w:hAnsi="David" w:cs="David"/>
          <w:sz w:val="24"/>
          <w:szCs w:val="24"/>
        </w:rPr>
      </w:pPr>
    </w:p>
    <w:p w14:paraId="0734409B" w14:textId="77777777" w:rsidR="004F0481" w:rsidRDefault="004F0481" w:rsidP="004F0481">
      <w:pPr>
        <w:pStyle w:val="ab"/>
        <w:numPr>
          <w:ilvl w:val="0"/>
          <w:numId w:val="4"/>
        </w:numPr>
        <w:spacing w:before="60" w:after="0" w:line="360" w:lineRule="auto"/>
        <w:ind w:left="1080"/>
        <w:jc w:val="both"/>
        <w:rPr>
          <w:rFonts w:ascii="David" w:hAnsi="David" w:cs="David"/>
          <w:sz w:val="24"/>
          <w:szCs w:val="24"/>
          <w:rtl/>
        </w:rPr>
      </w:pPr>
      <w:r>
        <w:rPr>
          <w:rFonts w:ascii="David" w:hAnsi="David" w:cs="David"/>
          <w:sz w:val="24"/>
          <w:szCs w:val="24"/>
          <w:rtl/>
        </w:rPr>
        <w:t>פסילה על תנאי למשך 6 חודשים שלא יעבור עבירות סמים במשך 3 שנים.</w:t>
      </w:r>
    </w:p>
    <w:p w14:paraId="7A9F2278" w14:textId="77777777" w:rsidR="004F0481" w:rsidRPr="00237A7B" w:rsidRDefault="00237A7B" w:rsidP="004F0481">
      <w:pPr>
        <w:pStyle w:val="ab"/>
        <w:spacing w:before="60" w:after="0" w:line="360" w:lineRule="auto"/>
        <w:ind w:left="1080"/>
        <w:jc w:val="both"/>
        <w:rPr>
          <w:rFonts w:ascii="David" w:hAnsi="David" w:cs="David"/>
          <w:color w:val="FFFFFF"/>
          <w:sz w:val="2"/>
          <w:szCs w:val="2"/>
        </w:rPr>
      </w:pPr>
      <w:r w:rsidRPr="00237A7B">
        <w:rPr>
          <w:rFonts w:ascii="David" w:hAnsi="David" w:cs="David"/>
          <w:color w:val="FFFFFF"/>
          <w:sz w:val="2"/>
          <w:szCs w:val="2"/>
          <w:rtl/>
        </w:rPr>
        <w:t>5129371</w:t>
      </w:r>
    </w:p>
    <w:p w14:paraId="45FA3D38" w14:textId="77777777" w:rsidR="004F0481" w:rsidRPr="00E661AE" w:rsidRDefault="00237A7B" w:rsidP="004F0481">
      <w:pPr>
        <w:pStyle w:val="ab"/>
        <w:spacing w:before="60" w:after="0" w:line="360" w:lineRule="auto"/>
        <w:ind w:left="0"/>
        <w:jc w:val="both"/>
        <w:rPr>
          <w:rFonts w:ascii="David" w:hAnsi="David" w:cs="David"/>
          <w:b/>
          <w:bCs/>
          <w:sz w:val="24"/>
          <w:szCs w:val="24"/>
          <w:rtl/>
        </w:rPr>
      </w:pPr>
      <w:r w:rsidRPr="00237A7B">
        <w:rPr>
          <w:rFonts w:ascii="David" w:hAnsi="David" w:cs="David"/>
          <w:b/>
          <w:bCs/>
          <w:color w:val="FFFFFF"/>
          <w:sz w:val="2"/>
          <w:szCs w:val="2"/>
          <w:rtl/>
        </w:rPr>
        <w:t>54678313</w:t>
      </w:r>
      <w:r w:rsidR="004F0481" w:rsidRPr="00E661AE">
        <w:rPr>
          <w:rFonts w:ascii="David" w:hAnsi="David" w:cs="David"/>
          <w:b/>
          <w:bCs/>
          <w:sz w:val="24"/>
          <w:szCs w:val="24"/>
          <w:rtl/>
        </w:rPr>
        <w:t>זכות ערעור כדין.</w:t>
      </w:r>
    </w:p>
    <w:p w14:paraId="2C0B6F47" w14:textId="77777777" w:rsidR="004F0481" w:rsidRPr="000F2247" w:rsidRDefault="004F0481" w:rsidP="004F0481">
      <w:pPr>
        <w:rPr>
          <w:rFonts w:ascii="Arial" w:hAnsi="Arial"/>
          <w:b/>
          <w:bCs/>
          <w:sz w:val="26"/>
          <w:szCs w:val="26"/>
          <w:rtl/>
        </w:rPr>
      </w:pPr>
    </w:p>
    <w:p w14:paraId="4DB8B9C7" w14:textId="77777777" w:rsidR="004F0481" w:rsidRPr="000F2247" w:rsidRDefault="00237A7B" w:rsidP="004F0481">
      <w:pPr>
        <w:rPr>
          <w:rFonts w:ascii="Arial" w:hAnsi="Arial"/>
          <w:b/>
          <w:bCs/>
          <w:sz w:val="26"/>
          <w:szCs w:val="26"/>
          <w:rtl/>
        </w:rPr>
      </w:pPr>
      <w:bookmarkStart w:id="8" w:name="Nitan"/>
      <w:r>
        <w:rPr>
          <w:rFonts w:ascii="Arial" w:hAnsi="Arial"/>
          <w:b/>
          <w:bCs/>
          <w:sz w:val="26"/>
          <w:szCs w:val="26"/>
          <w:rtl/>
        </w:rPr>
        <w:t xml:space="preserve">ניתן היום,  כ"ג טבת תשפ"ג, 16 ינואר 2023, במעמד הצדדים. </w:t>
      </w:r>
      <w:bookmarkEnd w:id="8"/>
    </w:p>
    <w:p w14:paraId="42BBEFF8" w14:textId="77777777" w:rsidR="004F0481" w:rsidRPr="000F2247" w:rsidRDefault="004F0481" w:rsidP="00237A7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EF1CD6B" w14:textId="77777777" w:rsidR="00237A7B" w:rsidRDefault="001008C0" w:rsidP="00237A7B">
      <w:r w:rsidRPr="001008C0">
        <w:rPr>
          <w:rFonts w:ascii="Arial" w:hAnsi="Arial"/>
          <w:b/>
          <w:bCs/>
          <w:color w:val="FFFFFF"/>
          <w:sz w:val="2"/>
          <w:szCs w:val="2"/>
          <w:rtl/>
        </w:rPr>
        <w:t>5129371</w:t>
      </w:r>
    </w:p>
    <w:p w14:paraId="5D6250EB" w14:textId="77777777" w:rsidR="00237A7B" w:rsidRDefault="00237A7B" w:rsidP="00237A7B">
      <w:pPr>
        <w:rPr>
          <w:rtl/>
        </w:rPr>
      </w:pPr>
    </w:p>
    <w:p w14:paraId="1FC7396A" w14:textId="77777777" w:rsidR="00237A7B" w:rsidRDefault="00237A7B" w:rsidP="00237A7B">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38F25C84" w14:textId="77777777" w:rsidR="001008C0" w:rsidRPr="001008C0" w:rsidRDefault="001008C0" w:rsidP="001008C0">
      <w:pPr>
        <w:keepNext/>
        <w:rPr>
          <w:rFonts w:ascii="David" w:hAnsi="David"/>
          <w:color w:val="000000"/>
          <w:sz w:val="22"/>
          <w:szCs w:val="22"/>
          <w:rtl/>
        </w:rPr>
      </w:pPr>
    </w:p>
    <w:p w14:paraId="44D418F5" w14:textId="77777777" w:rsidR="001008C0" w:rsidRPr="001008C0" w:rsidRDefault="001008C0" w:rsidP="001008C0">
      <w:pPr>
        <w:keepNext/>
        <w:rPr>
          <w:rFonts w:ascii="David" w:hAnsi="David"/>
          <w:color w:val="000000"/>
          <w:sz w:val="22"/>
          <w:szCs w:val="22"/>
          <w:rtl/>
        </w:rPr>
      </w:pPr>
      <w:r w:rsidRPr="001008C0">
        <w:rPr>
          <w:rFonts w:ascii="David" w:hAnsi="David"/>
          <w:color w:val="000000"/>
          <w:sz w:val="22"/>
          <w:szCs w:val="22"/>
          <w:rtl/>
        </w:rPr>
        <w:t>יניב בן הרוש 54678313-/</w:t>
      </w:r>
    </w:p>
    <w:p w14:paraId="17CE4327" w14:textId="77777777" w:rsidR="00237A7B" w:rsidRPr="00237A7B" w:rsidRDefault="001008C0" w:rsidP="001008C0">
      <w:pPr>
        <w:rPr>
          <w:color w:val="0000FF"/>
          <w:u w:val="single"/>
        </w:rPr>
      </w:pPr>
      <w:r w:rsidRPr="001008C0">
        <w:rPr>
          <w:color w:val="000000"/>
          <w:u w:val="single"/>
          <w:rtl/>
        </w:rPr>
        <w:t>נוסח מסמך זה כפוף לשינויי ניסוח ועריכה</w:t>
      </w:r>
    </w:p>
    <w:sectPr w:rsidR="00237A7B" w:rsidRPr="00237A7B" w:rsidSect="001008C0">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6999B" w14:textId="77777777" w:rsidR="00915326" w:rsidRDefault="00915326" w:rsidP="008871BE">
      <w:r>
        <w:separator/>
      </w:r>
    </w:p>
  </w:endnote>
  <w:endnote w:type="continuationSeparator" w:id="0">
    <w:p w14:paraId="33C09BA2" w14:textId="77777777" w:rsidR="00915326" w:rsidRDefault="00915326" w:rsidP="00887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20BEF" w14:textId="77777777" w:rsidR="001008C0" w:rsidRDefault="001008C0" w:rsidP="001008C0">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5096C9" w14:textId="77777777" w:rsidR="00206091" w:rsidRPr="001008C0" w:rsidRDefault="001008C0" w:rsidP="001008C0">
    <w:pPr>
      <w:pStyle w:val="a6"/>
      <w:pBdr>
        <w:top w:val="single" w:sz="4" w:space="1" w:color="auto"/>
        <w:between w:val="single" w:sz="4" w:space="0" w:color="auto"/>
      </w:pBdr>
      <w:spacing w:after="60"/>
      <w:jc w:val="center"/>
      <w:rPr>
        <w:rFonts w:ascii="FrankRuehl" w:hAnsi="FrankRuehl" w:cs="FrankRuehl"/>
        <w:color w:val="000000"/>
      </w:rPr>
    </w:pPr>
    <w:r w:rsidRPr="001008C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208E7" w14:textId="77777777" w:rsidR="001008C0" w:rsidRDefault="001008C0" w:rsidP="001008C0">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1CFB">
      <w:rPr>
        <w:rFonts w:ascii="FrankRuehl" w:hAnsi="FrankRuehl" w:cs="FrankRuehl"/>
        <w:noProof/>
        <w:rtl/>
      </w:rPr>
      <w:t>1</w:t>
    </w:r>
    <w:r>
      <w:rPr>
        <w:rFonts w:ascii="FrankRuehl" w:hAnsi="FrankRuehl" w:cs="FrankRuehl"/>
        <w:rtl/>
      </w:rPr>
      <w:fldChar w:fldCharType="end"/>
    </w:r>
  </w:p>
  <w:p w14:paraId="4B4C68D3" w14:textId="77777777" w:rsidR="00206091" w:rsidRPr="001008C0" w:rsidRDefault="001008C0" w:rsidP="001008C0">
    <w:pPr>
      <w:pStyle w:val="a6"/>
      <w:pBdr>
        <w:top w:val="single" w:sz="4" w:space="1" w:color="auto"/>
        <w:between w:val="single" w:sz="4" w:space="0" w:color="auto"/>
      </w:pBdr>
      <w:spacing w:after="60"/>
      <w:jc w:val="center"/>
      <w:rPr>
        <w:rFonts w:ascii="FrankRuehl" w:hAnsi="FrankRuehl" w:cs="FrankRuehl"/>
        <w:color w:val="000000"/>
      </w:rPr>
    </w:pPr>
    <w:r w:rsidRPr="001008C0">
      <w:rPr>
        <w:rFonts w:ascii="FrankRuehl" w:hAnsi="FrankRuehl" w:cs="FrankRuehl"/>
        <w:color w:val="000000"/>
      </w:rPr>
      <w:pict w14:anchorId="0D7292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3C6C7" w14:textId="77777777" w:rsidR="00915326" w:rsidRDefault="00915326" w:rsidP="008871BE">
      <w:r>
        <w:separator/>
      </w:r>
    </w:p>
  </w:footnote>
  <w:footnote w:type="continuationSeparator" w:id="0">
    <w:p w14:paraId="5E4CBEFF" w14:textId="77777777" w:rsidR="00915326" w:rsidRDefault="00915326" w:rsidP="00887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5C6F6" w14:textId="77777777" w:rsidR="00237A7B" w:rsidRPr="001008C0" w:rsidRDefault="001008C0" w:rsidP="001008C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40920-10-20</w:t>
    </w:r>
    <w:r>
      <w:rPr>
        <w:rFonts w:ascii="David" w:hAnsi="David"/>
        <w:color w:val="000000"/>
        <w:sz w:val="22"/>
        <w:szCs w:val="22"/>
        <w:rtl/>
      </w:rPr>
      <w:tab/>
      <w:t xml:space="preserve"> מדינת ישראל-תביעות נגב נ' סעיד אלסייד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0484A" w14:textId="77777777" w:rsidR="00237A7B" w:rsidRPr="001008C0" w:rsidRDefault="001008C0" w:rsidP="001008C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40920-10-20</w:t>
    </w:r>
    <w:r>
      <w:rPr>
        <w:rFonts w:ascii="David" w:hAnsi="David"/>
        <w:color w:val="000000"/>
        <w:sz w:val="22"/>
        <w:szCs w:val="22"/>
        <w:rtl/>
      </w:rPr>
      <w:tab/>
      <w:t xml:space="preserve"> מדינת ישראל-תביעות נגב נ' סעיד אלסייד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Times New Roman"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Times New Roman"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Times New Roman"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1C5E6DF5"/>
    <w:multiLevelType w:val="hybridMultilevel"/>
    <w:tmpl w:val="1AD4A1A0"/>
    <w:lvl w:ilvl="0" w:tplc="9D6E0AA8">
      <w:start w:val="1"/>
      <w:numFmt w:val="decimal"/>
      <w:pStyle w:val="a"/>
      <w:lvlText w:val="%1."/>
      <w:lvlJc w:val="left"/>
      <w:pPr>
        <w:tabs>
          <w:tab w:val="num" w:pos="720"/>
        </w:tabs>
        <w:ind w:left="720" w:hanging="720"/>
      </w:pPr>
      <w:rPr>
        <w:rFonts w:cs="David"/>
      </w:rPr>
    </w:lvl>
    <w:lvl w:ilvl="1" w:tplc="F774B552">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EC3747F"/>
    <w:multiLevelType w:val="hybridMultilevel"/>
    <w:tmpl w:val="E126F992"/>
    <w:lvl w:ilvl="0" w:tplc="1EAAA5A4">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7F56DA5"/>
    <w:multiLevelType w:val="hybridMultilevel"/>
    <w:tmpl w:val="93944286"/>
    <w:lvl w:ilvl="0" w:tplc="495E05A2">
      <w:start w:val="1"/>
      <w:numFmt w:val="decimal"/>
      <w:lvlText w:val="%1."/>
      <w:lvlJc w:val="left"/>
      <w:pPr>
        <w:ind w:left="720" w:hanging="360"/>
      </w:pPr>
      <w:rPr>
        <w:rFonts w:cs="Times New Roman"/>
        <w:b w:val="0"/>
        <w:bCs w:val="0"/>
      </w:rPr>
    </w:lvl>
    <w:lvl w:ilvl="1" w:tplc="04090013">
      <w:start w:val="1"/>
      <w:numFmt w:val="hebrew1"/>
      <w:lvlText w:val="%2."/>
      <w:lvlJc w:val="center"/>
      <w:pPr>
        <w:ind w:left="1440" w:hanging="360"/>
      </w:p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6CB108DE"/>
    <w:multiLevelType w:val="hybridMultilevel"/>
    <w:tmpl w:val="E126F992"/>
    <w:lvl w:ilvl="0" w:tplc="1EAAA5A4">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645765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35752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91086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7047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475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0481"/>
    <w:rsid w:val="001008C0"/>
    <w:rsid w:val="001841B8"/>
    <w:rsid w:val="00206091"/>
    <w:rsid w:val="00237A7B"/>
    <w:rsid w:val="002A1CFB"/>
    <w:rsid w:val="003A2E2C"/>
    <w:rsid w:val="00401359"/>
    <w:rsid w:val="004F0481"/>
    <w:rsid w:val="008463B0"/>
    <w:rsid w:val="008871BE"/>
    <w:rsid w:val="00915326"/>
    <w:rsid w:val="009A4E4C"/>
    <w:rsid w:val="00A762D7"/>
    <w:rsid w:val="00BD6095"/>
    <w:rsid w:val="00D84AD5"/>
    <w:rsid w:val="00F401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94B349"/>
  <w15:chartTrackingRefBased/>
  <w15:docId w15:val="{75473B7D-D173-47F0-B9D1-D6A2B124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F0481"/>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4F0481"/>
    <w:pPr>
      <w:tabs>
        <w:tab w:val="center" w:pos="4153"/>
        <w:tab w:val="right" w:pos="8306"/>
      </w:tabs>
    </w:pPr>
  </w:style>
  <w:style w:type="character" w:customStyle="1" w:styleId="a5">
    <w:name w:val="כותרת עליונה תו"/>
    <w:link w:val="a4"/>
    <w:rsid w:val="004F0481"/>
    <w:rPr>
      <w:rFonts w:ascii="Times New Roman" w:eastAsia="Times New Roman" w:hAnsi="Times New Roman" w:cs="David"/>
      <w:sz w:val="24"/>
      <w:szCs w:val="24"/>
    </w:rPr>
  </w:style>
  <w:style w:type="paragraph" w:styleId="a6">
    <w:name w:val="footer"/>
    <w:basedOn w:val="a0"/>
    <w:link w:val="a7"/>
    <w:rsid w:val="004F0481"/>
    <w:pPr>
      <w:tabs>
        <w:tab w:val="center" w:pos="4153"/>
        <w:tab w:val="right" w:pos="8306"/>
      </w:tabs>
    </w:pPr>
  </w:style>
  <w:style w:type="character" w:customStyle="1" w:styleId="a7">
    <w:name w:val="כותרת תחתונה תו"/>
    <w:link w:val="a6"/>
    <w:rsid w:val="004F0481"/>
    <w:rPr>
      <w:rFonts w:ascii="Times New Roman" w:eastAsia="Times New Roman" w:hAnsi="Times New Roman" w:cs="David"/>
      <w:sz w:val="24"/>
      <w:szCs w:val="24"/>
    </w:rPr>
  </w:style>
  <w:style w:type="table" w:styleId="a8">
    <w:name w:val="Table Grid"/>
    <w:basedOn w:val="a2"/>
    <w:rsid w:val="004F048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4F0481"/>
  </w:style>
  <w:style w:type="character" w:customStyle="1" w:styleId="aa">
    <w:name w:val="פיסקת רשימה תו"/>
    <w:link w:val="ab"/>
    <w:locked/>
    <w:rsid w:val="004F0481"/>
  </w:style>
  <w:style w:type="paragraph" w:styleId="ab">
    <w:name w:val="List Paragraph"/>
    <w:basedOn w:val="a0"/>
    <w:link w:val="aa"/>
    <w:qFormat/>
    <w:rsid w:val="004F0481"/>
    <w:pPr>
      <w:spacing w:after="200" w:line="276" w:lineRule="auto"/>
      <w:ind w:left="720"/>
      <w:contextualSpacing/>
    </w:pPr>
    <w:rPr>
      <w:rFonts w:ascii="Calibri" w:eastAsia="Calibri" w:hAnsi="Calibri" w:cs="Arial"/>
      <w:sz w:val="22"/>
      <w:szCs w:val="22"/>
    </w:rPr>
  </w:style>
  <w:style w:type="paragraph" w:customStyle="1" w:styleId="a">
    <w:name w:val="ממוספר"/>
    <w:basedOn w:val="a0"/>
    <w:rsid w:val="004F0481"/>
    <w:pPr>
      <w:numPr>
        <w:numId w:val="1"/>
      </w:numPr>
      <w:spacing w:after="120" w:line="360" w:lineRule="auto"/>
    </w:pPr>
    <w:rPr>
      <w:rFonts w:ascii="David" w:hAnsi="David"/>
      <w:color w:val="000000"/>
    </w:rPr>
  </w:style>
  <w:style w:type="character" w:styleId="Hyperlink">
    <w:name w:val="Hyperlink"/>
    <w:rsid w:val="004F04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20111708" TargetMode="External"/><Relationship Id="rId18" Type="http://schemas.openxmlformats.org/officeDocument/2006/relationships/hyperlink" Target="http://www.nevo.co.il/case/2040248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case/20881083" TargetMode="External"/><Relationship Id="rId17" Type="http://schemas.openxmlformats.org/officeDocument/2006/relationships/hyperlink" Target="http://www.nevo.co.il/case/2316219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2656269"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583030"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4345651" TargetMode="External"/><Relationship Id="rId23" Type="http://schemas.openxmlformats.org/officeDocument/2006/relationships/footer" Target="footer1.xml"/><Relationship Id="rId10" Type="http://schemas.openxmlformats.org/officeDocument/2006/relationships/hyperlink" Target="http://www.nevo.co.il/law/4216" TargetMode="External"/><Relationship Id="rId19" Type="http://schemas.openxmlformats.org/officeDocument/2006/relationships/hyperlink" Target="http://www.nevo.co.il/case/28388215"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0770504"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1540</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9226</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3670134</vt:i4>
      </vt:variant>
      <vt:variant>
        <vt:i4>36</vt:i4>
      </vt:variant>
      <vt:variant>
        <vt:i4>0</vt:i4>
      </vt:variant>
      <vt:variant>
        <vt:i4>5</vt:i4>
      </vt:variant>
      <vt:variant>
        <vt:lpwstr>http://www.nevo.co.il/case/28388215</vt:lpwstr>
      </vt:variant>
      <vt:variant>
        <vt:lpwstr/>
      </vt:variant>
      <vt:variant>
        <vt:i4>3932272</vt:i4>
      </vt:variant>
      <vt:variant>
        <vt:i4>33</vt:i4>
      </vt:variant>
      <vt:variant>
        <vt:i4>0</vt:i4>
      </vt:variant>
      <vt:variant>
        <vt:i4>5</vt:i4>
      </vt:variant>
      <vt:variant>
        <vt:lpwstr>http://www.nevo.co.il/case/20402486</vt:lpwstr>
      </vt:variant>
      <vt:variant>
        <vt:lpwstr/>
      </vt:variant>
      <vt:variant>
        <vt:i4>3670128</vt:i4>
      </vt:variant>
      <vt:variant>
        <vt:i4>30</vt:i4>
      </vt:variant>
      <vt:variant>
        <vt:i4>0</vt:i4>
      </vt:variant>
      <vt:variant>
        <vt:i4>5</vt:i4>
      </vt:variant>
      <vt:variant>
        <vt:lpwstr>http://www.nevo.co.il/case/23162195</vt:lpwstr>
      </vt:variant>
      <vt:variant>
        <vt:lpwstr/>
      </vt:variant>
      <vt:variant>
        <vt:i4>3407985</vt:i4>
      </vt:variant>
      <vt:variant>
        <vt:i4>27</vt:i4>
      </vt:variant>
      <vt:variant>
        <vt:i4>0</vt:i4>
      </vt:variant>
      <vt:variant>
        <vt:i4>5</vt:i4>
      </vt:variant>
      <vt:variant>
        <vt:lpwstr>http://www.nevo.co.il/case/22656269</vt:lpwstr>
      </vt:variant>
      <vt:variant>
        <vt:lpwstr/>
      </vt:variant>
      <vt:variant>
        <vt:i4>3211378</vt:i4>
      </vt:variant>
      <vt:variant>
        <vt:i4>24</vt:i4>
      </vt:variant>
      <vt:variant>
        <vt:i4>0</vt:i4>
      </vt:variant>
      <vt:variant>
        <vt:i4>5</vt:i4>
      </vt:variant>
      <vt:variant>
        <vt:lpwstr>http://www.nevo.co.il/case/24345651</vt:lpwstr>
      </vt:variant>
      <vt:variant>
        <vt:lpwstr/>
      </vt:variant>
      <vt:variant>
        <vt:i4>3473526</vt:i4>
      </vt:variant>
      <vt:variant>
        <vt:i4>21</vt:i4>
      </vt:variant>
      <vt:variant>
        <vt:i4>0</vt:i4>
      </vt:variant>
      <vt:variant>
        <vt:i4>5</vt:i4>
      </vt:variant>
      <vt:variant>
        <vt:lpwstr>http://www.nevo.co.il/case/20770504</vt:lpwstr>
      </vt:variant>
      <vt:variant>
        <vt:lpwstr/>
      </vt:variant>
      <vt:variant>
        <vt:i4>3276914</vt:i4>
      </vt:variant>
      <vt:variant>
        <vt:i4>18</vt:i4>
      </vt:variant>
      <vt:variant>
        <vt:i4>0</vt:i4>
      </vt:variant>
      <vt:variant>
        <vt:i4>5</vt:i4>
      </vt:variant>
      <vt:variant>
        <vt:lpwstr>http://www.nevo.co.il/case/20111708</vt:lpwstr>
      </vt:variant>
      <vt:variant>
        <vt:lpwstr/>
      </vt:variant>
      <vt:variant>
        <vt:i4>3342460</vt:i4>
      </vt:variant>
      <vt:variant>
        <vt:i4>15</vt:i4>
      </vt:variant>
      <vt:variant>
        <vt:i4>0</vt:i4>
      </vt:variant>
      <vt:variant>
        <vt:i4>5</vt:i4>
      </vt:variant>
      <vt:variant>
        <vt:lpwstr>http://www.nevo.co.il/case/20881083</vt:lpwstr>
      </vt:variant>
      <vt:variant>
        <vt:lpwstr/>
      </vt:variant>
      <vt:variant>
        <vt:i4>3997809</vt:i4>
      </vt:variant>
      <vt:variant>
        <vt:i4>12</vt:i4>
      </vt:variant>
      <vt:variant>
        <vt:i4>0</vt:i4>
      </vt:variant>
      <vt:variant>
        <vt:i4>5</vt:i4>
      </vt:variant>
      <vt:variant>
        <vt:lpwstr>http://www.nevo.co.il/case/5583030</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2025-04-23T00:46:00Z</dcterms:created>
  <dcterms:modified xsi:type="dcterms:W3CDTF">2025-04-23T00:46:00Z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40920</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ישראל-תביעות נגב</vt:lpwstr>
  </property>
  <property fmtid="{D5CDD505-2E9C-101B-9397-08002B2CF9AE}" pid="9" name="APPELLEE">
    <vt:lpwstr>סעיד אלסייד</vt:lpwstr>
  </property>
  <property fmtid="{D5CDD505-2E9C-101B-9397-08002B2CF9AE}" pid="10" name="LAWYER">
    <vt:lpwstr>מאירי לב;שירה רוג;בן בן יהודה</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20230116</vt:lpwstr>
  </property>
  <property fmtid="{D5CDD505-2E9C-101B-9397-08002B2CF9AE}" pid="14" name="TYPE_N_DATE">
    <vt:lpwstr>38020230116</vt:lpwstr>
  </property>
  <property fmtid="{D5CDD505-2E9C-101B-9397-08002B2CF9AE}" pid="15" name="WORDNUMPAGES">
    <vt:lpwstr>6</vt:lpwstr>
  </property>
  <property fmtid="{D5CDD505-2E9C-101B-9397-08002B2CF9AE}" pid="16" name="TYPE_ABS_DATE">
    <vt:lpwstr>380020230116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5583030;20881083;20111708;20770504;24345651;22656269;23162195;20402486;28388215</vt:lpwstr>
  </property>
  <property fmtid="{D5CDD505-2E9C-101B-9397-08002B2CF9AE}" pid="36" name="LAWLISTTMP1">
    <vt:lpwstr>4216/006</vt:lpwstr>
  </property>
</Properties>
</file>