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F7430E" w:rsidRPr="00767005" w14:paraId="425CF174" w14:textId="77777777" w:rsidTr="000B4294">
        <w:trPr>
          <w:gridAfter w:val="1"/>
          <w:wAfter w:w="99" w:type="dxa"/>
          <w:trHeight w:hRule="exact" w:val="418"/>
          <w:jc w:val="center"/>
        </w:trPr>
        <w:tc>
          <w:tcPr>
            <w:tcW w:w="8721" w:type="dxa"/>
            <w:gridSpan w:val="4"/>
          </w:tcPr>
          <w:p w14:paraId="3242A912" w14:textId="77777777" w:rsidR="00F7430E" w:rsidRPr="00767005" w:rsidRDefault="00F7430E" w:rsidP="001E7035">
            <w:pPr>
              <w:pStyle w:val="a3"/>
              <w:jc w:val="center"/>
              <w:rPr>
                <w:rFonts w:ascii="Tahoma" w:hAnsi="Tahoma" w:cs="Tahoma"/>
                <w:color w:val="000080"/>
                <w:rtl/>
              </w:rPr>
            </w:pPr>
            <w:bookmarkStart w:id="0" w:name="FirstLawyer"/>
            <w:bookmarkStart w:id="1" w:name="LastJudge"/>
            <w:r w:rsidRPr="00767005">
              <w:rPr>
                <w:rFonts w:ascii="Tahoma" w:hAnsi="Tahoma" w:cs="Tahoma"/>
                <w:b/>
                <w:bCs/>
                <w:color w:val="000080"/>
                <w:rtl/>
              </w:rPr>
              <w:t>בית משפט השלום באילת</w:t>
            </w:r>
          </w:p>
        </w:tc>
      </w:tr>
      <w:tr w:rsidR="00F7430E" w:rsidRPr="00767005" w14:paraId="2E945443" w14:textId="77777777" w:rsidTr="000B4294">
        <w:trPr>
          <w:gridAfter w:val="1"/>
          <w:wAfter w:w="99" w:type="dxa"/>
          <w:trHeight w:val="337"/>
          <w:jc w:val="center"/>
        </w:trPr>
        <w:tc>
          <w:tcPr>
            <w:tcW w:w="5055" w:type="dxa"/>
            <w:gridSpan w:val="3"/>
          </w:tcPr>
          <w:p w14:paraId="02A7C7C9" w14:textId="77777777" w:rsidR="00F7430E" w:rsidRPr="00767005" w:rsidRDefault="00F7430E" w:rsidP="001E7035">
            <w:pPr>
              <w:rPr>
                <w:rFonts w:cs="FrankRuehl"/>
                <w:sz w:val="28"/>
                <w:szCs w:val="28"/>
                <w:rtl/>
              </w:rPr>
            </w:pPr>
            <w:r w:rsidRPr="00767005">
              <w:rPr>
                <w:rFonts w:cs="FrankRuehl"/>
                <w:sz w:val="28"/>
                <w:szCs w:val="28"/>
                <w:rtl/>
              </w:rPr>
              <w:t>ת"פ</w:t>
            </w:r>
            <w:r w:rsidRPr="00767005">
              <w:rPr>
                <w:rFonts w:cs="FrankRuehl" w:hint="cs"/>
                <w:sz w:val="28"/>
                <w:szCs w:val="28"/>
                <w:rtl/>
              </w:rPr>
              <w:t xml:space="preserve"> </w:t>
            </w:r>
            <w:r w:rsidRPr="00767005">
              <w:rPr>
                <w:rFonts w:cs="FrankRuehl"/>
                <w:sz w:val="28"/>
                <w:szCs w:val="28"/>
                <w:rtl/>
              </w:rPr>
              <w:t>44550-10-20</w:t>
            </w:r>
            <w:r w:rsidRPr="00767005">
              <w:rPr>
                <w:rFonts w:cs="FrankRuehl" w:hint="cs"/>
                <w:sz w:val="28"/>
                <w:szCs w:val="28"/>
                <w:rtl/>
              </w:rPr>
              <w:t xml:space="preserve"> </w:t>
            </w:r>
            <w:r w:rsidRPr="00767005">
              <w:rPr>
                <w:rFonts w:cs="FrankRuehl"/>
                <w:sz w:val="28"/>
                <w:szCs w:val="28"/>
                <w:rtl/>
              </w:rPr>
              <w:t>מדינת ישראל נ' אלגילאוי</w:t>
            </w:r>
          </w:p>
          <w:p w14:paraId="79A818EC" w14:textId="77777777" w:rsidR="00F7430E" w:rsidRPr="00767005" w:rsidRDefault="00F7430E" w:rsidP="001E7035">
            <w:pPr>
              <w:pStyle w:val="a3"/>
              <w:rPr>
                <w:rFonts w:cs="FrankRuehl"/>
                <w:sz w:val="28"/>
                <w:szCs w:val="28"/>
                <w:rtl/>
              </w:rPr>
            </w:pPr>
          </w:p>
        </w:tc>
        <w:tc>
          <w:tcPr>
            <w:tcW w:w="3666" w:type="dxa"/>
          </w:tcPr>
          <w:p w14:paraId="40D10AB3" w14:textId="77777777" w:rsidR="00F7430E" w:rsidRPr="00767005" w:rsidRDefault="00F7430E" w:rsidP="001E7035">
            <w:pPr>
              <w:pStyle w:val="a3"/>
              <w:jc w:val="right"/>
              <w:rPr>
                <w:rFonts w:cs="FrankRuehl"/>
                <w:sz w:val="28"/>
                <w:szCs w:val="28"/>
                <w:rtl/>
              </w:rPr>
            </w:pPr>
          </w:p>
        </w:tc>
      </w:tr>
      <w:tr w:rsidR="00F7430E" w:rsidRPr="00767005" w14:paraId="3C3AD1DE" w14:textId="77777777" w:rsidTr="000B4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B716303" w14:textId="77777777" w:rsidR="00F7430E" w:rsidRPr="00767005" w:rsidRDefault="00F7430E" w:rsidP="00F7430E">
            <w:pPr>
              <w:jc w:val="both"/>
              <w:rPr>
                <w:rFonts w:ascii="David" w:hAnsi="David"/>
                <w:sz w:val="26"/>
                <w:szCs w:val="26"/>
              </w:rPr>
            </w:pPr>
            <w:r w:rsidRPr="00767005">
              <w:rPr>
                <w:rFonts w:hint="cs"/>
                <w:rtl/>
              </w:rPr>
              <w:t xml:space="preserve"> </w:t>
            </w:r>
            <w:r w:rsidRPr="00767005">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7F0274F" w14:textId="77777777" w:rsidR="00F7430E" w:rsidRPr="00767005" w:rsidRDefault="00F7430E" w:rsidP="001E7035">
            <w:pPr>
              <w:rPr>
                <w:rFonts w:ascii="David" w:hAnsi="David"/>
                <w:b/>
                <w:bCs/>
                <w:sz w:val="26"/>
                <w:szCs w:val="26"/>
                <w:rtl/>
              </w:rPr>
            </w:pPr>
            <w:r w:rsidRPr="00767005">
              <w:rPr>
                <w:rFonts w:ascii="David" w:hAnsi="David"/>
                <w:b/>
                <w:bCs/>
                <w:sz w:val="26"/>
                <w:szCs w:val="26"/>
                <w:rtl/>
              </w:rPr>
              <w:t>כבוד השופט  גיל אדלמן</w:t>
            </w:r>
          </w:p>
          <w:p w14:paraId="7320C488" w14:textId="77777777" w:rsidR="00F7430E" w:rsidRPr="00767005" w:rsidRDefault="00F7430E" w:rsidP="001E7035">
            <w:pPr>
              <w:rPr>
                <w:rFonts w:ascii="David" w:hAnsi="David"/>
                <w:sz w:val="26"/>
                <w:szCs w:val="26"/>
                <w:rtl/>
              </w:rPr>
            </w:pPr>
          </w:p>
          <w:p w14:paraId="4B209682" w14:textId="77777777" w:rsidR="00F7430E" w:rsidRPr="00767005" w:rsidRDefault="00F7430E" w:rsidP="00F7430E">
            <w:pPr>
              <w:jc w:val="both"/>
              <w:rPr>
                <w:rFonts w:ascii="David" w:hAnsi="David"/>
                <w:sz w:val="26"/>
                <w:szCs w:val="26"/>
              </w:rPr>
            </w:pPr>
          </w:p>
        </w:tc>
      </w:tr>
      <w:tr w:rsidR="00F7430E" w:rsidRPr="00767005" w14:paraId="5B98726F" w14:textId="77777777" w:rsidTr="000B4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79206EB" w14:textId="77777777" w:rsidR="00F7430E" w:rsidRPr="00767005" w:rsidRDefault="00F7430E" w:rsidP="00F7430E">
            <w:pPr>
              <w:jc w:val="both"/>
              <w:rPr>
                <w:rFonts w:ascii="David" w:hAnsi="David"/>
                <w:sz w:val="26"/>
                <w:szCs w:val="26"/>
              </w:rPr>
            </w:pPr>
            <w:bookmarkStart w:id="2" w:name="FirstAppellant"/>
            <w:r w:rsidRPr="00767005">
              <w:rPr>
                <w:rFonts w:ascii="David" w:hAnsi="David"/>
                <w:sz w:val="26"/>
                <w:szCs w:val="26"/>
                <w:rtl/>
              </w:rPr>
              <w:t>בעניין:</w:t>
            </w:r>
          </w:p>
        </w:tc>
        <w:tc>
          <w:tcPr>
            <w:tcW w:w="3219" w:type="dxa"/>
            <w:tcBorders>
              <w:top w:val="nil"/>
              <w:left w:val="nil"/>
              <w:bottom w:val="nil"/>
              <w:right w:val="nil"/>
            </w:tcBorders>
            <w:shd w:val="clear" w:color="auto" w:fill="auto"/>
          </w:tcPr>
          <w:p w14:paraId="782033F8" w14:textId="77777777" w:rsidR="00F7430E" w:rsidRPr="00767005" w:rsidRDefault="00F7430E" w:rsidP="00F7430E">
            <w:pPr>
              <w:suppressLineNumbers/>
            </w:pPr>
            <w:r w:rsidRPr="00767005">
              <w:rPr>
                <w:rFonts w:ascii="Arial" w:hAnsi="Arial" w:hint="cs"/>
                <w:b/>
                <w:bCs/>
                <w:sz w:val="26"/>
                <w:szCs w:val="26"/>
                <w:rtl/>
              </w:rPr>
              <w:t>ה</w:t>
            </w:r>
            <w:r w:rsidRPr="00767005">
              <w:rPr>
                <w:rFonts w:ascii="Arial" w:hAnsi="Arial"/>
                <w:b/>
                <w:bCs/>
                <w:sz w:val="26"/>
                <w:szCs w:val="26"/>
                <w:rtl/>
              </w:rPr>
              <w:t>מאשימה</w:t>
            </w:r>
          </w:p>
          <w:p w14:paraId="06769FB1" w14:textId="77777777" w:rsidR="00F7430E" w:rsidRPr="00767005" w:rsidRDefault="00F7430E" w:rsidP="001E703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FD900AD" w14:textId="77777777" w:rsidR="00F7430E" w:rsidRPr="00767005" w:rsidRDefault="00F7430E" w:rsidP="00F7430E">
            <w:pPr>
              <w:suppressLineNumbers/>
            </w:pPr>
            <w:r w:rsidRPr="00767005">
              <w:rPr>
                <w:rFonts w:ascii="Arial" w:hAnsi="Arial"/>
                <w:b/>
                <w:bCs/>
                <w:sz w:val="26"/>
                <w:szCs w:val="26"/>
                <w:rtl/>
              </w:rPr>
              <w:t>מדינת ישראל</w:t>
            </w:r>
            <w:r w:rsidRPr="00767005">
              <w:rPr>
                <w:rFonts w:ascii="Arial" w:hAnsi="Arial" w:hint="cs"/>
                <w:b/>
                <w:bCs/>
                <w:sz w:val="26"/>
                <w:szCs w:val="26"/>
                <w:rtl/>
              </w:rPr>
              <w:t xml:space="preserve"> </w:t>
            </w:r>
            <w:r w:rsidRPr="00767005">
              <w:rPr>
                <w:rFonts w:ascii="Arial" w:hAnsi="Arial"/>
                <w:rtl/>
              </w:rPr>
              <w:t>ע"י ב"כ עוה"ד</w:t>
            </w:r>
            <w:r w:rsidRPr="00767005">
              <w:rPr>
                <w:rFonts w:hint="cs"/>
                <w:rtl/>
              </w:rPr>
              <w:t xml:space="preserve"> רעות נתאי</w:t>
            </w:r>
          </w:p>
          <w:p w14:paraId="12FBA93E" w14:textId="77777777" w:rsidR="00F7430E" w:rsidRPr="00767005" w:rsidRDefault="00F7430E" w:rsidP="001E7035">
            <w:pPr>
              <w:rPr>
                <w:rFonts w:ascii="David" w:hAnsi="David"/>
                <w:sz w:val="26"/>
                <w:szCs w:val="26"/>
              </w:rPr>
            </w:pPr>
          </w:p>
        </w:tc>
      </w:tr>
      <w:bookmarkEnd w:id="2"/>
      <w:tr w:rsidR="00F7430E" w:rsidRPr="00767005" w14:paraId="21DFEB08" w14:textId="77777777" w:rsidTr="000B4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26AEE09" w14:textId="77777777" w:rsidR="00F7430E" w:rsidRPr="00767005" w:rsidRDefault="00F7430E" w:rsidP="00F7430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B3A7D59" w14:textId="77777777" w:rsidR="00F7430E" w:rsidRPr="00767005" w:rsidRDefault="00F7430E" w:rsidP="00F7430E">
            <w:pPr>
              <w:jc w:val="center"/>
              <w:rPr>
                <w:rFonts w:ascii="David" w:hAnsi="David"/>
                <w:b/>
                <w:bCs/>
                <w:sz w:val="26"/>
                <w:szCs w:val="26"/>
                <w:rtl/>
              </w:rPr>
            </w:pPr>
          </w:p>
          <w:p w14:paraId="6DE7B45F" w14:textId="77777777" w:rsidR="00F7430E" w:rsidRPr="00767005" w:rsidRDefault="00F7430E" w:rsidP="00F7430E">
            <w:pPr>
              <w:jc w:val="center"/>
              <w:rPr>
                <w:rFonts w:ascii="David" w:hAnsi="David"/>
                <w:b/>
                <w:bCs/>
                <w:sz w:val="26"/>
                <w:szCs w:val="26"/>
                <w:rtl/>
              </w:rPr>
            </w:pPr>
            <w:r w:rsidRPr="00767005">
              <w:rPr>
                <w:rFonts w:ascii="David" w:hAnsi="David"/>
                <w:b/>
                <w:bCs/>
                <w:sz w:val="26"/>
                <w:szCs w:val="26"/>
                <w:rtl/>
              </w:rPr>
              <w:t>נגד</w:t>
            </w:r>
          </w:p>
          <w:p w14:paraId="6CFF86B6" w14:textId="77777777" w:rsidR="00F7430E" w:rsidRPr="00767005" w:rsidRDefault="00F7430E" w:rsidP="00F7430E">
            <w:pPr>
              <w:jc w:val="both"/>
              <w:rPr>
                <w:rFonts w:ascii="David" w:hAnsi="David"/>
                <w:sz w:val="26"/>
                <w:szCs w:val="26"/>
              </w:rPr>
            </w:pPr>
          </w:p>
        </w:tc>
      </w:tr>
      <w:tr w:rsidR="00F7430E" w:rsidRPr="00767005" w14:paraId="07F1CBE5" w14:textId="77777777" w:rsidTr="000B4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6484F93" w14:textId="77777777" w:rsidR="00F7430E" w:rsidRPr="00767005" w:rsidRDefault="00F7430E" w:rsidP="001E7035">
            <w:pPr>
              <w:rPr>
                <w:rFonts w:ascii="David" w:hAnsi="David"/>
                <w:sz w:val="26"/>
                <w:szCs w:val="26"/>
                <w:rtl/>
              </w:rPr>
            </w:pPr>
          </w:p>
        </w:tc>
        <w:tc>
          <w:tcPr>
            <w:tcW w:w="3219" w:type="dxa"/>
            <w:tcBorders>
              <w:top w:val="nil"/>
              <w:left w:val="nil"/>
              <w:bottom w:val="nil"/>
              <w:right w:val="nil"/>
            </w:tcBorders>
            <w:shd w:val="clear" w:color="auto" w:fill="auto"/>
          </w:tcPr>
          <w:p w14:paraId="3F2180AF" w14:textId="77777777" w:rsidR="00F7430E" w:rsidRPr="00767005" w:rsidRDefault="00F7430E" w:rsidP="001E7035">
            <w:pPr>
              <w:rPr>
                <w:rFonts w:ascii="Arial" w:hAnsi="Arial"/>
                <w:b/>
                <w:bCs/>
                <w:sz w:val="26"/>
                <w:szCs w:val="26"/>
                <w:rtl/>
              </w:rPr>
            </w:pPr>
            <w:r w:rsidRPr="00767005">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0352A1F4" w14:textId="77777777" w:rsidR="00F7430E" w:rsidRPr="00767005" w:rsidRDefault="00F7430E" w:rsidP="00F7430E">
            <w:pPr>
              <w:suppressLineNumbers/>
            </w:pPr>
            <w:r w:rsidRPr="00767005">
              <w:rPr>
                <w:rFonts w:ascii="Arial" w:hAnsi="Arial"/>
                <w:b/>
                <w:bCs/>
                <w:sz w:val="26"/>
                <w:szCs w:val="26"/>
                <w:rtl/>
              </w:rPr>
              <w:t>הייסם אלגילאוי</w:t>
            </w:r>
            <w:r w:rsidRPr="00767005">
              <w:rPr>
                <w:rFonts w:ascii="Arial" w:hAnsi="Arial" w:hint="cs"/>
                <w:b/>
                <w:bCs/>
                <w:sz w:val="26"/>
                <w:szCs w:val="26"/>
                <w:rtl/>
              </w:rPr>
              <w:t xml:space="preserve"> </w:t>
            </w:r>
            <w:r w:rsidRPr="00767005">
              <w:rPr>
                <w:rFonts w:ascii="Arial" w:hAnsi="Arial"/>
                <w:rtl/>
              </w:rPr>
              <w:t>ע"י ב"כ עוה"ד</w:t>
            </w:r>
            <w:r w:rsidRPr="00767005">
              <w:rPr>
                <w:rFonts w:hint="cs"/>
                <w:rtl/>
              </w:rPr>
              <w:t xml:space="preserve"> נטלי אוטן</w:t>
            </w:r>
          </w:p>
          <w:p w14:paraId="141BC218" w14:textId="77777777" w:rsidR="00F7430E" w:rsidRPr="00767005" w:rsidRDefault="00F7430E" w:rsidP="001E7035">
            <w:pPr>
              <w:rPr>
                <w:rFonts w:ascii="David" w:hAnsi="David"/>
                <w:sz w:val="26"/>
                <w:szCs w:val="26"/>
              </w:rPr>
            </w:pPr>
          </w:p>
        </w:tc>
      </w:tr>
    </w:tbl>
    <w:p w14:paraId="6227CB02" w14:textId="77777777" w:rsidR="000B4294" w:rsidRDefault="000B4294" w:rsidP="00F7430E">
      <w:pPr>
        <w:rPr>
          <w:sz w:val="26"/>
          <w:szCs w:val="26"/>
          <w:rtl/>
        </w:rPr>
      </w:pPr>
    </w:p>
    <w:p w14:paraId="2BA3FC1F" w14:textId="77777777" w:rsidR="000B4294" w:rsidRPr="000B4294" w:rsidRDefault="000B4294" w:rsidP="000B4294">
      <w:pPr>
        <w:spacing w:after="120" w:line="240" w:lineRule="exact"/>
        <w:ind w:left="283" w:hanging="283"/>
        <w:jc w:val="both"/>
        <w:rPr>
          <w:rFonts w:ascii="FrankRuehl" w:hAnsi="FrankRuehl" w:cs="FrankRuehl"/>
          <w:rtl/>
        </w:rPr>
      </w:pPr>
    </w:p>
    <w:p w14:paraId="4D0BF66C" w14:textId="77777777" w:rsidR="000A6603" w:rsidRPr="000A6603" w:rsidRDefault="000A6603" w:rsidP="000A6603">
      <w:pPr>
        <w:spacing w:before="120" w:after="120" w:line="240" w:lineRule="exact"/>
        <w:ind w:left="283" w:hanging="283"/>
        <w:jc w:val="both"/>
        <w:rPr>
          <w:rFonts w:ascii="FrankRuehl" w:hAnsi="FrankRuehl" w:cs="FrankRuehl"/>
          <w:rtl/>
        </w:rPr>
      </w:pPr>
    </w:p>
    <w:p w14:paraId="5EF959CF" w14:textId="77777777" w:rsidR="00AC362A" w:rsidRDefault="00AC362A" w:rsidP="00AC362A">
      <w:pPr>
        <w:jc w:val="center"/>
        <w:rPr>
          <w:rFonts w:ascii="David" w:hAnsi="David"/>
          <w:sz w:val="32"/>
          <w:szCs w:val="32"/>
          <w:rtl/>
        </w:rPr>
      </w:pPr>
      <w:bookmarkStart w:id="3" w:name="LawTable"/>
      <w:bookmarkEnd w:id="3"/>
    </w:p>
    <w:p w14:paraId="1EF74C78" w14:textId="77777777" w:rsidR="00AC362A" w:rsidRPr="00AC362A" w:rsidRDefault="00AC362A" w:rsidP="00AC362A">
      <w:pPr>
        <w:spacing w:before="120" w:after="120" w:line="240" w:lineRule="exact"/>
        <w:ind w:left="283" w:hanging="283"/>
        <w:jc w:val="both"/>
        <w:rPr>
          <w:rFonts w:ascii="FrankRuehl" w:hAnsi="FrankRuehl" w:cs="FrankRuehl"/>
          <w:rtl/>
        </w:rPr>
      </w:pPr>
    </w:p>
    <w:p w14:paraId="103D4B26" w14:textId="77777777" w:rsidR="00AC362A" w:rsidRPr="00AC362A" w:rsidRDefault="00AC362A" w:rsidP="00AC362A">
      <w:pPr>
        <w:spacing w:before="120" w:after="120" w:line="240" w:lineRule="exact"/>
        <w:ind w:left="283" w:hanging="283"/>
        <w:jc w:val="both"/>
        <w:rPr>
          <w:rFonts w:ascii="FrankRuehl" w:hAnsi="FrankRuehl" w:cs="FrankRuehl"/>
          <w:rtl/>
        </w:rPr>
      </w:pPr>
    </w:p>
    <w:p w14:paraId="1A78A316" w14:textId="77777777" w:rsidR="00AC362A" w:rsidRPr="00AC362A" w:rsidRDefault="00AC362A" w:rsidP="00AC362A">
      <w:pPr>
        <w:spacing w:before="120" w:after="120" w:line="240" w:lineRule="exact"/>
        <w:ind w:left="283" w:hanging="283"/>
        <w:jc w:val="both"/>
        <w:rPr>
          <w:rFonts w:ascii="FrankRuehl" w:hAnsi="FrankRuehl" w:cs="FrankRuehl"/>
          <w:rtl/>
        </w:rPr>
      </w:pPr>
      <w:r w:rsidRPr="00AC362A">
        <w:rPr>
          <w:rFonts w:ascii="FrankRuehl" w:hAnsi="FrankRuehl" w:cs="FrankRuehl"/>
          <w:rtl/>
        </w:rPr>
        <w:t xml:space="preserve">חקיקה שאוזכרה: </w:t>
      </w:r>
    </w:p>
    <w:p w14:paraId="211531E6" w14:textId="77777777" w:rsidR="00AC362A" w:rsidRPr="00AC362A" w:rsidRDefault="00AC362A" w:rsidP="00AC362A">
      <w:pPr>
        <w:spacing w:before="120" w:after="120" w:line="240" w:lineRule="exact"/>
        <w:ind w:left="283" w:hanging="283"/>
        <w:jc w:val="both"/>
        <w:rPr>
          <w:rFonts w:ascii="FrankRuehl" w:hAnsi="FrankRuehl" w:cs="FrankRuehl"/>
          <w:rtl/>
        </w:rPr>
      </w:pPr>
      <w:hyperlink r:id="rId7" w:history="1">
        <w:r w:rsidRPr="00AC362A">
          <w:rPr>
            <w:rFonts w:ascii="FrankRuehl" w:hAnsi="FrankRuehl" w:cs="FrankRuehl"/>
            <w:color w:val="0000FF"/>
            <w:rtl/>
          </w:rPr>
          <w:t>פקודת הסמים המסוכנים [נוסח חדש], תשל"ג-1973</w:t>
        </w:r>
      </w:hyperlink>
      <w:r w:rsidRPr="00AC362A">
        <w:rPr>
          <w:rFonts w:ascii="FrankRuehl" w:hAnsi="FrankRuehl" w:cs="FrankRuehl"/>
          <w:rtl/>
        </w:rPr>
        <w:t xml:space="preserve">: סע'  </w:t>
      </w:r>
      <w:hyperlink r:id="rId8" w:history="1">
        <w:r w:rsidRPr="00AC362A">
          <w:rPr>
            <w:rFonts w:ascii="FrankRuehl" w:hAnsi="FrankRuehl" w:cs="FrankRuehl"/>
            <w:color w:val="0000FF"/>
            <w:rtl/>
          </w:rPr>
          <w:t>7(א)</w:t>
        </w:r>
      </w:hyperlink>
      <w:r w:rsidRPr="00AC362A">
        <w:rPr>
          <w:rFonts w:ascii="FrankRuehl" w:hAnsi="FrankRuehl" w:cs="FrankRuehl"/>
          <w:rtl/>
        </w:rPr>
        <w:t xml:space="preserve">, </w:t>
      </w:r>
      <w:hyperlink r:id="rId9" w:history="1">
        <w:r w:rsidRPr="00AC362A">
          <w:rPr>
            <w:rFonts w:ascii="FrankRuehl" w:hAnsi="FrankRuehl" w:cs="FrankRuehl"/>
            <w:color w:val="0000FF"/>
            <w:rtl/>
          </w:rPr>
          <w:t>7(ג)</w:t>
        </w:r>
      </w:hyperlink>
    </w:p>
    <w:p w14:paraId="45281328" w14:textId="77777777" w:rsidR="00AC362A" w:rsidRPr="00AC362A" w:rsidRDefault="00AC362A" w:rsidP="00AC362A">
      <w:pPr>
        <w:spacing w:before="120" w:after="120" w:line="240" w:lineRule="exact"/>
        <w:ind w:left="283" w:hanging="283"/>
        <w:jc w:val="both"/>
        <w:rPr>
          <w:rFonts w:ascii="FrankRuehl" w:hAnsi="FrankRuehl" w:cs="FrankRuehl"/>
          <w:rtl/>
        </w:rPr>
      </w:pPr>
      <w:hyperlink r:id="rId10" w:history="1">
        <w:r w:rsidRPr="00AC362A">
          <w:rPr>
            <w:rFonts w:ascii="FrankRuehl" w:hAnsi="FrankRuehl" w:cs="FrankRuehl"/>
            <w:color w:val="0000FF"/>
            <w:rtl/>
          </w:rPr>
          <w:t>חוק העונשין, תשל"ז-1977</w:t>
        </w:r>
      </w:hyperlink>
      <w:r w:rsidRPr="00AC362A">
        <w:rPr>
          <w:rFonts w:ascii="FrankRuehl" w:hAnsi="FrankRuehl" w:cs="FrankRuehl"/>
          <w:rtl/>
        </w:rPr>
        <w:t xml:space="preserve">: סע'  </w:t>
      </w:r>
      <w:hyperlink r:id="rId11" w:history="1">
        <w:r w:rsidRPr="00AC362A">
          <w:rPr>
            <w:rFonts w:ascii="FrankRuehl" w:hAnsi="FrankRuehl" w:cs="FrankRuehl"/>
            <w:color w:val="0000FF"/>
            <w:rtl/>
          </w:rPr>
          <w:t>40ד(א)</w:t>
        </w:r>
      </w:hyperlink>
    </w:p>
    <w:p w14:paraId="2D73ADC3" w14:textId="77777777" w:rsidR="00AC362A" w:rsidRPr="00AC362A" w:rsidRDefault="00AC362A" w:rsidP="00AC362A">
      <w:pPr>
        <w:jc w:val="center"/>
        <w:rPr>
          <w:rFonts w:ascii="David" w:hAnsi="David"/>
          <w:sz w:val="32"/>
          <w:szCs w:val="32"/>
          <w:rtl/>
        </w:rPr>
      </w:pPr>
      <w:bookmarkStart w:id="4" w:name="LawTable_End"/>
      <w:bookmarkEnd w:id="4"/>
    </w:p>
    <w:p w14:paraId="49DDEF93" w14:textId="77777777" w:rsidR="000B4294" w:rsidRPr="000A6603" w:rsidRDefault="000B4294" w:rsidP="000A6603">
      <w:pPr>
        <w:jc w:val="center"/>
        <w:rPr>
          <w:rFonts w:ascii="David" w:hAnsi="David"/>
          <w:sz w:val="32"/>
          <w:szCs w:val="32"/>
          <w:rtl/>
        </w:rPr>
      </w:pPr>
    </w:p>
    <w:p w14:paraId="623CBD28" w14:textId="77777777" w:rsidR="000B4294" w:rsidRPr="00767005" w:rsidRDefault="000B4294" w:rsidP="00767005">
      <w:pPr>
        <w:jc w:val="center"/>
        <w:rPr>
          <w:rFonts w:ascii="David" w:hAnsi="David"/>
          <w:b/>
          <w:bCs/>
          <w:sz w:val="32"/>
          <w:szCs w:val="32"/>
          <w:u w:val="single"/>
          <w:rtl/>
        </w:rPr>
      </w:pPr>
      <w:bookmarkStart w:id="5" w:name="PsakDin"/>
      <w:r w:rsidRPr="00767005">
        <w:rPr>
          <w:rFonts w:ascii="David" w:hAnsi="David"/>
          <w:b/>
          <w:bCs/>
          <w:sz w:val="32"/>
          <w:szCs w:val="32"/>
          <w:u w:val="single"/>
          <w:rtl/>
        </w:rPr>
        <w:t>גזר דין</w:t>
      </w:r>
    </w:p>
    <w:bookmarkEnd w:id="5"/>
    <w:p w14:paraId="4F3190CE" w14:textId="77777777" w:rsidR="000B4294" w:rsidRPr="00F7430E" w:rsidRDefault="000B4294" w:rsidP="00F7430E">
      <w:pPr>
        <w:jc w:val="center"/>
        <w:rPr>
          <w:rFonts w:ascii="David" w:hAnsi="David"/>
          <w:sz w:val="32"/>
          <w:szCs w:val="32"/>
          <w:u w:val="single"/>
          <w:rtl/>
        </w:rPr>
      </w:pPr>
    </w:p>
    <w:p w14:paraId="3B8D108B" w14:textId="77777777" w:rsidR="000B4294" w:rsidRPr="00F7430E" w:rsidRDefault="000B4294" w:rsidP="00F7430E">
      <w:pPr>
        <w:jc w:val="center"/>
        <w:rPr>
          <w:rFonts w:ascii="David" w:hAnsi="David"/>
          <w:sz w:val="32"/>
          <w:szCs w:val="32"/>
          <w:u w:val="single"/>
          <w:rtl/>
        </w:rPr>
      </w:pPr>
    </w:p>
    <w:p w14:paraId="2DC078F1" w14:textId="77777777" w:rsidR="000B4294" w:rsidRPr="00F7430E" w:rsidRDefault="000B4294" w:rsidP="001E7035">
      <w:pPr>
        <w:rPr>
          <w:rFonts w:ascii="David" w:hAnsi="David"/>
          <w:sz w:val="32"/>
          <w:szCs w:val="32"/>
          <w:u w:val="single"/>
          <w:rtl/>
        </w:rPr>
      </w:pPr>
    </w:p>
    <w:bookmarkEnd w:id="0"/>
    <w:bookmarkEnd w:id="1"/>
    <w:p w14:paraId="4BEC843A" w14:textId="77777777" w:rsidR="00F7430E" w:rsidRDefault="00F7430E" w:rsidP="00F7430E">
      <w:pPr>
        <w:spacing w:line="360" w:lineRule="auto"/>
        <w:jc w:val="both"/>
        <w:rPr>
          <w:rFonts w:ascii="David" w:hAnsi="David"/>
          <w:b/>
          <w:bCs/>
          <w:u w:val="single"/>
          <w:rtl/>
        </w:rPr>
      </w:pPr>
      <w:r>
        <w:rPr>
          <w:rFonts w:ascii="David" w:hAnsi="David"/>
          <w:b/>
          <w:bCs/>
          <w:u w:val="single"/>
          <w:rtl/>
        </w:rPr>
        <w:t xml:space="preserve">המסגרת העובדתית </w:t>
      </w:r>
    </w:p>
    <w:p w14:paraId="4B997445" w14:textId="77777777" w:rsidR="00F7430E" w:rsidRDefault="00F7430E" w:rsidP="00F7430E">
      <w:pPr>
        <w:pStyle w:val="ac"/>
        <w:spacing w:line="360" w:lineRule="auto"/>
        <w:ind w:left="360"/>
        <w:jc w:val="both"/>
        <w:rPr>
          <w:rFonts w:ascii="David" w:hAnsi="David" w:cs="David"/>
          <w:sz w:val="24"/>
          <w:szCs w:val="24"/>
          <w:rtl/>
        </w:rPr>
      </w:pPr>
    </w:p>
    <w:p w14:paraId="590E54AE" w14:textId="77777777" w:rsidR="00F7430E" w:rsidRDefault="00F7430E" w:rsidP="00F7430E">
      <w:pPr>
        <w:pStyle w:val="ac"/>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הייסם אלגילאוי, הורשע על פי הודאתו, בעובדות כתב אישום מתוקן המייחס לו </w:t>
      </w:r>
      <w:r>
        <w:rPr>
          <w:rFonts w:ascii="David" w:eastAsia="David" w:hAnsi="David" w:cs="David"/>
          <w:sz w:val="24"/>
          <w:szCs w:val="24"/>
          <w:rtl/>
        </w:rPr>
        <w:t xml:space="preserve">החזקה/שימוש בסמים שלא לצריכה עצמית – עבירה לפי </w:t>
      </w:r>
      <w:hyperlink r:id="rId12" w:history="1">
        <w:r w:rsidR="000B4294" w:rsidRPr="000B4294">
          <w:rPr>
            <w:rStyle w:val="Hyperlink"/>
            <w:rFonts w:ascii="David" w:eastAsia="David" w:hAnsi="David" w:cs="David"/>
            <w:sz w:val="24"/>
            <w:szCs w:val="24"/>
            <w:rtl/>
          </w:rPr>
          <w:t>סעיף 7(א)</w:t>
        </w:r>
      </w:hyperlink>
      <w:r>
        <w:rPr>
          <w:rFonts w:ascii="David" w:eastAsia="David" w:hAnsi="David" w:cs="David"/>
          <w:sz w:val="24"/>
          <w:szCs w:val="24"/>
          <w:rtl/>
        </w:rPr>
        <w:t xml:space="preserve"> + </w:t>
      </w:r>
      <w:hyperlink r:id="rId13" w:history="1">
        <w:r w:rsidR="000B4294" w:rsidRPr="000B4294">
          <w:rPr>
            <w:rStyle w:val="Hyperlink"/>
            <w:rFonts w:ascii="David" w:eastAsia="David" w:hAnsi="David" w:cs="David"/>
            <w:sz w:val="24"/>
            <w:szCs w:val="24"/>
            <w:rtl/>
          </w:rPr>
          <w:t>7(ג)</w:t>
        </w:r>
      </w:hyperlink>
      <w:r>
        <w:rPr>
          <w:rFonts w:ascii="David" w:eastAsia="David" w:hAnsi="David" w:cs="David"/>
          <w:sz w:val="24"/>
          <w:szCs w:val="24"/>
          <w:rtl/>
        </w:rPr>
        <w:t xml:space="preserve"> רישא ל</w:t>
      </w:r>
      <w:hyperlink r:id="rId14" w:history="1">
        <w:r w:rsidR="00767005" w:rsidRPr="00767005">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(נוסח חדש) תשל"ג- 1973 (להלן: </w:t>
      </w:r>
      <w:r>
        <w:rPr>
          <w:rFonts w:ascii="David" w:eastAsia="David" w:hAnsi="David" w:cs="David"/>
          <w:b/>
          <w:bCs/>
          <w:sz w:val="24"/>
          <w:szCs w:val="24"/>
          <w:rtl/>
        </w:rPr>
        <w:t>החוק</w:t>
      </w:r>
      <w:r>
        <w:rPr>
          <w:rFonts w:ascii="David" w:eastAsia="David" w:hAnsi="David" w:cs="David"/>
          <w:sz w:val="24"/>
          <w:szCs w:val="24"/>
          <w:rtl/>
        </w:rPr>
        <w:t xml:space="preserve">). </w:t>
      </w:r>
    </w:p>
    <w:p w14:paraId="15D37A58" w14:textId="77777777" w:rsidR="00F7430E" w:rsidRDefault="00F7430E" w:rsidP="00F7430E">
      <w:pPr>
        <w:pStyle w:val="ac"/>
        <w:spacing w:line="360" w:lineRule="auto"/>
        <w:ind w:left="360"/>
        <w:jc w:val="both"/>
        <w:rPr>
          <w:rFonts w:ascii="David" w:hAnsi="David" w:cs="David"/>
          <w:sz w:val="24"/>
          <w:szCs w:val="24"/>
        </w:rPr>
      </w:pPr>
      <w:bookmarkStart w:id="7" w:name="ABSTRACT_END"/>
      <w:bookmarkEnd w:id="7"/>
    </w:p>
    <w:p w14:paraId="6D09415B" w14:textId="77777777" w:rsidR="00F7430E" w:rsidRDefault="00F7430E" w:rsidP="00F7430E">
      <w:pPr>
        <w:pStyle w:val="ac"/>
        <w:numPr>
          <w:ilvl w:val="0"/>
          <w:numId w:val="1"/>
        </w:numPr>
        <w:spacing w:line="360" w:lineRule="auto"/>
        <w:jc w:val="both"/>
        <w:rPr>
          <w:rFonts w:ascii="David" w:hAnsi="David" w:cs="David"/>
          <w:sz w:val="24"/>
          <w:szCs w:val="24"/>
        </w:rPr>
      </w:pPr>
      <w:r>
        <w:rPr>
          <w:rFonts w:ascii="David" w:hAnsi="David" w:cs="David"/>
          <w:sz w:val="24"/>
          <w:szCs w:val="24"/>
          <w:rtl/>
        </w:rPr>
        <w:t xml:space="preserve">על פי עובדות כתב האישום המתוקן, ביום 16.10.2020 בשעה 17:51 לערך, על כביש 90, החזיק הנאשם בסם מסוכן מסוג קנבוס במשקל של  1493.38 גרם נטו. </w:t>
      </w:r>
    </w:p>
    <w:p w14:paraId="171D3387" w14:textId="77777777" w:rsidR="00F7430E" w:rsidRDefault="00F7430E" w:rsidP="00F7430E">
      <w:pPr>
        <w:pStyle w:val="ac"/>
        <w:spacing w:line="360" w:lineRule="auto"/>
        <w:jc w:val="both"/>
        <w:rPr>
          <w:rFonts w:ascii="David" w:hAnsi="David" w:cs="David"/>
          <w:sz w:val="24"/>
          <w:szCs w:val="24"/>
        </w:rPr>
      </w:pPr>
    </w:p>
    <w:p w14:paraId="564E7212" w14:textId="77777777" w:rsidR="00F7430E" w:rsidRDefault="00F7430E" w:rsidP="00F7430E">
      <w:pPr>
        <w:pStyle w:val="ac"/>
        <w:numPr>
          <w:ilvl w:val="0"/>
          <w:numId w:val="1"/>
        </w:numPr>
        <w:spacing w:line="360" w:lineRule="auto"/>
        <w:jc w:val="both"/>
        <w:rPr>
          <w:rFonts w:ascii="David" w:hAnsi="David" w:cs="David"/>
          <w:sz w:val="24"/>
          <w:szCs w:val="24"/>
          <w:rtl/>
        </w:rPr>
      </w:pPr>
      <w:r>
        <w:rPr>
          <w:rFonts w:ascii="David" w:hAnsi="David" w:cs="David"/>
          <w:sz w:val="24"/>
          <w:szCs w:val="24"/>
          <w:rtl/>
        </w:rPr>
        <w:lastRenderedPageBreak/>
        <w:t xml:space="preserve">בדיון ביום 23.1.2022 הציגו הצדדים הסדר טיעון דיוני, במסגרתו הודה הנאשם בכתב האישום המתוקן והורשע על פי הודאתו; הנאשם הופנה, בהסכמת הצדדים, לקבלת תסקיר שירות המבחן. לא היתה הסכמה ביחס לעונש. </w:t>
      </w:r>
    </w:p>
    <w:p w14:paraId="1A7B06F1" w14:textId="77777777" w:rsidR="00F7430E" w:rsidRDefault="00F7430E" w:rsidP="00F7430E">
      <w:pPr>
        <w:pStyle w:val="ac"/>
        <w:spacing w:line="360" w:lineRule="auto"/>
        <w:jc w:val="both"/>
        <w:rPr>
          <w:rFonts w:ascii="David" w:hAnsi="David" w:cs="David"/>
          <w:sz w:val="24"/>
          <w:szCs w:val="24"/>
        </w:rPr>
      </w:pPr>
    </w:p>
    <w:p w14:paraId="7CC5FC53" w14:textId="77777777" w:rsidR="00F7430E" w:rsidRDefault="00F7430E" w:rsidP="00F7430E">
      <w:pPr>
        <w:pStyle w:val="ac"/>
        <w:numPr>
          <w:ilvl w:val="0"/>
          <w:numId w:val="1"/>
        </w:numPr>
        <w:spacing w:line="360" w:lineRule="auto"/>
        <w:jc w:val="both"/>
        <w:rPr>
          <w:rFonts w:ascii="David" w:hAnsi="David" w:cs="David"/>
          <w:b/>
          <w:bCs/>
          <w:sz w:val="24"/>
          <w:szCs w:val="24"/>
          <w:u w:val="single"/>
          <w:rtl/>
        </w:rPr>
      </w:pPr>
      <w:r>
        <w:rPr>
          <w:rFonts w:ascii="David" w:hAnsi="David" w:cs="David"/>
          <w:sz w:val="24"/>
          <w:szCs w:val="24"/>
          <w:rtl/>
        </w:rPr>
        <w:t xml:space="preserve">ביום 11.9.2022, לאחר שהתקבל התסקיר בעניינו של הנאשם, טענו הצדדים לעונש. </w:t>
      </w:r>
    </w:p>
    <w:p w14:paraId="526E05DF" w14:textId="77777777" w:rsidR="00F7430E" w:rsidRDefault="00F7430E" w:rsidP="00F7430E">
      <w:pPr>
        <w:pStyle w:val="ac"/>
        <w:spacing w:line="360" w:lineRule="auto"/>
        <w:jc w:val="both"/>
        <w:rPr>
          <w:rFonts w:ascii="David" w:hAnsi="David" w:cs="David"/>
          <w:sz w:val="24"/>
          <w:szCs w:val="24"/>
        </w:rPr>
      </w:pPr>
    </w:p>
    <w:p w14:paraId="61E41074" w14:textId="77777777" w:rsidR="00F7430E" w:rsidRDefault="00F7430E" w:rsidP="00F7430E">
      <w:pPr>
        <w:pStyle w:val="ac"/>
        <w:numPr>
          <w:ilvl w:val="0"/>
          <w:numId w:val="1"/>
        </w:numPr>
        <w:spacing w:line="360" w:lineRule="auto"/>
        <w:jc w:val="both"/>
        <w:rPr>
          <w:rFonts w:ascii="David" w:hAnsi="David" w:cs="David"/>
          <w:sz w:val="24"/>
          <w:szCs w:val="24"/>
        </w:rPr>
      </w:pPr>
      <w:r>
        <w:rPr>
          <w:rFonts w:ascii="David" w:hAnsi="David" w:cs="David"/>
          <w:sz w:val="24"/>
          <w:szCs w:val="24"/>
          <w:rtl/>
        </w:rPr>
        <w:t xml:space="preserve">מחוות דעת הממונה על עבודות השירות אשר התקבלה ביום 15.11.22, עלה כי הנאשם מתאים לביצוע עבודות שירות. </w:t>
      </w:r>
    </w:p>
    <w:p w14:paraId="0558272F" w14:textId="77777777" w:rsidR="00F7430E" w:rsidRPr="00627557" w:rsidRDefault="00F7430E" w:rsidP="00F7430E">
      <w:pPr>
        <w:pStyle w:val="ac"/>
        <w:rPr>
          <w:rFonts w:ascii="David" w:hAnsi="David" w:cs="David"/>
          <w:sz w:val="24"/>
          <w:szCs w:val="24"/>
          <w:rtl/>
        </w:rPr>
      </w:pPr>
    </w:p>
    <w:p w14:paraId="21E3DEEA" w14:textId="77777777" w:rsidR="00F7430E" w:rsidRDefault="00F7430E" w:rsidP="00F7430E">
      <w:pPr>
        <w:pStyle w:val="ac"/>
        <w:spacing w:line="360" w:lineRule="auto"/>
        <w:ind w:left="360"/>
        <w:jc w:val="both"/>
        <w:rPr>
          <w:rFonts w:ascii="David" w:hAnsi="David" w:cs="David"/>
          <w:sz w:val="24"/>
          <w:szCs w:val="24"/>
          <w:rtl/>
        </w:rPr>
      </w:pPr>
    </w:p>
    <w:p w14:paraId="3DEB6A42" w14:textId="77777777" w:rsidR="00F7430E" w:rsidRDefault="00F7430E" w:rsidP="00F7430E">
      <w:pPr>
        <w:pStyle w:val="ac"/>
        <w:spacing w:line="360" w:lineRule="auto"/>
        <w:ind w:left="360"/>
        <w:jc w:val="both"/>
        <w:rPr>
          <w:rFonts w:ascii="David" w:hAnsi="David" w:cs="David"/>
          <w:sz w:val="24"/>
          <w:szCs w:val="24"/>
          <w:rtl/>
        </w:rPr>
      </w:pPr>
    </w:p>
    <w:p w14:paraId="0B58491C" w14:textId="77777777" w:rsidR="00F7430E" w:rsidRDefault="00F7430E" w:rsidP="00F7430E">
      <w:pPr>
        <w:pStyle w:val="ac"/>
        <w:spacing w:line="360" w:lineRule="auto"/>
        <w:ind w:left="360"/>
        <w:jc w:val="both"/>
        <w:rPr>
          <w:rFonts w:ascii="David" w:hAnsi="David" w:cs="David"/>
          <w:sz w:val="24"/>
          <w:szCs w:val="24"/>
          <w:rtl/>
        </w:rPr>
      </w:pPr>
    </w:p>
    <w:p w14:paraId="54F9768F" w14:textId="77777777" w:rsidR="00F7430E" w:rsidRDefault="00F7430E" w:rsidP="00F7430E">
      <w:pPr>
        <w:spacing w:line="360" w:lineRule="auto"/>
        <w:jc w:val="both"/>
        <w:rPr>
          <w:rFonts w:ascii="David" w:hAnsi="David"/>
          <w:rtl/>
        </w:rPr>
      </w:pPr>
      <w:r>
        <w:rPr>
          <w:rFonts w:ascii="David" w:hAnsi="David"/>
          <w:b/>
          <w:bCs/>
          <w:u w:val="single"/>
          <w:rtl/>
        </w:rPr>
        <w:t>תסקיר שירות המבחן</w:t>
      </w:r>
    </w:p>
    <w:p w14:paraId="01463F6B" w14:textId="77777777" w:rsidR="00F7430E" w:rsidRDefault="00F7430E" w:rsidP="00F7430E">
      <w:pPr>
        <w:spacing w:line="360" w:lineRule="auto"/>
        <w:jc w:val="both"/>
        <w:rPr>
          <w:rFonts w:ascii="David" w:hAnsi="David"/>
          <w:rtl/>
        </w:rPr>
      </w:pPr>
    </w:p>
    <w:p w14:paraId="7EFB9BD2" w14:textId="77777777" w:rsidR="00F7430E" w:rsidRDefault="00F7430E" w:rsidP="00F7430E">
      <w:pPr>
        <w:pStyle w:val="1"/>
        <w:numPr>
          <w:ilvl w:val="0"/>
          <w:numId w:val="1"/>
        </w:numPr>
        <w:spacing w:after="0"/>
        <w:rPr>
          <w:szCs w:val="24"/>
          <w:rtl/>
        </w:rPr>
      </w:pPr>
      <w:r>
        <w:rPr>
          <w:rFonts w:hint="cs"/>
          <w:szCs w:val="24"/>
          <w:rtl/>
        </w:rPr>
        <w:t>בתסקיר</w:t>
      </w:r>
      <w:r>
        <w:rPr>
          <w:rStyle w:val="ad"/>
          <w:szCs w:val="24"/>
          <w:rtl/>
        </w:rPr>
        <w:footnoteReference w:id="1"/>
      </w:r>
      <w:r>
        <w:rPr>
          <w:rFonts w:hint="cs"/>
          <w:szCs w:val="24"/>
          <w:rtl/>
        </w:rPr>
        <w:t xml:space="preserve"> שהוגש ביום 5.9.2022 סקר  שירות המבחן את רקעו האישי והמשפחתי של הנאשם.  התסקיר ציין כי הנאשם השתלב באופן חיובי בקבוצת עצורי בית , מסר כי הקבוצה סייעה לו בחשיבה מאורגנת ואחראית יותר, וכן הביע נכונות להשתלב בכל סוג של טיפול שיוצע לו על מנת לא לחזור על טעויות העבר – אם כי "שלל נזקקות טיפולית". </w:t>
      </w:r>
    </w:p>
    <w:p w14:paraId="1595D116" w14:textId="77777777" w:rsidR="00F7430E" w:rsidRDefault="00F7430E" w:rsidP="00F7430E">
      <w:pPr>
        <w:pStyle w:val="1"/>
        <w:spacing w:after="0"/>
        <w:ind w:left="360" w:firstLine="0"/>
        <w:rPr>
          <w:szCs w:val="24"/>
        </w:rPr>
      </w:pPr>
    </w:p>
    <w:p w14:paraId="2F82F982" w14:textId="77777777" w:rsidR="00F7430E" w:rsidRDefault="00F7430E" w:rsidP="00F7430E">
      <w:pPr>
        <w:pStyle w:val="1"/>
        <w:spacing w:after="0"/>
        <w:ind w:left="360" w:firstLine="0"/>
        <w:rPr>
          <w:szCs w:val="24"/>
        </w:rPr>
      </w:pPr>
      <w:r>
        <w:rPr>
          <w:rFonts w:hint="cs"/>
          <w:szCs w:val="24"/>
          <w:rtl/>
        </w:rPr>
        <w:t xml:space="preserve">שירות המבחן ציין את היותו של הנאשם נעדר עבר פלילי, את שילובו בשוק העבודה, היותו אב לארבעה ילדים בגילאי 5 עד חצי שנה, אשר מגלה דאגה למשפחתו; את חלוף הזמן מביצוע העבירה,  את העובדה שמאז קרות העבירה לא היה מעורב בפלילים, מסר בדיקות שתן נקיות מסמים ולא הפר את תנאי הפיקוח.  </w:t>
      </w:r>
    </w:p>
    <w:p w14:paraId="4EAAB2C3" w14:textId="77777777" w:rsidR="00F7430E" w:rsidRDefault="00F7430E" w:rsidP="00F7430E">
      <w:pPr>
        <w:pStyle w:val="1"/>
        <w:spacing w:after="0"/>
        <w:ind w:left="360" w:firstLine="0"/>
        <w:rPr>
          <w:szCs w:val="24"/>
          <w:rtl/>
        </w:rPr>
      </w:pPr>
    </w:p>
    <w:p w14:paraId="0598C812" w14:textId="77777777" w:rsidR="00F7430E" w:rsidRDefault="00F7430E" w:rsidP="00F7430E">
      <w:pPr>
        <w:pStyle w:val="1"/>
        <w:spacing w:after="0"/>
        <w:ind w:left="360" w:firstLine="0"/>
        <w:rPr>
          <w:szCs w:val="24"/>
          <w:rtl/>
        </w:rPr>
      </w:pPr>
      <w:r>
        <w:rPr>
          <w:rFonts w:hint="cs"/>
          <w:szCs w:val="24"/>
          <w:rtl/>
        </w:rPr>
        <w:t xml:space="preserve">בתסקיר כאמור צוין כי הנאשם הכחיש את הקשר לסמים אשר נתפסו ברשותו, אולם הביע חרטה על ביצוע העבירה והבין כי התנהל באופן בלתי אחראי. </w:t>
      </w:r>
    </w:p>
    <w:p w14:paraId="51401D39" w14:textId="77777777" w:rsidR="00F7430E" w:rsidRDefault="00F7430E" w:rsidP="00F7430E">
      <w:pPr>
        <w:pStyle w:val="1"/>
        <w:spacing w:after="0"/>
        <w:ind w:left="360" w:firstLine="0"/>
        <w:rPr>
          <w:szCs w:val="24"/>
          <w:rtl/>
        </w:rPr>
      </w:pPr>
    </w:p>
    <w:p w14:paraId="23AE06E0" w14:textId="77777777" w:rsidR="00F7430E" w:rsidRDefault="00F7430E" w:rsidP="00F7430E">
      <w:pPr>
        <w:pStyle w:val="1"/>
        <w:spacing w:after="0"/>
        <w:ind w:left="360" w:firstLine="0"/>
        <w:rPr>
          <w:szCs w:val="24"/>
          <w:rtl/>
        </w:rPr>
      </w:pPr>
      <w:r>
        <w:rPr>
          <w:rFonts w:hint="cs"/>
          <w:szCs w:val="24"/>
          <w:rtl/>
        </w:rPr>
        <w:t xml:space="preserve">לאור האמור, המליץ שירות המבחן על העמדתו של הנאשם בצו מבחן למשך שנה, בליווי בדיקות לגילוי שרידי סם, וכן בחינת צרכיו של הנאשם לאורך התקופה ובניית תוכנית טיפולית במקרה הצורך. עוד הומלץ על העמדתו של הנאשם בצו של"צ נרחב למשך 200 שעות והטלת מאסר מותנה. </w:t>
      </w:r>
    </w:p>
    <w:p w14:paraId="664A79D1" w14:textId="77777777" w:rsidR="00F7430E" w:rsidRDefault="00F7430E" w:rsidP="00F7430E">
      <w:pPr>
        <w:pStyle w:val="1"/>
        <w:spacing w:after="0"/>
        <w:rPr>
          <w:szCs w:val="24"/>
          <w:rtl/>
        </w:rPr>
      </w:pPr>
    </w:p>
    <w:p w14:paraId="52303AD7" w14:textId="77777777" w:rsidR="00F7430E" w:rsidRDefault="00F7430E" w:rsidP="00F7430E">
      <w:pPr>
        <w:spacing w:line="360" w:lineRule="auto"/>
        <w:jc w:val="both"/>
        <w:rPr>
          <w:rFonts w:ascii="David" w:hAnsi="David"/>
          <w:b/>
          <w:bCs/>
          <w:u w:val="single"/>
          <w:rtl/>
        </w:rPr>
      </w:pPr>
      <w:r>
        <w:rPr>
          <w:rFonts w:ascii="David" w:hAnsi="David"/>
          <w:b/>
          <w:bCs/>
          <w:u w:val="single"/>
          <w:rtl/>
        </w:rPr>
        <w:t>טיעוני הצדדים לעונש</w:t>
      </w:r>
    </w:p>
    <w:p w14:paraId="1F4E23DF" w14:textId="77777777" w:rsidR="00F7430E" w:rsidRDefault="00F7430E" w:rsidP="00F7430E">
      <w:pPr>
        <w:pStyle w:val="ac"/>
        <w:spacing w:line="360" w:lineRule="auto"/>
        <w:jc w:val="both"/>
        <w:rPr>
          <w:rFonts w:ascii="David" w:hAnsi="David" w:cs="David"/>
          <w:sz w:val="24"/>
          <w:szCs w:val="24"/>
        </w:rPr>
      </w:pPr>
    </w:p>
    <w:p w14:paraId="13C2ECB8" w14:textId="77777777" w:rsidR="00F7430E" w:rsidRDefault="00F7430E" w:rsidP="00F7430E">
      <w:pPr>
        <w:pStyle w:val="ac"/>
        <w:numPr>
          <w:ilvl w:val="0"/>
          <w:numId w:val="1"/>
        </w:numPr>
        <w:spacing w:line="360" w:lineRule="auto"/>
        <w:jc w:val="both"/>
        <w:rPr>
          <w:rFonts w:ascii="David" w:hAnsi="David" w:cs="David"/>
          <w:sz w:val="24"/>
          <w:szCs w:val="24"/>
          <w:rtl/>
        </w:rPr>
      </w:pPr>
      <w:r>
        <w:rPr>
          <w:rFonts w:ascii="David" w:hAnsi="David" w:cs="David"/>
          <w:sz w:val="24"/>
          <w:szCs w:val="24"/>
          <w:rtl/>
        </w:rPr>
        <w:t>המאשימה הדגישה את הנזק הטמון בעבירה בה הורשע הנאשם ובערכים המוגנים שנפגעו כתוצאה ממעשיו, עוד הדגישה כי סמים מסוכנים מהווים את אחד המחוללים לפשיעה, וכי נגע השימוש בסם עומד מאחורי עבירות רכוש ועבירות אלימות.</w:t>
      </w:r>
    </w:p>
    <w:p w14:paraId="380005FE" w14:textId="77777777" w:rsidR="00F7430E" w:rsidRDefault="00F7430E" w:rsidP="00F7430E">
      <w:pPr>
        <w:pStyle w:val="ac"/>
        <w:spacing w:line="360" w:lineRule="auto"/>
        <w:jc w:val="both"/>
        <w:rPr>
          <w:rFonts w:ascii="David" w:hAnsi="David" w:cs="David"/>
          <w:sz w:val="24"/>
          <w:szCs w:val="24"/>
        </w:rPr>
      </w:pPr>
    </w:p>
    <w:p w14:paraId="73F2AF1F" w14:textId="77777777" w:rsidR="00F7430E" w:rsidRDefault="00F7430E" w:rsidP="00F7430E">
      <w:pPr>
        <w:pStyle w:val="ac"/>
        <w:spacing w:line="360" w:lineRule="auto"/>
        <w:ind w:left="360"/>
        <w:jc w:val="both"/>
        <w:rPr>
          <w:rFonts w:ascii="David" w:hAnsi="David" w:cs="David"/>
          <w:sz w:val="24"/>
          <w:szCs w:val="24"/>
          <w:rtl/>
        </w:rPr>
      </w:pPr>
      <w:r>
        <w:rPr>
          <w:rFonts w:ascii="David" w:hAnsi="David" w:cs="David"/>
          <w:sz w:val="24"/>
          <w:szCs w:val="24"/>
          <w:rtl/>
        </w:rPr>
        <w:t xml:space="preserve">לעניין מתחם הענישה ההולם, טענה המאשימה כי "המתחם ההולם בעניין עבירה של החזקת סמים בכמות כזאת עומד על 24 חודשי מאסר."  </w:t>
      </w:r>
    </w:p>
    <w:p w14:paraId="40352DE6" w14:textId="77777777" w:rsidR="00F7430E" w:rsidRDefault="00F7430E" w:rsidP="00F7430E">
      <w:pPr>
        <w:pStyle w:val="ac"/>
        <w:jc w:val="both"/>
        <w:rPr>
          <w:rFonts w:ascii="David" w:hAnsi="David" w:cs="David"/>
          <w:sz w:val="24"/>
          <w:szCs w:val="24"/>
        </w:rPr>
      </w:pPr>
    </w:p>
    <w:p w14:paraId="532EB149" w14:textId="77777777" w:rsidR="00F7430E" w:rsidRDefault="00F7430E" w:rsidP="00F7430E">
      <w:pPr>
        <w:pStyle w:val="ac"/>
        <w:spacing w:line="360" w:lineRule="auto"/>
        <w:ind w:left="360"/>
        <w:jc w:val="both"/>
        <w:rPr>
          <w:rFonts w:ascii="David" w:hAnsi="David" w:cs="David"/>
          <w:sz w:val="24"/>
          <w:szCs w:val="24"/>
          <w:rtl/>
        </w:rPr>
      </w:pPr>
      <w:r>
        <w:rPr>
          <w:rFonts w:ascii="David" w:hAnsi="David" w:cs="David"/>
          <w:sz w:val="24"/>
          <w:szCs w:val="24"/>
          <w:rtl/>
        </w:rPr>
        <w:t xml:space="preserve">המאשימה ציינה את גילו הצעיר של הנאשם ואת העדר עברו הפלילי, כמו גם את שיתוף הפעולה שלו עם שירות המבחן, וההליך הטיפולי שעבר אשר סייע לו רבות, ולכן ביקשה למקם את עונשו של הנאשם ברף </w:t>
      </w:r>
      <w:r>
        <w:rPr>
          <w:rFonts w:ascii="David" w:hAnsi="David" w:cs="David"/>
          <w:b/>
          <w:bCs/>
          <w:sz w:val="24"/>
          <w:szCs w:val="24"/>
          <w:rtl/>
        </w:rPr>
        <w:t>הנמוך</w:t>
      </w:r>
      <w:r>
        <w:rPr>
          <w:rFonts w:ascii="David" w:hAnsi="David" w:cs="David"/>
          <w:sz w:val="24"/>
          <w:szCs w:val="24"/>
          <w:rtl/>
        </w:rPr>
        <w:t xml:space="preserve"> של המתחם. </w:t>
      </w:r>
    </w:p>
    <w:p w14:paraId="41542A77" w14:textId="77777777" w:rsidR="00F7430E" w:rsidRDefault="00F7430E" w:rsidP="00F7430E">
      <w:pPr>
        <w:pStyle w:val="ac"/>
        <w:spacing w:line="360" w:lineRule="auto"/>
        <w:ind w:left="360"/>
        <w:jc w:val="both"/>
        <w:rPr>
          <w:rFonts w:ascii="David" w:hAnsi="David" w:cs="David"/>
          <w:sz w:val="24"/>
          <w:szCs w:val="24"/>
          <w:rtl/>
        </w:rPr>
      </w:pPr>
    </w:p>
    <w:p w14:paraId="54EDF51D" w14:textId="77777777" w:rsidR="00F7430E" w:rsidRDefault="00F7430E" w:rsidP="00F7430E">
      <w:pPr>
        <w:pStyle w:val="ac"/>
        <w:spacing w:line="360" w:lineRule="auto"/>
        <w:ind w:left="360"/>
        <w:jc w:val="both"/>
        <w:rPr>
          <w:rFonts w:ascii="David" w:hAnsi="David" w:cs="David"/>
          <w:sz w:val="24"/>
          <w:szCs w:val="24"/>
          <w:rtl/>
        </w:rPr>
      </w:pPr>
      <w:r>
        <w:rPr>
          <w:rFonts w:ascii="David" w:hAnsi="David" w:cs="David"/>
          <w:sz w:val="24"/>
          <w:szCs w:val="24"/>
          <w:rtl/>
        </w:rPr>
        <w:t xml:space="preserve">המאשימה ציינה כי אמנם שירות המבחן המליץ להימנע מהטלת עונש מאסר אשר יכול להיות מרוצה בדרך של עבודות שירות,  אך הדגישה כי על בית המשפט לשקול שיקולים נוספים ואל לו להתעלם מעקרון הרתעת היחיד, עקרון הגמול והרתעת הרבים. </w:t>
      </w:r>
    </w:p>
    <w:p w14:paraId="47E14A3A" w14:textId="77777777" w:rsidR="00F7430E" w:rsidRDefault="00F7430E" w:rsidP="00F7430E">
      <w:pPr>
        <w:pStyle w:val="ac"/>
        <w:spacing w:line="360" w:lineRule="auto"/>
        <w:ind w:left="360"/>
        <w:jc w:val="both"/>
        <w:rPr>
          <w:rFonts w:ascii="David" w:hAnsi="David" w:cs="David"/>
          <w:sz w:val="24"/>
          <w:szCs w:val="24"/>
        </w:rPr>
      </w:pPr>
    </w:p>
    <w:p w14:paraId="28E9741B" w14:textId="77777777" w:rsidR="00F7430E" w:rsidRDefault="00F7430E" w:rsidP="00F7430E">
      <w:pPr>
        <w:pStyle w:val="ac"/>
        <w:spacing w:line="360" w:lineRule="auto"/>
        <w:ind w:left="360"/>
        <w:jc w:val="both"/>
        <w:rPr>
          <w:rFonts w:ascii="David" w:hAnsi="David" w:cs="David"/>
          <w:sz w:val="24"/>
          <w:szCs w:val="24"/>
        </w:rPr>
      </w:pPr>
      <w:r>
        <w:rPr>
          <w:rFonts w:ascii="David" w:hAnsi="David" w:cs="David"/>
          <w:sz w:val="24"/>
          <w:szCs w:val="24"/>
          <w:rtl/>
        </w:rPr>
        <w:t>התובעת  עתרה  להשית על הנאשם "מאסר בדרך של עבודות שירות ברף הגבוה, דהיינו תשעה חודשים, וכן ענישה נלווית בדמות מאסר מותנה, קנס והתחייבות".</w:t>
      </w:r>
    </w:p>
    <w:p w14:paraId="1F17EBE7" w14:textId="77777777" w:rsidR="00F7430E" w:rsidRDefault="00F7430E" w:rsidP="00F7430E">
      <w:pPr>
        <w:spacing w:line="360" w:lineRule="auto"/>
        <w:ind w:firstLine="360"/>
        <w:jc w:val="both"/>
        <w:rPr>
          <w:rFonts w:ascii="David" w:hAnsi="David"/>
          <w:b/>
          <w:bCs/>
          <w:u w:val="single"/>
        </w:rPr>
      </w:pPr>
      <w:r>
        <w:rPr>
          <w:rFonts w:ascii="David" w:hAnsi="David"/>
          <w:rtl/>
        </w:rPr>
        <w:t xml:space="preserve">התובעת הפנתה לפסיקה על מנת לתמוך בעתירתה העונשית. </w:t>
      </w:r>
    </w:p>
    <w:p w14:paraId="73C1CA51" w14:textId="77777777" w:rsidR="00F7430E" w:rsidRDefault="00F7430E" w:rsidP="00F7430E">
      <w:pPr>
        <w:pStyle w:val="ac"/>
        <w:spacing w:line="360" w:lineRule="auto"/>
        <w:ind w:left="360"/>
        <w:jc w:val="both"/>
        <w:rPr>
          <w:rFonts w:ascii="David" w:hAnsi="David" w:cs="David"/>
          <w:sz w:val="24"/>
          <w:szCs w:val="24"/>
          <w:rtl/>
        </w:rPr>
      </w:pPr>
    </w:p>
    <w:p w14:paraId="6C7B779D" w14:textId="77777777" w:rsidR="00F7430E" w:rsidRDefault="00F7430E" w:rsidP="00F7430E">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הסניגורית עתרה למתחם ענישה הנע בין מאסר מותנה וענישה נלווית, כדוגמת של"צ,  ועד למספר חודשי עבודות שירות. עוד הוסיפה כי כשמדובר באחזקה של כמויות גדולות "נקבעים מתחמים שמתחילים ממאסר קצר שיכול וירוצה בעבודות שירות, ואולם בשל שיקולים של סיכויי שיקומים גבוהים בתי המשפט מוצאים לחרוג מהמתחם ולהסתפק בענישה של של"צ, גם אם במספר גבוה". </w:t>
      </w:r>
    </w:p>
    <w:p w14:paraId="57A8BB58" w14:textId="77777777" w:rsidR="00F7430E" w:rsidRDefault="00F7430E" w:rsidP="00F7430E">
      <w:pPr>
        <w:pStyle w:val="ac"/>
        <w:spacing w:line="360" w:lineRule="auto"/>
        <w:ind w:left="360"/>
        <w:jc w:val="both"/>
        <w:rPr>
          <w:rFonts w:ascii="David" w:hAnsi="David" w:cs="David"/>
          <w:sz w:val="24"/>
          <w:szCs w:val="24"/>
        </w:rPr>
      </w:pPr>
    </w:p>
    <w:p w14:paraId="7F27FBCD" w14:textId="77777777" w:rsidR="00F7430E" w:rsidRDefault="00F7430E" w:rsidP="00F7430E">
      <w:pPr>
        <w:pStyle w:val="ac"/>
        <w:spacing w:line="360" w:lineRule="auto"/>
        <w:ind w:left="360"/>
        <w:jc w:val="both"/>
        <w:rPr>
          <w:rFonts w:ascii="David" w:hAnsi="David" w:cs="David"/>
          <w:sz w:val="24"/>
          <w:szCs w:val="24"/>
          <w:rtl/>
        </w:rPr>
      </w:pPr>
      <w:r>
        <w:rPr>
          <w:rFonts w:ascii="David" w:hAnsi="David" w:cs="David"/>
          <w:sz w:val="24"/>
          <w:szCs w:val="24"/>
          <w:rtl/>
        </w:rPr>
        <w:t xml:space="preserve">ב"כ הנאשם, טענה כי בעת קביעת המתחם לעונש יש להתייחס לנסיבות ביצוע העבירה וכך גם בגזירת עונשו של הנאשם, בהדגישה כי לא יוחס לנאשם תכנון קודם לביצוע העבירה. עוד ציינה את גילו הצעיר של הנאשם בעת ביצוע העבירה. </w:t>
      </w:r>
    </w:p>
    <w:p w14:paraId="3BF3E9B3" w14:textId="77777777" w:rsidR="00F7430E" w:rsidRDefault="00F7430E" w:rsidP="00F7430E">
      <w:pPr>
        <w:pStyle w:val="ac"/>
        <w:spacing w:line="360" w:lineRule="auto"/>
        <w:ind w:left="360"/>
        <w:jc w:val="both"/>
        <w:rPr>
          <w:rFonts w:ascii="David" w:hAnsi="David" w:cs="David"/>
          <w:sz w:val="24"/>
          <w:szCs w:val="24"/>
        </w:rPr>
      </w:pPr>
    </w:p>
    <w:p w14:paraId="1759462E" w14:textId="77777777" w:rsidR="00F7430E" w:rsidRDefault="00F7430E" w:rsidP="00F7430E">
      <w:pPr>
        <w:pStyle w:val="ac"/>
        <w:spacing w:line="360" w:lineRule="auto"/>
        <w:ind w:left="360"/>
        <w:jc w:val="both"/>
        <w:rPr>
          <w:rFonts w:ascii="David" w:hAnsi="David" w:cs="David"/>
          <w:sz w:val="24"/>
          <w:szCs w:val="24"/>
          <w:rtl/>
        </w:rPr>
      </w:pPr>
      <w:r>
        <w:rPr>
          <w:rFonts w:ascii="David" w:hAnsi="David" w:cs="David"/>
          <w:sz w:val="24"/>
          <w:szCs w:val="24"/>
          <w:rtl/>
        </w:rPr>
        <w:t xml:space="preserve">הסנגורית הדגישה את שיתוף הפעולה של הנאשם עם שירות המבחן, ושילובו בקבוצה טיפולית. </w:t>
      </w:r>
    </w:p>
    <w:p w14:paraId="56E6177E" w14:textId="77777777" w:rsidR="00F7430E" w:rsidRDefault="00F7430E" w:rsidP="00F7430E">
      <w:pPr>
        <w:pStyle w:val="ac"/>
        <w:spacing w:line="360" w:lineRule="auto"/>
        <w:ind w:left="360"/>
        <w:jc w:val="both"/>
        <w:rPr>
          <w:rFonts w:ascii="David" w:hAnsi="David" w:cs="David"/>
          <w:sz w:val="24"/>
          <w:szCs w:val="24"/>
          <w:rtl/>
        </w:rPr>
      </w:pPr>
      <w:r>
        <w:rPr>
          <w:rFonts w:ascii="David" w:hAnsi="David" w:cs="David"/>
          <w:sz w:val="24"/>
          <w:szCs w:val="24"/>
          <w:rtl/>
        </w:rPr>
        <w:t xml:space="preserve">עוד ציינה כי הנאשם הביע חרטה על ביצוע העבירה, וכי התנהלותו של  הנאשם בתקופה שחלפה מלמדת  כי הוא למד את הלקח, מתרחק מסביבה שולית, וכי יש לו גורמי תמיכה בדמות  אביו, אחיו, שימנעו הסתבכותו בשנית. </w:t>
      </w:r>
    </w:p>
    <w:p w14:paraId="5420333C" w14:textId="77777777" w:rsidR="00F7430E" w:rsidRDefault="00F7430E" w:rsidP="00F7430E">
      <w:pPr>
        <w:pStyle w:val="ac"/>
        <w:spacing w:line="360" w:lineRule="auto"/>
        <w:ind w:left="360"/>
        <w:jc w:val="both"/>
        <w:rPr>
          <w:rFonts w:ascii="David" w:hAnsi="David" w:cs="David"/>
          <w:sz w:val="24"/>
          <w:szCs w:val="24"/>
          <w:rtl/>
        </w:rPr>
      </w:pPr>
    </w:p>
    <w:p w14:paraId="725A654D" w14:textId="77777777" w:rsidR="00F7430E" w:rsidRDefault="00F7430E" w:rsidP="00F7430E">
      <w:pPr>
        <w:pStyle w:val="ac"/>
        <w:spacing w:line="360" w:lineRule="auto"/>
        <w:ind w:left="360"/>
        <w:jc w:val="both"/>
        <w:rPr>
          <w:rFonts w:ascii="David" w:hAnsi="David" w:cs="David"/>
          <w:sz w:val="24"/>
          <w:szCs w:val="24"/>
          <w:rtl/>
        </w:rPr>
      </w:pPr>
      <w:r>
        <w:rPr>
          <w:rFonts w:ascii="David" w:hAnsi="David" w:cs="David"/>
          <w:sz w:val="24"/>
          <w:szCs w:val="24"/>
          <w:rtl/>
        </w:rPr>
        <w:t xml:space="preserve">באת כח הנאשם ציינה כי הנאשם שהה כחודש ושבוע במעצר, וכן חודשים רבים בתנאי מעצר בית, שהוקלו מעת לעת עד לשלב בו בוטלו לחלוטין (אז החל הנאשם לעבוד כנהג משאית). </w:t>
      </w:r>
    </w:p>
    <w:p w14:paraId="10ED3961" w14:textId="77777777" w:rsidR="00F7430E" w:rsidRDefault="00F7430E" w:rsidP="00F7430E">
      <w:pPr>
        <w:pStyle w:val="ac"/>
        <w:spacing w:line="360" w:lineRule="auto"/>
        <w:ind w:left="360"/>
        <w:jc w:val="both"/>
        <w:rPr>
          <w:rFonts w:ascii="David" w:hAnsi="David" w:cs="David"/>
          <w:sz w:val="24"/>
          <w:szCs w:val="24"/>
        </w:rPr>
      </w:pPr>
    </w:p>
    <w:p w14:paraId="77BF0232" w14:textId="77777777" w:rsidR="00F7430E" w:rsidRDefault="00F7430E" w:rsidP="00F7430E">
      <w:pPr>
        <w:pStyle w:val="ac"/>
        <w:spacing w:line="360" w:lineRule="auto"/>
        <w:ind w:left="360"/>
        <w:jc w:val="both"/>
        <w:rPr>
          <w:rFonts w:ascii="David" w:hAnsi="David" w:cs="David"/>
          <w:sz w:val="24"/>
          <w:szCs w:val="24"/>
          <w:rtl/>
        </w:rPr>
      </w:pPr>
      <w:r>
        <w:rPr>
          <w:rFonts w:ascii="David" w:hAnsi="David" w:cs="David"/>
          <w:sz w:val="24"/>
          <w:szCs w:val="24"/>
          <w:rtl/>
        </w:rPr>
        <w:t>לשיטת ב"כ הנאשם, לאור גילו הצעיר של הנאשם, והעובדה שהוא אב לארבעה קטינים, יש מקום לחרוג ממתחם הענישה, ולקבל את המלצת שירות המבחן לשל"צ. הסנגורית טענה כי אין זה עניין שבשגרה בו שירות המבחן מדגיש כי אין הוא ממליץ על הטלת מאסר שירוצה בדרך של עבודות שירות מחשש לפגיעה ברצף התעסוקתי של נאשם, כפי שנעשה במקרה דנא.</w:t>
      </w:r>
    </w:p>
    <w:p w14:paraId="75C42EB3" w14:textId="77777777" w:rsidR="00F7430E" w:rsidRDefault="00F7430E" w:rsidP="00F7430E">
      <w:pPr>
        <w:pStyle w:val="ac"/>
        <w:spacing w:line="360" w:lineRule="auto"/>
        <w:ind w:left="360"/>
        <w:jc w:val="both"/>
        <w:rPr>
          <w:rFonts w:ascii="David" w:hAnsi="David" w:cs="David"/>
          <w:sz w:val="24"/>
          <w:szCs w:val="24"/>
          <w:rtl/>
        </w:rPr>
      </w:pPr>
    </w:p>
    <w:p w14:paraId="024070A8" w14:textId="77777777" w:rsidR="00F7430E" w:rsidRDefault="00F7430E" w:rsidP="00F7430E">
      <w:pPr>
        <w:pStyle w:val="ac"/>
        <w:spacing w:line="360" w:lineRule="auto"/>
        <w:ind w:left="360"/>
        <w:jc w:val="both"/>
        <w:rPr>
          <w:rFonts w:ascii="David" w:hAnsi="David" w:cs="David"/>
          <w:sz w:val="24"/>
          <w:szCs w:val="24"/>
          <w:rtl/>
        </w:rPr>
      </w:pPr>
      <w:r>
        <w:rPr>
          <w:rFonts w:ascii="David" w:hAnsi="David" w:cs="David"/>
          <w:sz w:val="24"/>
          <w:szCs w:val="24"/>
          <w:rtl/>
        </w:rPr>
        <w:t xml:space="preserve">לדברי באת כח הנאשם, ניתן לאזן את הענישה בהטלת מאסרים מותנים ארוכים, קנס כספי והתחייבות. עוד ציינה הסניגורית כי הנאשם מסכים לשל"צ בהיקף גדול יותר מזה שהומלץ. </w:t>
      </w:r>
    </w:p>
    <w:p w14:paraId="7D2E9899" w14:textId="77777777" w:rsidR="00F7430E" w:rsidRDefault="00F7430E" w:rsidP="00F7430E">
      <w:pPr>
        <w:pStyle w:val="ac"/>
        <w:spacing w:line="360" w:lineRule="auto"/>
        <w:ind w:left="360"/>
        <w:jc w:val="both"/>
        <w:rPr>
          <w:rFonts w:ascii="David" w:hAnsi="David" w:cs="David"/>
          <w:sz w:val="24"/>
          <w:szCs w:val="24"/>
        </w:rPr>
      </w:pPr>
    </w:p>
    <w:p w14:paraId="7FA10EEE" w14:textId="77777777" w:rsidR="00F7430E" w:rsidRPr="00F7430E" w:rsidRDefault="00F7430E" w:rsidP="00F7430E">
      <w:pPr>
        <w:pStyle w:val="ac"/>
        <w:numPr>
          <w:ilvl w:val="0"/>
          <w:numId w:val="1"/>
        </w:numPr>
        <w:spacing w:line="360" w:lineRule="auto"/>
        <w:jc w:val="both"/>
        <w:rPr>
          <w:rFonts w:ascii="David" w:eastAsia="David" w:hAnsi="David"/>
        </w:rPr>
      </w:pPr>
      <w:r>
        <w:rPr>
          <w:rFonts w:ascii="David" w:hAnsi="David" w:cs="David"/>
          <w:sz w:val="24"/>
          <w:szCs w:val="24"/>
          <w:rtl/>
        </w:rPr>
        <w:t xml:space="preserve">הנאשם בדברו האחרון אמר: "אני מודה שעשיתי טעות, למדתי להיות אחראי על עצמי. אני מתרחק מאנשים לא טובים, התרחקתי גם מכל הסביבה, אנשים שהייתי הולך איתם הם אנשים לא טובים והתרחקתי מהם. אני דואג לבית, לילדים ולאישה ועבודה. אני רוצה לחיות ולא להסתבך, הסתבכתי ואני רוצה ללמוד מזה. תודה רבה". </w:t>
      </w:r>
    </w:p>
    <w:p w14:paraId="60C6C036" w14:textId="77777777" w:rsidR="00F7430E" w:rsidRDefault="00F7430E" w:rsidP="00F7430E">
      <w:pPr>
        <w:spacing w:line="360" w:lineRule="auto"/>
        <w:jc w:val="both"/>
        <w:rPr>
          <w:rFonts w:ascii="David" w:eastAsia="David" w:hAnsi="David"/>
          <w:rtl/>
        </w:rPr>
      </w:pPr>
      <w:r>
        <w:rPr>
          <w:rFonts w:ascii="David" w:eastAsia="David" w:hAnsi="David"/>
          <w:rtl/>
        </w:rPr>
        <w:t xml:space="preserve"> </w:t>
      </w:r>
    </w:p>
    <w:p w14:paraId="43C8CC48" w14:textId="77777777" w:rsidR="00F7430E" w:rsidRPr="00F7430E" w:rsidRDefault="00F7430E" w:rsidP="00F7430E">
      <w:pPr>
        <w:pStyle w:val="ac"/>
        <w:spacing w:line="360" w:lineRule="auto"/>
        <w:ind w:left="0"/>
        <w:jc w:val="both"/>
        <w:rPr>
          <w:rFonts w:ascii="David" w:hAnsi="David" w:cs="David"/>
          <w:b/>
          <w:bCs/>
          <w:sz w:val="24"/>
          <w:szCs w:val="24"/>
          <w:u w:val="single"/>
          <w:rtl/>
        </w:rPr>
      </w:pPr>
      <w:r>
        <w:rPr>
          <w:rFonts w:ascii="David" w:hAnsi="David" w:cs="David"/>
          <w:b/>
          <w:bCs/>
          <w:sz w:val="24"/>
          <w:szCs w:val="24"/>
          <w:u w:val="single"/>
          <w:rtl/>
        </w:rPr>
        <w:t>דיון והכרעה</w:t>
      </w:r>
    </w:p>
    <w:p w14:paraId="0951B8E1" w14:textId="77777777" w:rsidR="00F7430E" w:rsidRDefault="00F7430E" w:rsidP="00F7430E">
      <w:pPr>
        <w:pStyle w:val="ac"/>
        <w:spacing w:line="360" w:lineRule="auto"/>
        <w:ind w:left="0"/>
        <w:jc w:val="both"/>
        <w:rPr>
          <w:rFonts w:ascii="David" w:hAnsi="David" w:cs="David"/>
          <w:b/>
          <w:bCs/>
          <w:sz w:val="24"/>
          <w:szCs w:val="24"/>
          <w:u w:val="single"/>
          <w:rtl/>
        </w:rPr>
      </w:pPr>
    </w:p>
    <w:p w14:paraId="1F2E5799" w14:textId="77777777" w:rsidR="00F7430E" w:rsidRDefault="00F7430E" w:rsidP="00F7430E">
      <w:pPr>
        <w:pStyle w:val="ac"/>
        <w:spacing w:line="360" w:lineRule="auto"/>
        <w:ind w:left="0"/>
        <w:jc w:val="both"/>
        <w:rPr>
          <w:rFonts w:ascii="David" w:hAnsi="David" w:cs="David"/>
          <w:sz w:val="24"/>
          <w:szCs w:val="24"/>
        </w:rPr>
      </w:pPr>
      <w:r>
        <w:rPr>
          <w:rFonts w:ascii="David" w:hAnsi="David" w:cs="David"/>
          <w:sz w:val="24"/>
          <w:szCs w:val="24"/>
          <w:u w:val="single"/>
          <w:rtl/>
        </w:rPr>
        <w:t xml:space="preserve">מתחם העונש ההולם </w:t>
      </w:r>
    </w:p>
    <w:p w14:paraId="4FE3437A" w14:textId="77777777" w:rsidR="00F7430E" w:rsidRDefault="00F7430E" w:rsidP="00F7430E">
      <w:pPr>
        <w:pStyle w:val="ac"/>
        <w:spacing w:line="360" w:lineRule="auto"/>
        <w:ind w:left="360"/>
        <w:jc w:val="both"/>
        <w:rPr>
          <w:rFonts w:ascii="David" w:hAnsi="David" w:cs="David"/>
          <w:sz w:val="24"/>
          <w:szCs w:val="24"/>
          <w:rtl/>
        </w:rPr>
      </w:pPr>
    </w:p>
    <w:p w14:paraId="5CA07051" w14:textId="77777777" w:rsidR="00F7430E" w:rsidRDefault="00F7430E" w:rsidP="00F7430E">
      <w:pPr>
        <w:pStyle w:val="ac"/>
        <w:numPr>
          <w:ilvl w:val="0"/>
          <w:numId w:val="1"/>
        </w:numPr>
        <w:spacing w:line="360" w:lineRule="auto"/>
        <w:jc w:val="both"/>
        <w:rPr>
          <w:rFonts w:ascii="David" w:hAnsi="David" w:cs="David"/>
          <w:sz w:val="24"/>
          <w:szCs w:val="24"/>
        </w:rPr>
      </w:pPr>
      <w:r>
        <w:rPr>
          <w:rFonts w:ascii="David" w:hAnsi="David" w:cs="David"/>
          <w:sz w:val="24"/>
          <w:szCs w:val="24"/>
          <w:rtl/>
        </w:rPr>
        <w:t xml:space="preserve">הערכים המוגנים בהם פגע הנאשם, הם שמירה על בריאות הציבור, וההגנה מפני נגע הסמים והפצתם. </w:t>
      </w:r>
    </w:p>
    <w:p w14:paraId="1201BAD4" w14:textId="77777777" w:rsidR="00F7430E" w:rsidRDefault="00F7430E" w:rsidP="00F7430E">
      <w:pPr>
        <w:pStyle w:val="ac"/>
        <w:spacing w:line="360" w:lineRule="auto"/>
        <w:ind w:left="360"/>
        <w:jc w:val="both"/>
        <w:rPr>
          <w:rFonts w:ascii="David" w:hAnsi="David" w:cs="David"/>
          <w:sz w:val="24"/>
          <w:szCs w:val="24"/>
        </w:rPr>
      </w:pPr>
    </w:p>
    <w:p w14:paraId="676923F7" w14:textId="77777777" w:rsidR="00F7430E" w:rsidRDefault="00F7430E" w:rsidP="00F7430E">
      <w:pPr>
        <w:pStyle w:val="ac"/>
        <w:numPr>
          <w:ilvl w:val="0"/>
          <w:numId w:val="1"/>
        </w:numPr>
        <w:spacing w:line="360" w:lineRule="auto"/>
        <w:jc w:val="both"/>
        <w:rPr>
          <w:rFonts w:ascii="David" w:hAnsi="David" w:cs="David"/>
          <w:sz w:val="24"/>
          <w:szCs w:val="24"/>
        </w:rPr>
      </w:pPr>
      <w:r>
        <w:rPr>
          <w:rFonts w:ascii="David" w:hAnsi="David" w:cs="David"/>
          <w:sz w:val="24"/>
          <w:szCs w:val="24"/>
          <w:rtl/>
        </w:rPr>
        <w:t xml:space="preserve">הנאשם החזיק סם מסוכן מסוג קנבוס במשקל של 1493.38 גרם, שלא לצריכתו העצמית. בפסיקת בית המשפט העליון נקבע כי עבירה זו היא תאומתה הסטטוטורית של עבירת הסחר בסמים -  ראה </w:t>
      </w:r>
      <w:hyperlink r:id="rId15" w:history="1">
        <w:r w:rsidR="00767005" w:rsidRPr="00767005">
          <w:rPr>
            <w:rFonts w:ascii="David" w:hAnsi="David" w:cs="David"/>
            <w:color w:val="0000FF"/>
            <w:sz w:val="24"/>
            <w:szCs w:val="24"/>
            <w:u w:val="single"/>
            <w:rtl/>
          </w:rPr>
          <w:t>ע"פ 1345/08</w:t>
        </w:r>
      </w:hyperlink>
      <w:r>
        <w:rPr>
          <w:rFonts w:ascii="David" w:hAnsi="David" w:cs="David"/>
          <w:sz w:val="24"/>
          <w:szCs w:val="24"/>
          <w:rtl/>
        </w:rPr>
        <w:t xml:space="preserve"> </w:t>
      </w:r>
      <w:r>
        <w:rPr>
          <w:rFonts w:ascii="David" w:hAnsi="David" w:cs="David"/>
          <w:b/>
          <w:bCs/>
          <w:sz w:val="24"/>
          <w:szCs w:val="24"/>
          <w:rtl/>
        </w:rPr>
        <w:t>איסטרחוב נ' מדינת ישראל</w:t>
      </w:r>
      <w:r>
        <w:rPr>
          <w:rFonts w:ascii="David" w:hAnsi="David" w:cs="David"/>
          <w:sz w:val="24"/>
          <w:szCs w:val="24"/>
          <w:rtl/>
        </w:rPr>
        <w:t xml:space="preserve"> (18.5.09).</w:t>
      </w:r>
    </w:p>
    <w:p w14:paraId="4795A979" w14:textId="77777777" w:rsidR="00F7430E" w:rsidRDefault="00F7430E" w:rsidP="00F7430E">
      <w:pPr>
        <w:pStyle w:val="ac"/>
        <w:spacing w:line="360" w:lineRule="auto"/>
        <w:ind w:left="360"/>
        <w:jc w:val="both"/>
        <w:rPr>
          <w:rFonts w:ascii="David" w:hAnsi="David" w:cs="David"/>
          <w:sz w:val="24"/>
          <w:szCs w:val="24"/>
        </w:rPr>
      </w:pPr>
    </w:p>
    <w:p w14:paraId="539372A1" w14:textId="77777777" w:rsidR="00F7430E" w:rsidRDefault="00F7430E" w:rsidP="00F7430E">
      <w:pPr>
        <w:pStyle w:val="ac"/>
        <w:numPr>
          <w:ilvl w:val="0"/>
          <w:numId w:val="1"/>
        </w:numPr>
        <w:spacing w:line="360" w:lineRule="auto"/>
        <w:jc w:val="both"/>
        <w:rPr>
          <w:rFonts w:ascii="David" w:hAnsi="David" w:cs="David"/>
          <w:sz w:val="24"/>
          <w:szCs w:val="24"/>
        </w:rPr>
      </w:pPr>
      <w:r>
        <w:rPr>
          <w:rFonts w:ascii="David" w:hAnsi="David" w:cs="David"/>
          <w:sz w:val="24"/>
          <w:szCs w:val="24"/>
          <w:rtl/>
        </w:rPr>
        <w:t xml:space="preserve">מידת הפגיעה בערכים המוגנים במקרה דנא היא ברמה בינונית, וזאת בשים לב לכמות הסם בה החזיק הנאשם, שהינה גבוהה. </w:t>
      </w:r>
    </w:p>
    <w:p w14:paraId="5AA16500" w14:textId="77777777" w:rsidR="00F7430E" w:rsidRDefault="00F7430E" w:rsidP="00F7430E">
      <w:pPr>
        <w:pStyle w:val="ac"/>
        <w:spacing w:line="360" w:lineRule="auto"/>
        <w:ind w:left="360"/>
        <w:jc w:val="both"/>
        <w:rPr>
          <w:rFonts w:ascii="David" w:hAnsi="David" w:cs="David"/>
          <w:sz w:val="24"/>
          <w:szCs w:val="24"/>
        </w:rPr>
      </w:pPr>
    </w:p>
    <w:p w14:paraId="7CAC9B05" w14:textId="77777777" w:rsidR="00F7430E" w:rsidRDefault="00F7430E" w:rsidP="00F7430E">
      <w:pPr>
        <w:pStyle w:val="ac"/>
        <w:numPr>
          <w:ilvl w:val="0"/>
          <w:numId w:val="1"/>
        </w:numPr>
        <w:spacing w:line="360" w:lineRule="auto"/>
        <w:jc w:val="both"/>
        <w:rPr>
          <w:rFonts w:ascii="David" w:hAnsi="David" w:cs="David"/>
          <w:sz w:val="24"/>
          <w:szCs w:val="24"/>
          <w:rtl/>
        </w:rPr>
      </w:pPr>
      <w:r>
        <w:rPr>
          <w:rFonts w:ascii="David" w:hAnsi="David" w:cs="David"/>
          <w:sz w:val="24"/>
          <w:szCs w:val="24"/>
          <w:rtl/>
        </w:rPr>
        <w:t>אשר לנסיבות הקשורות בביצוע העבירה, התכנון שקדם לביצוע העבירה וחלקו של הנאשם בביצועה: הנאשם הוא המבצע היחיד, ומעובדות כתב האישום לא ברור אם קדם תכנון משמעותי לביצוע העבירה בה הורשע הנאשם. הנזק שיכול היה להיגרם כתוצאה מביצוע העבירות הוא למשתמשי הסמים, ולחברה בכללותה, הנפגעת מעבריינות שנועדה לממן את צריכת הסם בידי המשתמשים.</w:t>
      </w:r>
    </w:p>
    <w:p w14:paraId="04C40FD9" w14:textId="77777777" w:rsidR="00F7430E" w:rsidRDefault="00F7430E" w:rsidP="00F7430E">
      <w:pPr>
        <w:pStyle w:val="ac"/>
        <w:spacing w:line="360" w:lineRule="auto"/>
        <w:jc w:val="both"/>
        <w:rPr>
          <w:rFonts w:ascii="David" w:hAnsi="David" w:cs="David"/>
          <w:sz w:val="24"/>
          <w:szCs w:val="24"/>
        </w:rPr>
      </w:pPr>
    </w:p>
    <w:p w14:paraId="70A0A336" w14:textId="77777777" w:rsidR="00F7430E" w:rsidRDefault="00F7430E" w:rsidP="00F7430E">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מסקירת הפסיקה בעבירה בה הורשע הנאשם, ניתן ללמוד כי בעבירות של החזקת סם מסוג קנבוס שלא לצריכה עצמית, במשקל של מעל ק"ג אחד ועד כעשרה ק"ג, על דרך הכלל, מוטלים על נאשמים עונשים במנעד רחב, החל ממספר חודשי מאסר בפועל, ועד לתקופות מאסר ממושכות. </w:t>
      </w:r>
    </w:p>
    <w:p w14:paraId="5DA25556" w14:textId="77777777" w:rsidR="00F7430E" w:rsidRDefault="00F7430E" w:rsidP="00F7430E">
      <w:pPr>
        <w:pStyle w:val="ac"/>
        <w:spacing w:line="360" w:lineRule="auto"/>
        <w:jc w:val="both"/>
        <w:rPr>
          <w:rFonts w:ascii="David" w:hAnsi="David" w:cs="David"/>
          <w:sz w:val="24"/>
          <w:szCs w:val="24"/>
        </w:rPr>
      </w:pPr>
    </w:p>
    <w:p w14:paraId="37B0B4DC" w14:textId="77777777" w:rsidR="00F7430E" w:rsidRDefault="00F7430E" w:rsidP="00F7430E">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מטעם הצדדים הוגשה פסיקה;  מצאתי לנכון להתייחס לפסקי הדין המפורטים להלן. </w:t>
      </w:r>
    </w:p>
    <w:p w14:paraId="111735FD" w14:textId="77777777" w:rsidR="00F7430E" w:rsidRDefault="00F7430E" w:rsidP="00F7430E">
      <w:pPr>
        <w:pStyle w:val="ac"/>
        <w:jc w:val="both"/>
        <w:rPr>
          <w:rFonts w:ascii="David" w:hAnsi="David" w:cs="David"/>
          <w:sz w:val="24"/>
          <w:szCs w:val="24"/>
        </w:rPr>
      </w:pPr>
    </w:p>
    <w:p w14:paraId="427EEB20" w14:textId="77777777" w:rsidR="00F7430E" w:rsidRDefault="00767005" w:rsidP="00F7430E">
      <w:pPr>
        <w:pStyle w:val="ac"/>
        <w:numPr>
          <w:ilvl w:val="0"/>
          <w:numId w:val="2"/>
        </w:numPr>
        <w:spacing w:line="360" w:lineRule="auto"/>
        <w:jc w:val="both"/>
        <w:rPr>
          <w:rFonts w:ascii="David" w:hAnsi="David" w:cs="David"/>
          <w:sz w:val="24"/>
          <w:szCs w:val="24"/>
          <w:rtl/>
        </w:rPr>
      </w:pPr>
      <w:hyperlink r:id="rId16" w:history="1">
        <w:r w:rsidRPr="00767005">
          <w:rPr>
            <w:rFonts w:ascii="David" w:hAnsi="David" w:cs="David"/>
            <w:color w:val="0000FF"/>
            <w:sz w:val="24"/>
            <w:szCs w:val="24"/>
            <w:u w:val="single"/>
            <w:rtl/>
          </w:rPr>
          <w:t>רע"פ 4030/22</w:t>
        </w:r>
      </w:hyperlink>
      <w:r w:rsidR="00F7430E">
        <w:rPr>
          <w:rFonts w:ascii="David" w:hAnsi="David" w:cs="David"/>
          <w:sz w:val="24"/>
          <w:szCs w:val="24"/>
          <w:rtl/>
        </w:rPr>
        <w:t xml:space="preserve"> </w:t>
      </w:r>
      <w:r w:rsidR="00F7430E">
        <w:rPr>
          <w:rFonts w:ascii="David" w:hAnsi="David" w:cs="David"/>
          <w:b/>
          <w:bCs/>
          <w:sz w:val="24"/>
          <w:szCs w:val="24"/>
          <w:rtl/>
        </w:rPr>
        <w:t>יפרח נ' מדינת ישראל</w:t>
      </w:r>
      <w:r w:rsidR="00F7430E">
        <w:rPr>
          <w:rFonts w:ascii="David" w:hAnsi="David" w:cs="David"/>
          <w:sz w:val="24"/>
          <w:szCs w:val="24"/>
          <w:rtl/>
        </w:rPr>
        <w:t xml:space="preserve"> (19.6.22): נדחתה בקשת רשות ערעור נגד גזר דין שהוטל על המערער. המערער הורשע בבית משפט השלום בהחזקת סכין, וכן סם מסוכן מסוג קנבוס במשקל 98.9 גרם נטו. בהסכמת הצדדים נקבע מתחם ענישה בין 6 חודשי מאסר ועד שנה, אשר אומץ על ידי בית המשפט כמתאים לנסיבות המקרה.  בית משפט השלום הבהיר כי אין לפניו שיקולי שיקום היות שהנאשם לא התייצב אצל הממונה על עבודות השירות, וגזר על הנאשם 7 חודשי מאסר, מאסרים מותנים, פסילת רישיון על תנאי וקנס. בית המשפט המחוזי קבע בהליך הערעור כי אין לאפשר לנאשם לשוב ולבקש חוות דעת מהממונה, וכך קבע גם בית המשפט העליון, שם נקבע כי אין המדובר במקרה חריג המצדיק מתן רשות ערעור. </w:t>
      </w:r>
    </w:p>
    <w:p w14:paraId="1A0EF7A7" w14:textId="77777777" w:rsidR="00F7430E" w:rsidRDefault="00F7430E" w:rsidP="00F7430E">
      <w:pPr>
        <w:pStyle w:val="ac"/>
        <w:spacing w:line="360" w:lineRule="auto"/>
        <w:ind w:left="1080"/>
        <w:jc w:val="both"/>
        <w:rPr>
          <w:rFonts w:ascii="David" w:hAnsi="David" w:cs="David"/>
          <w:sz w:val="24"/>
          <w:szCs w:val="24"/>
        </w:rPr>
      </w:pPr>
      <w:r>
        <w:rPr>
          <w:rFonts w:ascii="David" w:hAnsi="David" w:cs="David"/>
          <w:sz w:val="24"/>
          <w:szCs w:val="24"/>
          <w:rtl/>
        </w:rPr>
        <w:t xml:space="preserve"> </w:t>
      </w:r>
    </w:p>
    <w:p w14:paraId="4B3F9104" w14:textId="77777777" w:rsidR="00F7430E" w:rsidRDefault="00767005" w:rsidP="00F7430E">
      <w:pPr>
        <w:pStyle w:val="ac"/>
        <w:numPr>
          <w:ilvl w:val="0"/>
          <w:numId w:val="2"/>
        </w:numPr>
        <w:spacing w:line="360" w:lineRule="auto"/>
        <w:jc w:val="both"/>
        <w:rPr>
          <w:rFonts w:ascii="David" w:hAnsi="David" w:cs="David"/>
          <w:sz w:val="24"/>
          <w:szCs w:val="24"/>
          <w:rtl/>
        </w:rPr>
      </w:pPr>
      <w:hyperlink r:id="rId17" w:history="1">
        <w:r w:rsidRPr="00767005">
          <w:rPr>
            <w:rFonts w:ascii="David" w:hAnsi="David" w:cs="David"/>
            <w:color w:val="0000FF"/>
            <w:sz w:val="24"/>
            <w:szCs w:val="24"/>
            <w:u w:val="single"/>
            <w:rtl/>
          </w:rPr>
          <w:t>ת"פ (י-ם) 65951-07-20</w:t>
        </w:r>
      </w:hyperlink>
      <w:r w:rsidR="00F7430E">
        <w:rPr>
          <w:rFonts w:ascii="David" w:hAnsi="David" w:cs="David"/>
          <w:sz w:val="24"/>
          <w:szCs w:val="24"/>
          <w:rtl/>
        </w:rPr>
        <w:t xml:space="preserve"> </w:t>
      </w:r>
      <w:r w:rsidR="00F7430E">
        <w:rPr>
          <w:rFonts w:ascii="David" w:hAnsi="David" w:cs="David"/>
          <w:b/>
          <w:bCs/>
          <w:sz w:val="24"/>
          <w:szCs w:val="24"/>
          <w:rtl/>
        </w:rPr>
        <w:t>מדינת ישראל נ' גרמי</w:t>
      </w:r>
      <w:r w:rsidR="00F7430E">
        <w:rPr>
          <w:rFonts w:ascii="David" w:hAnsi="David" w:cs="David"/>
          <w:sz w:val="24"/>
          <w:szCs w:val="24"/>
          <w:rtl/>
        </w:rPr>
        <w:t xml:space="preserve"> (13.5.21) : הנאשם הורשע בעבירה של החזקת סם מסוכן מסוג קנבוס ברכבו במשקל של 1.4 ק"ג, הנאשם צעיר וללא עבר פלילי. מתחם הענישה שנקבע – מאסר קצר שיכול וירוצה בדרך של עבודות שירות ועד 18 חודשי מאסר. בית המשפט גזר על הנאשם חודש מאסר שירוצה בעבודות שירות, מאסרים מותנים, פסילת רישיון נהיגה (בפועל ומותנה), קנס והתחייבות. </w:t>
      </w:r>
    </w:p>
    <w:p w14:paraId="60AB2E01" w14:textId="77777777" w:rsidR="00F7430E" w:rsidRDefault="00F7430E" w:rsidP="00F7430E">
      <w:pPr>
        <w:pStyle w:val="ac"/>
        <w:spacing w:line="360" w:lineRule="auto"/>
        <w:ind w:left="1080"/>
        <w:jc w:val="both"/>
        <w:rPr>
          <w:rFonts w:ascii="David" w:hAnsi="David" w:cs="David"/>
          <w:sz w:val="24"/>
          <w:szCs w:val="24"/>
        </w:rPr>
      </w:pPr>
    </w:p>
    <w:p w14:paraId="2210B741" w14:textId="77777777" w:rsidR="00F7430E" w:rsidRDefault="00767005" w:rsidP="00F7430E">
      <w:pPr>
        <w:pStyle w:val="ac"/>
        <w:numPr>
          <w:ilvl w:val="0"/>
          <w:numId w:val="2"/>
        </w:numPr>
        <w:spacing w:line="360" w:lineRule="auto"/>
        <w:jc w:val="both"/>
        <w:rPr>
          <w:rFonts w:ascii="David" w:hAnsi="David" w:cs="David"/>
          <w:sz w:val="24"/>
          <w:szCs w:val="24"/>
        </w:rPr>
      </w:pPr>
      <w:hyperlink r:id="rId18" w:history="1">
        <w:r w:rsidRPr="00767005">
          <w:rPr>
            <w:rFonts w:ascii="David" w:hAnsi="David" w:cs="David"/>
            <w:color w:val="0000FF"/>
            <w:sz w:val="24"/>
            <w:szCs w:val="24"/>
            <w:u w:val="single"/>
            <w:rtl/>
          </w:rPr>
          <w:t>ת"פ (ת"א) 72369-06-20</w:t>
        </w:r>
      </w:hyperlink>
      <w:r w:rsidR="00F7430E">
        <w:rPr>
          <w:rFonts w:ascii="David" w:hAnsi="David" w:cs="David"/>
          <w:sz w:val="24"/>
          <w:szCs w:val="24"/>
          <w:rtl/>
        </w:rPr>
        <w:t xml:space="preserve"> </w:t>
      </w:r>
      <w:r w:rsidR="00F7430E">
        <w:rPr>
          <w:rFonts w:ascii="David" w:hAnsi="David" w:cs="David"/>
          <w:b/>
          <w:bCs/>
          <w:sz w:val="24"/>
          <w:szCs w:val="24"/>
          <w:rtl/>
        </w:rPr>
        <w:t>מדינת ישראל נ' דרעי</w:t>
      </w:r>
      <w:r w:rsidR="00F7430E">
        <w:rPr>
          <w:rFonts w:ascii="David" w:hAnsi="David" w:cs="David"/>
          <w:sz w:val="24"/>
          <w:szCs w:val="24"/>
          <w:rtl/>
        </w:rPr>
        <w:t xml:space="preserve"> (13.10.21) : הנאשם הורשע בעבירה של החזקת סם מסוכן מסוג קנבוס במשקל כולל של 951 גרם נטו. מתחם הענישה שנקבע - בין מאסר מותנה, ענישה נלווית ועד מספר חודשי עבודות שירות. בית המשפט התחשב במכלול השיקולים לרבות גילו הצעיר של הנאשם, היותו ללא עבר פלילי, שהודה וקיבל אחריות על מעשיו, וגזר על הנאשם 3 חודשי מאסר על תנאי, צו של"צ בהיקף של 140 שעות, קנס, התחייבות ופסילה על תנאי.  </w:t>
      </w:r>
    </w:p>
    <w:p w14:paraId="7652F8C0" w14:textId="77777777" w:rsidR="00F7430E" w:rsidRDefault="00F7430E" w:rsidP="00F7430E">
      <w:pPr>
        <w:pStyle w:val="ac"/>
        <w:rPr>
          <w:rFonts w:ascii="David" w:hAnsi="David" w:cs="David"/>
          <w:sz w:val="24"/>
          <w:szCs w:val="24"/>
        </w:rPr>
      </w:pPr>
    </w:p>
    <w:p w14:paraId="681DCA2B" w14:textId="77777777" w:rsidR="00F7430E" w:rsidRDefault="00767005" w:rsidP="00F7430E">
      <w:pPr>
        <w:pStyle w:val="ac"/>
        <w:numPr>
          <w:ilvl w:val="0"/>
          <w:numId w:val="2"/>
        </w:numPr>
        <w:spacing w:line="360" w:lineRule="auto"/>
        <w:jc w:val="both"/>
        <w:rPr>
          <w:rFonts w:ascii="David" w:hAnsi="David" w:cs="David"/>
          <w:sz w:val="24"/>
          <w:szCs w:val="24"/>
          <w:rtl/>
        </w:rPr>
      </w:pPr>
      <w:hyperlink r:id="rId19" w:history="1">
        <w:r w:rsidRPr="00767005">
          <w:rPr>
            <w:rFonts w:ascii="David" w:hAnsi="David" w:cs="David"/>
            <w:color w:val="0000FF"/>
            <w:sz w:val="24"/>
            <w:szCs w:val="24"/>
            <w:u w:val="single"/>
            <w:rtl/>
          </w:rPr>
          <w:t>ת"פ (י-ם) 27085-10-15</w:t>
        </w:r>
      </w:hyperlink>
      <w:r w:rsidR="00F7430E">
        <w:rPr>
          <w:rFonts w:ascii="David" w:hAnsi="David" w:cs="David"/>
          <w:sz w:val="24"/>
          <w:szCs w:val="24"/>
          <w:rtl/>
        </w:rPr>
        <w:t xml:space="preserve"> </w:t>
      </w:r>
      <w:r w:rsidR="00F7430E">
        <w:rPr>
          <w:rFonts w:ascii="David" w:hAnsi="David" w:cs="David"/>
          <w:b/>
          <w:bCs/>
          <w:sz w:val="24"/>
          <w:szCs w:val="24"/>
          <w:rtl/>
        </w:rPr>
        <w:t>מדינת ישראל נ' ועקנין</w:t>
      </w:r>
      <w:r w:rsidR="00F7430E">
        <w:rPr>
          <w:rFonts w:ascii="David" w:hAnsi="David" w:cs="David"/>
          <w:sz w:val="24"/>
          <w:szCs w:val="24"/>
          <w:rtl/>
        </w:rPr>
        <w:t xml:space="preserve"> (19.9.21): הנאשם הורשע בעבירה של החזקת סם מסוכן שלא לצריכה עצמית, נהיגה בפזיזות ורשלנות ומעבר ברמזור אדום. הנאשם החזיק יחד עם עוד 3 נאשמים סם מסוכן מסוג קנבוס במשקל 4.820 קילוגרם נטו. בית המשפט קבע מתחם עונש אחד בגין כל העבירות – 9 חודשי מאסר שיכול וירוצו בדרך של עבודות שירות ועד 20 חודשי מאסר בפועל. </w:t>
      </w:r>
    </w:p>
    <w:p w14:paraId="59E1CD87" w14:textId="77777777" w:rsidR="00F7430E" w:rsidRDefault="00F7430E" w:rsidP="00F7430E">
      <w:pPr>
        <w:pStyle w:val="ac"/>
        <w:rPr>
          <w:rFonts w:ascii="David" w:hAnsi="David" w:cs="David"/>
          <w:sz w:val="24"/>
          <w:szCs w:val="24"/>
        </w:rPr>
      </w:pPr>
    </w:p>
    <w:p w14:paraId="4696A230" w14:textId="77777777" w:rsidR="00F7430E" w:rsidRDefault="00F7430E" w:rsidP="00F7430E">
      <w:pPr>
        <w:pStyle w:val="ac"/>
        <w:spacing w:line="360" w:lineRule="auto"/>
        <w:ind w:left="360"/>
        <w:jc w:val="both"/>
        <w:rPr>
          <w:rFonts w:ascii="David" w:hAnsi="David" w:cs="David"/>
          <w:sz w:val="24"/>
          <w:szCs w:val="24"/>
          <w:rtl/>
        </w:rPr>
      </w:pPr>
      <w:r>
        <w:rPr>
          <w:rFonts w:ascii="David" w:hAnsi="David" w:cs="David"/>
          <w:sz w:val="24"/>
          <w:szCs w:val="24"/>
          <w:rtl/>
        </w:rPr>
        <w:t xml:space="preserve">בית המשפט סבר כי קיימת הצדקה שיקומית לסטייה ממתחם הענישה בשל נסיבות אישיות, נטילת אחריות על מעשיו והרתמות להליך שיקומי משמעותי וממושך, עברו הנקי וחלוף הזמן הרב מביצוע העבירה, וגזר על הנאשם עונש מאסר בן 7 חודשים בניכוי ימי מאסרו, כשיתרת התקופה תרוצה בדרך של עבודות שירות, צו מבחן, ענישה מותנית וקנס כספי. </w:t>
      </w:r>
    </w:p>
    <w:p w14:paraId="1BD8E5BB" w14:textId="77777777" w:rsidR="00F7430E" w:rsidRDefault="00F7430E" w:rsidP="00F7430E">
      <w:pPr>
        <w:pStyle w:val="ac"/>
        <w:spacing w:line="360" w:lineRule="auto"/>
        <w:ind w:left="1080"/>
        <w:jc w:val="both"/>
        <w:rPr>
          <w:rFonts w:ascii="David" w:hAnsi="David" w:cs="David"/>
          <w:sz w:val="24"/>
          <w:szCs w:val="24"/>
          <w:rtl/>
        </w:rPr>
      </w:pPr>
    </w:p>
    <w:p w14:paraId="6AF1E5B0" w14:textId="77777777" w:rsidR="00F7430E" w:rsidRDefault="00767005" w:rsidP="00F7430E">
      <w:pPr>
        <w:pStyle w:val="ac"/>
        <w:numPr>
          <w:ilvl w:val="0"/>
          <w:numId w:val="2"/>
        </w:numPr>
        <w:spacing w:line="360" w:lineRule="auto"/>
        <w:jc w:val="both"/>
        <w:rPr>
          <w:rFonts w:ascii="David" w:hAnsi="David" w:cs="David"/>
          <w:sz w:val="24"/>
          <w:szCs w:val="24"/>
        </w:rPr>
      </w:pPr>
      <w:hyperlink r:id="rId20" w:history="1">
        <w:r w:rsidRPr="00767005">
          <w:rPr>
            <w:rFonts w:ascii="David" w:hAnsi="David" w:cs="David"/>
            <w:color w:val="0000FF"/>
            <w:sz w:val="24"/>
            <w:szCs w:val="24"/>
            <w:u w:val="single"/>
            <w:rtl/>
          </w:rPr>
          <w:t>ת"פ (ק"ג) 67471-06-18</w:t>
        </w:r>
      </w:hyperlink>
      <w:r w:rsidR="00F7430E">
        <w:rPr>
          <w:rFonts w:ascii="David" w:hAnsi="David" w:cs="David"/>
          <w:sz w:val="24"/>
          <w:szCs w:val="24"/>
          <w:rtl/>
        </w:rPr>
        <w:t xml:space="preserve"> </w:t>
      </w:r>
      <w:r w:rsidR="00F7430E">
        <w:rPr>
          <w:rFonts w:ascii="David" w:hAnsi="David" w:cs="David"/>
          <w:b/>
          <w:bCs/>
          <w:sz w:val="24"/>
          <w:szCs w:val="24"/>
          <w:rtl/>
        </w:rPr>
        <w:t>מדינת ישראל נ' אייל קרקוס</w:t>
      </w:r>
      <w:r w:rsidR="00F7430E">
        <w:rPr>
          <w:rFonts w:ascii="David" w:hAnsi="David" w:cs="David"/>
          <w:sz w:val="24"/>
          <w:szCs w:val="24"/>
          <w:rtl/>
        </w:rPr>
        <w:t xml:space="preserve"> (27.1.20): הנאשם הורשע על פי הודאתו בעבירות של החזקת סם לצריכה עצמית, החזקת סם שלא לצריכה עצמית והחזקת כלים להכנת סם שלא לצריכה עצמית.  ברכבו החזיק הנאשם סך של 4 ק"ג נטו של סם מסוכן מסוג קנאביס. בגין מכלול מעשי הנאשם קבע בית המשפט מתחם ענישה הנע  בין 9 חודשי מאסר שיכול וירוצו בדרך של עבודות שירות ועד 18 חודשי מאסר בפועל. בית המשפט התחשב בעובדה כי הנאשם הודה בביצוע העבירה והביע צער וחרטה על מעשיו, כמו גם בגילו הצעיר ובמחויבותו בהליך השיקום והיותו אזרח יצרני ושומר חוק מזה כשנתיים וחצי, וגזר על הנאשם, תוך סטיה מהמתחם,  צו של"צ בהיקף של 400 שעות, צו מבחן של 18 חודשים, הארכת מאסרים מותנים, קנס, הפעלת התחייבות, התחייבות, ופסילה על תנאי. </w:t>
      </w:r>
    </w:p>
    <w:p w14:paraId="5D0577F6" w14:textId="77777777" w:rsidR="00F7430E" w:rsidRDefault="00F7430E" w:rsidP="00F7430E">
      <w:pPr>
        <w:pStyle w:val="ac"/>
        <w:jc w:val="both"/>
        <w:rPr>
          <w:rFonts w:ascii="David" w:hAnsi="David" w:cs="David"/>
          <w:sz w:val="24"/>
          <w:szCs w:val="24"/>
        </w:rPr>
      </w:pPr>
    </w:p>
    <w:p w14:paraId="35D80F48" w14:textId="77777777" w:rsidR="00F7430E" w:rsidRDefault="00767005" w:rsidP="00F7430E">
      <w:pPr>
        <w:pStyle w:val="ac"/>
        <w:numPr>
          <w:ilvl w:val="0"/>
          <w:numId w:val="2"/>
        </w:numPr>
        <w:spacing w:line="360" w:lineRule="auto"/>
        <w:jc w:val="both"/>
        <w:rPr>
          <w:rFonts w:ascii="David" w:hAnsi="David" w:cs="David"/>
          <w:sz w:val="24"/>
          <w:szCs w:val="24"/>
          <w:rtl/>
        </w:rPr>
      </w:pPr>
      <w:hyperlink r:id="rId21" w:history="1">
        <w:r w:rsidRPr="00767005">
          <w:rPr>
            <w:rFonts w:ascii="David" w:hAnsi="David" w:cs="David"/>
            <w:color w:val="0000FF"/>
            <w:sz w:val="24"/>
            <w:szCs w:val="24"/>
            <w:u w:val="single"/>
            <w:rtl/>
          </w:rPr>
          <w:t>ת"פ (ב"ש) 63029-12-20</w:t>
        </w:r>
      </w:hyperlink>
      <w:r w:rsidR="00F7430E">
        <w:rPr>
          <w:rFonts w:ascii="David" w:hAnsi="David" w:cs="David"/>
          <w:sz w:val="24"/>
          <w:szCs w:val="24"/>
          <w:rtl/>
        </w:rPr>
        <w:t xml:space="preserve"> </w:t>
      </w:r>
      <w:r w:rsidR="00F7430E">
        <w:rPr>
          <w:rFonts w:ascii="David" w:hAnsi="David" w:cs="David"/>
          <w:b/>
          <w:bCs/>
          <w:sz w:val="24"/>
          <w:szCs w:val="24"/>
          <w:rtl/>
        </w:rPr>
        <w:t>מדינת ישראל נ' שליף</w:t>
      </w:r>
      <w:r w:rsidR="00F7430E">
        <w:rPr>
          <w:rFonts w:ascii="David" w:hAnsi="David" w:cs="David"/>
          <w:sz w:val="24"/>
          <w:szCs w:val="24"/>
          <w:rtl/>
        </w:rPr>
        <w:t xml:space="preserve"> (8.4.21): הנאשם הורשע על פי הודאתו בעבירה של החזקת סם מסוכן שלא לצריכה עצמית. הנאשם החזיק ברכבו סם מסוכן מסוג קנבוס במשקל 1,033.6 גרם נטו וכן בסם מסוכן מסוג חשיש במשקל כולל של 1,125.5 גרם נטו שלא לצריכה עצמית (משקל כולל של 2.150 ק"ג). בית המשפט קבע כי מתחם העונש ההולם נע בין - 6-18 חודשי מאסר בפועל, בצירוף עונשים נלווים. על הנאשם נגזר עונש של 9 חודשי מסר בפועל, מאסרים מותנים וקנס. </w:t>
      </w:r>
    </w:p>
    <w:p w14:paraId="3CCEFABF" w14:textId="77777777" w:rsidR="00F7430E" w:rsidRDefault="00F7430E" w:rsidP="00F7430E">
      <w:pPr>
        <w:pStyle w:val="ac"/>
        <w:spacing w:line="360" w:lineRule="auto"/>
        <w:ind w:left="1080"/>
        <w:jc w:val="both"/>
        <w:rPr>
          <w:rFonts w:ascii="David" w:hAnsi="David" w:cs="David"/>
          <w:sz w:val="24"/>
          <w:szCs w:val="24"/>
        </w:rPr>
      </w:pPr>
    </w:p>
    <w:p w14:paraId="6B765710" w14:textId="77777777" w:rsidR="00F7430E" w:rsidRDefault="00F7430E" w:rsidP="00F7430E">
      <w:pPr>
        <w:pStyle w:val="ac"/>
        <w:numPr>
          <w:ilvl w:val="0"/>
          <w:numId w:val="1"/>
        </w:numPr>
        <w:spacing w:line="360" w:lineRule="auto"/>
        <w:jc w:val="both"/>
        <w:rPr>
          <w:rFonts w:ascii="David" w:hAnsi="David" w:cs="David"/>
          <w:sz w:val="24"/>
          <w:szCs w:val="24"/>
        </w:rPr>
      </w:pPr>
      <w:r>
        <w:rPr>
          <w:rFonts w:ascii="David" w:hAnsi="David" w:cs="David"/>
          <w:sz w:val="24"/>
          <w:szCs w:val="24"/>
          <w:rtl/>
        </w:rPr>
        <w:t xml:space="preserve">ראיתי לציין אף את פסקי הדין המנויים להלן.  </w:t>
      </w:r>
    </w:p>
    <w:p w14:paraId="35F6ED4F" w14:textId="77777777" w:rsidR="00F7430E" w:rsidRDefault="00F7430E" w:rsidP="00F7430E">
      <w:pPr>
        <w:pStyle w:val="ac"/>
        <w:spacing w:line="360" w:lineRule="auto"/>
        <w:ind w:left="360"/>
        <w:jc w:val="both"/>
        <w:rPr>
          <w:rFonts w:ascii="David" w:hAnsi="David" w:cs="David"/>
          <w:sz w:val="24"/>
          <w:szCs w:val="24"/>
        </w:rPr>
      </w:pPr>
    </w:p>
    <w:p w14:paraId="5CFACA23" w14:textId="77777777" w:rsidR="00F7430E" w:rsidRDefault="00767005" w:rsidP="00F7430E">
      <w:pPr>
        <w:pStyle w:val="ac"/>
        <w:numPr>
          <w:ilvl w:val="0"/>
          <w:numId w:val="3"/>
        </w:numPr>
        <w:spacing w:line="360" w:lineRule="auto"/>
        <w:jc w:val="both"/>
        <w:rPr>
          <w:rFonts w:ascii="David" w:hAnsi="David" w:cs="David"/>
          <w:sz w:val="24"/>
          <w:szCs w:val="24"/>
          <w:rtl/>
        </w:rPr>
      </w:pPr>
      <w:hyperlink r:id="rId22" w:history="1">
        <w:r w:rsidRPr="00767005">
          <w:rPr>
            <w:rFonts w:ascii="David" w:hAnsi="David" w:cs="David"/>
            <w:color w:val="0000FF"/>
            <w:sz w:val="24"/>
            <w:szCs w:val="24"/>
            <w:u w:val="single"/>
            <w:rtl/>
          </w:rPr>
          <w:t>רע"פ 1830/16</w:t>
        </w:r>
      </w:hyperlink>
      <w:r w:rsidR="00F7430E">
        <w:rPr>
          <w:rFonts w:ascii="David" w:hAnsi="David" w:cs="David"/>
          <w:sz w:val="24"/>
          <w:szCs w:val="24"/>
          <w:rtl/>
        </w:rPr>
        <w:t xml:space="preserve"> </w:t>
      </w:r>
      <w:r w:rsidR="00F7430E">
        <w:rPr>
          <w:rFonts w:ascii="David" w:hAnsi="David" w:cs="David" w:hint="cs"/>
          <w:b/>
          <w:bCs/>
          <w:sz w:val="24"/>
          <w:szCs w:val="24"/>
          <w:rtl/>
        </w:rPr>
        <w:t>רקיבי נ' מדינת ישראל</w:t>
      </w:r>
      <w:r w:rsidR="00F7430E">
        <w:rPr>
          <w:rFonts w:ascii="David" w:hAnsi="David" w:cs="David" w:hint="cs"/>
          <w:sz w:val="24"/>
          <w:szCs w:val="24"/>
          <w:rtl/>
        </w:rPr>
        <w:t xml:space="preserve"> (11.4.16): נדחתה בקשת רשות ערעור, שהגיש נאשם על גזר דינו לבית המשפט המחוזי אשר דחה את ערעורו על חומרת העונש. הנאשם הורשע, על יסוד הודאתו, בעבירה של החזקת סמים שלא לצריכה עצמית, בכך שהחזיק ברכב שבו נהג כ-2.3 ק"ג חשיש מחולקים לעטיפות שונות. בערכאה הראשונה נקבע</w:t>
      </w:r>
      <w:r w:rsidR="00F7430E">
        <w:rPr>
          <w:rFonts w:ascii="David" w:hAnsi="David" w:cs="David" w:hint="cs"/>
          <w:b/>
          <w:bCs/>
          <w:sz w:val="24"/>
          <w:szCs w:val="24"/>
          <w:rtl/>
        </w:rPr>
        <w:t xml:space="preserve"> </w:t>
      </w:r>
      <w:r w:rsidR="00F7430E">
        <w:rPr>
          <w:rFonts w:ascii="David" w:hAnsi="David" w:cs="David" w:hint="cs"/>
          <w:sz w:val="24"/>
          <w:szCs w:val="24"/>
          <w:rtl/>
        </w:rPr>
        <w:t xml:space="preserve">מתחם ענישה הולם שנע בין 6 ל-15 חודשי מאסר בפועל. על הנאשם, ללא עבר פלילי, הוטלו 8 חודשי מאסר בפועל, מאסרים מותנים וקנס בסך 4,000 ₪. </w:t>
      </w:r>
    </w:p>
    <w:p w14:paraId="1C2983C6" w14:textId="77777777" w:rsidR="00F7430E" w:rsidRDefault="00F7430E" w:rsidP="00F7430E">
      <w:pPr>
        <w:pStyle w:val="ac"/>
        <w:spacing w:line="360" w:lineRule="auto"/>
        <w:ind w:left="360"/>
        <w:jc w:val="both"/>
        <w:rPr>
          <w:rFonts w:ascii="David" w:hAnsi="David" w:cs="David"/>
          <w:sz w:val="24"/>
          <w:szCs w:val="24"/>
        </w:rPr>
      </w:pPr>
    </w:p>
    <w:p w14:paraId="7FB0FB59" w14:textId="77777777" w:rsidR="00F7430E" w:rsidRDefault="00F7430E" w:rsidP="00F7430E">
      <w:pPr>
        <w:pStyle w:val="ac"/>
        <w:numPr>
          <w:ilvl w:val="0"/>
          <w:numId w:val="3"/>
        </w:numPr>
        <w:spacing w:line="360" w:lineRule="auto"/>
        <w:jc w:val="both"/>
        <w:rPr>
          <w:rFonts w:ascii="David" w:hAnsi="David" w:cs="David"/>
          <w:sz w:val="24"/>
          <w:szCs w:val="24"/>
        </w:rPr>
      </w:pPr>
      <w:r>
        <w:rPr>
          <w:rFonts w:ascii="David" w:hAnsi="David" w:cs="David"/>
          <w:sz w:val="24"/>
          <w:szCs w:val="24"/>
          <w:rtl/>
        </w:rPr>
        <w:t>ב</w:t>
      </w:r>
      <w:hyperlink r:id="rId23" w:history="1">
        <w:r w:rsidR="00767005" w:rsidRPr="00767005">
          <w:rPr>
            <w:rFonts w:ascii="David" w:hAnsi="David" w:cs="David"/>
            <w:color w:val="0000FF"/>
            <w:sz w:val="24"/>
            <w:szCs w:val="24"/>
            <w:u w:val="single"/>
            <w:rtl/>
          </w:rPr>
          <w:t>רע"פ 10423/09</w:t>
        </w:r>
      </w:hyperlink>
      <w:r>
        <w:rPr>
          <w:rFonts w:ascii="David" w:hAnsi="David" w:cs="David"/>
          <w:sz w:val="24"/>
          <w:szCs w:val="24"/>
          <w:rtl/>
        </w:rPr>
        <w:t xml:space="preserve"> </w:t>
      </w:r>
      <w:r>
        <w:rPr>
          <w:rFonts w:ascii="David" w:hAnsi="David" w:cs="David"/>
          <w:b/>
          <w:bCs/>
          <w:sz w:val="24"/>
          <w:szCs w:val="24"/>
          <w:rtl/>
        </w:rPr>
        <w:t>שורר נ' מדינת ישראל</w:t>
      </w:r>
      <w:r>
        <w:rPr>
          <w:rFonts w:ascii="David" w:hAnsi="David" w:cs="David"/>
          <w:sz w:val="24"/>
          <w:szCs w:val="24"/>
          <w:rtl/>
        </w:rPr>
        <w:t xml:space="preserve"> (26.4.10), נדחתה בקשת רשות ערעור של המבקש על פסק דינו של בית המשפט המחוזי אשר דחה  ערעורו על העונש שהוטל בבית משפט השלום. המבקש הורשע בביצוע עבירה של החזקת סמים שלא לצריכה עצמית, בכך שהחזיק 575.75 גר' סם מסוכן מסוג קנבוס. על הנאשם, ללא עבר פלילי, הוטלו 6 חודשי מאסר בפועל לריצוי בעבודות שירות, מאסר מותנה, קנס כספי בסך 2,500 ₪ והתחייבות כספית בסך 3,000 ₪.  </w:t>
      </w:r>
    </w:p>
    <w:p w14:paraId="43A77CEB" w14:textId="77777777" w:rsidR="00F7430E" w:rsidRDefault="00F7430E" w:rsidP="00F7430E">
      <w:pPr>
        <w:pStyle w:val="ac"/>
        <w:spacing w:line="360" w:lineRule="auto"/>
        <w:ind w:left="360"/>
        <w:jc w:val="both"/>
        <w:rPr>
          <w:rFonts w:ascii="David" w:hAnsi="David" w:cs="David"/>
          <w:sz w:val="24"/>
          <w:szCs w:val="24"/>
        </w:rPr>
      </w:pPr>
    </w:p>
    <w:p w14:paraId="0B701951" w14:textId="77777777" w:rsidR="00F7430E" w:rsidRDefault="00F7430E" w:rsidP="00F7430E">
      <w:pPr>
        <w:pStyle w:val="ac"/>
        <w:numPr>
          <w:ilvl w:val="0"/>
          <w:numId w:val="3"/>
        </w:numPr>
        <w:tabs>
          <w:tab w:val="left" w:pos="749"/>
        </w:tabs>
        <w:spacing w:line="360" w:lineRule="auto"/>
        <w:jc w:val="both"/>
        <w:rPr>
          <w:rFonts w:ascii="David" w:hAnsi="David" w:cs="David"/>
          <w:sz w:val="24"/>
          <w:szCs w:val="24"/>
        </w:rPr>
      </w:pPr>
      <w:r w:rsidRPr="00496156">
        <w:rPr>
          <w:rFonts w:ascii="David" w:hAnsi="David" w:cs="David"/>
          <w:sz w:val="24"/>
          <w:szCs w:val="24"/>
          <w:rtl/>
        </w:rPr>
        <w:t>ב</w:t>
      </w:r>
      <w:hyperlink r:id="rId24" w:history="1">
        <w:r w:rsidR="00767005" w:rsidRPr="00767005">
          <w:rPr>
            <w:rFonts w:ascii="David" w:hAnsi="David" w:cs="David"/>
            <w:color w:val="0000FF"/>
            <w:sz w:val="24"/>
            <w:szCs w:val="24"/>
            <w:u w:val="single"/>
            <w:rtl/>
          </w:rPr>
          <w:t>רע"פ 8374/06</w:t>
        </w:r>
      </w:hyperlink>
      <w:r>
        <w:rPr>
          <w:rFonts w:ascii="David" w:hAnsi="David" w:cs="David"/>
          <w:sz w:val="24"/>
          <w:szCs w:val="24"/>
          <w:rtl/>
        </w:rPr>
        <w:t xml:space="preserve"> </w:t>
      </w:r>
      <w:r>
        <w:rPr>
          <w:rFonts w:ascii="David" w:hAnsi="David" w:cs="David" w:hint="cs"/>
          <w:b/>
          <w:bCs/>
          <w:sz w:val="24"/>
          <w:szCs w:val="24"/>
          <w:rtl/>
        </w:rPr>
        <w:t>גילילוב נ' מדינת ישראל</w:t>
      </w:r>
      <w:r>
        <w:rPr>
          <w:rFonts w:ascii="David" w:hAnsi="David" w:cs="David" w:hint="cs"/>
          <w:sz w:val="24"/>
          <w:szCs w:val="24"/>
          <w:rtl/>
        </w:rPr>
        <w:t xml:space="preserve"> (12.12.06) נדחתה בקשת רשות ערעור שהגיש המבקש, אשר הורשע על יסוד הודאתו, בעבירה של החזקת סמים שלא לצריכה עצמית, בכך שהחזיק 869.14 גר' נטו קנבוס. על המבקש, ללא עבר פלילי, הוטלו 5 חודשי מאסר בפועל לריצוי בעבודות שירות ומאסר מותנה. בית המשפט המחוזי דחה את ערעורו על גזר הדין בסוברו כי העונש שהוטל עליו על ידי בית משפט קמא תואם את נסיבות העניין ואינו חורג לחומרה. בית המשפט קבע כי הבקשה נדחית שכן אין היא מעלה שאלה המצדיקה דיון בערכאה שלישית. </w:t>
      </w:r>
    </w:p>
    <w:p w14:paraId="6687F903" w14:textId="77777777" w:rsidR="00F7430E" w:rsidRDefault="00F7430E" w:rsidP="00F7430E">
      <w:pPr>
        <w:pStyle w:val="ac"/>
        <w:rPr>
          <w:rFonts w:ascii="David" w:hAnsi="David" w:cs="David"/>
          <w:sz w:val="24"/>
          <w:szCs w:val="24"/>
        </w:rPr>
      </w:pPr>
    </w:p>
    <w:p w14:paraId="0968D7F6" w14:textId="77777777" w:rsidR="00F7430E" w:rsidRDefault="00F7430E" w:rsidP="00F7430E">
      <w:pPr>
        <w:pStyle w:val="ac"/>
        <w:numPr>
          <w:ilvl w:val="0"/>
          <w:numId w:val="3"/>
        </w:numPr>
        <w:spacing w:line="360" w:lineRule="auto"/>
        <w:jc w:val="both"/>
        <w:rPr>
          <w:rFonts w:ascii="David" w:hAnsi="David" w:cs="David"/>
          <w:sz w:val="24"/>
          <w:szCs w:val="24"/>
          <w:rtl/>
        </w:rPr>
      </w:pPr>
      <w:r>
        <w:rPr>
          <w:rFonts w:ascii="David" w:hAnsi="David" w:cs="David"/>
          <w:sz w:val="24"/>
          <w:szCs w:val="24"/>
          <w:rtl/>
        </w:rPr>
        <w:t xml:space="preserve">עפ"ג (חי') 369-07-18 </w:t>
      </w:r>
      <w:r>
        <w:rPr>
          <w:rFonts w:ascii="David" w:hAnsi="David" w:cs="David"/>
          <w:b/>
          <w:bCs/>
          <w:sz w:val="24"/>
          <w:szCs w:val="24"/>
          <w:rtl/>
        </w:rPr>
        <w:t>מדינת ישראל נ' אזריאל</w:t>
      </w:r>
      <w:r>
        <w:rPr>
          <w:rFonts w:ascii="David" w:hAnsi="David" w:cs="David"/>
          <w:sz w:val="24"/>
          <w:szCs w:val="24"/>
          <w:rtl/>
        </w:rPr>
        <w:t xml:space="preserve"> (8.11.18): התקבל ערעור המדינה על גזר דינו של הנאשם אשר הורשע באחזקת 758 גרם מסוג קנבוס ונידון ל 9 ימי מאסר וענישה נלווית. בית המשפט המחוזי קבע כי מתחם העונש בעבירת החזקה של סמים שלא לצריכה עצמית בכמות גדולה, נע בין מספר חודשי מאסר בריצוי בדרך של עבודות שירות ועד 12 חודשי מאסר בפועל, וכי "מתחם הענישה שקבע בית משפט קמא, בין מאסר מותנה לבין מאסר בן 6 חודשים שניתן לרצות בעבודות שירות </w:t>
      </w:r>
      <w:r>
        <w:rPr>
          <w:rFonts w:ascii="David" w:hAnsi="David" w:cs="David"/>
          <w:b/>
          <w:bCs/>
          <w:sz w:val="24"/>
          <w:szCs w:val="24"/>
          <w:rtl/>
        </w:rPr>
        <w:t>איננו</w:t>
      </w:r>
      <w:r>
        <w:rPr>
          <w:rFonts w:ascii="David" w:hAnsi="David" w:cs="David"/>
          <w:sz w:val="24"/>
          <w:szCs w:val="24"/>
          <w:rtl/>
        </w:rPr>
        <w:t xml:space="preserve"> מקובל..." משכך, התקבל ערעור המדינה, ועונשו של הנאשם הוחמר לחמישה חודשי מאסר בפועל (הנאשם לא נמצא מתאים לעבודות שירות וכן שירות המבחן לא בא בהמלצה טיפולית).  </w:t>
      </w:r>
    </w:p>
    <w:p w14:paraId="1631B31D" w14:textId="77777777" w:rsidR="00F7430E" w:rsidRDefault="00F7430E" w:rsidP="00F7430E">
      <w:pPr>
        <w:pStyle w:val="ac"/>
        <w:spacing w:line="360" w:lineRule="auto"/>
        <w:ind w:left="360"/>
        <w:jc w:val="both"/>
        <w:rPr>
          <w:rFonts w:ascii="David" w:hAnsi="David" w:cs="David"/>
          <w:sz w:val="24"/>
          <w:szCs w:val="24"/>
        </w:rPr>
      </w:pPr>
    </w:p>
    <w:p w14:paraId="0BB12299" w14:textId="77777777" w:rsidR="00F7430E" w:rsidRDefault="00F7430E" w:rsidP="00F7430E">
      <w:pPr>
        <w:pStyle w:val="ac"/>
        <w:numPr>
          <w:ilvl w:val="0"/>
          <w:numId w:val="4"/>
        </w:numPr>
        <w:tabs>
          <w:tab w:val="left" w:pos="368"/>
        </w:tabs>
        <w:spacing w:line="360" w:lineRule="auto"/>
        <w:ind w:left="360"/>
        <w:jc w:val="both"/>
        <w:rPr>
          <w:rFonts w:ascii="David" w:hAnsi="David" w:cs="David"/>
          <w:b/>
          <w:bCs/>
          <w:sz w:val="24"/>
          <w:szCs w:val="24"/>
        </w:rPr>
      </w:pPr>
      <w:r>
        <w:rPr>
          <w:rFonts w:ascii="David" w:hAnsi="David" w:cs="David"/>
          <w:sz w:val="24"/>
          <w:szCs w:val="24"/>
          <w:rtl/>
        </w:rPr>
        <w:t>ב</w:t>
      </w:r>
      <w:hyperlink r:id="rId25" w:history="1">
        <w:r w:rsidR="00767005" w:rsidRPr="00767005">
          <w:rPr>
            <w:rFonts w:ascii="David" w:hAnsi="David" w:cs="David"/>
            <w:color w:val="0000FF"/>
            <w:sz w:val="24"/>
            <w:szCs w:val="24"/>
            <w:u w:val="single"/>
            <w:rtl/>
          </w:rPr>
          <w:t>ת"פ (אילת) 41189-09-15</w:t>
        </w:r>
      </w:hyperlink>
      <w:r>
        <w:rPr>
          <w:rFonts w:ascii="David" w:hAnsi="David" w:cs="David"/>
          <w:sz w:val="24"/>
          <w:szCs w:val="24"/>
          <w:rtl/>
        </w:rPr>
        <w:t xml:space="preserve"> </w:t>
      </w:r>
      <w:r>
        <w:rPr>
          <w:rFonts w:ascii="David" w:hAnsi="David" w:cs="David" w:hint="cs"/>
          <w:b/>
          <w:bCs/>
          <w:sz w:val="24"/>
          <w:szCs w:val="24"/>
          <w:rtl/>
        </w:rPr>
        <w:t>מדינת ישראל נ' אלדהיני</w:t>
      </w:r>
      <w:r>
        <w:rPr>
          <w:rFonts w:ascii="David" w:hAnsi="David" w:cs="David" w:hint="cs"/>
          <w:sz w:val="24"/>
          <w:szCs w:val="24"/>
          <w:rtl/>
        </w:rPr>
        <w:t xml:space="preserve"> (13.07.16): הנאשם הורשע בעבירה של החזקת סם שלא לצריכה עצמית במשקל 1.435 ק"ג. בית המשפט קבע מתחם ענישה שבין 5 חודשי מאסר בפועל שיכול וירוצו בעבודות שירות לבין 12 חודשי מאסר בפועל, לצד ענישה מותנית וענישה כלכלית. לא נמצאה הצדקה לסטות לקולא ממתחם הענישה, אך בית המשפט התחשב בגילו הצעיר, העדר עבר פלילי והעובדה כי שיתף פעולה עם שירות המבחן, היותו אב טרי לתינוק, מסר בדיקות שתן נקיות וגזר על הנאשם 6 חודשי מאסר שירוצו בעבודות שירות מאסרים מותנית, פסילה על תנאי וקנס.</w:t>
      </w:r>
      <w:r>
        <w:rPr>
          <w:rFonts w:ascii="David" w:hAnsi="David" w:cs="David" w:hint="cs"/>
          <w:b/>
          <w:bCs/>
          <w:sz w:val="24"/>
          <w:szCs w:val="24"/>
          <w:rtl/>
        </w:rPr>
        <w:t xml:space="preserve"> </w:t>
      </w:r>
    </w:p>
    <w:p w14:paraId="258910DD" w14:textId="77777777" w:rsidR="00F7430E" w:rsidRDefault="00F7430E" w:rsidP="00F7430E">
      <w:pPr>
        <w:pStyle w:val="ac"/>
        <w:spacing w:line="360" w:lineRule="auto"/>
        <w:ind w:left="360"/>
        <w:jc w:val="both"/>
        <w:rPr>
          <w:rFonts w:ascii="David" w:hAnsi="David" w:cs="David"/>
          <w:sz w:val="24"/>
          <w:szCs w:val="24"/>
          <w:rtl/>
        </w:rPr>
      </w:pPr>
    </w:p>
    <w:p w14:paraId="1658BA7D" w14:textId="77777777" w:rsidR="00F7430E" w:rsidRDefault="00F7430E" w:rsidP="00F7430E">
      <w:pPr>
        <w:pStyle w:val="ac"/>
        <w:numPr>
          <w:ilvl w:val="0"/>
          <w:numId w:val="1"/>
        </w:numPr>
        <w:spacing w:after="0" w:line="360" w:lineRule="auto"/>
        <w:jc w:val="both"/>
        <w:rPr>
          <w:rFonts w:ascii="David" w:hAnsi="David" w:cs="David"/>
          <w:sz w:val="24"/>
          <w:szCs w:val="24"/>
          <w:lang w:eastAsia="he-IL"/>
        </w:rPr>
      </w:pPr>
      <w:r>
        <w:rPr>
          <w:rFonts w:ascii="David" w:hAnsi="David" w:cs="David"/>
          <w:sz w:val="24"/>
          <w:szCs w:val="24"/>
          <w:rtl/>
        </w:rPr>
        <w:t xml:space="preserve">אשר על כן, לאור הערכים המוגנים שנפגעו ומידת הפגיעה בהם, מדיניות הענישה הנוהגת, והנסיבות הקשורות בביצוע העבירה, מצאתי לנכון לקבוע מתחם ענישה הנע בין  מספר חודשי חודשי מאסר, אשר ניתן לרצותם בדרך של עבודות שירות, ועד 18 חודשי מאסר בפועל יחד עם רכיבי ענישה נלווים.  </w:t>
      </w:r>
    </w:p>
    <w:p w14:paraId="64F71CD5" w14:textId="77777777" w:rsidR="00F7430E" w:rsidRDefault="00F7430E" w:rsidP="00F7430E">
      <w:pPr>
        <w:pStyle w:val="ac"/>
        <w:spacing w:after="0" w:line="360" w:lineRule="auto"/>
        <w:ind w:left="360"/>
        <w:jc w:val="both"/>
        <w:rPr>
          <w:rFonts w:ascii="David" w:hAnsi="David" w:cs="David"/>
          <w:sz w:val="24"/>
          <w:szCs w:val="24"/>
          <w:lang w:eastAsia="he-IL"/>
        </w:rPr>
      </w:pPr>
    </w:p>
    <w:p w14:paraId="771A05E5" w14:textId="77777777" w:rsidR="00F7430E" w:rsidRDefault="00F7430E" w:rsidP="00F7430E">
      <w:pPr>
        <w:spacing w:line="360" w:lineRule="auto"/>
        <w:jc w:val="both"/>
        <w:rPr>
          <w:rFonts w:ascii="David" w:hAnsi="David"/>
          <w:b/>
          <w:bCs/>
          <w:u w:val="single"/>
          <w:lang w:eastAsia="he-IL"/>
        </w:rPr>
      </w:pPr>
      <w:r>
        <w:rPr>
          <w:rFonts w:ascii="David" w:hAnsi="David"/>
          <w:b/>
          <w:bCs/>
          <w:u w:val="single"/>
          <w:rtl/>
          <w:lang w:eastAsia="he-IL"/>
        </w:rPr>
        <w:t xml:space="preserve">העונש המתאים לנאשם </w:t>
      </w:r>
    </w:p>
    <w:p w14:paraId="3C611F52" w14:textId="77777777" w:rsidR="00F7430E" w:rsidRDefault="00F7430E" w:rsidP="00F7430E">
      <w:pPr>
        <w:spacing w:line="360" w:lineRule="auto"/>
        <w:jc w:val="both"/>
        <w:rPr>
          <w:rFonts w:ascii="David" w:hAnsi="David"/>
          <w:b/>
          <w:bCs/>
          <w:u w:val="single"/>
          <w:rtl/>
          <w:lang w:eastAsia="he-IL"/>
        </w:rPr>
      </w:pPr>
    </w:p>
    <w:p w14:paraId="74FB73D0" w14:textId="77777777" w:rsidR="00F7430E" w:rsidRPr="00F7430E" w:rsidRDefault="00F7430E" w:rsidP="00F7430E">
      <w:pPr>
        <w:numPr>
          <w:ilvl w:val="0"/>
          <w:numId w:val="1"/>
        </w:numPr>
        <w:spacing w:after="160" w:line="360" w:lineRule="auto"/>
        <w:contextualSpacing/>
        <w:jc w:val="both"/>
        <w:rPr>
          <w:rFonts w:ascii="David" w:eastAsia="Calibri" w:hAnsi="David"/>
          <w:rtl/>
        </w:rPr>
      </w:pPr>
      <w:r w:rsidRPr="00F7430E">
        <w:rPr>
          <w:rFonts w:ascii="David" w:eastAsia="Calibri" w:hAnsi="David"/>
          <w:rtl/>
        </w:rPr>
        <w:t xml:space="preserve">הנאשם, בן 23, נעדר הרשעות קודמות. הוא נטל אחריות על מעשיו, הודה בכתב האישום המתוקן, והביע, במילתו האחרונה בבית המשפט, חרטה. עם זאת, התרשמתי כי לקיחת האחריות של הנאשם לא היתה מלאה, שכן  בפני שירות המבחן הוא שלל קשר לסמים שנתפסו אצלו, והצר על כך שלא בדק היטב את תא המטען של הרכב בו נסע, לפני הנסיעה.  </w:t>
      </w:r>
    </w:p>
    <w:p w14:paraId="6D96E965" w14:textId="77777777" w:rsidR="00F7430E" w:rsidRPr="00F7430E" w:rsidRDefault="00F7430E" w:rsidP="00F7430E">
      <w:pPr>
        <w:spacing w:after="160" w:line="360" w:lineRule="auto"/>
        <w:ind w:left="360"/>
        <w:contextualSpacing/>
        <w:jc w:val="both"/>
        <w:rPr>
          <w:rFonts w:ascii="David" w:eastAsia="Calibri" w:hAnsi="David"/>
        </w:rPr>
      </w:pPr>
    </w:p>
    <w:p w14:paraId="5184CB31" w14:textId="77777777" w:rsidR="00F7430E" w:rsidRPr="00F7430E" w:rsidRDefault="00F7430E" w:rsidP="00F7430E">
      <w:pPr>
        <w:numPr>
          <w:ilvl w:val="0"/>
          <w:numId w:val="1"/>
        </w:numPr>
        <w:spacing w:after="160" w:line="360" w:lineRule="auto"/>
        <w:contextualSpacing/>
        <w:jc w:val="both"/>
        <w:rPr>
          <w:rFonts w:ascii="David" w:eastAsia="Calibri" w:hAnsi="David"/>
        </w:rPr>
      </w:pPr>
      <w:r w:rsidRPr="00F7430E">
        <w:rPr>
          <w:rFonts w:ascii="David" w:eastAsia="Calibri" w:hAnsi="David"/>
          <w:rtl/>
        </w:rPr>
        <w:t xml:space="preserve">חרף הקושי של הנאשם לקחת אחריות מלאה, כאמור, הוא השתלב בהליך טיפולי אצל שירות המבחן, במסגרת הליך המעצר בתיק, והשירות התרשם כי הנאשם נתרם מכך, הוא "השתלב באופן חיובי בקבוצה, היה קשוב ומעורב בתכנים אשר הועלו בקבוצה, כן שיתף מעולמו הפנימי ובנסיבות מעצרו". עוד כתב שירות המבחן, כי כל בדיקות השתן שמסר הנאשם, נמצאו נקיות משרידי סם. </w:t>
      </w:r>
    </w:p>
    <w:p w14:paraId="6E73E83F" w14:textId="77777777" w:rsidR="00F7430E" w:rsidRPr="00F7430E" w:rsidRDefault="00F7430E" w:rsidP="00F7430E">
      <w:pPr>
        <w:spacing w:after="160" w:line="360" w:lineRule="auto"/>
        <w:ind w:left="360"/>
        <w:contextualSpacing/>
        <w:jc w:val="both"/>
        <w:rPr>
          <w:rFonts w:ascii="David" w:eastAsia="Calibri" w:hAnsi="David" w:cs="Arial"/>
          <w:sz w:val="22"/>
          <w:szCs w:val="22"/>
        </w:rPr>
      </w:pPr>
    </w:p>
    <w:p w14:paraId="6FA1A3BB" w14:textId="77777777" w:rsidR="00F7430E" w:rsidRPr="00F7430E" w:rsidRDefault="00F7430E" w:rsidP="00F7430E">
      <w:pPr>
        <w:spacing w:after="160" w:line="360" w:lineRule="auto"/>
        <w:ind w:left="360"/>
        <w:contextualSpacing/>
        <w:jc w:val="both"/>
        <w:rPr>
          <w:rFonts w:ascii="David" w:eastAsia="Calibri" w:hAnsi="David"/>
          <w:rtl/>
        </w:rPr>
      </w:pPr>
      <w:r w:rsidRPr="00F7430E">
        <w:rPr>
          <w:rFonts w:ascii="David" w:eastAsia="Calibri" w:hAnsi="David"/>
          <w:rtl/>
        </w:rPr>
        <w:t xml:space="preserve">שירות המבחן התרשם כי ההליך הטיפולי של הנאשם טרם הסתיים, מבחינת העמקת הדפוסים המכשילים אצלו, והתמודדות עם מצבי לחץ (אז עלול להתנהג באופן "מרצה ונגרר"); עוד נכתב כי "כי הייסם עסוק בנסיונו להציג חזות מתפקדת וחיובית וכי מנסה להדגיש חלקים חיוביים באישיותו אך יחד עם זאת קיים פער בין הצגתו אל מול חומרת העבירה המיוחסת לו ואנו מתרשמים מאי בהירות בנוגע לקשריו השוליים ומטשטוש".  מאידך גיסא,  סבר שירות המבחן כי הנאשם לא זקוק לטיפול בתחום הסמים. שירות המבחן המליץ שבמהלך תקופת המבחן, יעקוב אחר הנאשם, ויבנה לו תכנית טיפולית המותאמת לצרכיו, אם יהיה צורך בכך. </w:t>
      </w:r>
    </w:p>
    <w:p w14:paraId="27133E09" w14:textId="77777777" w:rsidR="00F7430E" w:rsidRPr="00F7430E" w:rsidRDefault="00F7430E" w:rsidP="00F7430E">
      <w:pPr>
        <w:spacing w:after="160" w:line="360" w:lineRule="auto"/>
        <w:ind w:left="360"/>
        <w:contextualSpacing/>
        <w:jc w:val="both"/>
        <w:rPr>
          <w:rFonts w:ascii="David" w:eastAsia="Calibri" w:hAnsi="David"/>
          <w:rtl/>
        </w:rPr>
      </w:pPr>
    </w:p>
    <w:p w14:paraId="283FB7E9" w14:textId="77777777" w:rsidR="00F7430E" w:rsidRPr="00F7430E" w:rsidRDefault="00F7430E" w:rsidP="00F7430E">
      <w:pPr>
        <w:spacing w:after="160" w:line="360" w:lineRule="auto"/>
        <w:ind w:left="360"/>
        <w:contextualSpacing/>
        <w:jc w:val="both"/>
        <w:rPr>
          <w:rFonts w:ascii="David" w:eastAsia="Calibri" w:hAnsi="David"/>
          <w:rtl/>
        </w:rPr>
      </w:pPr>
      <w:r w:rsidRPr="00F7430E">
        <w:rPr>
          <w:rFonts w:ascii="David" w:eastAsia="Calibri" w:hAnsi="David"/>
          <w:rtl/>
        </w:rPr>
        <w:t xml:space="preserve">שירות המבחן הוסיף כי הנאשם עובד מזה מספר חודשים כנהג משאית, ונמצא בהליך על מנת להיות בעל רישיון לנהיגה במשאית מעל 15 טון. שירות המבחן כתב כי הנאשם, חרף גילו הצעיר, כבר אב ל-4 ילדים קטנים, בגילאי חצי שנה עד חמש, והוא משקיע מאמצים נורמטיביים על מנת לפרנסם, ובהמשך לכך המליץ להימנע מהשתת עונש מאסר לריצוי בדרך של עבודות שירות. </w:t>
      </w:r>
    </w:p>
    <w:p w14:paraId="2F7F3AEA" w14:textId="77777777" w:rsidR="00F7430E" w:rsidRPr="00F7430E" w:rsidRDefault="00F7430E" w:rsidP="00F7430E">
      <w:pPr>
        <w:spacing w:line="360" w:lineRule="auto"/>
        <w:jc w:val="both"/>
        <w:rPr>
          <w:rFonts w:ascii="David" w:eastAsia="Calibri" w:hAnsi="David"/>
          <w:rtl/>
        </w:rPr>
      </w:pPr>
    </w:p>
    <w:p w14:paraId="3F03F19C" w14:textId="77777777" w:rsidR="00F7430E" w:rsidRPr="00F7430E" w:rsidRDefault="00F7430E" w:rsidP="00F7430E">
      <w:pPr>
        <w:numPr>
          <w:ilvl w:val="0"/>
          <w:numId w:val="1"/>
        </w:numPr>
        <w:spacing w:after="160" w:line="360" w:lineRule="auto"/>
        <w:contextualSpacing/>
        <w:jc w:val="both"/>
        <w:rPr>
          <w:rFonts w:ascii="David" w:eastAsia="Calibri" w:hAnsi="David"/>
        </w:rPr>
      </w:pPr>
      <w:r w:rsidRPr="00F7430E">
        <w:rPr>
          <w:rFonts w:ascii="David" w:eastAsia="Calibri" w:hAnsi="David"/>
          <w:rtl/>
        </w:rPr>
        <w:t xml:space="preserve">עולה מהאמור כי הנאשם עבר כברת דרך חיובית מאז ביצוע העבירה, לא הסתבך שוב עם החוק, ואף רכש כלים שיסייעו לו בהתמודדות עתידית; עם זאת, לקיחת האחריות לא היתה שלמה, ונראה כי הנאשם זקוק ללווי טיפולי נוסף של שירות המבחן. </w:t>
      </w:r>
    </w:p>
    <w:p w14:paraId="1558B5E8" w14:textId="77777777" w:rsidR="00F7430E" w:rsidRPr="00F7430E" w:rsidRDefault="00F7430E" w:rsidP="00F7430E">
      <w:pPr>
        <w:spacing w:after="160" w:line="360" w:lineRule="auto"/>
        <w:ind w:left="360"/>
        <w:contextualSpacing/>
        <w:jc w:val="both"/>
        <w:rPr>
          <w:rFonts w:ascii="David" w:eastAsia="Calibri" w:hAnsi="David"/>
        </w:rPr>
      </w:pPr>
    </w:p>
    <w:p w14:paraId="07473CA8" w14:textId="77777777" w:rsidR="00F7430E" w:rsidRPr="00F7430E" w:rsidRDefault="00F7430E" w:rsidP="00F7430E">
      <w:pPr>
        <w:numPr>
          <w:ilvl w:val="0"/>
          <w:numId w:val="1"/>
        </w:numPr>
        <w:spacing w:after="160" w:line="360" w:lineRule="auto"/>
        <w:contextualSpacing/>
        <w:jc w:val="both"/>
        <w:rPr>
          <w:rFonts w:ascii="David" w:eastAsia="Calibri" w:hAnsi="David"/>
        </w:rPr>
      </w:pPr>
      <w:r w:rsidRPr="00F7430E">
        <w:rPr>
          <w:rFonts w:ascii="David" w:eastAsia="Calibri" w:hAnsi="David"/>
          <w:rtl/>
        </w:rPr>
        <w:t xml:space="preserve">נתונים אלה מובילים למסקנה כי יש למקם את הנאשם ברף התחתון של מתחם הענישה שנקבע. עם זאת, לא שוכנעתי כי נסיבותיו מצדיקות חריגה לקולא עד כדי סטייה ממתחם הענישה. </w:t>
      </w:r>
    </w:p>
    <w:p w14:paraId="52EEB56C" w14:textId="77777777" w:rsidR="00F7430E" w:rsidRPr="00F7430E" w:rsidRDefault="00F7430E" w:rsidP="00F7430E">
      <w:pPr>
        <w:spacing w:line="360" w:lineRule="auto"/>
        <w:ind w:left="360"/>
        <w:contextualSpacing/>
        <w:jc w:val="both"/>
        <w:rPr>
          <w:rFonts w:ascii="David" w:eastAsia="Calibri" w:hAnsi="David"/>
        </w:rPr>
      </w:pPr>
    </w:p>
    <w:p w14:paraId="2AB2D983" w14:textId="77777777" w:rsidR="00F7430E" w:rsidRPr="00F7430E" w:rsidRDefault="00F7430E" w:rsidP="00F7430E">
      <w:pPr>
        <w:numPr>
          <w:ilvl w:val="0"/>
          <w:numId w:val="1"/>
        </w:numPr>
        <w:spacing w:after="160" w:line="360" w:lineRule="auto"/>
        <w:contextualSpacing/>
        <w:jc w:val="both"/>
        <w:rPr>
          <w:rFonts w:ascii="David" w:eastAsia="Calibri" w:hAnsi="David"/>
        </w:rPr>
      </w:pPr>
      <w:r w:rsidRPr="00F7430E">
        <w:rPr>
          <w:rFonts w:ascii="David" w:eastAsia="Calibri" w:hAnsi="David"/>
          <w:rtl/>
        </w:rPr>
        <w:t xml:space="preserve">במסגרת ע"פ 126/22‏ מדינת ישראל נ' פלוני (27.4.2022) חזר בית המשפט העליון על ההלכה לפיה הפעלת הסמכות לפי </w:t>
      </w:r>
      <w:hyperlink r:id="rId26" w:history="1">
        <w:r w:rsidR="000B4294" w:rsidRPr="000B4294">
          <w:rPr>
            <w:rStyle w:val="Hyperlink"/>
            <w:rFonts w:ascii="David" w:eastAsia="Calibri" w:hAnsi="David"/>
            <w:rtl/>
          </w:rPr>
          <w:t>סעיף 40ד(א)</w:t>
        </w:r>
      </w:hyperlink>
      <w:r w:rsidRPr="00F7430E">
        <w:rPr>
          <w:rFonts w:ascii="David" w:eastAsia="Calibri" w:hAnsi="David"/>
          <w:rtl/>
        </w:rPr>
        <w:t xml:space="preserve"> (חריגה לקולא ממתחם הענישה נוכח שיקולי שיקום, ג.א) תתאפשר רק במקרים </w:t>
      </w:r>
      <w:r w:rsidRPr="00F7430E">
        <w:rPr>
          <w:rFonts w:ascii="David" w:eastAsia="Calibri" w:hAnsi="David"/>
          <w:b/>
          <w:bCs/>
          <w:rtl/>
        </w:rPr>
        <w:t>חריגים , יוצאים מן הכלל, ומובהקים</w:t>
      </w:r>
      <w:r w:rsidRPr="00F7430E">
        <w:rPr>
          <w:rFonts w:ascii="David" w:eastAsia="Calibri" w:hAnsi="David"/>
          <w:rtl/>
        </w:rPr>
        <w:t>, כדלקמן:</w:t>
      </w:r>
    </w:p>
    <w:p w14:paraId="2A4F31EF" w14:textId="77777777" w:rsidR="00F7430E" w:rsidRPr="00F7430E" w:rsidRDefault="00F7430E" w:rsidP="00F7430E">
      <w:pPr>
        <w:spacing w:line="360" w:lineRule="auto"/>
        <w:ind w:left="360"/>
        <w:contextualSpacing/>
        <w:jc w:val="both"/>
        <w:rPr>
          <w:rFonts w:ascii="David" w:eastAsia="Calibri" w:hAnsi="David"/>
          <w:rtl/>
        </w:rPr>
      </w:pPr>
    </w:p>
    <w:p w14:paraId="3B3B7245" w14:textId="77777777" w:rsidR="00F7430E" w:rsidRPr="00F7430E" w:rsidRDefault="00F7430E" w:rsidP="00F7430E">
      <w:pPr>
        <w:spacing w:line="360" w:lineRule="auto"/>
        <w:ind w:left="360"/>
        <w:contextualSpacing/>
        <w:jc w:val="both"/>
        <w:rPr>
          <w:rFonts w:ascii="David" w:eastAsia="Calibri" w:hAnsi="David"/>
          <w:rtl/>
        </w:rPr>
      </w:pPr>
      <w:r w:rsidRPr="00F7430E">
        <w:rPr>
          <w:rFonts w:ascii="David" w:eastAsia="Calibri" w:hAnsi="David"/>
          <w:rtl/>
        </w:rPr>
        <w:t>"אכן, סעיף 40ד(א) ל</w:t>
      </w:r>
      <w:hyperlink r:id="rId27" w:history="1">
        <w:r w:rsidR="00767005" w:rsidRPr="00767005">
          <w:rPr>
            <w:rFonts w:ascii="David" w:eastAsia="Calibri" w:hAnsi="David"/>
            <w:color w:val="0000FF"/>
            <w:u w:val="single"/>
            <w:rtl/>
          </w:rPr>
          <w:t>חוק העונשין</w:t>
        </w:r>
      </w:hyperlink>
      <w:r w:rsidRPr="00F7430E">
        <w:rPr>
          <w:rFonts w:ascii="David" w:eastAsia="Calibri" w:hAnsi="David"/>
          <w:rtl/>
        </w:rPr>
        <w:t xml:space="preserve"> מאפשר לבית המשפט, במקרים המתאימים, לחרוג ממתחם הענישה אם 'מצא כי הנאשם השתקם או כי יש סיכוי של ממש שישתקם'. סעיף זה מבטא את עמדת המחוקק שלפיה, במקרים המתאימים לכך, יש ליתן מעמד בכורה לשיקול השיקומי על-פני העיקרון המנחה בענישה, הוא עיקרון ההלימה. ואולם, כפי שעולה בבירור מהוראות החוק, </w:t>
      </w:r>
      <w:r w:rsidRPr="00F7430E">
        <w:rPr>
          <w:rFonts w:ascii="David" w:eastAsia="Calibri" w:hAnsi="David"/>
          <w:b/>
          <w:bCs/>
          <w:rtl/>
        </w:rPr>
        <w:t>לא בכל מקרה שבו תהליך טיפולי מתקדם בכיוון חיובי, יש להפעיל את הסמכות הקבועה בסעיף 40ד ל</w:t>
      </w:r>
      <w:hyperlink r:id="rId28" w:history="1">
        <w:r w:rsidR="00767005" w:rsidRPr="00767005">
          <w:rPr>
            <w:rFonts w:ascii="David" w:eastAsia="Calibri" w:hAnsi="David"/>
            <w:b/>
            <w:bCs/>
            <w:color w:val="0000FF"/>
            <w:u w:val="single"/>
            <w:rtl/>
          </w:rPr>
          <w:t>חוק העונשין</w:t>
        </w:r>
      </w:hyperlink>
      <w:r w:rsidRPr="00F7430E">
        <w:rPr>
          <w:rFonts w:ascii="David" w:eastAsia="Calibri" w:hAnsi="David"/>
          <w:b/>
          <w:bCs/>
          <w:rtl/>
        </w:rPr>
        <w:t>. אחרת, נמצא כי החריג מרוקן מתוכן את הכלל, שלפיו יש לגזור את העונש בתוך מתחם הענישה בהלימה לחומרת המעשה ולמידת האשם של העושה</w:t>
      </w:r>
      <w:r w:rsidRPr="00F7430E">
        <w:rPr>
          <w:rFonts w:ascii="David" w:eastAsia="Calibri" w:hAnsi="David"/>
          <w:rtl/>
        </w:rPr>
        <w:t xml:space="preserve"> (ראו גם: דברי הסבר להצעת </w:t>
      </w:r>
      <w:hyperlink r:id="rId29" w:history="1">
        <w:r w:rsidR="00767005" w:rsidRPr="00767005">
          <w:rPr>
            <w:rFonts w:ascii="David" w:eastAsia="Calibri" w:hAnsi="David"/>
            <w:color w:val="0000FF"/>
            <w:u w:val="single"/>
            <w:rtl/>
          </w:rPr>
          <w:t>חוק העונשין</w:t>
        </w:r>
      </w:hyperlink>
      <w:r w:rsidRPr="00F7430E">
        <w:rPr>
          <w:rFonts w:ascii="David" w:eastAsia="Calibri" w:hAnsi="David"/>
          <w:rtl/>
        </w:rPr>
        <w:t xml:space="preserve"> (תיקון מס' 92) (הבניית שיקול הדעת השיפוטי בענישה), התשס"ו-2006, ה"ח 241, 448-447). לא בכדי אפוא, נקבע כי </w:t>
      </w:r>
      <w:r w:rsidRPr="00F7430E">
        <w:rPr>
          <w:rFonts w:ascii="David" w:eastAsia="Calibri" w:hAnsi="David"/>
          <w:b/>
          <w:bCs/>
          <w:rtl/>
        </w:rPr>
        <w:t>יש לנקוט זהירות רבה בהפעלת סעיף 40ד ל</w:t>
      </w:r>
      <w:hyperlink r:id="rId30" w:history="1">
        <w:r w:rsidR="00767005" w:rsidRPr="00767005">
          <w:rPr>
            <w:rFonts w:ascii="David" w:eastAsia="Calibri" w:hAnsi="David"/>
            <w:b/>
            <w:bCs/>
            <w:color w:val="0000FF"/>
            <w:u w:val="single"/>
            <w:rtl/>
          </w:rPr>
          <w:t>חוק העונשין</w:t>
        </w:r>
      </w:hyperlink>
      <w:r w:rsidRPr="00F7430E">
        <w:rPr>
          <w:rFonts w:ascii="David" w:eastAsia="Calibri" w:hAnsi="David"/>
          <w:b/>
          <w:bCs/>
          <w:rtl/>
        </w:rPr>
        <w:t>, וכי סטייה ממתחם הענישה תיעשה אך במקרים חריגים, בבחינת יוצא מן הכלל, כאשר סיכויי שיקום מובהקים מצדיקים זאת</w:t>
      </w:r>
      <w:r w:rsidRPr="00F7430E">
        <w:rPr>
          <w:rFonts w:ascii="David" w:eastAsia="Calibri" w:hAnsi="David"/>
          <w:rtl/>
        </w:rPr>
        <w:t xml:space="preserve">[3] (ראו: </w:t>
      </w:r>
      <w:hyperlink r:id="rId31" w:history="1">
        <w:r w:rsidR="00767005" w:rsidRPr="00767005">
          <w:rPr>
            <w:rFonts w:ascii="David" w:eastAsia="Calibri" w:hAnsi="David"/>
            <w:color w:val="0000FF"/>
            <w:u w:val="single"/>
            <w:rtl/>
          </w:rPr>
          <w:t>ע"פ 1229/19</w:t>
        </w:r>
      </w:hyperlink>
      <w:r w:rsidRPr="00F7430E">
        <w:rPr>
          <w:rFonts w:ascii="David" w:eastAsia="Calibri" w:hAnsi="David"/>
          <w:rtl/>
        </w:rPr>
        <w:t xml:space="preserve"> סלומינסקי נ' מדינת ישראל, פס' 13 [פורסם בנבו] (1.7.2019)). עוד נקבע בפסיקה, כי על מנת להעריך את סיכויי השיקום יש לשקול, בין היתר, את 'המוטיבציה שהפגין האדם שהורשע להשתקם; הליך של גמילה מהתמכרות שהוא עובר; השתלבות מוצלחת בהליכים טיפוליים שונים; </w:t>
      </w:r>
      <w:r w:rsidRPr="00F7430E">
        <w:rPr>
          <w:rFonts w:ascii="David" w:eastAsia="Calibri" w:hAnsi="David"/>
          <w:b/>
          <w:bCs/>
          <w:rtl/>
        </w:rPr>
        <w:t>אינדיקציות לשינוי עמוק בהתנהגות ובדרך החשיבה</w:t>
      </w:r>
      <w:r w:rsidRPr="00F7430E">
        <w:rPr>
          <w:rFonts w:ascii="David" w:eastAsia="Calibri" w:hAnsi="David"/>
          <w:rtl/>
        </w:rPr>
        <w:t>; הבעת חרטה כנה על המעשים והפגנת אמפתיה כלפי נפגעי העבירה' (</w:t>
      </w:r>
      <w:hyperlink r:id="rId32" w:history="1">
        <w:r w:rsidR="00767005" w:rsidRPr="00767005">
          <w:rPr>
            <w:rFonts w:ascii="David" w:eastAsia="Calibri" w:hAnsi="David"/>
            <w:color w:val="0000FF"/>
            <w:u w:val="single"/>
            <w:rtl/>
          </w:rPr>
          <w:t>ע"פ 6637/17</w:t>
        </w:r>
      </w:hyperlink>
      <w:r w:rsidRPr="00F7430E">
        <w:rPr>
          <w:rFonts w:ascii="David" w:eastAsia="Calibri" w:hAnsi="David"/>
          <w:rtl/>
        </w:rPr>
        <w:t xml:space="preserve"> קרנדל נ' מדינת ישראל, פס' 24 [פורסם בנבו] (18.4.2018)). לצד זאת, הובהר כי 'התקיימותו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(שם, פס' 25). ואכן, </w:t>
      </w:r>
      <w:r w:rsidRPr="00F7430E">
        <w:rPr>
          <w:rFonts w:ascii="David" w:eastAsia="Calibri" w:hAnsi="David"/>
          <w:b/>
          <w:bCs/>
          <w:rtl/>
        </w:rPr>
        <w:t>חרף חשיבותו של אינטרס השיקום – לנאשם עצמו, לסביבתו הקרובה ולחברה כולה – שיקול זה אינו עומד לבדו ויש לראות בעת גזירת העונש את המכלול</w:t>
      </w:r>
      <w:r w:rsidRPr="00F7430E">
        <w:rPr>
          <w:rFonts w:ascii="David" w:eastAsia="Calibri" w:hAnsi="David"/>
          <w:rtl/>
        </w:rPr>
        <w:t xml:space="preserve"> (ראו עניין סטרוסטה, פס' 7; </w:t>
      </w:r>
      <w:hyperlink r:id="rId33" w:history="1">
        <w:r w:rsidR="00767005" w:rsidRPr="00767005">
          <w:rPr>
            <w:rFonts w:ascii="David" w:eastAsia="Calibri" w:hAnsi="David"/>
            <w:color w:val="0000FF"/>
            <w:u w:val="single"/>
            <w:rtl/>
          </w:rPr>
          <w:t>רע"פ 4218/15</w:t>
        </w:r>
      </w:hyperlink>
      <w:r w:rsidRPr="00F7430E">
        <w:rPr>
          <w:rFonts w:ascii="David" w:eastAsia="Calibri" w:hAnsi="David"/>
          <w:rtl/>
        </w:rPr>
        <w:t xml:space="preserve"> אמסלם נ' מדינת ישראל, פס' 8 [פורסם בנבו] (18.6.2015); עניין סלומינסקי, פס' 15))".</w:t>
      </w:r>
    </w:p>
    <w:p w14:paraId="729B8FBD" w14:textId="77777777" w:rsidR="00F7430E" w:rsidRPr="00F7430E" w:rsidRDefault="00F7430E" w:rsidP="00F7430E">
      <w:pPr>
        <w:spacing w:line="360" w:lineRule="auto"/>
        <w:ind w:left="360"/>
        <w:contextualSpacing/>
        <w:jc w:val="both"/>
        <w:rPr>
          <w:rFonts w:ascii="David" w:eastAsia="Calibri" w:hAnsi="David"/>
          <w:rtl/>
        </w:rPr>
      </w:pPr>
    </w:p>
    <w:p w14:paraId="54E63B39" w14:textId="77777777" w:rsidR="00F7430E" w:rsidRPr="00F7430E" w:rsidRDefault="00F7430E" w:rsidP="00F7430E">
      <w:pPr>
        <w:numPr>
          <w:ilvl w:val="0"/>
          <w:numId w:val="1"/>
        </w:numPr>
        <w:spacing w:after="160" w:line="360" w:lineRule="auto"/>
        <w:contextualSpacing/>
        <w:jc w:val="both"/>
        <w:rPr>
          <w:rFonts w:ascii="David" w:eastAsia="Calibri" w:hAnsi="David"/>
          <w:rtl/>
        </w:rPr>
      </w:pPr>
      <w:r w:rsidRPr="00F7430E">
        <w:rPr>
          <w:rFonts w:ascii="David" w:eastAsia="Calibri" w:hAnsi="David"/>
          <w:rtl/>
        </w:rPr>
        <w:t xml:space="preserve">במקרה של הנאשם כאן, תסקיר שירות המבחן לימד כי הנאשם אכן החל בדרך טיפולית חיובית, והפיק את המסקנות הראויות, אולם קשה לומר, כאמור, כי הנאשם עבר שינוי תודעתי עמוק. שירות המבחן כאמור ציין פער בין נטיית הנאשם להצגתו כדמות בעלת מאפיינים חיוביים לבין חומרת העבירה המיוחסת לו, אשר כאמור, התקשה ליטול אחריות על מלוא מרכיביה. </w:t>
      </w:r>
    </w:p>
    <w:p w14:paraId="1F7AD366" w14:textId="77777777" w:rsidR="00F7430E" w:rsidRPr="00F7430E" w:rsidRDefault="00F7430E" w:rsidP="00F7430E">
      <w:pPr>
        <w:spacing w:line="360" w:lineRule="auto"/>
        <w:ind w:left="360"/>
        <w:contextualSpacing/>
        <w:jc w:val="both"/>
        <w:rPr>
          <w:rFonts w:ascii="David" w:eastAsia="Calibri" w:hAnsi="David"/>
        </w:rPr>
      </w:pPr>
    </w:p>
    <w:p w14:paraId="460CB3CA" w14:textId="77777777" w:rsidR="00F7430E" w:rsidRPr="00F7430E" w:rsidRDefault="00F7430E" w:rsidP="00F7430E">
      <w:pPr>
        <w:spacing w:line="360" w:lineRule="auto"/>
        <w:ind w:left="360"/>
        <w:contextualSpacing/>
        <w:jc w:val="both"/>
        <w:rPr>
          <w:rFonts w:ascii="David" w:eastAsia="Calibri" w:hAnsi="David"/>
          <w:rtl/>
        </w:rPr>
      </w:pPr>
      <w:r w:rsidRPr="00F7430E">
        <w:rPr>
          <w:rFonts w:ascii="David" w:eastAsia="Calibri" w:hAnsi="David"/>
          <w:rtl/>
        </w:rPr>
        <w:t xml:space="preserve">שירות המבחן כתב כי הנאשם "הכחיש כי הסמים שייכים לו ולדבריו אינו מעורב בחברה שולית ולא מעורב בתחום הסמים. הייסם שיתף כי הודה בתיק על מנת לסיים את ההליכים המשפטיים בהקדם וזאת לאור מצבו הרגיש באותה התקופה...". לא בכדי התרשם שירות המבחן מאי בהירות וטשטוש בנוגע לקשריו השוליים של הנאשם. </w:t>
      </w:r>
    </w:p>
    <w:p w14:paraId="705A2E03" w14:textId="77777777" w:rsidR="00F7430E" w:rsidRPr="00F7430E" w:rsidRDefault="00F7430E" w:rsidP="00F7430E">
      <w:pPr>
        <w:spacing w:line="360" w:lineRule="auto"/>
        <w:jc w:val="both"/>
        <w:rPr>
          <w:rFonts w:ascii="David" w:eastAsia="Calibri" w:hAnsi="David"/>
          <w:rtl/>
        </w:rPr>
      </w:pPr>
    </w:p>
    <w:p w14:paraId="4EA41CEE" w14:textId="77777777" w:rsidR="00F7430E" w:rsidRPr="00F7430E" w:rsidRDefault="00F7430E" w:rsidP="00F7430E">
      <w:pPr>
        <w:numPr>
          <w:ilvl w:val="0"/>
          <w:numId w:val="1"/>
        </w:numPr>
        <w:spacing w:after="160" w:line="360" w:lineRule="auto"/>
        <w:contextualSpacing/>
        <w:jc w:val="both"/>
        <w:rPr>
          <w:rFonts w:ascii="David" w:eastAsia="Calibri" w:hAnsi="David"/>
        </w:rPr>
      </w:pPr>
      <w:r w:rsidRPr="00F7430E">
        <w:rPr>
          <w:rFonts w:ascii="David" w:eastAsia="Calibri" w:hAnsi="David"/>
          <w:rtl/>
        </w:rPr>
        <w:t>לפיכך אני סבור כי לא ניתן לומר, בראי הקבוע בפסיקת בית המשפט העליון, כי מדובר במקרה "</w:t>
      </w:r>
      <w:r w:rsidRPr="00F7430E">
        <w:rPr>
          <w:rFonts w:ascii="David" w:eastAsia="Calibri" w:hAnsi="David"/>
          <w:b/>
          <w:bCs/>
          <w:rtl/>
        </w:rPr>
        <w:t>מובהק</w:t>
      </w:r>
      <w:r w:rsidRPr="00F7430E">
        <w:rPr>
          <w:rFonts w:ascii="David" w:eastAsia="Calibri" w:hAnsi="David"/>
          <w:rtl/>
        </w:rPr>
        <w:t xml:space="preserve">", המצדיק חריגה לקולא ממתחם הענישה. </w:t>
      </w:r>
    </w:p>
    <w:p w14:paraId="08F6A969" w14:textId="77777777" w:rsidR="00F7430E" w:rsidRPr="00F7430E" w:rsidRDefault="00F7430E" w:rsidP="00F7430E">
      <w:pPr>
        <w:spacing w:after="160" w:line="360" w:lineRule="auto"/>
        <w:ind w:left="360"/>
        <w:contextualSpacing/>
        <w:jc w:val="both"/>
        <w:rPr>
          <w:rFonts w:ascii="David" w:eastAsia="Calibri" w:hAnsi="David"/>
        </w:rPr>
      </w:pPr>
    </w:p>
    <w:p w14:paraId="79CDD78A" w14:textId="77777777" w:rsidR="00F7430E" w:rsidRPr="00F7430E" w:rsidRDefault="00F7430E" w:rsidP="00F7430E">
      <w:pPr>
        <w:numPr>
          <w:ilvl w:val="0"/>
          <w:numId w:val="1"/>
        </w:numPr>
        <w:spacing w:after="160" w:line="360" w:lineRule="auto"/>
        <w:contextualSpacing/>
        <w:jc w:val="both"/>
        <w:rPr>
          <w:rFonts w:ascii="David" w:eastAsia="Calibri" w:hAnsi="David"/>
        </w:rPr>
      </w:pPr>
      <w:r w:rsidRPr="00F7430E">
        <w:rPr>
          <w:rFonts w:ascii="David" w:eastAsia="Calibri" w:hAnsi="David"/>
          <w:rtl/>
        </w:rPr>
        <w:t>לא נעלמה מעיני המלצת שירות המבחן להימנע מהטלת מאסר ולו בדרך של עבודות שירות, מאחר והדבר עלול לגדוע את הרצף  התעסוקתי של הנאשם ולפגוע ביכולתו לכלכל את משפחתו. עם זאת, המלצת שירות המבחן מהווה שיקול אחד מיני רבים אשר על בית המשפט לשקול בגוזרו את הדין; "השופט</w:t>
      </w:r>
      <w:r w:rsidRPr="00F7430E">
        <w:rPr>
          <w:rFonts w:ascii="David" w:eastAsia="Calibri" w:hAnsi="David"/>
        </w:rPr>
        <w:t xml:space="preserve">, </w:t>
      </w:r>
      <w:r w:rsidRPr="00F7430E">
        <w:rPr>
          <w:rFonts w:ascii="David" w:eastAsia="Calibri" w:hAnsi="David"/>
          <w:rtl/>
        </w:rPr>
        <w:t xml:space="preserve">הוא אשר ישים במאזני שיקוליו, כאחד השיקולים החשובים, גם את המלצתו של קצין המבחן. אך בכך לא סגי" – </w:t>
      </w:r>
      <w:hyperlink r:id="rId34" w:history="1">
        <w:r w:rsidR="00767005" w:rsidRPr="00767005">
          <w:rPr>
            <w:rFonts w:ascii="David" w:eastAsia="Calibri" w:hAnsi="David"/>
            <w:color w:val="0000FF"/>
            <w:u w:val="single"/>
            <w:rtl/>
          </w:rPr>
          <w:t>רע"פ 3058/07</w:t>
        </w:r>
      </w:hyperlink>
      <w:r w:rsidRPr="00F7430E">
        <w:rPr>
          <w:rFonts w:ascii="David" w:eastAsia="Calibri" w:hAnsi="David"/>
          <w:rtl/>
        </w:rPr>
        <w:t xml:space="preserve"> </w:t>
      </w:r>
      <w:r w:rsidRPr="00F7430E">
        <w:rPr>
          <w:rFonts w:ascii="David" w:eastAsia="Calibri" w:hAnsi="David"/>
          <w:b/>
          <w:bCs/>
          <w:rtl/>
        </w:rPr>
        <w:t xml:space="preserve">פז נ' מדינת ישראל </w:t>
      </w:r>
      <w:r w:rsidRPr="00F7430E">
        <w:rPr>
          <w:rFonts w:ascii="David" w:eastAsia="Calibri" w:hAnsi="David"/>
          <w:rtl/>
        </w:rPr>
        <w:t>(3.5.2007).</w:t>
      </w:r>
    </w:p>
    <w:p w14:paraId="68D2C463" w14:textId="77777777" w:rsidR="00F7430E" w:rsidRPr="00F7430E" w:rsidRDefault="00F7430E" w:rsidP="00F7430E">
      <w:pPr>
        <w:spacing w:line="360" w:lineRule="auto"/>
        <w:ind w:left="360"/>
        <w:contextualSpacing/>
        <w:jc w:val="both"/>
        <w:rPr>
          <w:rFonts w:ascii="David" w:eastAsia="Calibri" w:hAnsi="David"/>
          <w:rtl/>
        </w:rPr>
      </w:pPr>
    </w:p>
    <w:p w14:paraId="78C50285" w14:textId="77777777" w:rsidR="00F7430E" w:rsidRPr="00F7430E" w:rsidRDefault="00F7430E" w:rsidP="00F7430E">
      <w:pPr>
        <w:numPr>
          <w:ilvl w:val="0"/>
          <w:numId w:val="1"/>
        </w:numPr>
        <w:spacing w:after="160" w:line="360" w:lineRule="auto"/>
        <w:contextualSpacing/>
        <w:jc w:val="both"/>
        <w:rPr>
          <w:rFonts w:ascii="David" w:eastAsia="Calibri" w:hAnsi="David"/>
          <w:rtl/>
        </w:rPr>
      </w:pPr>
      <w:r w:rsidRPr="00F7430E">
        <w:rPr>
          <w:rFonts w:ascii="David" w:eastAsia="Calibri" w:hAnsi="David"/>
          <w:rtl/>
        </w:rPr>
        <w:t xml:space="preserve">לסיום, במיקום עונשו של הנאשם בגדרי מתחם הענישה הבאתי בחשבון לקולא, כי הנאשם חווה, לפני זמן לא רב, טרגדיה קשה בחייו האישיים, כאשר שכל את אחייניתו בנסיבות טרגיות, כשהיתה רק בת שנתיים וחצי; הוא שיתף את שירות המבחן באסון המשפחתי שהתרחש במשפחתו, וגם סיפר על הטראומה הקשה שנגרמה לו מכך, באופן אישי. </w:t>
      </w:r>
    </w:p>
    <w:p w14:paraId="38FEB27C" w14:textId="77777777" w:rsidR="00F7430E" w:rsidRPr="00F7430E" w:rsidRDefault="00F7430E" w:rsidP="00F7430E">
      <w:pPr>
        <w:spacing w:after="160" w:line="360" w:lineRule="auto"/>
        <w:ind w:left="360"/>
        <w:contextualSpacing/>
        <w:jc w:val="both"/>
        <w:rPr>
          <w:rFonts w:ascii="David" w:eastAsia="Calibri" w:hAnsi="David"/>
        </w:rPr>
      </w:pPr>
    </w:p>
    <w:p w14:paraId="1E1216CA" w14:textId="77777777" w:rsidR="00F7430E" w:rsidRPr="00F7430E" w:rsidRDefault="00F7430E" w:rsidP="00F7430E">
      <w:pPr>
        <w:numPr>
          <w:ilvl w:val="0"/>
          <w:numId w:val="1"/>
        </w:numPr>
        <w:spacing w:after="160" w:line="360" w:lineRule="auto"/>
        <w:contextualSpacing/>
        <w:jc w:val="both"/>
        <w:rPr>
          <w:rFonts w:ascii="David" w:eastAsia="Calibri" w:hAnsi="David"/>
        </w:rPr>
      </w:pPr>
      <w:r w:rsidRPr="00F7430E">
        <w:rPr>
          <w:rFonts w:ascii="David" w:eastAsia="Calibri" w:hAnsi="David"/>
          <w:rtl/>
        </w:rPr>
        <w:t>אשר על כן אני גוזר על הנאשם את העונשים הבאים:</w:t>
      </w:r>
    </w:p>
    <w:p w14:paraId="370111C2" w14:textId="77777777" w:rsidR="00F7430E" w:rsidRPr="00F7430E" w:rsidRDefault="00F7430E" w:rsidP="00F7430E">
      <w:pPr>
        <w:spacing w:after="160" w:line="256" w:lineRule="auto"/>
        <w:ind w:left="720"/>
        <w:contextualSpacing/>
        <w:jc w:val="both"/>
        <w:rPr>
          <w:rFonts w:ascii="David" w:eastAsia="Calibri" w:hAnsi="David"/>
        </w:rPr>
      </w:pPr>
    </w:p>
    <w:p w14:paraId="3F13192B" w14:textId="77777777" w:rsidR="00F7430E" w:rsidRPr="00F7430E" w:rsidRDefault="00F7430E" w:rsidP="00F7430E">
      <w:pPr>
        <w:numPr>
          <w:ilvl w:val="1"/>
          <w:numId w:val="5"/>
        </w:numPr>
        <w:spacing w:after="160" w:line="360" w:lineRule="auto"/>
        <w:contextualSpacing/>
        <w:jc w:val="both"/>
        <w:rPr>
          <w:rFonts w:ascii="David" w:eastAsia="Calibri" w:hAnsi="David"/>
        </w:rPr>
      </w:pPr>
      <w:r w:rsidRPr="00F7430E">
        <w:rPr>
          <w:rFonts w:ascii="David" w:eastAsia="Calibri" w:hAnsi="David"/>
          <w:rtl/>
        </w:rPr>
        <w:t xml:space="preserve">4 חודשי  מאסר בפועל. המאסר ירוצה בדרך של עבודות שירות במרכז יום לקשיש רהט. הנאשם יחל בעבודות השירות ביום 15.1.2023. הנאשם מוזהר כי אי עמידה בתנאי עבודות השירות או חריגה מהכללים, יש בהן </w:t>
      </w:r>
      <w:r w:rsidRPr="00F7430E">
        <w:rPr>
          <w:rFonts w:ascii="David" w:eastAsia="Calibri" w:hAnsi="David"/>
        </w:rPr>
        <w:t xml:space="preserve"> </w:t>
      </w:r>
      <w:r w:rsidRPr="00F7430E">
        <w:rPr>
          <w:rFonts w:ascii="David" w:eastAsia="Calibri" w:hAnsi="David"/>
          <w:rtl/>
        </w:rPr>
        <w:t>כדי</w:t>
      </w:r>
      <w:r w:rsidRPr="00F7430E">
        <w:rPr>
          <w:rFonts w:ascii="David" w:eastAsia="Calibri" w:hAnsi="David"/>
        </w:rPr>
        <w:t xml:space="preserve"> </w:t>
      </w:r>
      <w:r w:rsidRPr="00F7430E">
        <w:rPr>
          <w:rFonts w:ascii="David" w:eastAsia="Calibri" w:hAnsi="David"/>
          <w:rtl/>
        </w:rPr>
        <w:t>להביא להפסקת</w:t>
      </w:r>
      <w:r w:rsidRPr="00F7430E">
        <w:rPr>
          <w:rFonts w:ascii="David" w:eastAsia="Calibri" w:hAnsi="David"/>
        </w:rPr>
        <w:t xml:space="preserve"> </w:t>
      </w:r>
      <w:r w:rsidRPr="00F7430E">
        <w:rPr>
          <w:rFonts w:ascii="David" w:eastAsia="Calibri" w:hAnsi="David"/>
          <w:rtl/>
        </w:rPr>
        <w:t>ריצוי</w:t>
      </w:r>
      <w:r w:rsidRPr="00F7430E">
        <w:rPr>
          <w:rFonts w:ascii="David" w:eastAsia="Calibri" w:hAnsi="David"/>
        </w:rPr>
        <w:t xml:space="preserve"> </w:t>
      </w:r>
      <w:r w:rsidRPr="00F7430E">
        <w:rPr>
          <w:rFonts w:ascii="David" w:eastAsia="Calibri" w:hAnsi="David"/>
          <w:rtl/>
        </w:rPr>
        <w:t>עונשו</w:t>
      </w:r>
      <w:r w:rsidRPr="00F7430E">
        <w:rPr>
          <w:rFonts w:ascii="David" w:eastAsia="Calibri" w:hAnsi="David" w:hint="cs"/>
          <w:rtl/>
        </w:rPr>
        <w:t xml:space="preserve"> </w:t>
      </w:r>
      <w:r w:rsidRPr="00F7430E">
        <w:rPr>
          <w:rFonts w:ascii="David" w:eastAsia="Calibri" w:hAnsi="David"/>
          <w:rtl/>
        </w:rPr>
        <w:t>בדרך</w:t>
      </w:r>
      <w:r w:rsidRPr="00F7430E">
        <w:rPr>
          <w:rFonts w:ascii="David" w:eastAsia="Calibri" w:hAnsi="David"/>
        </w:rPr>
        <w:t xml:space="preserve"> </w:t>
      </w:r>
      <w:r w:rsidRPr="00F7430E">
        <w:rPr>
          <w:rFonts w:ascii="David" w:eastAsia="Calibri" w:hAnsi="David"/>
          <w:rtl/>
        </w:rPr>
        <w:t>זו</w:t>
      </w:r>
      <w:r w:rsidRPr="00F7430E">
        <w:rPr>
          <w:rFonts w:ascii="David" w:eastAsia="Calibri" w:hAnsi="David"/>
        </w:rPr>
        <w:t xml:space="preserve"> </w:t>
      </w:r>
      <w:r w:rsidRPr="00F7430E">
        <w:rPr>
          <w:rFonts w:ascii="David" w:eastAsia="Calibri" w:hAnsi="David"/>
          <w:rtl/>
        </w:rPr>
        <w:t>ונשיאת</w:t>
      </w:r>
      <w:r w:rsidRPr="00F7430E">
        <w:rPr>
          <w:rFonts w:ascii="David" w:eastAsia="Calibri" w:hAnsi="David"/>
        </w:rPr>
        <w:t xml:space="preserve"> </w:t>
      </w:r>
      <w:r w:rsidRPr="00F7430E">
        <w:rPr>
          <w:rFonts w:ascii="David" w:eastAsia="Calibri" w:hAnsi="David"/>
          <w:rtl/>
        </w:rPr>
        <w:t>יתרת</w:t>
      </w:r>
      <w:r w:rsidRPr="00F7430E">
        <w:rPr>
          <w:rFonts w:ascii="David" w:eastAsia="Calibri" w:hAnsi="David"/>
        </w:rPr>
        <w:t xml:space="preserve"> </w:t>
      </w:r>
      <w:r w:rsidRPr="00F7430E">
        <w:rPr>
          <w:rFonts w:ascii="David" w:eastAsia="Calibri" w:hAnsi="David"/>
          <w:rtl/>
        </w:rPr>
        <w:t>העונש</w:t>
      </w:r>
      <w:r w:rsidRPr="00F7430E">
        <w:rPr>
          <w:rFonts w:ascii="David" w:eastAsia="Calibri" w:hAnsi="David"/>
        </w:rPr>
        <w:t xml:space="preserve"> </w:t>
      </w:r>
      <w:r w:rsidRPr="00F7430E">
        <w:rPr>
          <w:rFonts w:ascii="David" w:eastAsia="Calibri" w:hAnsi="David"/>
          <w:rtl/>
        </w:rPr>
        <w:t>תחת</w:t>
      </w:r>
      <w:r w:rsidRPr="00F7430E">
        <w:rPr>
          <w:rFonts w:ascii="David" w:eastAsia="Calibri" w:hAnsi="David"/>
        </w:rPr>
        <w:t xml:space="preserve"> </w:t>
      </w:r>
      <w:r w:rsidRPr="00F7430E">
        <w:rPr>
          <w:rFonts w:ascii="David" w:eastAsia="Calibri" w:hAnsi="David"/>
          <w:rtl/>
        </w:rPr>
        <w:t>מאסר</w:t>
      </w:r>
      <w:r w:rsidRPr="00F7430E">
        <w:rPr>
          <w:rFonts w:ascii="David" w:eastAsia="Calibri" w:hAnsi="David"/>
        </w:rPr>
        <w:t xml:space="preserve"> </w:t>
      </w:r>
      <w:r w:rsidRPr="00F7430E">
        <w:rPr>
          <w:rFonts w:ascii="David" w:eastAsia="Calibri" w:hAnsi="David"/>
          <w:rtl/>
        </w:rPr>
        <w:t>בפועל</w:t>
      </w:r>
      <w:r w:rsidRPr="00F7430E">
        <w:rPr>
          <w:rFonts w:ascii="David" w:eastAsia="Calibri" w:hAnsi="David"/>
        </w:rPr>
        <w:t>.</w:t>
      </w:r>
    </w:p>
    <w:p w14:paraId="5AB94A5B" w14:textId="77777777" w:rsidR="00F7430E" w:rsidRPr="00F7430E" w:rsidRDefault="00F7430E" w:rsidP="00F7430E">
      <w:pPr>
        <w:spacing w:after="160" w:line="256" w:lineRule="auto"/>
        <w:ind w:left="720"/>
        <w:contextualSpacing/>
        <w:jc w:val="both"/>
        <w:rPr>
          <w:rFonts w:ascii="David" w:eastAsia="Calibri" w:hAnsi="David"/>
        </w:rPr>
      </w:pPr>
    </w:p>
    <w:p w14:paraId="116666B1" w14:textId="77777777" w:rsidR="00F7430E" w:rsidRPr="00F7430E" w:rsidRDefault="00F7430E" w:rsidP="00F7430E">
      <w:pPr>
        <w:numPr>
          <w:ilvl w:val="1"/>
          <w:numId w:val="5"/>
        </w:numPr>
        <w:spacing w:after="160" w:line="360" w:lineRule="auto"/>
        <w:contextualSpacing/>
        <w:jc w:val="both"/>
        <w:rPr>
          <w:rFonts w:ascii="David" w:eastAsia="Calibri" w:hAnsi="David"/>
          <w:rtl/>
        </w:rPr>
      </w:pPr>
      <w:r w:rsidRPr="00F7430E">
        <w:rPr>
          <w:rFonts w:ascii="David" w:eastAsia="Calibri" w:hAnsi="David"/>
          <w:rtl/>
        </w:rPr>
        <w:t>מאסר למשך 6 חודשים, אולם הנאשם לא יישא בעונש זה אלא אם יעבור עבירה מסוג פשע בניגוד ל</w:t>
      </w:r>
      <w:hyperlink r:id="rId35" w:history="1">
        <w:r w:rsidR="00767005" w:rsidRPr="00767005">
          <w:rPr>
            <w:rFonts w:ascii="David" w:eastAsia="Calibri" w:hAnsi="David"/>
            <w:color w:val="0000FF"/>
            <w:u w:val="single"/>
            <w:rtl/>
          </w:rPr>
          <w:t>פקודת הסמים המסוכנים</w:t>
        </w:r>
      </w:hyperlink>
      <w:r w:rsidRPr="00F7430E">
        <w:rPr>
          <w:rFonts w:ascii="David" w:eastAsia="Calibri" w:hAnsi="David"/>
          <w:rtl/>
        </w:rPr>
        <w:t xml:space="preserve">, וזאת תוך 3 שנים מהיום. </w:t>
      </w:r>
    </w:p>
    <w:p w14:paraId="207E61C7" w14:textId="77777777" w:rsidR="00F7430E" w:rsidRPr="00F7430E" w:rsidRDefault="00F7430E" w:rsidP="00F7430E">
      <w:pPr>
        <w:spacing w:after="160" w:line="360" w:lineRule="auto"/>
        <w:ind w:left="1080"/>
        <w:contextualSpacing/>
        <w:jc w:val="both"/>
        <w:rPr>
          <w:rFonts w:ascii="David" w:eastAsia="Calibri" w:hAnsi="David"/>
        </w:rPr>
      </w:pPr>
    </w:p>
    <w:p w14:paraId="2B79E217" w14:textId="77777777" w:rsidR="00F7430E" w:rsidRPr="00F7430E" w:rsidRDefault="00F7430E" w:rsidP="00F7430E">
      <w:pPr>
        <w:numPr>
          <w:ilvl w:val="1"/>
          <w:numId w:val="5"/>
        </w:numPr>
        <w:spacing w:after="160" w:line="360" w:lineRule="auto"/>
        <w:contextualSpacing/>
        <w:jc w:val="both"/>
        <w:rPr>
          <w:rFonts w:ascii="David" w:eastAsia="Calibri" w:hAnsi="David"/>
        </w:rPr>
      </w:pPr>
      <w:r w:rsidRPr="00F7430E">
        <w:rPr>
          <w:rFonts w:ascii="David" w:eastAsia="Calibri" w:hAnsi="David" w:hint="cs"/>
          <w:rtl/>
        </w:rPr>
        <w:t xml:space="preserve">צו מבחן </w:t>
      </w:r>
      <w:r w:rsidRPr="00F7430E">
        <w:rPr>
          <w:rFonts w:ascii="David" w:eastAsia="Calibri" w:hAnsi="David"/>
          <w:rtl/>
        </w:rPr>
        <w:t>–</w:t>
      </w:r>
      <w:r w:rsidRPr="00F7430E">
        <w:rPr>
          <w:rFonts w:ascii="David" w:eastAsia="Calibri" w:hAnsi="David" w:hint="cs"/>
          <w:rtl/>
        </w:rPr>
        <w:t xml:space="preserve"> ניתן בזה צו מבחן לתקופה של 12 חודשים כלפי הנאשם. </w:t>
      </w:r>
    </w:p>
    <w:p w14:paraId="7DE35B2D" w14:textId="77777777" w:rsidR="00F7430E" w:rsidRPr="00F7430E" w:rsidRDefault="00F7430E" w:rsidP="00F7430E">
      <w:pPr>
        <w:spacing w:after="160" w:line="360" w:lineRule="auto"/>
        <w:ind w:left="1080"/>
        <w:contextualSpacing/>
        <w:jc w:val="both"/>
        <w:rPr>
          <w:rFonts w:ascii="David" w:eastAsia="Calibri" w:hAnsi="David"/>
        </w:rPr>
      </w:pPr>
      <w:r w:rsidRPr="00F7430E">
        <w:rPr>
          <w:rFonts w:ascii="David" w:eastAsia="Calibri" w:hAnsi="David" w:hint="cs"/>
          <w:rtl/>
        </w:rPr>
        <w:t xml:space="preserve">אני מחייב את הנאשם לשתף פעולה עם שירות המבחן הכל על פי הנחיות שירות המבחן. מובהר בזאת לנאשם כי באם לא יקיים צו זה, ניתן יהיה לחזור ולדון מחדש בשאלת העונש. </w:t>
      </w:r>
      <w:r w:rsidRPr="00F7430E">
        <w:rPr>
          <w:rFonts w:ascii="David" w:eastAsia="Calibri" w:hAnsi="David"/>
          <w:rtl/>
        </w:rPr>
        <w:br/>
      </w:r>
    </w:p>
    <w:p w14:paraId="162DD0DA" w14:textId="77777777" w:rsidR="00F7430E" w:rsidRPr="00F7430E" w:rsidRDefault="00F7430E" w:rsidP="00F7430E">
      <w:pPr>
        <w:numPr>
          <w:ilvl w:val="1"/>
          <w:numId w:val="5"/>
        </w:numPr>
        <w:spacing w:after="160" w:line="360" w:lineRule="auto"/>
        <w:contextualSpacing/>
        <w:jc w:val="both"/>
        <w:rPr>
          <w:rFonts w:ascii="David" w:eastAsia="Calibri" w:hAnsi="David"/>
        </w:rPr>
      </w:pPr>
      <w:r w:rsidRPr="00F7430E">
        <w:rPr>
          <w:rFonts w:ascii="David" w:eastAsia="Calibri" w:hAnsi="David"/>
          <w:rtl/>
        </w:rPr>
        <w:t>התחייבות</w:t>
      </w:r>
      <w:r w:rsidRPr="00F7430E">
        <w:rPr>
          <w:rFonts w:ascii="David" w:eastAsia="Calibri" w:hAnsi="David" w:hint="cs"/>
          <w:rtl/>
        </w:rPr>
        <w:t xml:space="preserve"> </w:t>
      </w:r>
      <w:r w:rsidRPr="00F7430E">
        <w:rPr>
          <w:rFonts w:ascii="David" w:eastAsia="Calibri" w:hAnsi="David"/>
          <w:rtl/>
        </w:rPr>
        <w:t>–</w:t>
      </w:r>
      <w:r w:rsidRPr="00F7430E">
        <w:rPr>
          <w:rFonts w:ascii="David" w:eastAsia="Calibri" w:hAnsi="David" w:hint="cs"/>
          <w:rtl/>
        </w:rPr>
        <w:t xml:space="preserve"> הנאשם יתחייב כי הוא ישלם סך של 2,000 ₪ אם תוך </w:t>
      </w:r>
      <w:r w:rsidRPr="00F7430E">
        <w:rPr>
          <w:rFonts w:ascii="David" w:eastAsia="Calibri" w:hAnsi="David"/>
          <w:rtl/>
        </w:rPr>
        <w:t xml:space="preserve">שנתיים מהיום </w:t>
      </w:r>
      <w:r w:rsidRPr="00F7430E">
        <w:rPr>
          <w:rFonts w:ascii="David" w:eastAsia="Calibri" w:hAnsi="David" w:hint="cs"/>
          <w:rtl/>
        </w:rPr>
        <w:t xml:space="preserve">יעבור על </w:t>
      </w:r>
      <w:r w:rsidRPr="00F7430E">
        <w:rPr>
          <w:rFonts w:ascii="David" w:eastAsia="Calibri" w:hAnsi="David"/>
          <w:rtl/>
        </w:rPr>
        <w:t xml:space="preserve">עבירת סמים מסוג פשע. </w:t>
      </w:r>
    </w:p>
    <w:p w14:paraId="76B1E647" w14:textId="77777777" w:rsidR="00F7430E" w:rsidRPr="00F7430E" w:rsidRDefault="00F7430E" w:rsidP="00F7430E">
      <w:pPr>
        <w:spacing w:after="160" w:line="256" w:lineRule="auto"/>
        <w:ind w:left="720"/>
        <w:contextualSpacing/>
        <w:jc w:val="both"/>
        <w:rPr>
          <w:rFonts w:ascii="David" w:eastAsia="Calibri" w:hAnsi="David"/>
          <w:rtl/>
        </w:rPr>
      </w:pPr>
    </w:p>
    <w:p w14:paraId="21DC1CA5" w14:textId="77777777" w:rsidR="00F7430E" w:rsidRPr="00767005" w:rsidRDefault="00767005" w:rsidP="00F7430E">
      <w:pPr>
        <w:spacing w:after="160" w:line="256" w:lineRule="auto"/>
        <w:ind w:left="720"/>
        <w:contextualSpacing/>
        <w:jc w:val="both"/>
        <w:rPr>
          <w:rFonts w:ascii="David" w:eastAsia="Calibri" w:hAnsi="David"/>
          <w:color w:val="FFFFFF"/>
          <w:sz w:val="2"/>
          <w:szCs w:val="2"/>
          <w:rtl/>
        </w:rPr>
      </w:pPr>
      <w:r w:rsidRPr="00767005">
        <w:rPr>
          <w:rFonts w:ascii="David" w:eastAsia="Calibri" w:hAnsi="David"/>
          <w:color w:val="FFFFFF"/>
          <w:sz w:val="2"/>
          <w:szCs w:val="2"/>
          <w:rtl/>
        </w:rPr>
        <w:t>5129371</w:t>
      </w:r>
    </w:p>
    <w:p w14:paraId="14439A52" w14:textId="77777777" w:rsidR="00F7430E" w:rsidRPr="00F7430E" w:rsidRDefault="00767005" w:rsidP="00F7430E">
      <w:pPr>
        <w:spacing w:after="160" w:line="360" w:lineRule="auto"/>
        <w:jc w:val="both"/>
        <w:rPr>
          <w:rFonts w:ascii="David" w:eastAsia="Calibri" w:hAnsi="David"/>
          <w:b/>
          <w:bCs/>
          <w:rtl/>
        </w:rPr>
      </w:pPr>
      <w:r w:rsidRPr="00767005">
        <w:rPr>
          <w:rFonts w:ascii="David" w:eastAsia="Calibri" w:hAnsi="David"/>
          <w:b/>
          <w:bCs/>
          <w:color w:val="FFFFFF"/>
          <w:sz w:val="2"/>
          <w:szCs w:val="2"/>
          <w:rtl/>
        </w:rPr>
        <w:t>54678313</w:t>
      </w:r>
      <w:r w:rsidR="00F7430E" w:rsidRPr="00F7430E">
        <w:rPr>
          <w:rFonts w:ascii="David" w:eastAsia="Calibri" w:hAnsi="David"/>
          <w:b/>
          <w:bCs/>
          <w:rtl/>
        </w:rPr>
        <w:t xml:space="preserve">זכות ערעור לבית המשפט המחוזי בבאר שבע תוך 45 ימים. </w:t>
      </w:r>
    </w:p>
    <w:p w14:paraId="0083EDFF" w14:textId="77777777" w:rsidR="00F7430E" w:rsidRPr="000F2247" w:rsidRDefault="00F7430E" w:rsidP="00F7430E">
      <w:pPr>
        <w:rPr>
          <w:rFonts w:ascii="Arial" w:hAnsi="Arial"/>
          <w:b/>
          <w:bCs/>
          <w:sz w:val="26"/>
          <w:szCs w:val="26"/>
          <w:rtl/>
        </w:rPr>
      </w:pPr>
    </w:p>
    <w:p w14:paraId="604DF792" w14:textId="77777777" w:rsidR="00F7430E" w:rsidRPr="00344F7B" w:rsidRDefault="00767005" w:rsidP="00F7430E">
      <w:pPr>
        <w:rPr>
          <w:rFonts w:ascii="Arial" w:hAnsi="Arial"/>
          <w:b/>
          <w:bCs/>
          <w:sz w:val="26"/>
          <w:szCs w:val="26"/>
          <w:rtl/>
        </w:rPr>
      </w:pPr>
      <w:bookmarkStart w:id="8" w:name="Nitan"/>
      <w:r>
        <w:rPr>
          <w:rFonts w:ascii="Arial" w:hAnsi="Arial"/>
          <w:b/>
          <w:bCs/>
          <w:sz w:val="26"/>
          <w:szCs w:val="26"/>
          <w:rtl/>
        </w:rPr>
        <w:t xml:space="preserve">ניתן היום,  י"א כסלו תשפ"ג, 05 דצמבר 2022, בנוכחות הצדדים. </w:t>
      </w:r>
      <w:bookmarkEnd w:id="8"/>
    </w:p>
    <w:p w14:paraId="2A1F9520" w14:textId="77777777" w:rsidR="00F7430E" w:rsidRPr="000F2247" w:rsidRDefault="00F7430E" w:rsidP="0076700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8A8BFF3" w14:textId="77777777" w:rsidR="00F7430E" w:rsidRPr="000B4294" w:rsidRDefault="000B4294" w:rsidP="00F7430E">
      <w:pPr>
        <w:jc w:val="center"/>
        <w:rPr>
          <w:rFonts w:ascii="Arial" w:hAnsi="Arial"/>
          <w:b/>
          <w:bCs/>
          <w:color w:val="FFFFFF"/>
          <w:sz w:val="2"/>
          <w:szCs w:val="2"/>
          <w:rtl/>
        </w:rPr>
      </w:pPr>
      <w:r w:rsidRPr="000B4294">
        <w:rPr>
          <w:rFonts w:ascii="Arial" w:hAnsi="Arial"/>
          <w:b/>
          <w:bCs/>
          <w:color w:val="FFFFFF"/>
          <w:sz w:val="2"/>
          <w:szCs w:val="2"/>
          <w:rtl/>
        </w:rPr>
        <w:t>5129371</w:t>
      </w:r>
    </w:p>
    <w:p w14:paraId="1CD88028" w14:textId="77777777" w:rsidR="00B87489" w:rsidRPr="000B4294" w:rsidRDefault="000B4294" w:rsidP="00767005">
      <w:pPr>
        <w:keepNext/>
        <w:rPr>
          <w:rFonts w:ascii="David" w:hAnsi="David"/>
          <w:color w:val="FFFFFF"/>
          <w:sz w:val="2"/>
          <w:szCs w:val="2"/>
          <w:rtl/>
        </w:rPr>
      </w:pPr>
      <w:r w:rsidRPr="000B4294">
        <w:rPr>
          <w:rFonts w:ascii="David" w:hAnsi="David"/>
          <w:color w:val="FFFFFF"/>
          <w:sz w:val="2"/>
          <w:szCs w:val="2"/>
          <w:rtl/>
        </w:rPr>
        <w:t>54678313</w:t>
      </w:r>
    </w:p>
    <w:p w14:paraId="38B93ED2" w14:textId="77777777" w:rsidR="00767005" w:rsidRDefault="00767005" w:rsidP="00767005">
      <w:pPr>
        <w:rPr>
          <w:rtl/>
        </w:rPr>
      </w:pPr>
    </w:p>
    <w:p w14:paraId="35ABD249" w14:textId="77777777" w:rsidR="00767005" w:rsidRDefault="00767005" w:rsidP="00767005">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1BAF05C0" w14:textId="77777777" w:rsidR="000B4294" w:rsidRPr="000B4294" w:rsidRDefault="000B4294" w:rsidP="000B4294">
      <w:pPr>
        <w:keepNext/>
        <w:rPr>
          <w:rFonts w:ascii="David" w:hAnsi="David"/>
          <w:color w:val="000000"/>
          <w:sz w:val="22"/>
          <w:szCs w:val="22"/>
          <w:rtl/>
        </w:rPr>
      </w:pPr>
    </w:p>
    <w:p w14:paraId="247C5850" w14:textId="77777777" w:rsidR="000B4294" w:rsidRPr="000B4294" w:rsidRDefault="000B4294" w:rsidP="000B4294">
      <w:pPr>
        <w:keepNext/>
        <w:rPr>
          <w:rFonts w:ascii="David" w:hAnsi="David"/>
          <w:color w:val="000000"/>
          <w:sz w:val="22"/>
          <w:szCs w:val="22"/>
          <w:rtl/>
        </w:rPr>
      </w:pPr>
      <w:r w:rsidRPr="000B4294">
        <w:rPr>
          <w:rFonts w:ascii="David" w:hAnsi="David"/>
          <w:color w:val="000000"/>
          <w:sz w:val="22"/>
          <w:szCs w:val="22"/>
          <w:rtl/>
        </w:rPr>
        <w:t>גיל אדלמן 54678313-/</w:t>
      </w:r>
    </w:p>
    <w:p w14:paraId="5154CC6E" w14:textId="77777777" w:rsidR="00767005" w:rsidRPr="00767005" w:rsidRDefault="000B4294" w:rsidP="000B4294">
      <w:pPr>
        <w:rPr>
          <w:color w:val="0000FF"/>
          <w:u w:val="single"/>
        </w:rPr>
      </w:pPr>
      <w:r w:rsidRPr="000B4294">
        <w:rPr>
          <w:color w:val="000000"/>
          <w:u w:val="single"/>
          <w:rtl/>
        </w:rPr>
        <w:t>נוסח מסמך זה כפוף לשינויי ניסוח ועריכה</w:t>
      </w:r>
    </w:p>
    <w:sectPr w:rsidR="00767005" w:rsidRPr="00767005" w:rsidSect="000B4294">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39199" w14:textId="77777777" w:rsidR="00275C28" w:rsidRDefault="00275C28" w:rsidP="00F7430E">
      <w:r>
        <w:separator/>
      </w:r>
    </w:p>
  </w:endnote>
  <w:endnote w:type="continuationSeparator" w:id="0">
    <w:p w14:paraId="6CEA03BD" w14:textId="77777777" w:rsidR="00275C28" w:rsidRDefault="00275C28" w:rsidP="00F74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43CDA" w14:textId="77777777" w:rsidR="000B4294" w:rsidRDefault="000B4294" w:rsidP="000B429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7F33AA" w14:textId="77777777" w:rsidR="001E7035" w:rsidRPr="000B4294" w:rsidRDefault="000B4294" w:rsidP="000B4294">
    <w:pPr>
      <w:pStyle w:val="a5"/>
      <w:pBdr>
        <w:top w:val="single" w:sz="4" w:space="1" w:color="auto"/>
        <w:between w:val="single" w:sz="4" w:space="0" w:color="auto"/>
      </w:pBdr>
      <w:spacing w:after="60"/>
      <w:jc w:val="center"/>
      <w:rPr>
        <w:rFonts w:ascii="FrankRuehl" w:hAnsi="FrankRuehl" w:cs="FrankRuehl"/>
        <w:color w:val="000000"/>
      </w:rPr>
    </w:pPr>
    <w:r w:rsidRPr="000B429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3ACCD" w14:textId="77777777" w:rsidR="000B4294" w:rsidRDefault="000B4294" w:rsidP="000B429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35CE">
      <w:rPr>
        <w:rFonts w:ascii="FrankRuehl" w:hAnsi="FrankRuehl" w:cs="FrankRuehl"/>
        <w:noProof/>
        <w:rtl/>
      </w:rPr>
      <w:t>1</w:t>
    </w:r>
    <w:r>
      <w:rPr>
        <w:rFonts w:ascii="FrankRuehl" w:hAnsi="FrankRuehl" w:cs="FrankRuehl"/>
        <w:rtl/>
      </w:rPr>
      <w:fldChar w:fldCharType="end"/>
    </w:r>
  </w:p>
  <w:p w14:paraId="4389094B" w14:textId="77777777" w:rsidR="001E7035" w:rsidRPr="000B4294" w:rsidRDefault="000B4294" w:rsidP="000B4294">
    <w:pPr>
      <w:pStyle w:val="a5"/>
      <w:pBdr>
        <w:top w:val="single" w:sz="4" w:space="1" w:color="auto"/>
        <w:between w:val="single" w:sz="4" w:space="0" w:color="auto"/>
      </w:pBdr>
      <w:spacing w:after="60"/>
      <w:jc w:val="center"/>
      <w:rPr>
        <w:rFonts w:ascii="FrankRuehl" w:hAnsi="FrankRuehl" w:cs="FrankRuehl"/>
        <w:color w:val="000000"/>
      </w:rPr>
    </w:pPr>
    <w:r w:rsidRPr="000B4294">
      <w:rPr>
        <w:rFonts w:ascii="FrankRuehl" w:hAnsi="FrankRuehl" w:cs="FrankRuehl"/>
        <w:color w:val="000000"/>
      </w:rPr>
      <w:pict w14:anchorId="6A0005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0E4DA" w14:textId="77777777" w:rsidR="00275C28" w:rsidRDefault="00275C28" w:rsidP="00F7430E">
      <w:r>
        <w:separator/>
      </w:r>
    </w:p>
  </w:footnote>
  <w:footnote w:type="continuationSeparator" w:id="0">
    <w:p w14:paraId="43746730" w14:textId="77777777" w:rsidR="00275C28" w:rsidRDefault="00275C28" w:rsidP="00F7430E">
      <w:r>
        <w:continuationSeparator/>
      </w:r>
    </w:p>
  </w:footnote>
  <w:footnote w:id="1">
    <w:p w14:paraId="1DE8901B" w14:textId="77777777" w:rsidR="00F7430E" w:rsidRDefault="00F7430E" w:rsidP="00F7430E">
      <w:pPr>
        <w:pStyle w:val="a9"/>
        <w:jc w:val="both"/>
        <w:rPr>
          <w:rtl/>
        </w:rPr>
      </w:pPr>
      <w:r>
        <w:rPr>
          <w:rStyle w:val="ad"/>
        </w:rPr>
        <w:footnoteRef/>
      </w:r>
      <w:r>
        <w:rPr>
          <w:rtl/>
        </w:rPr>
        <w:t xml:space="preserve"> </w:t>
      </w:r>
      <w:r>
        <w:rPr>
          <w:rFonts w:hint="cs"/>
          <w:rtl/>
        </w:rPr>
        <w:t xml:space="preserve">יוער, כי בתסקיר שהתקבל, צוין כי הנאשם הכחיש את העבירות שיוחסו לו ואף אמר לקצינת המבחן כי הודה בתיק על מנת לסיים את ההליכים המשפטיים בהקדם. בפתח הדיון הבהירה באת כח הנאשם את פשר הפער בין הודייתו של הנאשם במיוחס לו, לבין המצוין בתסקיר. הסנגורית שבה והדגישה כי הנאשם מודה בעובדות כתב האישום. נוכח עובדה זו, ובהתאם להלכת בית המשפט העליון במסגרת </w:t>
      </w:r>
      <w:hyperlink r:id="rId1" w:history="1">
        <w:r w:rsidR="00767005" w:rsidRPr="00767005">
          <w:rPr>
            <w:color w:val="0000FF"/>
            <w:u w:val="single"/>
            <w:rtl/>
          </w:rPr>
          <w:t>ע"פ 6952/10</w:t>
        </w:r>
      </w:hyperlink>
      <w:r>
        <w:rPr>
          <w:rFonts w:hint="cs"/>
          <w:rtl/>
        </w:rPr>
        <w:t xml:space="preserve"> </w:t>
      </w:r>
      <w:r>
        <w:rPr>
          <w:rFonts w:hint="cs"/>
          <w:b/>
          <w:bCs/>
          <w:rtl/>
        </w:rPr>
        <w:t>בשינוב נ' מדינת ישראל</w:t>
      </w:r>
      <w:r>
        <w:rPr>
          <w:rFonts w:hint="cs"/>
          <w:rtl/>
        </w:rPr>
        <w:t xml:space="preserve"> (5.1.2011), שוחחתי עם הנאשם ווידאתי כי הנאשם אכן הודה באמור בכתב האישום ונטל אחריות על מעשיו. כתב האישום המתוקן הוקרא על ידי לנאשם פעם נוספת, והנאשם שב והודה בפני בעובדותיו.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2937B" w14:textId="77777777" w:rsidR="00767005" w:rsidRPr="000B4294" w:rsidRDefault="000B4294" w:rsidP="000B4294">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(אי') 44550-10-20</w:t>
    </w:r>
    <w:r>
      <w:rPr>
        <w:rFonts w:ascii="David" w:hAnsi="David"/>
        <w:color w:val="000000"/>
        <w:sz w:val="22"/>
        <w:szCs w:val="22"/>
        <w:rtl/>
      </w:rPr>
      <w:tab/>
      <w:t xml:space="preserve"> מדינת ישראל נ' הייסם אלגילאוי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B213D" w14:textId="77777777" w:rsidR="00767005" w:rsidRPr="000B4294" w:rsidRDefault="000B4294" w:rsidP="000B429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44550-10-20</w:t>
    </w:r>
    <w:r>
      <w:rPr>
        <w:rFonts w:ascii="David" w:hAnsi="David"/>
        <w:color w:val="000000"/>
        <w:sz w:val="22"/>
        <w:szCs w:val="22"/>
        <w:rtl/>
      </w:rPr>
      <w:tab/>
      <w:t xml:space="preserve"> מדינת ישראל נ' הייסם אלגילאוי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977C8"/>
    <w:multiLevelType w:val="hybridMultilevel"/>
    <w:tmpl w:val="F97C8F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1C9047D"/>
    <w:multiLevelType w:val="hybridMultilevel"/>
    <w:tmpl w:val="173CC51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1FE5FFA"/>
    <w:multiLevelType w:val="hybridMultilevel"/>
    <w:tmpl w:val="D5FCB88A"/>
    <w:lvl w:ilvl="0" w:tplc="2D92C130">
      <w:start w:val="1"/>
      <w:numFmt w:val="decimal"/>
      <w:lvlText w:val="%1."/>
      <w:lvlJc w:val="left"/>
      <w:pPr>
        <w:ind w:left="360" w:hanging="360"/>
      </w:pPr>
      <w:rPr>
        <w:rFonts w:ascii="David" w:hAnsi="David" w:cs="David" w:hint="default"/>
        <w:b w:val="0"/>
        <w:bCs w:val="0"/>
        <w:sz w:val="24"/>
        <w:szCs w:val="24"/>
      </w:r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53A5228"/>
    <w:multiLevelType w:val="hybridMultilevel"/>
    <w:tmpl w:val="20FA7848"/>
    <w:lvl w:ilvl="0" w:tplc="1D5A80AE">
      <w:start w:val="1"/>
      <w:numFmt w:val="decimal"/>
      <w:lvlText w:val="%1."/>
      <w:lvlJc w:val="left"/>
      <w:pPr>
        <w:ind w:left="360" w:hanging="360"/>
      </w:pPr>
      <w:rPr>
        <w:rFonts w:ascii="David" w:hAnsi="David" w:cs="David" w:hint="default"/>
        <w:sz w:val="24"/>
        <w:szCs w:val="24"/>
        <w:lang w:bidi="he-IL"/>
      </w:rPr>
    </w:lvl>
    <w:lvl w:ilvl="1" w:tplc="2E942BD4">
      <w:start w:val="1"/>
      <w:numFmt w:val="hebrew1"/>
      <w:lvlText w:val="%2."/>
      <w:lvlJc w:val="center"/>
      <w:pPr>
        <w:ind w:left="1080" w:hanging="360"/>
      </w:pPr>
    </w:lvl>
    <w:lvl w:ilvl="2" w:tplc="BF20D544">
      <w:start w:val="1"/>
      <w:numFmt w:val="lowerRoman"/>
      <w:lvlText w:val="%3."/>
      <w:lvlJc w:val="right"/>
      <w:pPr>
        <w:ind w:left="1800" w:hanging="180"/>
      </w:pPr>
    </w:lvl>
    <w:lvl w:ilvl="3" w:tplc="3476FF20">
      <w:start w:val="1"/>
      <w:numFmt w:val="decimal"/>
      <w:lvlText w:val="%4."/>
      <w:lvlJc w:val="left"/>
      <w:pPr>
        <w:ind w:left="2520" w:hanging="360"/>
      </w:pPr>
    </w:lvl>
    <w:lvl w:ilvl="4" w:tplc="0E56736E">
      <w:start w:val="1"/>
      <w:numFmt w:val="lowerLetter"/>
      <w:lvlText w:val="%5."/>
      <w:lvlJc w:val="left"/>
      <w:pPr>
        <w:ind w:left="3240" w:hanging="360"/>
      </w:pPr>
    </w:lvl>
    <w:lvl w:ilvl="5" w:tplc="C20E0FE4">
      <w:start w:val="1"/>
      <w:numFmt w:val="lowerRoman"/>
      <w:lvlText w:val="%6."/>
      <w:lvlJc w:val="right"/>
      <w:pPr>
        <w:ind w:left="3960" w:hanging="180"/>
      </w:pPr>
    </w:lvl>
    <w:lvl w:ilvl="6" w:tplc="07909DCE">
      <w:start w:val="1"/>
      <w:numFmt w:val="decimal"/>
      <w:lvlText w:val="%7."/>
      <w:lvlJc w:val="left"/>
      <w:pPr>
        <w:ind w:left="4680" w:hanging="360"/>
      </w:pPr>
    </w:lvl>
    <w:lvl w:ilvl="7" w:tplc="7E503C14">
      <w:start w:val="1"/>
      <w:numFmt w:val="lowerLetter"/>
      <w:lvlText w:val="%8."/>
      <w:lvlJc w:val="left"/>
      <w:pPr>
        <w:ind w:left="5400" w:hanging="360"/>
      </w:pPr>
    </w:lvl>
    <w:lvl w:ilvl="8" w:tplc="1C8CB176">
      <w:start w:val="1"/>
      <w:numFmt w:val="lowerRoman"/>
      <w:lvlText w:val="%9."/>
      <w:lvlJc w:val="right"/>
      <w:pPr>
        <w:ind w:left="6120" w:hanging="180"/>
      </w:pPr>
    </w:lvl>
  </w:abstractNum>
  <w:abstractNum w:abstractNumId="4" w15:restartNumberingAfterBreak="0">
    <w:nsid w:val="7FE13FFC"/>
    <w:multiLevelType w:val="hybridMultilevel"/>
    <w:tmpl w:val="858018E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4250364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671570">
    <w:abstractNumId w:val="1"/>
  </w:num>
  <w:num w:numId="3" w16cid:durableId="1929920755">
    <w:abstractNumId w:val="0"/>
  </w:num>
  <w:num w:numId="4" w16cid:durableId="1498497211">
    <w:abstractNumId w:val="4"/>
  </w:num>
  <w:num w:numId="5" w16cid:durableId="2253438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430E"/>
    <w:rsid w:val="000A6603"/>
    <w:rsid w:val="000B4294"/>
    <w:rsid w:val="001E7035"/>
    <w:rsid w:val="00275C28"/>
    <w:rsid w:val="002A04B3"/>
    <w:rsid w:val="002D2E73"/>
    <w:rsid w:val="003E49C7"/>
    <w:rsid w:val="00481CBD"/>
    <w:rsid w:val="00767005"/>
    <w:rsid w:val="00837911"/>
    <w:rsid w:val="008D39A8"/>
    <w:rsid w:val="009A4E4C"/>
    <w:rsid w:val="00AC362A"/>
    <w:rsid w:val="00B87489"/>
    <w:rsid w:val="00BE24D9"/>
    <w:rsid w:val="00C927E3"/>
    <w:rsid w:val="00EE35CE"/>
    <w:rsid w:val="00F743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0CC724"/>
  <w15:chartTrackingRefBased/>
  <w15:docId w15:val="{6A4B734A-27BE-47B4-A8CC-96717282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430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430E"/>
    <w:pPr>
      <w:tabs>
        <w:tab w:val="center" w:pos="4153"/>
        <w:tab w:val="right" w:pos="8306"/>
      </w:tabs>
    </w:pPr>
  </w:style>
  <w:style w:type="character" w:customStyle="1" w:styleId="a4">
    <w:name w:val="כותרת עליונה תו"/>
    <w:link w:val="a3"/>
    <w:rsid w:val="00F7430E"/>
    <w:rPr>
      <w:rFonts w:ascii="Times New Roman" w:eastAsia="Times New Roman" w:hAnsi="Times New Roman" w:cs="David"/>
      <w:sz w:val="24"/>
      <w:szCs w:val="24"/>
    </w:rPr>
  </w:style>
  <w:style w:type="paragraph" w:styleId="a5">
    <w:name w:val="footer"/>
    <w:basedOn w:val="a"/>
    <w:link w:val="a6"/>
    <w:rsid w:val="00F7430E"/>
    <w:pPr>
      <w:tabs>
        <w:tab w:val="center" w:pos="4153"/>
        <w:tab w:val="right" w:pos="8306"/>
      </w:tabs>
    </w:pPr>
  </w:style>
  <w:style w:type="character" w:customStyle="1" w:styleId="a6">
    <w:name w:val="כותרת תחתונה תו"/>
    <w:link w:val="a5"/>
    <w:rsid w:val="00F7430E"/>
    <w:rPr>
      <w:rFonts w:ascii="Times New Roman" w:eastAsia="Times New Roman" w:hAnsi="Times New Roman" w:cs="David"/>
      <w:sz w:val="24"/>
      <w:szCs w:val="24"/>
    </w:rPr>
  </w:style>
  <w:style w:type="table" w:styleId="a7">
    <w:name w:val="Table Grid"/>
    <w:basedOn w:val="a1"/>
    <w:rsid w:val="00F7430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7430E"/>
  </w:style>
  <w:style w:type="paragraph" w:styleId="a9">
    <w:name w:val="footnote text"/>
    <w:basedOn w:val="a"/>
    <w:link w:val="aa"/>
    <w:rsid w:val="00F7430E"/>
    <w:rPr>
      <w:sz w:val="20"/>
      <w:szCs w:val="20"/>
    </w:rPr>
  </w:style>
  <w:style w:type="character" w:customStyle="1" w:styleId="aa">
    <w:name w:val="טקסט הערת שוליים תו"/>
    <w:link w:val="a9"/>
    <w:rsid w:val="00F7430E"/>
    <w:rPr>
      <w:rFonts w:ascii="Times New Roman" w:eastAsia="Times New Roman" w:hAnsi="Times New Roman" w:cs="David"/>
      <w:sz w:val="20"/>
      <w:szCs w:val="20"/>
    </w:rPr>
  </w:style>
  <w:style w:type="character" w:customStyle="1" w:styleId="ab">
    <w:name w:val="פיסקת רשימה תו"/>
    <w:link w:val="ac"/>
    <w:locked/>
    <w:rsid w:val="00F7430E"/>
  </w:style>
  <w:style w:type="paragraph" w:styleId="ac">
    <w:name w:val="List Paragraph"/>
    <w:basedOn w:val="a"/>
    <w:link w:val="ab"/>
    <w:qFormat/>
    <w:rsid w:val="00F7430E"/>
    <w:pPr>
      <w:spacing w:after="160" w:line="254" w:lineRule="auto"/>
      <w:ind w:left="720"/>
      <w:contextualSpacing/>
    </w:pPr>
    <w:rPr>
      <w:rFonts w:ascii="Calibri" w:eastAsia="Calibri" w:hAnsi="Calibri" w:cs="Arial"/>
      <w:sz w:val="22"/>
      <w:szCs w:val="22"/>
    </w:rPr>
  </w:style>
  <w:style w:type="character" w:customStyle="1" w:styleId="ListParagraphChar">
    <w:name w:val="List Paragraph Char"/>
    <w:link w:val="1"/>
    <w:locked/>
    <w:rsid w:val="00F7430E"/>
    <w:rPr>
      <w:rFonts w:ascii="David" w:hAnsi="David" w:cs="David"/>
      <w:sz w:val="24"/>
    </w:rPr>
  </w:style>
  <w:style w:type="paragraph" w:customStyle="1" w:styleId="1">
    <w:name w:val="פיסקת רשימה1"/>
    <w:basedOn w:val="a"/>
    <w:link w:val="ListParagraphChar"/>
    <w:rsid w:val="00F7430E"/>
    <w:pPr>
      <w:spacing w:after="160" w:line="360" w:lineRule="auto"/>
      <w:ind w:left="720" w:hanging="357"/>
      <w:contextualSpacing/>
      <w:jc w:val="both"/>
    </w:pPr>
    <w:rPr>
      <w:rFonts w:ascii="David" w:eastAsia="Calibri" w:hAnsi="David"/>
      <w:szCs w:val="22"/>
    </w:rPr>
  </w:style>
  <w:style w:type="character" w:styleId="ad">
    <w:name w:val="footnote reference"/>
    <w:rsid w:val="00F7430E"/>
    <w:rPr>
      <w:vertAlign w:val="superscript"/>
    </w:rPr>
  </w:style>
  <w:style w:type="character" w:styleId="Hyperlink">
    <w:name w:val="Hyperlink"/>
    <w:rsid w:val="00F743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26804829" TargetMode="External"/><Relationship Id="rId26" Type="http://schemas.openxmlformats.org/officeDocument/2006/relationships/hyperlink" Target="http://www.nevo.co.il/law/70301/40d.a" TargetMode="External"/><Relationship Id="rId39" Type="http://schemas.openxmlformats.org/officeDocument/2006/relationships/footer" Target="footer1.xml"/><Relationship Id="rId21" Type="http://schemas.openxmlformats.org/officeDocument/2006/relationships/hyperlink" Target="http://www.nevo.co.il/case/27274743" TargetMode="External"/><Relationship Id="rId34" Type="http://schemas.openxmlformats.org/officeDocument/2006/relationships/hyperlink" Target="http://www.nevo.co.il/case/5873418"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8689499" TargetMode="External"/><Relationship Id="rId20" Type="http://schemas.openxmlformats.org/officeDocument/2006/relationships/hyperlink" Target="http://www.nevo.co.il/case/24343133" TargetMode="External"/><Relationship Id="rId29" Type="http://schemas.openxmlformats.org/officeDocument/2006/relationships/hyperlink" Target="http://www.nevo.co.il/law/7030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a" TargetMode="External"/><Relationship Id="rId24" Type="http://schemas.openxmlformats.org/officeDocument/2006/relationships/hyperlink" Target="http://www.nevo.co.il/case/6128041" TargetMode="External"/><Relationship Id="rId32" Type="http://schemas.openxmlformats.org/officeDocument/2006/relationships/hyperlink" Target="http://www.nevo.co.il/case/22938500"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5763166" TargetMode="External"/><Relationship Id="rId23" Type="http://schemas.openxmlformats.org/officeDocument/2006/relationships/hyperlink" Target="http://www.nevo.co.il/case/6169989" TargetMode="External"/><Relationship Id="rId28" Type="http://schemas.openxmlformats.org/officeDocument/2006/relationships/hyperlink" Target="http://www.nevo.co.il/law/70301"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0630891" TargetMode="External"/><Relationship Id="rId31" Type="http://schemas.openxmlformats.org/officeDocument/2006/relationships/hyperlink" Target="http://www.nevo.co.il/case/2545924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1017469"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case/26883653" TargetMode="External"/><Relationship Id="rId25" Type="http://schemas.openxmlformats.org/officeDocument/2006/relationships/hyperlink" Target="http://www.nevo.co.il/case/20591775" TargetMode="External"/><Relationship Id="rId33" Type="http://schemas.openxmlformats.org/officeDocument/2006/relationships/hyperlink" Target="http://www.nevo.co.il/case/20363472"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nevo.co.il/case/6091483"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3262</Words>
  <Characters>16315</Characters>
  <Application>Microsoft Office Word</Application>
  <DocSecurity>0</DocSecurity>
  <Lines>135</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19538</CharactersWithSpaces>
  <SharedDoc>false</SharedDoc>
  <HLinks>
    <vt:vector size="186"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4063358</vt:i4>
      </vt:variant>
      <vt:variant>
        <vt:i4>81</vt:i4>
      </vt:variant>
      <vt:variant>
        <vt:i4>0</vt:i4>
      </vt:variant>
      <vt:variant>
        <vt:i4>5</vt:i4>
      </vt:variant>
      <vt:variant>
        <vt:lpwstr>http://www.nevo.co.il/case/5873418</vt:lpwstr>
      </vt:variant>
      <vt:variant>
        <vt:lpwstr/>
      </vt:variant>
      <vt:variant>
        <vt:i4>3473526</vt:i4>
      </vt:variant>
      <vt:variant>
        <vt:i4>78</vt:i4>
      </vt:variant>
      <vt:variant>
        <vt:i4>0</vt:i4>
      </vt:variant>
      <vt:variant>
        <vt:i4>5</vt:i4>
      </vt:variant>
      <vt:variant>
        <vt:lpwstr>http://www.nevo.co.il/case/20363472</vt:lpwstr>
      </vt:variant>
      <vt:variant>
        <vt:lpwstr/>
      </vt:variant>
      <vt:variant>
        <vt:i4>3342448</vt:i4>
      </vt:variant>
      <vt:variant>
        <vt:i4>75</vt:i4>
      </vt:variant>
      <vt:variant>
        <vt:i4>0</vt:i4>
      </vt:variant>
      <vt:variant>
        <vt:i4>5</vt:i4>
      </vt:variant>
      <vt:variant>
        <vt:lpwstr>http://www.nevo.co.il/case/22938500</vt:lpwstr>
      </vt:variant>
      <vt:variant>
        <vt:lpwstr/>
      </vt:variant>
      <vt:variant>
        <vt:i4>3866742</vt:i4>
      </vt:variant>
      <vt:variant>
        <vt:i4>72</vt:i4>
      </vt:variant>
      <vt:variant>
        <vt:i4>0</vt:i4>
      </vt:variant>
      <vt:variant>
        <vt:i4>5</vt:i4>
      </vt:variant>
      <vt:variant>
        <vt:lpwstr>http://www.nevo.co.il/case/25459244</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4915205</vt:i4>
      </vt:variant>
      <vt:variant>
        <vt:i4>57</vt:i4>
      </vt:variant>
      <vt:variant>
        <vt:i4>0</vt:i4>
      </vt:variant>
      <vt:variant>
        <vt:i4>5</vt:i4>
      </vt:variant>
      <vt:variant>
        <vt:lpwstr>http://www.nevo.co.il/law/70301/40d.a</vt:lpwstr>
      </vt:variant>
      <vt:variant>
        <vt:lpwstr/>
      </vt:variant>
      <vt:variant>
        <vt:i4>3211386</vt:i4>
      </vt:variant>
      <vt:variant>
        <vt:i4>54</vt:i4>
      </vt:variant>
      <vt:variant>
        <vt:i4>0</vt:i4>
      </vt:variant>
      <vt:variant>
        <vt:i4>5</vt:i4>
      </vt:variant>
      <vt:variant>
        <vt:lpwstr>http://www.nevo.co.il/case/20591775</vt:lpwstr>
      </vt:variant>
      <vt:variant>
        <vt:lpwstr/>
      </vt:variant>
      <vt:variant>
        <vt:i4>3473529</vt:i4>
      </vt:variant>
      <vt:variant>
        <vt:i4>51</vt:i4>
      </vt:variant>
      <vt:variant>
        <vt:i4>0</vt:i4>
      </vt:variant>
      <vt:variant>
        <vt:i4>5</vt:i4>
      </vt:variant>
      <vt:variant>
        <vt:lpwstr>http://www.nevo.co.il/case/6128041</vt:lpwstr>
      </vt:variant>
      <vt:variant>
        <vt:lpwstr/>
      </vt:variant>
      <vt:variant>
        <vt:i4>3145844</vt:i4>
      </vt:variant>
      <vt:variant>
        <vt:i4>48</vt:i4>
      </vt:variant>
      <vt:variant>
        <vt:i4>0</vt:i4>
      </vt:variant>
      <vt:variant>
        <vt:i4>5</vt:i4>
      </vt:variant>
      <vt:variant>
        <vt:lpwstr>http://www.nevo.co.il/case/6169989</vt:lpwstr>
      </vt:variant>
      <vt:variant>
        <vt:lpwstr/>
      </vt:variant>
      <vt:variant>
        <vt:i4>3342448</vt:i4>
      </vt:variant>
      <vt:variant>
        <vt:i4>45</vt:i4>
      </vt:variant>
      <vt:variant>
        <vt:i4>0</vt:i4>
      </vt:variant>
      <vt:variant>
        <vt:i4>5</vt:i4>
      </vt:variant>
      <vt:variant>
        <vt:lpwstr>http://www.nevo.co.il/case/21017469</vt:lpwstr>
      </vt:variant>
      <vt:variant>
        <vt:lpwstr/>
      </vt:variant>
      <vt:variant>
        <vt:i4>3145843</vt:i4>
      </vt:variant>
      <vt:variant>
        <vt:i4>42</vt:i4>
      </vt:variant>
      <vt:variant>
        <vt:i4>0</vt:i4>
      </vt:variant>
      <vt:variant>
        <vt:i4>5</vt:i4>
      </vt:variant>
      <vt:variant>
        <vt:lpwstr>http://www.nevo.co.il/case/27274743</vt:lpwstr>
      </vt:variant>
      <vt:variant>
        <vt:lpwstr/>
      </vt:variant>
      <vt:variant>
        <vt:i4>3211381</vt:i4>
      </vt:variant>
      <vt:variant>
        <vt:i4>39</vt:i4>
      </vt:variant>
      <vt:variant>
        <vt:i4>0</vt:i4>
      </vt:variant>
      <vt:variant>
        <vt:i4>5</vt:i4>
      </vt:variant>
      <vt:variant>
        <vt:lpwstr>http://www.nevo.co.il/case/24343133</vt:lpwstr>
      </vt:variant>
      <vt:variant>
        <vt:lpwstr/>
      </vt:variant>
      <vt:variant>
        <vt:i4>3997823</vt:i4>
      </vt:variant>
      <vt:variant>
        <vt:i4>36</vt:i4>
      </vt:variant>
      <vt:variant>
        <vt:i4>0</vt:i4>
      </vt:variant>
      <vt:variant>
        <vt:i4>5</vt:i4>
      </vt:variant>
      <vt:variant>
        <vt:lpwstr>http://www.nevo.co.il/case/20630891</vt:lpwstr>
      </vt:variant>
      <vt:variant>
        <vt:lpwstr/>
      </vt:variant>
      <vt:variant>
        <vt:i4>3932282</vt:i4>
      </vt:variant>
      <vt:variant>
        <vt:i4>33</vt:i4>
      </vt:variant>
      <vt:variant>
        <vt:i4>0</vt:i4>
      </vt:variant>
      <vt:variant>
        <vt:i4>5</vt:i4>
      </vt:variant>
      <vt:variant>
        <vt:lpwstr>http://www.nevo.co.il/case/26804829</vt:lpwstr>
      </vt:variant>
      <vt:variant>
        <vt:lpwstr/>
      </vt:variant>
      <vt:variant>
        <vt:i4>3932284</vt:i4>
      </vt:variant>
      <vt:variant>
        <vt:i4>30</vt:i4>
      </vt:variant>
      <vt:variant>
        <vt:i4>0</vt:i4>
      </vt:variant>
      <vt:variant>
        <vt:i4>5</vt:i4>
      </vt:variant>
      <vt:variant>
        <vt:lpwstr>http://www.nevo.co.il/case/26883653</vt:lpwstr>
      </vt:variant>
      <vt:variant>
        <vt:lpwstr/>
      </vt:variant>
      <vt:variant>
        <vt:i4>3407984</vt:i4>
      </vt:variant>
      <vt:variant>
        <vt:i4>27</vt:i4>
      </vt:variant>
      <vt:variant>
        <vt:i4>0</vt:i4>
      </vt:variant>
      <vt:variant>
        <vt:i4>5</vt:i4>
      </vt:variant>
      <vt:variant>
        <vt:lpwstr>http://www.nevo.co.il/case/28689499</vt:lpwstr>
      </vt:variant>
      <vt:variant>
        <vt:lpwstr/>
      </vt:variant>
      <vt:variant>
        <vt:i4>3407990</vt:i4>
      </vt:variant>
      <vt:variant>
        <vt:i4>24</vt:i4>
      </vt:variant>
      <vt:variant>
        <vt:i4>0</vt:i4>
      </vt:variant>
      <vt:variant>
        <vt:i4>5</vt:i4>
      </vt:variant>
      <vt:variant>
        <vt:lpwstr>http://www.nevo.co.il/case/5763166</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ariant>
        <vt:i4>3670141</vt:i4>
      </vt:variant>
      <vt:variant>
        <vt:i4>0</vt:i4>
      </vt:variant>
      <vt:variant>
        <vt:i4>0</vt:i4>
      </vt:variant>
      <vt:variant>
        <vt:i4>5</vt:i4>
      </vt:variant>
      <vt:variant>
        <vt:lpwstr>http://www.nevo.co.il/case/6091483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2025-04-23T00:46:00Z</dcterms:created>
  <dcterms:modified xsi:type="dcterms:W3CDTF">2025-04-23T00:46:00Z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44550</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הייסם אלגילאוי</vt:lpwstr>
  </property>
  <property fmtid="{D5CDD505-2E9C-101B-9397-08002B2CF9AE}" pid="10" name="LAWYER">
    <vt:lpwstr>רעות נתאי;נטלי אוטן</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20221205</vt:lpwstr>
  </property>
  <property fmtid="{D5CDD505-2E9C-101B-9397-08002B2CF9AE}" pid="14" name="TYPE_N_DATE">
    <vt:lpwstr>38020221205</vt:lpwstr>
  </property>
  <property fmtid="{D5CDD505-2E9C-101B-9397-08002B2CF9AE}" pid="15" name="ISABSTRACT">
    <vt:lpwstr>Y</vt:lpwstr>
  </property>
  <property fmtid="{D5CDD505-2E9C-101B-9397-08002B2CF9AE}" pid="16" name="WORDNUMPAGES">
    <vt:lpwstr>10</vt:lpwstr>
  </property>
  <property fmtid="{D5CDD505-2E9C-101B-9397-08002B2CF9AE}" pid="17" name="TYPE_ABS_DATE">
    <vt:lpwstr>380020221205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5763166;28689499;26883653;26804829;20630891;24343133;27274743;21017469;6169989;6128041;20591775;25459244;22938500;20363472;5873418;6091483</vt:lpwstr>
  </property>
  <property fmtid="{D5CDD505-2E9C-101B-9397-08002B2CF9AE}" pid="36" name="LAWLISTTMP1">
    <vt:lpwstr>4216/007.a:2;007.c:2</vt:lpwstr>
  </property>
  <property fmtid="{D5CDD505-2E9C-101B-9397-08002B2CF9AE}" pid="37" name="LAWLISTTMP2">
    <vt:lpwstr>70301/040d.a:2</vt:lpwstr>
  </property>
</Properties>
</file>