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A2120" w:rsidRPr="00D3453B" w14:paraId="52BF3C90" w14:textId="77777777" w:rsidTr="00E5474E">
        <w:trPr>
          <w:trHeight w:hRule="exact" w:val="418"/>
          <w:jc w:val="center"/>
        </w:trPr>
        <w:tc>
          <w:tcPr>
            <w:tcW w:w="8721" w:type="dxa"/>
            <w:gridSpan w:val="2"/>
          </w:tcPr>
          <w:p w14:paraId="56C15AA4" w14:textId="77777777" w:rsidR="000A2120" w:rsidRPr="00D3453B" w:rsidRDefault="000A2120" w:rsidP="00D56C3D">
            <w:pPr>
              <w:pStyle w:val="a3"/>
              <w:jc w:val="center"/>
              <w:rPr>
                <w:rFonts w:ascii="Tahoma" w:hAnsi="Tahoma" w:cs="Tahoma"/>
                <w:color w:val="000080"/>
                <w:rtl/>
              </w:rPr>
            </w:pPr>
            <w:r w:rsidRPr="00D3453B">
              <w:rPr>
                <w:rFonts w:ascii="Tahoma" w:hAnsi="Tahoma" w:cs="Tahoma"/>
                <w:b/>
                <w:bCs/>
                <w:color w:val="000080"/>
                <w:rtl/>
              </w:rPr>
              <w:t>בית משפט השלום בקריות</w:t>
            </w:r>
          </w:p>
        </w:tc>
      </w:tr>
      <w:tr w:rsidR="000A2120" w:rsidRPr="00D3453B" w14:paraId="51484498" w14:textId="77777777" w:rsidTr="00E5474E">
        <w:trPr>
          <w:trHeight w:val="337"/>
          <w:jc w:val="center"/>
        </w:trPr>
        <w:tc>
          <w:tcPr>
            <w:tcW w:w="5054" w:type="dxa"/>
          </w:tcPr>
          <w:p w14:paraId="0D834B3D" w14:textId="77777777" w:rsidR="000A2120" w:rsidRPr="00D3453B" w:rsidRDefault="000A2120" w:rsidP="00D56C3D">
            <w:pPr>
              <w:rPr>
                <w:rFonts w:cs="FrankRuehl"/>
                <w:sz w:val="28"/>
                <w:szCs w:val="28"/>
                <w:rtl/>
              </w:rPr>
            </w:pPr>
            <w:r w:rsidRPr="00D3453B">
              <w:rPr>
                <w:rFonts w:cs="FrankRuehl"/>
                <w:sz w:val="28"/>
                <w:szCs w:val="28"/>
                <w:rtl/>
              </w:rPr>
              <w:t>ת"פ</w:t>
            </w:r>
            <w:r w:rsidRPr="00D3453B">
              <w:rPr>
                <w:rFonts w:cs="FrankRuehl" w:hint="cs"/>
                <w:sz w:val="28"/>
                <w:szCs w:val="28"/>
                <w:rtl/>
              </w:rPr>
              <w:t xml:space="preserve"> </w:t>
            </w:r>
            <w:r w:rsidRPr="00D3453B">
              <w:rPr>
                <w:rFonts w:cs="FrankRuehl"/>
                <w:sz w:val="28"/>
                <w:szCs w:val="28"/>
                <w:rtl/>
              </w:rPr>
              <w:t>56754-10-20</w:t>
            </w:r>
            <w:r w:rsidRPr="00D3453B">
              <w:rPr>
                <w:rFonts w:cs="FrankRuehl" w:hint="cs"/>
                <w:sz w:val="28"/>
                <w:szCs w:val="28"/>
                <w:rtl/>
              </w:rPr>
              <w:t xml:space="preserve"> </w:t>
            </w:r>
            <w:r w:rsidRPr="00D3453B">
              <w:rPr>
                <w:rFonts w:cs="FrankRuehl"/>
                <w:sz w:val="28"/>
                <w:szCs w:val="28"/>
                <w:rtl/>
              </w:rPr>
              <w:t>מדינת ישראל נ' בן שיטרית</w:t>
            </w:r>
          </w:p>
          <w:p w14:paraId="00EA1E5C" w14:textId="77777777" w:rsidR="000A2120" w:rsidRPr="00D3453B" w:rsidRDefault="000A2120" w:rsidP="00D56C3D">
            <w:pPr>
              <w:pStyle w:val="a3"/>
              <w:rPr>
                <w:rFonts w:cs="FrankRuehl"/>
                <w:sz w:val="28"/>
                <w:szCs w:val="28"/>
                <w:rtl/>
              </w:rPr>
            </w:pPr>
          </w:p>
        </w:tc>
        <w:tc>
          <w:tcPr>
            <w:tcW w:w="3667" w:type="dxa"/>
          </w:tcPr>
          <w:p w14:paraId="309B4F91" w14:textId="77777777" w:rsidR="000A2120" w:rsidRPr="00D3453B" w:rsidRDefault="000A2120" w:rsidP="00D56C3D">
            <w:pPr>
              <w:pStyle w:val="a3"/>
              <w:jc w:val="right"/>
              <w:rPr>
                <w:rFonts w:cs="FrankRuehl"/>
                <w:sz w:val="28"/>
                <w:szCs w:val="28"/>
                <w:rtl/>
              </w:rPr>
            </w:pPr>
          </w:p>
        </w:tc>
      </w:tr>
    </w:tbl>
    <w:p w14:paraId="5C7C552B" w14:textId="77777777" w:rsidR="000A2120" w:rsidRPr="00D3453B" w:rsidRDefault="000A2120" w:rsidP="000A2120">
      <w:pPr>
        <w:pStyle w:val="a3"/>
        <w:rPr>
          <w:rtl/>
        </w:rPr>
      </w:pPr>
      <w:r w:rsidRPr="00D3453B">
        <w:rPr>
          <w:rFonts w:hint="cs"/>
          <w:rtl/>
        </w:rPr>
        <w:t xml:space="preserve"> </w:t>
      </w:r>
    </w:p>
    <w:p w14:paraId="28DC41F7" w14:textId="77777777" w:rsidR="000A2120" w:rsidRPr="00D3453B" w:rsidRDefault="000A2120" w:rsidP="000A2120">
      <w:pPr>
        <w:rPr>
          <w:rFonts w:ascii="David" w:hAnsi="David"/>
          <w:sz w:val="26"/>
          <w:szCs w:val="26"/>
          <w:rtl/>
        </w:rPr>
      </w:pPr>
    </w:p>
    <w:p w14:paraId="24DB776D" w14:textId="77777777" w:rsidR="000A2120" w:rsidRPr="00D3453B" w:rsidRDefault="000A2120" w:rsidP="000A2120">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A2120" w:rsidRPr="00D3453B" w14:paraId="5A0987EF" w14:textId="77777777" w:rsidTr="000A2120">
        <w:trPr>
          <w:trHeight w:val="295"/>
          <w:jc w:val="center"/>
        </w:trPr>
        <w:tc>
          <w:tcPr>
            <w:tcW w:w="923" w:type="dxa"/>
            <w:tcBorders>
              <w:top w:val="nil"/>
              <w:left w:val="nil"/>
              <w:bottom w:val="nil"/>
              <w:right w:val="nil"/>
            </w:tcBorders>
            <w:shd w:val="clear" w:color="auto" w:fill="auto"/>
          </w:tcPr>
          <w:p w14:paraId="12814A25" w14:textId="77777777" w:rsidR="000A2120" w:rsidRPr="00D3453B" w:rsidRDefault="000A2120" w:rsidP="000A2120">
            <w:pPr>
              <w:jc w:val="both"/>
              <w:rPr>
                <w:rFonts w:ascii="David" w:hAnsi="David"/>
                <w:b/>
                <w:bCs/>
              </w:rPr>
            </w:pPr>
            <w:r w:rsidRPr="00D3453B">
              <w:rPr>
                <w:rFonts w:ascii="David" w:hAnsi="David"/>
                <w:b/>
                <w:bCs/>
                <w:rtl/>
              </w:rPr>
              <w:t xml:space="preserve">בפני </w:t>
            </w:r>
          </w:p>
        </w:tc>
        <w:tc>
          <w:tcPr>
            <w:tcW w:w="7897" w:type="dxa"/>
            <w:gridSpan w:val="2"/>
            <w:tcBorders>
              <w:top w:val="nil"/>
              <w:left w:val="nil"/>
              <w:bottom w:val="nil"/>
              <w:right w:val="nil"/>
            </w:tcBorders>
            <w:shd w:val="clear" w:color="auto" w:fill="auto"/>
          </w:tcPr>
          <w:p w14:paraId="0506341A" w14:textId="77777777" w:rsidR="000A2120" w:rsidRPr="00D3453B" w:rsidRDefault="000A2120" w:rsidP="00D56C3D">
            <w:pPr>
              <w:rPr>
                <w:rFonts w:ascii="David" w:hAnsi="David"/>
                <w:b/>
                <w:bCs/>
              </w:rPr>
            </w:pPr>
            <w:r w:rsidRPr="00D3453B">
              <w:rPr>
                <w:rFonts w:ascii="Arial" w:hAnsi="Arial"/>
                <w:b/>
                <w:bCs/>
                <w:rtl/>
              </w:rPr>
              <w:t>כב' השופט יוסי טורס , סגן הנשיאה</w:t>
            </w:r>
          </w:p>
        </w:tc>
      </w:tr>
      <w:tr w:rsidR="000A2120" w:rsidRPr="00D3453B" w14:paraId="7531EA9C" w14:textId="77777777" w:rsidTr="000A2120">
        <w:trPr>
          <w:trHeight w:val="355"/>
          <w:jc w:val="center"/>
        </w:trPr>
        <w:tc>
          <w:tcPr>
            <w:tcW w:w="923" w:type="dxa"/>
            <w:tcBorders>
              <w:top w:val="nil"/>
              <w:left w:val="nil"/>
              <w:bottom w:val="nil"/>
              <w:right w:val="nil"/>
            </w:tcBorders>
            <w:shd w:val="clear" w:color="auto" w:fill="auto"/>
          </w:tcPr>
          <w:p w14:paraId="3AB0C865" w14:textId="77777777" w:rsidR="000A2120" w:rsidRPr="00D3453B" w:rsidRDefault="000A2120" w:rsidP="000A2120">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2B04AC1A" w14:textId="77777777" w:rsidR="000A2120" w:rsidRPr="00D3453B" w:rsidRDefault="000A2120" w:rsidP="00D56C3D">
            <w:pPr>
              <w:rPr>
                <w:rFonts w:ascii="David" w:hAnsi="David"/>
                <w:b/>
                <w:bCs/>
              </w:rPr>
            </w:pPr>
          </w:p>
        </w:tc>
        <w:tc>
          <w:tcPr>
            <w:tcW w:w="3771" w:type="dxa"/>
            <w:tcBorders>
              <w:top w:val="nil"/>
              <w:left w:val="nil"/>
              <w:bottom w:val="nil"/>
              <w:right w:val="nil"/>
            </w:tcBorders>
            <w:shd w:val="clear" w:color="auto" w:fill="auto"/>
          </w:tcPr>
          <w:p w14:paraId="6D4B1A04" w14:textId="77777777" w:rsidR="000A2120" w:rsidRPr="00D3453B" w:rsidRDefault="000A2120" w:rsidP="000A2120">
            <w:pPr>
              <w:jc w:val="both"/>
              <w:rPr>
                <w:rFonts w:ascii="David" w:hAnsi="David"/>
                <w:b/>
                <w:bCs/>
              </w:rPr>
            </w:pPr>
          </w:p>
        </w:tc>
      </w:tr>
      <w:tr w:rsidR="000A2120" w:rsidRPr="00D3453B" w14:paraId="03AC736D" w14:textId="77777777" w:rsidTr="000A2120">
        <w:trPr>
          <w:trHeight w:val="355"/>
          <w:jc w:val="center"/>
        </w:trPr>
        <w:tc>
          <w:tcPr>
            <w:tcW w:w="923" w:type="dxa"/>
            <w:tcBorders>
              <w:top w:val="nil"/>
              <w:left w:val="nil"/>
              <w:bottom w:val="nil"/>
              <w:right w:val="nil"/>
            </w:tcBorders>
            <w:shd w:val="clear" w:color="auto" w:fill="auto"/>
          </w:tcPr>
          <w:p w14:paraId="170256E3" w14:textId="77777777" w:rsidR="000A2120" w:rsidRPr="00D3453B" w:rsidRDefault="000A2120" w:rsidP="000A2120">
            <w:pPr>
              <w:jc w:val="both"/>
              <w:rPr>
                <w:rFonts w:ascii="David" w:hAnsi="David"/>
                <w:b/>
                <w:bCs/>
                <w:rtl/>
              </w:rPr>
            </w:pPr>
            <w:bookmarkStart w:id="1" w:name="FirstAppellant"/>
            <w:r w:rsidRPr="00D3453B">
              <w:rPr>
                <w:rFonts w:ascii="David" w:hAnsi="David"/>
                <w:b/>
                <w:bCs/>
                <w:rtl/>
              </w:rPr>
              <w:t>בעניין:</w:t>
            </w:r>
          </w:p>
        </w:tc>
        <w:tc>
          <w:tcPr>
            <w:tcW w:w="4126" w:type="dxa"/>
            <w:tcBorders>
              <w:top w:val="nil"/>
              <w:left w:val="nil"/>
              <w:bottom w:val="nil"/>
              <w:right w:val="nil"/>
            </w:tcBorders>
            <w:shd w:val="clear" w:color="auto" w:fill="auto"/>
          </w:tcPr>
          <w:p w14:paraId="4FCC11D0" w14:textId="77777777" w:rsidR="000A2120" w:rsidRPr="00D3453B" w:rsidRDefault="000A2120" w:rsidP="000A2120">
            <w:pPr>
              <w:jc w:val="both"/>
              <w:rPr>
                <w:rFonts w:ascii="David" w:hAnsi="David"/>
                <w:b/>
                <w:bCs/>
                <w:rtl/>
              </w:rPr>
            </w:pPr>
            <w:r w:rsidRPr="00D3453B">
              <w:rPr>
                <w:rFonts w:ascii="David" w:hAnsi="David"/>
                <w:b/>
                <w:bCs/>
                <w:rtl/>
              </w:rPr>
              <w:t>מדינת ישראל</w:t>
            </w:r>
          </w:p>
        </w:tc>
        <w:tc>
          <w:tcPr>
            <w:tcW w:w="3771" w:type="dxa"/>
            <w:tcBorders>
              <w:top w:val="nil"/>
              <w:left w:val="nil"/>
              <w:bottom w:val="nil"/>
              <w:right w:val="nil"/>
            </w:tcBorders>
            <w:shd w:val="clear" w:color="auto" w:fill="auto"/>
          </w:tcPr>
          <w:p w14:paraId="62D4401D" w14:textId="77777777" w:rsidR="000A2120" w:rsidRPr="00D3453B" w:rsidRDefault="000A2120" w:rsidP="000A2120">
            <w:pPr>
              <w:jc w:val="right"/>
              <w:rPr>
                <w:rFonts w:ascii="David" w:hAnsi="David"/>
                <w:b/>
                <w:bCs/>
                <w:rtl/>
              </w:rPr>
            </w:pPr>
            <w:r w:rsidRPr="00D3453B">
              <w:rPr>
                <w:rFonts w:ascii="David" w:hAnsi="David"/>
                <w:b/>
                <w:bCs/>
                <w:rtl/>
              </w:rPr>
              <w:t>המאשימה</w:t>
            </w:r>
          </w:p>
        </w:tc>
      </w:tr>
      <w:bookmarkEnd w:id="1"/>
      <w:tr w:rsidR="000A2120" w:rsidRPr="00D3453B" w14:paraId="7AD80091" w14:textId="77777777" w:rsidTr="000A2120">
        <w:trPr>
          <w:trHeight w:val="355"/>
          <w:jc w:val="center"/>
        </w:trPr>
        <w:tc>
          <w:tcPr>
            <w:tcW w:w="923" w:type="dxa"/>
            <w:tcBorders>
              <w:top w:val="nil"/>
              <w:left w:val="nil"/>
              <w:bottom w:val="nil"/>
              <w:right w:val="nil"/>
            </w:tcBorders>
            <w:shd w:val="clear" w:color="auto" w:fill="auto"/>
          </w:tcPr>
          <w:p w14:paraId="09D4DCBD" w14:textId="77777777" w:rsidR="000A2120" w:rsidRPr="00D3453B" w:rsidRDefault="000A2120" w:rsidP="000A2120">
            <w:pPr>
              <w:jc w:val="both"/>
              <w:rPr>
                <w:rFonts w:ascii="David" w:hAnsi="David"/>
                <w:b/>
                <w:bCs/>
                <w:rtl/>
              </w:rPr>
            </w:pPr>
          </w:p>
        </w:tc>
        <w:tc>
          <w:tcPr>
            <w:tcW w:w="7897" w:type="dxa"/>
            <w:gridSpan w:val="2"/>
            <w:tcBorders>
              <w:top w:val="nil"/>
              <w:left w:val="nil"/>
              <w:bottom w:val="nil"/>
              <w:right w:val="nil"/>
            </w:tcBorders>
            <w:shd w:val="clear" w:color="auto" w:fill="auto"/>
          </w:tcPr>
          <w:p w14:paraId="462504B8" w14:textId="77777777" w:rsidR="000A2120" w:rsidRPr="00D3453B" w:rsidRDefault="000A2120" w:rsidP="000A2120">
            <w:pPr>
              <w:jc w:val="center"/>
              <w:rPr>
                <w:rFonts w:ascii="David" w:hAnsi="David"/>
                <w:b/>
                <w:bCs/>
                <w:rtl/>
              </w:rPr>
            </w:pPr>
          </w:p>
          <w:p w14:paraId="1532DA51" w14:textId="77777777" w:rsidR="000A2120" w:rsidRPr="00D3453B" w:rsidRDefault="000A2120" w:rsidP="000A2120">
            <w:pPr>
              <w:jc w:val="center"/>
              <w:rPr>
                <w:rFonts w:ascii="David" w:hAnsi="David"/>
                <w:b/>
                <w:bCs/>
                <w:rtl/>
              </w:rPr>
            </w:pPr>
            <w:r w:rsidRPr="00D3453B">
              <w:rPr>
                <w:rFonts w:ascii="David" w:hAnsi="David"/>
                <w:b/>
                <w:bCs/>
                <w:rtl/>
              </w:rPr>
              <w:t>נגד</w:t>
            </w:r>
          </w:p>
          <w:p w14:paraId="5AEE163D" w14:textId="77777777" w:rsidR="000A2120" w:rsidRPr="00D3453B" w:rsidRDefault="000A2120" w:rsidP="000A2120">
            <w:pPr>
              <w:jc w:val="both"/>
              <w:rPr>
                <w:rFonts w:ascii="David" w:hAnsi="David"/>
                <w:b/>
                <w:bCs/>
              </w:rPr>
            </w:pPr>
          </w:p>
        </w:tc>
      </w:tr>
      <w:tr w:rsidR="000A2120" w:rsidRPr="00D3453B" w14:paraId="400A8293" w14:textId="77777777" w:rsidTr="000A2120">
        <w:trPr>
          <w:trHeight w:val="355"/>
          <w:jc w:val="center"/>
        </w:trPr>
        <w:tc>
          <w:tcPr>
            <w:tcW w:w="923" w:type="dxa"/>
            <w:tcBorders>
              <w:top w:val="nil"/>
              <w:left w:val="nil"/>
              <w:bottom w:val="nil"/>
              <w:right w:val="nil"/>
            </w:tcBorders>
            <w:shd w:val="clear" w:color="auto" w:fill="auto"/>
          </w:tcPr>
          <w:p w14:paraId="4B9AB5C8" w14:textId="77777777" w:rsidR="000A2120" w:rsidRPr="00D3453B" w:rsidRDefault="000A2120" w:rsidP="00D56C3D">
            <w:pPr>
              <w:rPr>
                <w:rFonts w:ascii="David" w:hAnsi="David"/>
                <w:b/>
                <w:bCs/>
                <w:rtl/>
              </w:rPr>
            </w:pPr>
            <w:bookmarkStart w:id="2" w:name="FirstLawyer"/>
          </w:p>
        </w:tc>
        <w:tc>
          <w:tcPr>
            <w:tcW w:w="4126" w:type="dxa"/>
            <w:tcBorders>
              <w:top w:val="nil"/>
              <w:left w:val="nil"/>
              <w:bottom w:val="nil"/>
              <w:right w:val="nil"/>
            </w:tcBorders>
            <w:shd w:val="clear" w:color="auto" w:fill="auto"/>
          </w:tcPr>
          <w:p w14:paraId="093CA448" w14:textId="77777777" w:rsidR="000A2120" w:rsidRPr="00D3453B" w:rsidRDefault="000A2120" w:rsidP="00D56C3D">
            <w:pPr>
              <w:rPr>
                <w:rFonts w:ascii="David" w:hAnsi="David"/>
                <w:b/>
                <w:bCs/>
                <w:rtl/>
              </w:rPr>
            </w:pPr>
            <w:r w:rsidRPr="00D3453B">
              <w:rPr>
                <w:rFonts w:ascii="David" w:hAnsi="David"/>
                <w:b/>
                <w:bCs/>
                <w:rtl/>
              </w:rPr>
              <w:t>אליעד בן שיטרית</w:t>
            </w:r>
          </w:p>
          <w:p w14:paraId="767723D6" w14:textId="77777777" w:rsidR="000A2120" w:rsidRPr="00D3453B" w:rsidRDefault="000A2120" w:rsidP="00D56C3D">
            <w:pPr>
              <w:rPr>
                <w:rFonts w:ascii="David" w:hAnsi="David"/>
                <w:rtl/>
              </w:rPr>
            </w:pPr>
            <w:r w:rsidRPr="00D3453B">
              <w:rPr>
                <w:rFonts w:ascii="David" w:hAnsi="David" w:hint="cs"/>
                <w:rtl/>
              </w:rPr>
              <w:t>ע"י ב"כ עו"ד גיל משה</w:t>
            </w:r>
          </w:p>
        </w:tc>
        <w:tc>
          <w:tcPr>
            <w:tcW w:w="3771" w:type="dxa"/>
            <w:tcBorders>
              <w:top w:val="nil"/>
              <w:left w:val="nil"/>
              <w:bottom w:val="nil"/>
              <w:right w:val="nil"/>
            </w:tcBorders>
            <w:shd w:val="clear" w:color="auto" w:fill="auto"/>
          </w:tcPr>
          <w:p w14:paraId="53A6C619" w14:textId="77777777" w:rsidR="000A2120" w:rsidRPr="00D3453B" w:rsidRDefault="000A2120" w:rsidP="000A2120">
            <w:pPr>
              <w:jc w:val="right"/>
              <w:rPr>
                <w:rFonts w:ascii="David" w:hAnsi="David"/>
                <w:b/>
                <w:bCs/>
              </w:rPr>
            </w:pPr>
            <w:r w:rsidRPr="00D3453B">
              <w:rPr>
                <w:rFonts w:ascii="David" w:hAnsi="David"/>
                <w:b/>
                <w:bCs/>
                <w:rtl/>
              </w:rPr>
              <w:t>הנאשם</w:t>
            </w:r>
          </w:p>
        </w:tc>
      </w:tr>
      <w:bookmarkEnd w:id="2"/>
    </w:tbl>
    <w:p w14:paraId="6E4024E8" w14:textId="77777777" w:rsidR="00E5474E" w:rsidRPr="00E5474E" w:rsidRDefault="00E5474E" w:rsidP="00E5474E">
      <w:pPr>
        <w:spacing w:before="120" w:after="120" w:line="240" w:lineRule="exact"/>
        <w:ind w:left="283" w:hanging="283"/>
        <w:jc w:val="both"/>
        <w:rPr>
          <w:rFonts w:ascii="FrankRuehl" w:hAnsi="FrankRuehl" w:cs="FrankRuehl"/>
          <w:rtl/>
        </w:rPr>
      </w:pPr>
    </w:p>
    <w:p w14:paraId="2DD4BA84" w14:textId="77777777" w:rsidR="0076459A" w:rsidRPr="0076459A" w:rsidRDefault="0076459A" w:rsidP="0076459A">
      <w:pPr>
        <w:spacing w:before="120" w:after="120" w:line="240" w:lineRule="exact"/>
        <w:ind w:left="283" w:hanging="283"/>
        <w:jc w:val="both"/>
        <w:rPr>
          <w:rFonts w:ascii="FrankRuehl" w:hAnsi="FrankRuehl" w:cs="FrankRuehl"/>
          <w:rtl/>
        </w:rPr>
      </w:pPr>
    </w:p>
    <w:p w14:paraId="55041286" w14:textId="77777777" w:rsidR="00C83FDC" w:rsidRDefault="00C83FDC" w:rsidP="00C83FDC">
      <w:pPr>
        <w:rPr>
          <w:rtl/>
        </w:rPr>
      </w:pPr>
      <w:bookmarkStart w:id="3" w:name="LawTable"/>
      <w:bookmarkEnd w:id="3"/>
    </w:p>
    <w:p w14:paraId="18477DD7" w14:textId="77777777" w:rsidR="00C83FDC" w:rsidRPr="00C83FDC" w:rsidRDefault="00C83FDC" w:rsidP="00C83FDC">
      <w:pPr>
        <w:spacing w:before="120" w:after="120" w:line="240" w:lineRule="exact"/>
        <w:ind w:left="283" w:hanging="283"/>
        <w:jc w:val="both"/>
        <w:rPr>
          <w:rFonts w:ascii="FrankRuehl" w:hAnsi="FrankRuehl" w:cs="FrankRuehl"/>
          <w:rtl/>
        </w:rPr>
      </w:pPr>
    </w:p>
    <w:p w14:paraId="09B36ECF" w14:textId="77777777" w:rsidR="00C83FDC" w:rsidRPr="00C83FDC" w:rsidRDefault="00C83FDC" w:rsidP="00C83FDC">
      <w:pPr>
        <w:spacing w:before="120" w:after="120" w:line="240" w:lineRule="exact"/>
        <w:ind w:left="283" w:hanging="283"/>
        <w:jc w:val="both"/>
        <w:rPr>
          <w:rFonts w:ascii="FrankRuehl" w:hAnsi="FrankRuehl" w:cs="FrankRuehl"/>
          <w:rtl/>
        </w:rPr>
      </w:pPr>
    </w:p>
    <w:p w14:paraId="43AEBC89" w14:textId="77777777" w:rsidR="00C83FDC" w:rsidRPr="00C83FDC" w:rsidRDefault="00C83FDC" w:rsidP="00C83FDC">
      <w:pPr>
        <w:spacing w:before="120" w:after="120" w:line="240" w:lineRule="exact"/>
        <w:ind w:left="283" w:hanging="283"/>
        <w:jc w:val="both"/>
        <w:rPr>
          <w:rFonts w:ascii="FrankRuehl" w:hAnsi="FrankRuehl" w:cs="FrankRuehl"/>
          <w:rtl/>
        </w:rPr>
      </w:pPr>
      <w:r w:rsidRPr="00C83FDC">
        <w:rPr>
          <w:rFonts w:ascii="FrankRuehl" w:hAnsi="FrankRuehl" w:cs="FrankRuehl"/>
          <w:rtl/>
        </w:rPr>
        <w:t xml:space="preserve">חקיקה שאוזכרה: </w:t>
      </w:r>
    </w:p>
    <w:p w14:paraId="2183BC99" w14:textId="77777777" w:rsidR="00C83FDC" w:rsidRPr="00C83FDC" w:rsidRDefault="00C83FDC" w:rsidP="00C83FDC">
      <w:pPr>
        <w:spacing w:before="120" w:after="120" w:line="240" w:lineRule="exact"/>
        <w:ind w:left="283" w:hanging="283"/>
        <w:jc w:val="both"/>
        <w:rPr>
          <w:rFonts w:ascii="FrankRuehl" w:hAnsi="FrankRuehl" w:cs="FrankRuehl"/>
          <w:rtl/>
        </w:rPr>
      </w:pPr>
      <w:hyperlink r:id="rId7" w:history="1">
        <w:r w:rsidRPr="00C83FDC">
          <w:rPr>
            <w:rFonts w:ascii="FrankRuehl" w:hAnsi="FrankRuehl" w:cs="FrankRuehl"/>
            <w:color w:val="0000FF"/>
            <w:rtl/>
          </w:rPr>
          <w:t>פקודת הסמים המסוכנים [נוסח חדש], תשל"ג-1973</w:t>
        </w:r>
      </w:hyperlink>
      <w:r w:rsidRPr="00C83FDC">
        <w:rPr>
          <w:rFonts w:ascii="FrankRuehl" w:hAnsi="FrankRuehl" w:cs="FrankRuehl"/>
          <w:rtl/>
        </w:rPr>
        <w:t xml:space="preserve">: סע'  </w:t>
      </w:r>
      <w:hyperlink r:id="rId8" w:history="1">
        <w:r w:rsidRPr="00C83FDC">
          <w:rPr>
            <w:rFonts w:ascii="FrankRuehl" w:hAnsi="FrankRuehl" w:cs="FrankRuehl"/>
            <w:color w:val="0000FF"/>
            <w:rtl/>
          </w:rPr>
          <w:t>7.א.</w:t>
        </w:r>
      </w:hyperlink>
      <w:r w:rsidRPr="00C83FDC">
        <w:rPr>
          <w:rFonts w:ascii="FrankRuehl" w:hAnsi="FrankRuehl" w:cs="FrankRuehl"/>
          <w:rtl/>
        </w:rPr>
        <w:t xml:space="preserve">, </w:t>
      </w:r>
      <w:hyperlink r:id="rId9" w:history="1">
        <w:r w:rsidRPr="00C83FDC">
          <w:rPr>
            <w:rFonts w:ascii="FrankRuehl" w:hAnsi="FrankRuehl" w:cs="FrankRuehl"/>
            <w:color w:val="0000FF"/>
            <w:rtl/>
          </w:rPr>
          <w:t>7.ג</w:t>
        </w:r>
      </w:hyperlink>
    </w:p>
    <w:p w14:paraId="55E6F17A" w14:textId="77777777" w:rsidR="00C83FDC" w:rsidRPr="00C83FDC" w:rsidRDefault="00C83FDC" w:rsidP="00C83FDC">
      <w:pPr>
        <w:spacing w:before="120" w:after="120" w:line="240" w:lineRule="exact"/>
        <w:ind w:left="283" w:hanging="283"/>
        <w:jc w:val="both"/>
        <w:rPr>
          <w:rFonts w:ascii="FrankRuehl" w:hAnsi="FrankRuehl" w:cs="FrankRuehl"/>
          <w:rtl/>
        </w:rPr>
      </w:pPr>
      <w:hyperlink r:id="rId10" w:history="1">
        <w:r w:rsidRPr="00C83FDC">
          <w:rPr>
            <w:rFonts w:ascii="FrankRuehl" w:hAnsi="FrankRuehl" w:cs="FrankRuehl"/>
            <w:color w:val="0000FF"/>
            <w:rtl/>
          </w:rPr>
          <w:t>חוק העונשין, תשל"ז-1977</w:t>
        </w:r>
      </w:hyperlink>
      <w:r w:rsidRPr="00C83FDC">
        <w:rPr>
          <w:rFonts w:ascii="FrankRuehl" w:hAnsi="FrankRuehl" w:cs="FrankRuehl"/>
          <w:rtl/>
        </w:rPr>
        <w:t xml:space="preserve">: סע'  </w:t>
      </w:r>
      <w:hyperlink r:id="rId11" w:history="1">
        <w:r w:rsidRPr="00C83FDC">
          <w:rPr>
            <w:rFonts w:ascii="FrankRuehl" w:hAnsi="FrankRuehl" w:cs="FrankRuehl"/>
            <w:color w:val="0000FF"/>
            <w:rtl/>
          </w:rPr>
          <w:t>54</w:t>
        </w:r>
      </w:hyperlink>
      <w:r w:rsidRPr="00C83FDC">
        <w:rPr>
          <w:rFonts w:ascii="FrankRuehl" w:hAnsi="FrankRuehl" w:cs="FrankRuehl"/>
          <w:rtl/>
        </w:rPr>
        <w:t xml:space="preserve">, </w:t>
      </w:r>
      <w:hyperlink r:id="rId12" w:history="1">
        <w:r w:rsidRPr="00C83FDC">
          <w:rPr>
            <w:rFonts w:ascii="FrankRuehl" w:hAnsi="FrankRuehl" w:cs="FrankRuehl"/>
            <w:color w:val="0000FF"/>
            <w:rtl/>
          </w:rPr>
          <w:t>56(א)</w:t>
        </w:r>
      </w:hyperlink>
      <w:r w:rsidRPr="00C83FDC">
        <w:rPr>
          <w:rFonts w:ascii="FrankRuehl" w:hAnsi="FrankRuehl" w:cs="FrankRuehl"/>
          <w:rtl/>
        </w:rPr>
        <w:t xml:space="preserve">, </w:t>
      </w:r>
      <w:hyperlink r:id="rId13" w:history="1">
        <w:r w:rsidRPr="00C83FDC">
          <w:rPr>
            <w:rFonts w:ascii="FrankRuehl" w:hAnsi="FrankRuehl" w:cs="FrankRuehl"/>
            <w:color w:val="0000FF"/>
            <w:rtl/>
          </w:rPr>
          <w:t>58</w:t>
        </w:r>
      </w:hyperlink>
      <w:r w:rsidRPr="00C83FDC">
        <w:rPr>
          <w:rFonts w:ascii="FrankRuehl" w:hAnsi="FrankRuehl" w:cs="FrankRuehl"/>
          <w:rtl/>
        </w:rPr>
        <w:t xml:space="preserve">, </w:t>
      </w:r>
      <w:hyperlink r:id="rId14" w:history="1">
        <w:r w:rsidRPr="00C83FDC">
          <w:rPr>
            <w:rFonts w:ascii="FrankRuehl" w:hAnsi="FrankRuehl" w:cs="FrankRuehl"/>
            <w:color w:val="0000FF"/>
            <w:rtl/>
          </w:rPr>
          <w:t>275</w:t>
        </w:r>
      </w:hyperlink>
    </w:p>
    <w:p w14:paraId="17CAC27E" w14:textId="77777777" w:rsidR="00C83FDC" w:rsidRPr="00C83FDC" w:rsidRDefault="00C83FDC" w:rsidP="00C83FDC">
      <w:pPr>
        <w:spacing w:before="120" w:after="120" w:line="240" w:lineRule="exact"/>
        <w:ind w:left="283" w:hanging="283"/>
        <w:jc w:val="both"/>
        <w:rPr>
          <w:rFonts w:ascii="FrankRuehl" w:hAnsi="FrankRuehl" w:cs="FrankRuehl"/>
          <w:rtl/>
        </w:rPr>
      </w:pPr>
      <w:hyperlink r:id="rId15" w:history="1">
        <w:r w:rsidRPr="00C83FDC">
          <w:rPr>
            <w:rFonts w:ascii="FrankRuehl" w:hAnsi="FrankRuehl" w:cs="FrankRuehl"/>
            <w:color w:val="0000FF"/>
            <w:rtl/>
          </w:rPr>
          <w:t>פקודת התעבורה [נוסח חדש]</w:t>
        </w:r>
      </w:hyperlink>
      <w:r w:rsidRPr="00C83FDC">
        <w:rPr>
          <w:rFonts w:ascii="FrankRuehl" w:hAnsi="FrankRuehl" w:cs="FrankRuehl"/>
          <w:rtl/>
        </w:rPr>
        <w:t xml:space="preserve">: סע'  </w:t>
      </w:r>
      <w:hyperlink r:id="rId16" w:history="1">
        <w:r w:rsidRPr="00C83FDC">
          <w:rPr>
            <w:rFonts w:ascii="FrankRuehl" w:hAnsi="FrankRuehl" w:cs="FrankRuehl"/>
            <w:color w:val="0000FF"/>
            <w:rtl/>
          </w:rPr>
          <w:t>40א(א)(1)</w:t>
        </w:r>
      </w:hyperlink>
      <w:r w:rsidRPr="00C83FDC">
        <w:rPr>
          <w:rFonts w:ascii="FrankRuehl" w:hAnsi="FrankRuehl" w:cs="FrankRuehl"/>
          <w:rtl/>
        </w:rPr>
        <w:t xml:space="preserve">, </w:t>
      </w:r>
      <w:hyperlink r:id="rId17" w:history="1">
        <w:r w:rsidRPr="00C83FDC">
          <w:rPr>
            <w:rFonts w:ascii="FrankRuehl" w:hAnsi="FrankRuehl" w:cs="FrankRuehl"/>
            <w:color w:val="0000FF"/>
            <w:rtl/>
          </w:rPr>
          <w:t>67</w:t>
        </w:r>
      </w:hyperlink>
    </w:p>
    <w:p w14:paraId="58942833" w14:textId="77777777" w:rsidR="00C83FDC" w:rsidRPr="00C83FDC" w:rsidRDefault="00C83FDC" w:rsidP="00C83FDC">
      <w:pPr>
        <w:spacing w:before="120" w:after="120" w:line="240" w:lineRule="exact"/>
        <w:ind w:left="283" w:hanging="283"/>
        <w:jc w:val="both"/>
        <w:rPr>
          <w:rFonts w:ascii="FrankRuehl" w:hAnsi="FrankRuehl" w:cs="FrankRuehl"/>
          <w:rtl/>
        </w:rPr>
      </w:pPr>
      <w:hyperlink r:id="rId18" w:history="1">
        <w:r w:rsidRPr="00C83FDC">
          <w:rPr>
            <w:rFonts w:ascii="FrankRuehl" w:hAnsi="FrankRuehl" w:cs="FrankRuehl"/>
            <w:color w:val="0000FF"/>
            <w:rtl/>
          </w:rPr>
          <w:t>פקודת ביטוח רכב מנועי [נוסח חדש], תש"ל-1970</w:t>
        </w:r>
      </w:hyperlink>
      <w:r w:rsidRPr="00C83FDC">
        <w:rPr>
          <w:rFonts w:ascii="FrankRuehl" w:hAnsi="FrankRuehl" w:cs="FrankRuehl"/>
          <w:rtl/>
        </w:rPr>
        <w:t xml:space="preserve">: סע'  </w:t>
      </w:r>
      <w:hyperlink r:id="rId19" w:history="1">
        <w:r w:rsidRPr="00C83FDC">
          <w:rPr>
            <w:rFonts w:ascii="FrankRuehl" w:hAnsi="FrankRuehl" w:cs="FrankRuehl"/>
            <w:color w:val="0000FF"/>
            <w:rtl/>
          </w:rPr>
          <w:t>2א'</w:t>
        </w:r>
      </w:hyperlink>
    </w:p>
    <w:p w14:paraId="46D710DB" w14:textId="77777777" w:rsidR="00C83FDC" w:rsidRPr="00C83FDC" w:rsidRDefault="00C83FDC" w:rsidP="00C83FDC">
      <w:pPr>
        <w:rPr>
          <w:rtl/>
        </w:rPr>
      </w:pPr>
      <w:bookmarkStart w:id="4" w:name="LawTable_End"/>
      <w:bookmarkEnd w:id="4"/>
    </w:p>
    <w:p w14:paraId="43AE83B7" w14:textId="77777777" w:rsidR="00D3453B" w:rsidRPr="0076459A" w:rsidRDefault="00D3453B" w:rsidP="0076459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A2120" w:rsidRPr="009E574A" w14:paraId="64261B19" w14:textId="77777777" w:rsidTr="000A2120">
        <w:trPr>
          <w:trHeight w:val="355"/>
          <w:jc w:val="center"/>
        </w:trPr>
        <w:tc>
          <w:tcPr>
            <w:tcW w:w="8820" w:type="dxa"/>
            <w:tcBorders>
              <w:top w:val="nil"/>
              <w:left w:val="nil"/>
              <w:bottom w:val="nil"/>
              <w:right w:val="nil"/>
            </w:tcBorders>
            <w:shd w:val="clear" w:color="auto" w:fill="auto"/>
          </w:tcPr>
          <w:p w14:paraId="18FFDB60" w14:textId="77777777" w:rsidR="00D3453B" w:rsidRPr="00D3453B" w:rsidRDefault="00D3453B" w:rsidP="00D3453B">
            <w:pPr>
              <w:jc w:val="center"/>
              <w:rPr>
                <w:rFonts w:ascii="David" w:hAnsi="David"/>
                <w:b/>
                <w:bCs/>
                <w:sz w:val="32"/>
                <w:szCs w:val="32"/>
                <w:rtl/>
              </w:rPr>
            </w:pPr>
            <w:bookmarkStart w:id="5" w:name="PsakDin" w:colFirst="0" w:colLast="0"/>
            <w:r w:rsidRPr="00D3453B">
              <w:rPr>
                <w:rFonts w:ascii="David" w:hAnsi="David"/>
                <w:b/>
                <w:bCs/>
                <w:sz w:val="32"/>
                <w:szCs w:val="32"/>
                <w:rtl/>
              </w:rPr>
              <w:t>גזר דין</w:t>
            </w:r>
          </w:p>
          <w:p w14:paraId="2A8FA7D3" w14:textId="77777777" w:rsidR="000A2120" w:rsidRPr="00D3453B" w:rsidRDefault="000A2120" w:rsidP="00D3453B">
            <w:pPr>
              <w:jc w:val="center"/>
              <w:rPr>
                <w:rFonts w:ascii="David" w:hAnsi="David"/>
                <w:bCs/>
                <w:sz w:val="32"/>
                <w:szCs w:val="32"/>
                <w:rtl/>
              </w:rPr>
            </w:pPr>
          </w:p>
        </w:tc>
      </w:tr>
      <w:bookmarkEnd w:id="5"/>
    </w:tbl>
    <w:p w14:paraId="24EA78EF" w14:textId="77777777" w:rsidR="000A2120" w:rsidRPr="002B7D23" w:rsidRDefault="000A2120" w:rsidP="000A2120">
      <w:pPr>
        <w:rPr>
          <w:rFonts w:ascii="David" w:hAnsi="David"/>
          <w:sz w:val="26"/>
          <w:szCs w:val="26"/>
          <w:rtl/>
        </w:rPr>
      </w:pPr>
    </w:p>
    <w:p w14:paraId="522E1D0C" w14:textId="77777777" w:rsidR="000A2120" w:rsidRPr="002A72E0" w:rsidRDefault="000A2120" w:rsidP="000A2120">
      <w:pPr>
        <w:jc w:val="both"/>
        <w:rPr>
          <w:rFonts w:ascii="David" w:hAnsi="David"/>
          <w:b/>
          <w:bCs/>
          <w:u w:val="single"/>
          <w:rtl/>
        </w:rPr>
      </w:pPr>
      <w:r w:rsidRPr="002A72E0">
        <w:rPr>
          <w:rFonts w:ascii="David" w:hAnsi="David" w:hint="cs"/>
          <w:b/>
          <w:bCs/>
          <w:u w:val="single"/>
          <w:rtl/>
        </w:rPr>
        <w:t>כתב האישום וההליכים</w:t>
      </w:r>
    </w:p>
    <w:p w14:paraId="4E1D465A" w14:textId="77777777" w:rsidR="000A2120" w:rsidRPr="002A72E0" w:rsidRDefault="000A2120" w:rsidP="000A2120">
      <w:pPr>
        <w:jc w:val="both"/>
        <w:rPr>
          <w:rFonts w:ascii="David" w:hAnsi="David"/>
          <w:rtl/>
        </w:rPr>
      </w:pPr>
    </w:p>
    <w:p w14:paraId="5420C13D" w14:textId="77777777" w:rsidR="000A2120" w:rsidRDefault="000A2120" w:rsidP="000A2120">
      <w:pPr>
        <w:pStyle w:val="a9"/>
        <w:numPr>
          <w:ilvl w:val="0"/>
          <w:numId w:val="1"/>
        </w:numPr>
        <w:spacing w:line="360" w:lineRule="auto"/>
        <w:jc w:val="both"/>
        <w:rPr>
          <w:rFonts w:ascii="David" w:hAnsi="David"/>
        </w:rPr>
      </w:pPr>
      <w:bookmarkStart w:id="6" w:name="ABSTRACT_START"/>
      <w:bookmarkEnd w:id="6"/>
      <w:r>
        <w:rPr>
          <w:rFonts w:ascii="David" w:hAnsi="David" w:hint="cs"/>
          <w:rtl/>
        </w:rPr>
        <w:t>הנאשם הורשע על פי הודאתו בעבירות שעניינן החזקת סם שלא לשימוש עצמי בלבד</w:t>
      </w:r>
      <w:bookmarkStart w:id="7" w:name="ABSTRACT_END"/>
      <w:bookmarkEnd w:id="7"/>
      <w:r>
        <w:rPr>
          <w:rFonts w:ascii="David" w:hAnsi="David" w:hint="cs"/>
          <w:rtl/>
        </w:rPr>
        <w:t xml:space="preserve">, </w:t>
      </w:r>
      <w:r w:rsidRPr="0070729B">
        <w:rPr>
          <w:rFonts w:ascii="David" w:hAnsi="David"/>
          <w:rtl/>
        </w:rPr>
        <w:t xml:space="preserve">לפי </w:t>
      </w:r>
      <w:hyperlink r:id="rId20" w:history="1">
        <w:r w:rsidR="00E5474E" w:rsidRPr="00E5474E">
          <w:rPr>
            <w:rStyle w:val="Hyperlink"/>
            <w:rFonts w:ascii="David" w:hAnsi="David"/>
            <w:rtl/>
          </w:rPr>
          <w:t>סעיף 7(א)+7(ג)</w:t>
        </w:r>
      </w:hyperlink>
      <w:r w:rsidRPr="0070729B">
        <w:rPr>
          <w:rFonts w:ascii="David" w:hAnsi="David"/>
          <w:rtl/>
        </w:rPr>
        <w:t xml:space="preserve"> רישא ל</w:t>
      </w:r>
      <w:hyperlink r:id="rId21" w:history="1">
        <w:r w:rsidR="00D3453B" w:rsidRPr="00D3453B">
          <w:rPr>
            <w:rFonts w:ascii="David" w:hAnsi="David"/>
            <w:color w:val="0000FF"/>
            <w:u w:val="single"/>
            <w:rtl/>
          </w:rPr>
          <w:t>פקודת הסמים המסוכנים</w:t>
        </w:r>
      </w:hyperlink>
      <w:r w:rsidRPr="0070729B">
        <w:rPr>
          <w:rFonts w:ascii="David" w:hAnsi="David"/>
          <w:rtl/>
        </w:rPr>
        <w:t xml:space="preserve"> (נוסח חדש), תשל"ג- 1973 (להלן – </w:t>
      </w:r>
      <w:r w:rsidRPr="00E27C50">
        <w:rPr>
          <w:rFonts w:ascii="Miriam" w:hAnsi="Miriam" w:cs="Miriam"/>
          <w:rtl/>
        </w:rPr>
        <w:t>פקודת הסמים</w:t>
      </w:r>
      <w:r>
        <w:rPr>
          <w:rFonts w:ascii="David" w:hAnsi="David"/>
          <w:rtl/>
        </w:rPr>
        <w:t>)</w:t>
      </w:r>
      <w:r>
        <w:rPr>
          <w:rFonts w:ascii="David" w:hAnsi="David" w:hint="cs"/>
          <w:rtl/>
        </w:rPr>
        <w:t xml:space="preserve">; הפרעה לשוטר בעת מילוי תפקידו, עבירה לפי </w:t>
      </w:r>
      <w:hyperlink r:id="rId22" w:history="1">
        <w:r w:rsidR="00E5474E" w:rsidRPr="00E5474E">
          <w:rPr>
            <w:rStyle w:val="Hyperlink"/>
            <w:rFonts w:ascii="David" w:hAnsi="David" w:hint="eastAsia"/>
            <w:rtl/>
          </w:rPr>
          <w:t>סעיף</w:t>
        </w:r>
        <w:r w:rsidR="00E5474E" w:rsidRPr="00E5474E">
          <w:rPr>
            <w:rStyle w:val="Hyperlink"/>
            <w:rFonts w:ascii="David" w:hAnsi="David"/>
            <w:rtl/>
          </w:rPr>
          <w:t xml:space="preserve"> 275</w:t>
        </w:r>
      </w:hyperlink>
      <w:r>
        <w:rPr>
          <w:rFonts w:ascii="David" w:hAnsi="David" w:hint="cs"/>
          <w:rtl/>
        </w:rPr>
        <w:t xml:space="preserve"> ל</w:t>
      </w:r>
      <w:hyperlink r:id="rId23" w:history="1">
        <w:r w:rsidR="00D3453B" w:rsidRPr="00D3453B">
          <w:rPr>
            <w:rFonts w:ascii="David" w:hAnsi="David"/>
            <w:color w:val="0000FF"/>
            <w:u w:val="single"/>
            <w:rtl/>
          </w:rPr>
          <w:t>חוק העונשין</w:t>
        </w:r>
      </w:hyperlink>
      <w:r>
        <w:rPr>
          <w:rFonts w:ascii="David" w:hAnsi="David" w:hint="cs"/>
          <w:rtl/>
        </w:rPr>
        <w:t xml:space="preserve">, התשל"ז-1977 (להלן </w:t>
      </w:r>
      <w:r>
        <w:rPr>
          <w:rFonts w:ascii="David" w:hAnsi="David"/>
          <w:rtl/>
        </w:rPr>
        <w:t>–</w:t>
      </w:r>
      <w:r>
        <w:rPr>
          <w:rFonts w:ascii="David" w:hAnsi="David" w:hint="cs"/>
          <w:rtl/>
        </w:rPr>
        <w:t xml:space="preserve"> </w:t>
      </w:r>
      <w:r w:rsidRPr="001655AB">
        <w:rPr>
          <w:rFonts w:ascii="Miriam" w:hAnsi="Miriam" w:cs="Miriam"/>
          <w:rtl/>
        </w:rPr>
        <w:t>חוק העונשין</w:t>
      </w:r>
      <w:r>
        <w:rPr>
          <w:rFonts w:ascii="David" w:hAnsi="David" w:hint="cs"/>
          <w:rtl/>
        </w:rPr>
        <w:t xml:space="preserve">); נהיגה בזמן פסילה, לפי </w:t>
      </w:r>
      <w:hyperlink r:id="rId24" w:history="1">
        <w:r w:rsidR="00E5474E" w:rsidRPr="00E5474E">
          <w:rPr>
            <w:rStyle w:val="Hyperlink"/>
            <w:rFonts w:ascii="David" w:hAnsi="David" w:hint="eastAsia"/>
            <w:rtl/>
          </w:rPr>
          <w:t>סעיף</w:t>
        </w:r>
        <w:r w:rsidR="00E5474E" w:rsidRPr="00E5474E">
          <w:rPr>
            <w:rStyle w:val="Hyperlink"/>
            <w:rFonts w:ascii="David" w:hAnsi="David"/>
            <w:rtl/>
          </w:rPr>
          <w:t xml:space="preserve"> 67</w:t>
        </w:r>
      </w:hyperlink>
      <w:r>
        <w:rPr>
          <w:rFonts w:ascii="David" w:hAnsi="David" w:hint="cs"/>
          <w:rtl/>
        </w:rPr>
        <w:t xml:space="preserve"> ל</w:t>
      </w:r>
      <w:hyperlink r:id="rId25" w:history="1">
        <w:r w:rsidR="00D3453B" w:rsidRPr="00D3453B">
          <w:rPr>
            <w:rFonts w:ascii="David" w:hAnsi="David"/>
            <w:color w:val="0000FF"/>
            <w:u w:val="single"/>
            <w:rtl/>
          </w:rPr>
          <w:t>פקודת התעבורה</w:t>
        </w:r>
      </w:hyperlink>
      <w:r>
        <w:rPr>
          <w:rFonts w:ascii="David" w:hAnsi="David" w:hint="cs"/>
          <w:rtl/>
        </w:rPr>
        <w:t xml:space="preserve"> [נוסח חדש], תשכ"א </w:t>
      </w:r>
      <w:r>
        <w:rPr>
          <w:rFonts w:ascii="David" w:hAnsi="David"/>
          <w:rtl/>
        </w:rPr>
        <w:t>–</w:t>
      </w:r>
      <w:r>
        <w:rPr>
          <w:rFonts w:ascii="David" w:hAnsi="David" w:hint="cs"/>
          <w:rtl/>
        </w:rPr>
        <w:t xml:space="preserve"> 1961 (להלן </w:t>
      </w:r>
      <w:r>
        <w:rPr>
          <w:rFonts w:ascii="David" w:hAnsi="David"/>
          <w:rtl/>
        </w:rPr>
        <w:t>–</w:t>
      </w:r>
      <w:r>
        <w:rPr>
          <w:rFonts w:ascii="David" w:hAnsi="David" w:hint="cs"/>
          <w:rtl/>
        </w:rPr>
        <w:t xml:space="preserve"> </w:t>
      </w:r>
      <w:r w:rsidRPr="00595A09">
        <w:rPr>
          <w:rFonts w:ascii="Miriam" w:hAnsi="Miriam" w:cs="Miriam"/>
          <w:rtl/>
        </w:rPr>
        <w:t>פקודת התעבורה</w:t>
      </w:r>
      <w:r>
        <w:rPr>
          <w:rFonts w:ascii="David" w:hAnsi="David" w:hint="cs"/>
          <w:rtl/>
        </w:rPr>
        <w:t xml:space="preserve">); וכן נהיגה ללא ביטוח, לפי </w:t>
      </w:r>
      <w:hyperlink r:id="rId26" w:history="1">
        <w:r w:rsidR="00E5474E" w:rsidRPr="00E5474E">
          <w:rPr>
            <w:rStyle w:val="Hyperlink"/>
            <w:rFonts w:ascii="David" w:hAnsi="David" w:hint="eastAsia"/>
            <w:rtl/>
          </w:rPr>
          <w:t>סעיף</w:t>
        </w:r>
        <w:r w:rsidR="00E5474E" w:rsidRPr="00E5474E">
          <w:rPr>
            <w:rStyle w:val="Hyperlink"/>
            <w:rFonts w:ascii="David" w:hAnsi="David"/>
            <w:rtl/>
          </w:rPr>
          <w:t xml:space="preserve"> 2א'</w:t>
        </w:r>
      </w:hyperlink>
      <w:r>
        <w:rPr>
          <w:rFonts w:ascii="David" w:hAnsi="David" w:hint="cs"/>
          <w:rtl/>
        </w:rPr>
        <w:t xml:space="preserve"> לפקודת ביטוח רכב מנוע [נוסח חדש], תש"ל-1970. </w:t>
      </w:r>
    </w:p>
    <w:p w14:paraId="07A21323" w14:textId="77777777" w:rsidR="000A2120" w:rsidRDefault="000A2120" w:rsidP="000A2120">
      <w:pPr>
        <w:pStyle w:val="a9"/>
        <w:ind w:left="0"/>
        <w:jc w:val="both"/>
        <w:rPr>
          <w:rFonts w:ascii="David" w:hAnsi="David"/>
        </w:rPr>
      </w:pPr>
    </w:p>
    <w:p w14:paraId="6FC4CE40" w14:textId="77777777" w:rsidR="000A2120" w:rsidRDefault="000A2120" w:rsidP="000A2120">
      <w:pPr>
        <w:pStyle w:val="a9"/>
        <w:numPr>
          <w:ilvl w:val="0"/>
          <w:numId w:val="1"/>
        </w:numPr>
        <w:spacing w:line="360" w:lineRule="auto"/>
        <w:jc w:val="both"/>
        <w:rPr>
          <w:rFonts w:ascii="David" w:hAnsi="David"/>
        </w:rPr>
      </w:pPr>
      <w:r>
        <w:rPr>
          <w:rFonts w:ascii="David" w:hAnsi="David" w:hint="cs"/>
          <w:rtl/>
        </w:rPr>
        <w:t xml:space="preserve">בהתאם לעובדות כתב האישום, ביום 21.4.20 נהג הנאשם ברכב למרות שהיה פסול לנהיגה. כאשר סימן לו שוטר לעצור בצד הדרך, האיץ נהיגתו נמלט מהמקום. ניידת משטרה דלקה אחריו אך </w:t>
      </w:r>
      <w:r>
        <w:rPr>
          <w:rFonts w:ascii="David" w:hAnsi="David" w:hint="cs"/>
          <w:rtl/>
        </w:rPr>
        <w:lastRenderedPageBreak/>
        <w:t xml:space="preserve">הוא נטש הרכב ונמלט מהמקום רגלית עד אשר נתפס על ידי שוטר. במעמד זה נמצא כי הוא מחזיק סם מסוג קנבוס במשקל של כ-93 גר' נטו וזאת שלא לשימוש עצמי בלבד. </w:t>
      </w:r>
    </w:p>
    <w:p w14:paraId="6C29515A" w14:textId="77777777" w:rsidR="000A2120" w:rsidRDefault="000A2120" w:rsidP="000A2120">
      <w:pPr>
        <w:pStyle w:val="a9"/>
        <w:ind w:left="0"/>
        <w:jc w:val="both"/>
        <w:rPr>
          <w:rFonts w:ascii="David" w:hAnsi="David"/>
        </w:rPr>
      </w:pPr>
    </w:p>
    <w:p w14:paraId="0822DD50" w14:textId="77777777" w:rsidR="000A2120" w:rsidRDefault="000A2120" w:rsidP="000A2120">
      <w:pPr>
        <w:pStyle w:val="a9"/>
        <w:numPr>
          <w:ilvl w:val="0"/>
          <w:numId w:val="1"/>
        </w:numPr>
        <w:spacing w:line="360" w:lineRule="auto"/>
        <w:jc w:val="both"/>
        <w:rPr>
          <w:rFonts w:ascii="David" w:hAnsi="David"/>
        </w:rPr>
      </w:pPr>
      <w:r w:rsidRPr="001655AB">
        <w:rPr>
          <w:rFonts w:ascii="David" w:hAnsi="David" w:hint="cs"/>
          <w:rtl/>
        </w:rPr>
        <w:t>להשלמת התמונה יצוין כי הודאת הנאשם באה אגב הסדר טיעון במסגרתו הוסכם</w:t>
      </w:r>
      <w:r>
        <w:rPr>
          <w:rFonts w:ascii="David" w:hAnsi="David" w:hint="cs"/>
          <w:rtl/>
        </w:rPr>
        <w:t xml:space="preserve"> שיופנה לקבלת תסקיר שלא יחייב את הצדדים. כן הוסכם שהמאשימה תטען לעונש מאסר בן 9 חודשים, הכולל הפעלת מאסר מותנה, וזאת בעבודות שירות ככל שיימצא מתאים, ואילו ההגנה תוכל לטעון באופן חופשי. </w:t>
      </w:r>
    </w:p>
    <w:p w14:paraId="3C910407" w14:textId="77777777" w:rsidR="000A2120" w:rsidRPr="00ED4174" w:rsidRDefault="000A2120" w:rsidP="000A2120">
      <w:pPr>
        <w:pStyle w:val="a9"/>
        <w:rPr>
          <w:rFonts w:ascii="David" w:hAnsi="David"/>
          <w:rtl/>
        </w:rPr>
      </w:pPr>
    </w:p>
    <w:p w14:paraId="225462B3" w14:textId="77777777" w:rsidR="000A2120" w:rsidRPr="00ED4174" w:rsidRDefault="000A2120" w:rsidP="000A2120">
      <w:pPr>
        <w:pStyle w:val="a9"/>
        <w:spacing w:line="360" w:lineRule="auto"/>
        <w:ind w:left="0"/>
        <w:jc w:val="both"/>
        <w:rPr>
          <w:rFonts w:ascii="David" w:hAnsi="David"/>
          <w:b/>
          <w:bCs/>
          <w:u w:val="single"/>
        </w:rPr>
      </w:pPr>
      <w:r w:rsidRPr="00ED4174">
        <w:rPr>
          <w:rFonts w:ascii="David" w:hAnsi="David" w:hint="cs"/>
          <w:b/>
          <w:bCs/>
          <w:u w:val="single"/>
          <w:rtl/>
        </w:rPr>
        <w:t>תסקירי שירות המבחן</w:t>
      </w:r>
    </w:p>
    <w:p w14:paraId="1A5B44EC" w14:textId="77777777" w:rsidR="000A2120" w:rsidRPr="001655AB" w:rsidRDefault="000A2120" w:rsidP="000A2120">
      <w:pPr>
        <w:pStyle w:val="a9"/>
        <w:rPr>
          <w:rFonts w:ascii="David" w:hAnsi="David"/>
          <w:rtl/>
        </w:rPr>
      </w:pPr>
    </w:p>
    <w:p w14:paraId="3A6FC7AF" w14:textId="77777777" w:rsidR="000A2120" w:rsidRDefault="000A2120" w:rsidP="000A2120">
      <w:pPr>
        <w:pStyle w:val="a9"/>
        <w:numPr>
          <w:ilvl w:val="0"/>
          <w:numId w:val="1"/>
        </w:numPr>
        <w:spacing w:line="360" w:lineRule="auto"/>
        <w:jc w:val="both"/>
        <w:rPr>
          <w:rFonts w:ascii="David" w:hAnsi="David"/>
        </w:rPr>
      </w:pPr>
      <w:r>
        <w:rPr>
          <w:rFonts w:ascii="David" w:hAnsi="David" w:hint="cs"/>
          <w:rtl/>
        </w:rPr>
        <w:t>שירות המבחן הגיש מספר תסקירים על אודות הנאשם. בתסקירים נסקרו בהרחבה נסיבות חייו ומטעמים של שמירה על פרטיותו לא ארחיב. עם זאת אתאר כי הנאשם תיאר שימוש בסמים מגיל צעיר וזאת בשל אירועים קשים ובצד זאת ניסיונות גמילה. כן צוין שהנאשם שוחרר מהצבא לאחר זמן קצר בשל חוסר התאמה, החל לעבוד ופתח עסק בגיל צעיר. כיום, עושה הנאשם שימוש בקנביס רפואי על פי מרשם וזאת בשל כאבים מהם הוא סובל. שירות המבחן שילב את הנאשם בטיפול קבוצתי והדיונים נדחו מעת לעת על מנת לבחון את שיתוף הפעולה שלו. בתחילה צוין כי שיתוף הפעולה חלקי וכי הנאשם מתקשה לערוך התבוננות מעמיקה פנימה לסיבות שהביאוהו למצבו. עם זאת, בתסקיר האחרון צוין כי הנאשם המשיך בטיפול הקבוצתי והשתתף בצורה פעילה בכל המפגשים שנקבעו. שירות המבחן התרשם כי הוא נמצא בעיצומו של טיפול משמעותי שמסייע לו לזהות מצבי סיכון וכי הוא מחויב להליך הטיפולי. בבואו להמליץ על העונש שיש להטיל על הנאשם ציין שירות המבחן התלבטות רבה הנובעת מחומרת העבירות והעבר התעבורתי. עם זאת בסופו של יום המליץ להימנע מהטלת עונש מוחשי, ולו בעבודות שירות, לאור האפשרות שהדבר יגרום לרגרסיה בתפקודו ובהליך השיקום והמליץ להאריך את המאסר המותנה התלוי ועומד נגדו בצד צו מבחן וקנס.</w:t>
      </w:r>
    </w:p>
    <w:p w14:paraId="6D4C5605" w14:textId="77777777" w:rsidR="000A2120" w:rsidRDefault="000A2120" w:rsidP="000A2120">
      <w:pPr>
        <w:rPr>
          <w:rFonts w:ascii="David" w:hAnsi="David"/>
          <w:rtl/>
        </w:rPr>
      </w:pPr>
    </w:p>
    <w:p w14:paraId="248CE8AB" w14:textId="77777777" w:rsidR="000A2120" w:rsidRPr="00557422" w:rsidRDefault="000A2120" w:rsidP="000A2120">
      <w:pPr>
        <w:rPr>
          <w:rFonts w:ascii="David" w:hAnsi="David"/>
          <w:b/>
          <w:bCs/>
          <w:u w:val="single"/>
          <w:rtl/>
        </w:rPr>
      </w:pPr>
      <w:r w:rsidRPr="00557422">
        <w:rPr>
          <w:rFonts w:ascii="David" w:hAnsi="David" w:hint="cs"/>
          <w:b/>
          <w:bCs/>
          <w:u w:val="single"/>
          <w:rtl/>
        </w:rPr>
        <w:t>טיעוני הצדדים</w:t>
      </w:r>
    </w:p>
    <w:p w14:paraId="4CC69C7F" w14:textId="77777777" w:rsidR="000A2120" w:rsidRDefault="000A2120" w:rsidP="000A2120">
      <w:pPr>
        <w:rPr>
          <w:rFonts w:ascii="David" w:hAnsi="David"/>
          <w:rtl/>
        </w:rPr>
      </w:pPr>
    </w:p>
    <w:p w14:paraId="7A6E8CB3" w14:textId="77777777" w:rsidR="000A2120" w:rsidRPr="00557422" w:rsidRDefault="000A2120" w:rsidP="000A2120">
      <w:pPr>
        <w:rPr>
          <w:rFonts w:ascii="David" w:hAnsi="David"/>
          <w:rtl/>
        </w:rPr>
      </w:pPr>
    </w:p>
    <w:p w14:paraId="7E18A3B0" w14:textId="77777777" w:rsidR="000A2120" w:rsidRDefault="000A2120" w:rsidP="000A2120">
      <w:pPr>
        <w:pStyle w:val="a9"/>
        <w:numPr>
          <w:ilvl w:val="0"/>
          <w:numId w:val="1"/>
        </w:numPr>
        <w:spacing w:line="360" w:lineRule="auto"/>
        <w:jc w:val="both"/>
        <w:rPr>
          <w:rFonts w:ascii="David" w:hAnsi="David"/>
        </w:rPr>
      </w:pPr>
      <w:r>
        <w:rPr>
          <w:rFonts w:ascii="David" w:hAnsi="David" w:hint="cs"/>
          <w:rtl/>
        </w:rPr>
        <w:t xml:space="preserve">ב"כ המאשימה הפנה לחומרת עבירות ולסיכון שגרמו למשתמשי הדרך. נטען כי העבירות בוצעו בלב עיר וכי הנאשם לא רק נהג בפסילה, אלא אף נמלט משוטרים וכאשר נתפס נמצא מחזיק סם שלא לשימוש עצמי. כן הפנתה המאשימה לעברו התעבורתי של הנאשם ולעובדה שהיה תלוי ועומד נגדו עונש מאסר מותנה וכן פסילה מותנית שלא היה בהם להרתיעו. בהתייחס להמלצת שירות המבחן טענה המאשימה שהיא אינה הולמת נכונה את נסיבות המקרה וזאת חרף העובדה שהנאשם עבר הליך טיפולי. לאור כך ביקשה המאשימה להפעיל את המאסר המותנה ולהטיל על הנאשם עונש כולל של 9 חודשי מאסר בעבודות שירות באם יימצא מתאים וכן להפעיל פסילה מותנית במצטבר לעונש פסילה בגין תיק זה וכן ענישה נלוות. </w:t>
      </w:r>
    </w:p>
    <w:p w14:paraId="124C901A" w14:textId="77777777" w:rsidR="000A2120" w:rsidRDefault="000A2120" w:rsidP="000A2120">
      <w:pPr>
        <w:pStyle w:val="a9"/>
        <w:ind w:left="0"/>
        <w:jc w:val="both"/>
        <w:rPr>
          <w:rFonts w:ascii="David" w:hAnsi="David"/>
        </w:rPr>
      </w:pPr>
    </w:p>
    <w:p w14:paraId="1E40DDFC" w14:textId="77777777" w:rsidR="000A2120" w:rsidRDefault="000A2120" w:rsidP="000A2120">
      <w:pPr>
        <w:pStyle w:val="a9"/>
        <w:numPr>
          <w:ilvl w:val="0"/>
          <w:numId w:val="1"/>
        </w:numPr>
        <w:spacing w:line="360" w:lineRule="auto"/>
        <w:jc w:val="both"/>
        <w:rPr>
          <w:rFonts w:ascii="David" w:hAnsi="David"/>
        </w:rPr>
      </w:pPr>
      <w:r>
        <w:rPr>
          <w:rFonts w:ascii="David" w:hAnsi="David" w:hint="cs"/>
          <w:rtl/>
        </w:rPr>
        <w:lastRenderedPageBreak/>
        <w:t xml:space="preserve">הסנגור טען כי העבירה בוצעה חמישה ימים לפני סיום תקופת הפסילה וכי חלף מאז זמן לא מבוטל. עוד הרחיב הוא בתיאור ההליך הטיפולי שעבר הנאשם וטען כי מדובר בהליך מעמיק שהביא לשינוי משמעותי וכי הנאשם אף מצוי בזוגיות ועתיד להינשא בקרוב. כן נטען שעברו הפלילי של הנאשם נקי, מאז העבירה לא נפתח נגדו תיק נוסף וכי הוא בעל עסק וענישה מוחשית עלולה לפגוע בו כלכלית. לאור כך עתר הסנגור לאמץ את המלצת שירות המבחן ולהאריך את המאסר המותנה. כן עתר הוא להאריך גם את הפסילה המותנית ולא להטיל פסילה לאור כך שהנאשם זקוק לרכבו לצורך עבודתו. </w:t>
      </w:r>
    </w:p>
    <w:p w14:paraId="3990CA4A" w14:textId="77777777" w:rsidR="000A2120" w:rsidRPr="00580CF2" w:rsidRDefault="000A2120" w:rsidP="000A2120">
      <w:pPr>
        <w:pStyle w:val="a9"/>
        <w:rPr>
          <w:rFonts w:ascii="David" w:hAnsi="David"/>
          <w:rtl/>
        </w:rPr>
      </w:pPr>
    </w:p>
    <w:p w14:paraId="02AD4623" w14:textId="77777777" w:rsidR="000A2120" w:rsidRDefault="000A2120" w:rsidP="000A2120">
      <w:pPr>
        <w:pStyle w:val="a9"/>
        <w:numPr>
          <w:ilvl w:val="0"/>
          <w:numId w:val="1"/>
        </w:numPr>
        <w:spacing w:line="360" w:lineRule="auto"/>
        <w:jc w:val="both"/>
        <w:rPr>
          <w:rFonts w:ascii="David" w:hAnsi="David"/>
        </w:rPr>
      </w:pPr>
      <w:r>
        <w:rPr>
          <w:rFonts w:ascii="David" w:hAnsi="David" w:hint="cs"/>
          <w:rtl/>
        </w:rPr>
        <w:t>הנאשם הביע צער על העבירות, הסביר את אורח חייו בתקופה זו  וטען שהוא מצוי היום במקום אחר. כן טען שהוא זקוק לרכב לצורך עבודתו.</w:t>
      </w:r>
    </w:p>
    <w:p w14:paraId="4C686A9B" w14:textId="77777777" w:rsidR="000A2120" w:rsidRPr="00174AE6" w:rsidRDefault="000A2120" w:rsidP="000A2120">
      <w:pPr>
        <w:pStyle w:val="a9"/>
        <w:rPr>
          <w:rFonts w:ascii="David" w:hAnsi="David"/>
          <w:rtl/>
        </w:rPr>
      </w:pPr>
    </w:p>
    <w:p w14:paraId="5CCE977F" w14:textId="77777777" w:rsidR="000A2120" w:rsidRPr="00580CF2" w:rsidRDefault="000A2120" w:rsidP="000A2120">
      <w:pPr>
        <w:rPr>
          <w:rFonts w:ascii="David" w:hAnsi="David"/>
          <w:b/>
          <w:bCs/>
          <w:u w:val="single"/>
          <w:rtl/>
        </w:rPr>
      </w:pPr>
      <w:r w:rsidRPr="00580CF2">
        <w:rPr>
          <w:rFonts w:ascii="David" w:hAnsi="David" w:hint="cs"/>
          <w:b/>
          <w:bCs/>
          <w:u w:val="single"/>
          <w:rtl/>
        </w:rPr>
        <w:t>קביעת מתחם העונש</w:t>
      </w:r>
    </w:p>
    <w:p w14:paraId="7C96D626" w14:textId="77777777" w:rsidR="000A2120" w:rsidRDefault="000A2120" w:rsidP="000A2120">
      <w:pPr>
        <w:rPr>
          <w:rFonts w:ascii="David" w:hAnsi="David"/>
          <w:rtl/>
        </w:rPr>
      </w:pPr>
    </w:p>
    <w:p w14:paraId="41A2690A" w14:textId="77777777" w:rsidR="000A2120" w:rsidRPr="00580CF2" w:rsidRDefault="000A2120" w:rsidP="000A2120">
      <w:pPr>
        <w:rPr>
          <w:rFonts w:ascii="David" w:hAnsi="David"/>
          <w:rtl/>
        </w:rPr>
      </w:pPr>
    </w:p>
    <w:p w14:paraId="0EA47A94" w14:textId="77777777" w:rsidR="000A2120" w:rsidRPr="00EF7E34" w:rsidRDefault="000A2120" w:rsidP="000A2120">
      <w:pPr>
        <w:pStyle w:val="a9"/>
        <w:numPr>
          <w:ilvl w:val="0"/>
          <w:numId w:val="1"/>
        </w:numPr>
        <w:spacing w:line="360" w:lineRule="auto"/>
        <w:jc w:val="both"/>
        <w:rPr>
          <w:rFonts w:ascii="David" w:hAnsi="David"/>
        </w:rPr>
      </w:pPr>
      <w:r w:rsidRPr="00EF7E34">
        <w:rPr>
          <w:rFonts w:ascii="David" w:hAnsi="David" w:hint="cs"/>
          <w:rtl/>
        </w:rPr>
        <w:t>המאשימה ביקשה לקבוע מתחם עונש לעבירות התעבורה ומתחם נפרד ליתר העבירות. ההגנה לא התייחסה לשאלת המתחמים כלל. דעתי היא שיש לקבוע מתחם ענישה אחד לכלל העבירות</w:t>
      </w:r>
      <w:r>
        <w:rPr>
          <w:rFonts w:ascii="David" w:hAnsi="David" w:hint="cs"/>
          <w:rtl/>
        </w:rPr>
        <w:t xml:space="preserve">, שכן </w:t>
      </w:r>
      <w:r w:rsidRPr="00EF7E34">
        <w:rPr>
          <w:rFonts w:ascii="David" w:hAnsi="David"/>
          <w:rtl/>
        </w:rPr>
        <w:t xml:space="preserve"> יש לראות</w:t>
      </w:r>
      <w:r>
        <w:rPr>
          <w:rFonts w:ascii="David" w:hAnsi="David" w:hint="cs"/>
          <w:rtl/>
        </w:rPr>
        <w:t>ן</w:t>
      </w:r>
      <w:r w:rsidRPr="00EF7E34">
        <w:rPr>
          <w:rFonts w:ascii="David" w:hAnsi="David"/>
          <w:rtl/>
        </w:rPr>
        <w:t xml:space="preserve"> כאירוע אחד </w:t>
      </w:r>
      <w:r>
        <w:rPr>
          <w:rFonts w:ascii="David" w:hAnsi="David" w:hint="cs"/>
          <w:rtl/>
        </w:rPr>
        <w:t>ו</w:t>
      </w:r>
      <w:r w:rsidRPr="00EF7E34">
        <w:rPr>
          <w:rFonts w:ascii="David" w:hAnsi="David"/>
          <w:rtl/>
        </w:rPr>
        <w:t>זאת על-פי מבחן הקשר ההדוק</w:t>
      </w:r>
      <w:r w:rsidRPr="00EF7E34">
        <w:rPr>
          <w:rFonts w:ascii="David" w:hAnsi="David" w:hint="cs"/>
          <w:rtl/>
        </w:rPr>
        <w:t>. מדובר ב</w:t>
      </w:r>
      <w:r w:rsidRPr="00EF7E34">
        <w:rPr>
          <w:rFonts w:ascii="David" w:hAnsi="David"/>
          <w:rtl/>
        </w:rPr>
        <w:t xml:space="preserve">עבירות </w:t>
      </w:r>
      <w:r w:rsidRPr="00EF7E34">
        <w:rPr>
          <w:rFonts w:ascii="David" w:hAnsi="David" w:hint="cs"/>
          <w:rtl/>
        </w:rPr>
        <w:t>ה</w:t>
      </w:r>
      <w:r w:rsidRPr="00EF7E34">
        <w:rPr>
          <w:rFonts w:ascii="David" w:hAnsi="David"/>
          <w:rtl/>
        </w:rPr>
        <w:t>קשורות האחת לשנייה והן מהוות יחדיו מעשה עברייני שלם אחד</w:t>
      </w:r>
      <w:r>
        <w:rPr>
          <w:rtl/>
        </w:rPr>
        <w:t xml:space="preserve"> (</w:t>
      </w:r>
      <w:hyperlink r:id="rId27" w:history="1">
        <w:r w:rsidR="00D3453B" w:rsidRPr="00D3453B">
          <w:rPr>
            <w:color w:val="0000FF"/>
            <w:u w:val="single"/>
            <w:rtl/>
          </w:rPr>
          <w:t>ע"פ 4910/13</w:t>
        </w:r>
      </w:hyperlink>
      <w:r>
        <w:rPr>
          <w:rtl/>
        </w:rPr>
        <w:t xml:space="preserve"> </w:t>
      </w:r>
      <w:r w:rsidRPr="00EF7E34">
        <w:rPr>
          <w:b/>
          <w:bCs/>
          <w:rtl/>
        </w:rPr>
        <w:t>ג'אבר נ' מדינת ישראל</w:t>
      </w:r>
      <w:r>
        <w:rPr>
          <w:rtl/>
        </w:rPr>
        <w:t xml:space="preserve"> (29.10.2014)). עם זאת אביא כמובן בחשבון את ריבוי העבירות </w:t>
      </w:r>
      <w:r>
        <w:rPr>
          <w:rFonts w:hint="cs"/>
          <w:rtl/>
        </w:rPr>
        <w:t xml:space="preserve">ומהותן </w:t>
      </w:r>
      <w:r>
        <w:rPr>
          <w:rtl/>
        </w:rPr>
        <w:t>לצורך קביעת גבולות המתחם</w:t>
      </w:r>
      <w:r w:rsidRPr="00EF7E34">
        <w:rPr>
          <w:rFonts w:ascii="Calibri" w:hAnsi="Calibri"/>
          <w:rtl/>
        </w:rPr>
        <w:t xml:space="preserve"> (</w:t>
      </w:r>
      <w:hyperlink r:id="rId28" w:history="1">
        <w:r w:rsidR="00D3453B" w:rsidRPr="00D3453B">
          <w:rPr>
            <w:rFonts w:ascii="Calibri" w:hAnsi="Calibri" w:hint="eastAsia"/>
            <w:color w:val="0000FF"/>
            <w:u w:val="single"/>
            <w:rtl/>
          </w:rPr>
          <w:t>דנ</w:t>
        </w:r>
        <w:r w:rsidR="00D3453B" w:rsidRPr="00D3453B">
          <w:rPr>
            <w:rFonts w:ascii="Calibri" w:hAnsi="Calibri"/>
            <w:color w:val="0000FF"/>
            <w:u w:val="single"/>
            <w:rtl/>
          </w:rPr>
          <w:t>"</w:t>
        </w:r>
        <w:r w:rsidR="00D3453B" w:rsidRPr="00D3453B">
          <w:rPr>
            <w:rFonts w:ascii="Calibri" w:hAnsi="Calibri" w:hint="eastAsia"/>
            <w:color w:val="0000FF"/>
            <w:u w:val="single"/>
            <w:rtl/>
          </w:rPr>
          <w:t>פ</w:t>
        </w:r>
        <w:r w:rsidR="00D3453B" w:rsidRPr="00D3453B">
          <w:rPr>
            <w:rFonts w:ascii="Calibri" w:hAnsi="Calibri"/>
            <w:color w:val="0000FF"/>
            <w:u w:val="single"/>
            <w:rtl/>
          </w:rPr>
          <w:t xml:space="preserve"> 2999/16</w:t>
        </w:r>
      </w:hyperlink>
      <w:r w:rsidRPr="00EF7E34">
        <w:rPr>
          <w:rFonts w:ascii="Calibri" w:hAnsi="Calibri"/>
          <w:rtl/>
        </w:rPr>
        <w:t xml:space="preserve"> </w:t>
      </w:r>
      <w:r w:rsidRPr="00EF7E34">
        <w:rPr>
          <w:rFonts w:ascii="Calibri" w:hAnsi="Calibri"/>
          <w:b/>
          <w:bCs/>
          <w:rtl/>
        </w:rPr>
        <w:t>מזרחי נ' מדינת ישראל</w:t>
      </w:r>
      <w:r w:rsidRPr="00EF7E34">
        <w:rPr>
          <w:rFonts w:ascii="Calibri" w:hAnsi="Calibri"/>
          <w:rtl/>
        </w:rPr>
        <w:t xml:space="preserve"> (22.5.2016)).</w:t>
      </w:r>
    </w:p>
    <w:p w14:paraId="56FF405A" w14:textId="77777777" w:rsidR="000A2120" w:rsidRDefault="000A2120" w:rsidP="000A2120">
      <w:pPr>
        <w:pStyle w:val="a9"/>
        <w:ind w:left="0"/>
        <w:jc w:val="both"/>
        <w:rPr>
          <w:rFonts w:ascii="David" w:hAnsi="David"/>
        </w:rPr>
      </w:pPr>
    </w:p>
    <w:p w14:paraId="1954AC91" w14:textId="77777777" w:rsidR="000A2120" w:rsidRPr="00751F2D" w:rsidRDefault="000A2120" w:rsidP="000A2120">
      <w:pPr>
        <w:pStyle w:val="a9"/>
        <w:numPr>
          <w:ilvl w:val="0"/>
          <w:numId w:val="1"/>
        </w:numPr>
        <w:spacing w:line="360" w:lineRule="auto"/>
        <w:jc w:val="both"/>
        <w:rPr>
          <w:rFonts w:ascii="David" w:hAnsi="David"/>
        </w:rPr>
      </w:pPr>
      <w:r>
        <w:rPr>
          <w:rFonts w:ascii="David" w:hAnsi="David" w:hint="cs"/>
          <w:rtl/>
        </w:rPr>
        <w:t xml:space="preserve">ביחס לערכים בהם פגע הנאשם במעשיו אציין כי בכל הנוגע לעבירה שעניינה נהיגה בזמן פסילה, אזי מדובר בסיכון </w:t>
      </w:r>
      <w:r w:rsidRPr="005D67BD">
        <w:rPr>
          <w:rFonts w:ascii="David" w:hAnsi="David"/>
          <w:rtl/>
        </w:rPr>
        <w:t xml:space="preserve">שלומם של משתמשי הדרך, כמו גם </w:t>
      </w:r>
      <w:r>
        <w:rPr>
          <w:rFonts w:ascii="David" w:hAnsi="David" w:hint="cs"/>
          <w:rtl/>
        </w:rPr>
        <w:t>פגיעה ב</w:t>
      </w:r>
      <w:r w:rsidRPr="005D67BD">
        <w:rPr>
          <w:rFonts w:ascii="David" w:hAnsi="David"/>
          <w:rtl/>
        </w:rPr>
        <w:t xml:space="preserve">חובת הציות להוראות בית המשפט </w:t>
      </w:r>
      <w:r>
        <w:rPr>
          <w:rFonts w:ascii="David" w:hAnsi="David" w:hint="cs"/>
          <w:rtl/>
        </w:rPr>
        <w:t>(</w:t>
      </w:r>
      <w:r w:rsidRPr="005D67BD">
        <w:rPr>
          <w:rFonts w:ascii="David" w:hAnsi="David"/>
          <w:rtl/>
        </w:rPr>
        <w:t xml:space="preserve">ראו: </w:t>
      </w:r>
      <w:hyperlink r:id="rId29" w:history="1">
        <w:r w:rsidR="00D3453B" w:rsidRPr="00D3453B">
          <w:rPr>
            <w:rFonts w:ascii="David" w:hAnsi="David"/>
            <w:color w:val="0000FF"/>
            <w:u w:val="single"/>
            <w:rtl/>
          </w:rPr>
          <w:t>רע"פ 1483/19</w:t>
        </w:r>
      </w:hyperlink>
      <w:r w:rsidRPr="005D67BD">
        <w:rPr>
          <w:rFonts w:ascii="David" w:hAnsi="David"/>
          <w:rtl/>
        </w:rPr>
        <w:t xml:space="preserve"> </w:t>
      </w:r>
      <w:r w:rsidRPr="005D67BD">
        <w:rPr>
          <w:rFonts w:ascii="David" w:hAnsi="David"/>
          <w:b/>
          <w:bCs/>
          <w:rtl/>
        </w:rPr>
        <w:t>ליפשיץ נ' מדינת ישראל</w:t>
      </w:r>
      <w:r w:rsidRPr="005D67BD">
        <w:rPr>
          <w:rFonts w:ascii="David" w:hAnsi="David"/>
          <w:rtl/>
        </w:rPr>
        <w:t xml:space="preserve"> (6.3.2019)</w:t>
      </w:r>
      <w:r>
        <w:rPr>
          <w:rFonts w:ascii="David" w:hAnsi="David" w:hint="cs"/>
          <w:shd w:val="clear" w:color="auto" w:fill="FFFFFF"/>
          <w:rtl/>
        </w:rPr>
        <w:t>;</w:t>
      </w:r>
      <w:r w:rsidR="00D3453B">
        <w:rPr>
          <w:rFonts w:ascii="David" w:hAnsi="David"/>
          <w:shd w:val="clear" w:color="auto" w:fill="FFFFFF"/>
          <w:rtl/>
        </w:rPr>
        <w:t xml:space="preserve"> </w:t>
      </w:r>
      <w:hyperlink r:id="rId30" w:history="1">
        <w:r w:rsidR="00D3453B" w:rsidRPr="00D3453B">
          <w:rPr>
            <w:rFonts w:ascii="David" w:hAnsi="David"/>
            <w:color w:val="0000FF"/>
            <w:u w:val="single"/>
            <w:shd w:val="clear" w:color="auto" w:fill="FFFFFF"/>
            <w:rtl/>
          </w:rPr>
          <w:t>רע"פ 665/11</w:t>
        </w:r>
      </w:hyperlink>
      <w:r w:rsidR="00D3453B">
        <w:rPr>
          <w:rFonts w:ascii="David" w:hAnsi="David"/>
          <w:shd w:val="clear" w:color="auto" w:fill="FFFFFF"/>
          <w:rtl/>
        </w:rPr>
        <w:t xml:space="preserve"> </w:t>
      </w:r>
      <w:r w:rsidRPr="005D67BD">
        <w:rPr>
          <w:rFonts w:ascii="David" w:hAnsi="David"/>
          <w:b/>
          <w:bCs/>
          <w:shd w:val="clear" w:color="auto" w:fill="FFFFFF"/>
          <w:rtl/>
        </w:rPr>
        <w:t>אבו עאמר נגד מדינת ישראל</w:t>
      </w:r>
      <w:r w:rsidRPr="005D67BD">
        <w:rPr>
          <w:rFonts w:ascii="David" w:hAnsi="David"/>
          <w:shd w:val="clear" w:color="auto" w:fill="FFFFFF"/>
          <w:rtl/>
        </w:rPr>
        <w:t xml:space="preserve"> (24.1.2011))</w:t>
      </w:r>
      <w:r>
        <w:rPr>
          <w:rFonts w:ascii="David" w:hAnsi="David" w:hint="cs"/>
          <w:rtl/>
        </w:rPr>
        <w:t xml:space="preserve">. ביחס לערכים שנפגעו עת נמלט הנאשם מהשוטרים, אזי מדובר בסיכון משתמשי הדרך, וכן פגיעה </w:t>
      </w:r>
      <w:r>
        <w:rPr>
          <w:rtl/>
        </w:rPr>
        <w:t>בעקרון שלטון החוק וביכולתה של המשטרה למלא את תפקידה כראוי (</w:t>
      </w:r>
      <w:hyperlink r:id="rId31" w:history="1">
        <w:r w:rsidR="00D3453B" w:rsidRPr="00D3453B">
          <w:rPr>
            <w:color w:val="0000FF"/>
            <w:u w:val="single"/>
            <w:rtl/>
          </w:rPr>
          <w:t>ע"פ 9878/09</w:t>
        </w:r>
      </w:hyperlink>
      <w:r>
        <w:rPr>
          <w:rtl/>
        </w:rPr>
        <w:t xml:space="preserve"> </w:t>
      </w:r>
      <w:r w:rsidRPr="00751F2D">
        <w:rPr>
          <w:b/>
          <w:bCs/>
          <w:rtl/>
        </w:rPr>
        <w:t>מדינת ישראל נ' רמי מוסא</w:t>
      </w:r>
      <w:r>
        <w:rPr>
          <w:rtl/>
        </w:rPr>
        <w:t xml:space="preserve"> (20.9.2010); עפ"ג 4794-12-15 </w:t>
      </w:r>
      <w:r w:rsidRPr="00751F2D">
        <w:rPr>
          <w:b/>
          <w:bCs/>
          <w:rtl/>
        </w:rPr>
        <w:t>מדינת ישראל נ' זבידאת</w:t>
      </w:r>
      <w:r>
        <w:rPr>
          <w:rtl/>
        </w:rPr>
        <w:t xml:space="preserve"> (10.1.2016)). </w:t>
      </w:r>
      <w:r>
        <w:rPr>
          <w:rFonts w:ascii="David" w:eastAsia="Calibri" w:hAnsi="David" w:hint="cs"/>
          <w:rtl/>
        </w:rPr>
        <w:t xml:space="preserve">ביחס </w:t>
      </w:r>
      <w:r>
        <w:rPr>
          <w:rFonts w:ascii="David" w:hAnsi="David" w:hint="cs"/>
          <w:rtl/>
        </w:rPr>
        <w:t>לעבירת הסמים, אזי מדובר בפגיעה ב</w:t>
      </w:r>
      <w:r>
        <w:rPr>
          <w:rFonts w:hint="cs"/>
          <w:rtl/>
        </w:rPr>
        <w:t xml:space="preserve">ביטחון הציבור ושלומו. הסכנות הטמונות בהחזקת סם, לא כל שכן שלא לשימוש עצמי בלבד, ידועות ואין צורך להכביר במילים בדבר הנזקים שעלולים להיגרם לחברה ולפרט. במקרה זה, מדובר בסם מסוג קנביס אך אין להקל ראש בחומרת הדברים (ראו למשל </w:t>
      </w:r>
      <w:hyperlink r:id="rId32" w:history="1">
        <w:r w:rsidR="00D3453B" w:rsidRPr="00D3453B">
          <w:rPr>
            <w:color w:val="0000FF"/>
            <w:u w:val="single"/>
            <w:rtl/>
          </w:rPr>
          <w:t>ע"פ 6290/20</w:t>
        </w:r>
      </w:hyperlink>
      <w:r>
        <w:rPr>
          <w:rFonts w:hint="cs"/>
          <w:rtl/>
        </w:rPr>
        <w:t xml:space="preserve"> </w:t>
      </w:r>
      <w:r w:rsidRPr="00751F2D">
        <w:rPr>
          <w:rFonts w:hint="cs"/>
          <w:b/>
          <w:bCs/>
          <w:rtl/>
        </w:rPr>
        <w:t>שחר חן נ' מדינת ישראל</w:t>
      </w:r>
      <w:r>
        <w:rPr>
          <w:rFonts w:hint="cs"/>
          <w:rtl/>
        </w:rPr>
        <w:t xml:space="preserve"> (4.2.2021)). </w:t>
      </w:r>
    </w:p>
    <w:p w14:paraId="606CF16B" w14:textId="77777777" w:rsidR="000A2120" w:rsidRPr="00751F2D" w:rsidRDefault="000A2120" w:rsidP="000A2120">
      <w:pPr>
        <w:pStyle w:val="a9"/>
        <w:spacing w:line="360" w:lineRule="auto"/>
        <w:ind w:left="0"/>
        <w:jc w:val="both"/>
        <w:rPr>
          <w:rFonts w:ascii="David" w:hAnsi="David"/>
          <w:rtl/>
        </w:rPr>
      </w:pPr>
    </w:p>
    <w:p w14:paraId="4E767F4B" w14:textId="77777777" w:rsidR="000A2120" w:rsidRDefault="000A2120" w:rsidP="000A2120">
      <w:pPr>
        <w:pStyle w:val="a9"/>
        <w:numPr>
          <w:ilvl w:val="0"/>
          <w:numId w:val="1"/>
        </w:numPr>
        <w:spacing w:line="360" w:lineRule="auto"/>
        <w:jc w:val="both"/>
        <w:rPr>
          <w:rFonts w:ascii="David" w:hAnsi="David"/>
        </w:rPr>
      </w:pPr>
      <w:r>
        <w:rPr>
          <w:rFonts w:ascii="David" w:hAnsi="David" w:hint="cs"/>
          <w:rtl/>
        </w:rPr>
        <w:t xml:space="preserve">בהתייחס לנסיבות הקשורות לביצוע העבירה אציין כי הנאשם נהג ברכב כאשר הוא פסול לנהיגה, הוא לא נענה להוראות שוטרים לעצור לבדיקה, האיץ נסיעתו ונמלט מהמקום עד כי השוטרים נאלצו לדלוק אחריו. בשלב מסוים נטש את הרכב ונמלט רגלית עד שנעצר ונמצא כי הוא לא רק נוהג בפסילה, אלא אף מחזיק סמים וזאת שלא לשימוש עצמי. שילוב נסיבות אלו </w:t>
      </w:r>
      <w:r>
        <w:rPr>
          <w:rFonts w:ascii="David" w:hAnsi="David"/>
          <w:rtl/>
        </w:rPr>
        <w:t>–</w:t>
      </w:r>
      <w:r>
        <w:rPr>
          <w:rFonts w:ascii="David" w:hAnsi="David" w:hint="cs"/>
          <w:rtl/>
        </w:rPr>
        <w:t xml:space="preserve"> הפרת החוק בעצם הנהיגה בזמן פסילה; הרהבת העוז להימלט מהשוטרים; והעובדה שהחזיק אגב כך גם סם שלא לשימוש עצמי </w:t>
      </w:r>
      <w:r>
        <w:rPr>
          <w:rFonts w:ascii="David" w:hAnsi="David"/>
          <w:rtl/>
        </w:rPr>
        <w:t>–</w:t>
      </w:r>
      <w:r>
        <w:rPr>
          <w:rFonts w:ascii="David" w:hAnsi="David" w:hint="cs"/>
          <w:rtl/>
        </w:rPr>
        <w:t xml:space="preserve"> מלמד בבירור על חומרה רבה. הסנגור טען כי העבירה בוצעה חמישה ימים לפני סיום תקופת הפסילה והציג את מועד הפקדת הרישיון. ואולם, אף אם הטענה מדויקת (ולא הובאו בפני נתונים מלאים בנושא) אינני סבור שיש לראות בכך משום נסיבה מקלה שכן לפסק הדין יש לציית עד תומו. </w:t>
      </w:r>
    </w:p>
    <w:p w14:paraId="32FE4FE4" w14:textId="77777777" w:rsidR="000A2120" w:rsidRPr="00B45D12" w:rsidRDefault="000A2120" w:rsidP="000A2120">
      <w:pPr>
        <w:pStyle w:val="a9"/>
        <w:rPr>
          <w:rFonts w:ascii="David" w:hAnsi="David"/>
          <w:rtl/>
        </w:rPr>
      </w:pPr>
    </w:p>
    <w:p w14:paraId="614BAA07" w14:textId="77777777" w:rsidR="000A2120" w:rsidRDefault="000A2120" w:rsidP="000A2120">
      <w:pPr>
        <w:pStyle w:val="a9"/>
        <w:numPr>
          <w:ilvl w:val="0"/>
          <w:numId w:val="1"/>
        </w:numPr>
        <w:spacing w:line="360" w:lineRule="auto"/>
        <w:jc w:val="both"/>
        <w:rPr>
          <w:rFonts w:ascii="David" w:hAnsi="David"/>
        </w:rPr>
      </w:pPr>
      <w:r>
        <w:rPr>
          <w:rFonts w:ascii="David" w:hAnsi="David" w:hint="cs"/>
          <w:rtl/>
        </w:rPr>
        <w:t xml:space="preserve">מדיניות הענישה הנוהגת בעבירות אותן עבר הנאשם מגוונת ובעלת מנעד רחב התלוי בין היתר בנסיבותיו המיוחדות של כל מקרה, מהות העבירות, ריבוין, ונסיבותיו האישיות של הנאשם. לצורך הדגמה אפנה לפסק הדין הבאים בעניין מדיניות הענישה בעבירות של נהיגה בזמן פסילה ועבירות נלוות: </w:t>
      </w:r>
      <w:hyperlink r:id="rId33" w:history="1">
        <w:r w:rsidR="00D3453B" w:rsidRPr="00D3453B">
          <w:rPr>
            <w:rFonts w:ascii="David" w:hAnsi="David"/>
            <w:color w:val="0000FF"/>
            <w:u w:val="single"/>
            <w:rtl/>
          </w:rPr>
          <w:t>רע"פ 2516/23</w:t>
        </w:r>
      </w:hyperlink>
      <w:r>
        <w:rPr>
          <w:rFonts w:ascii="David" w:hAnsi="David" w:hint="cs"/>
          <w:rtl/>
        </w:rPr>
        <w:t xml:space="preserve"> </w:t>
      </w:r>
      <w:r w:rsidRPr="00B45D12">
        <w:rPr>
          <w:rFonts w:ascii="David" w:hAnsi="David" w:hint="cs"/>
          <w:b/>
          <w:bCs/>
          <w:rtl/>
        </w:rPr>
        <w:t xml:space="preserve">פלוני נ' מדינת ישראל </w:t>
      </w:r>
      <w:r>
        <w:rPr>
          <w:rFonts w:ascii="David" w:hAnsi="David" w:hint="cs"/>
          <w:rtl/>
        </w:rPr>
        <w:t xml:space="preserve">(11.4.2023), בו החמיר בית המשפט המחוזי את עונשו של נאשם בנהיגה בזמן פסילה ל-20 חודשי מאסר (תוך הפעלת עונשי מאסר מותנה) ופסילה בת 10 שנים (לאור הוראות </w:t>
      </w:r>
      <w:hyperlink r:id="rId34" w:history="1">
        <w:r w:rsidR="00E5474E" w:rsidRPr="00E5474E">
          <w:rPr>
            <w:rStyle w:val="Hyperlink"/>
            <w:rFonts w:ascii="David" w:hAnsi="David" w:hint="eastAsia"/>
            <w:rtl/>
          </w:rPr>
          <w:t>סעיף</w:t>
        </w:r>
        <w:r w:rsidR="00E5474E" w:rsidRPr="00E5474E">
          <w:rPr>
            <w:rStyle w:val="Hyperlink"/>
            <w:rFonts w:ascii="David" w:hAnsi="David"/>
            <w:rtl/>
          </w:rPr>
          <w:t xml:space="preserve"> 40א(א)(1)</w:t>
        </w:r>
      </w:hyperlink>
      <w:r>
        <w:rPr>
          <w:rFonts w:ascii="David" w:hAnsi="David" w:hint="cs"/>
          <w:rtl/>
        </w:rPr>
        <w:t xml:space="preserve"> ל</w:t>
      </w:r>
      <w:hyperlink r:id="rId35" w:history="1">
        <w:r w:rsidR="00D3453B" w:rsidRPr="00D3453B">
          <w:rPr>
            <w:rFonts w:ascii="David" w:hAnsi="David"/>
            <w:color w:val="0000FF"/>
            <w:u w:val="single"/>
            <w:rtl/>
          </w:rPr>
          <w:t>פקודת התעבורה</w:t>
        </w:r>
      </w:hyperlink>
      <w:r>
        <w:rPr>
          <w:rFonts w:ascii="David" w:hAnsi="David" w:hint="cs"/>
          <w:rtl/>
        </w:rPr>
        <w:t xml:space="preserve"> בדבר פסילה סטטוטורית בת 10 שנים). אציין שבית משפט השלום קבע מתחם ענישה הנע בין 7 חודשי מאסר ועד 20 חודשי מאסר; </w:t>
      </w:r>
      <w:r w:rsidRPr="002A49E3">
        <w:rPr>
          <w:rFonts w:ascii="David" w:hAnsi="David"/>
          <w:rtl/>
        </w:rPr>
        <w:t xml:space="preserve">רע"פ 2920/10 </w:t>
      </w:r>
      <w:r w:rsidRPr="002A49E3">
        <w:rPr>
          <w:rFonts w:ascii="David" w:hAnsi="David"/>
          <w:b/>
          <w:bCs/>
          <w:rtl/>
        </w:rPr>
        <w:t>הייב מוחמד נ' מדינת ישראל</w:t>
      </w:r>
      <w:r w:rsidRPr="002A49E3">
        <w:rPr>
          <w:rFonts w:ascii="David" w:hAnsi="David"/>
          <w:rtl/>
        </w:rPr>
        <w:t xml:space="preserve"> (7.5.2020), בו אושר עונש מאסר בן 12 חודשים (אגב הפעלת מע"ת בן חודשיים) לנאשם שהורשע בשתי עבירות של נהיגה בזמן פסילה. עברו התעבורתי של הנאשם היה מכביד; </w:t>
      </w:r>
      <w:hyperlink r:id="rId36" w:history="1">
        <w:r w:rsidR="00D3453B" w:rsidRPr="00D3453B">
          <w:rPr>
            <w:rFonts w:ascii="David" w:hAnsi="David"/>
            <w:color w:val="0000FF"/>
            <w:u w:val="single"/>
            <w:rtl/>
          </w:rPr>
          <w:t>רע"פ 8013/13</w:t>
        </w:r>
      </w:hyperlink>
      <w:r w:rsidRPr="002A49E3">
        <w:rPr>
          <w:rFonts w:ascii="David" w:hAnsi="David"/>
          <w:rtl/>
        </w:rPr>
        <w:t xml:space="preserve"> </w:t>
      </w:r>
      <w:r w:rsidRPr="002A49E3">
        <w:rPr>
          <w:rFonts w:ascii="David" w:hAnsi="David"/>
          <w:b/>
          <w:bCs/>
          <w:rtl/>
        </w:rPr>
        <w:t>אמיר מסעוד נ' מדינת ישראל</w:t>
      </w:r>
      <w:r w:rsidRPr="002A49E3">
        <w:rPr>
          <w:rFonts w:ascii="David" w:hAnsi="David"/>
          <w:rtl/>
        </w:rPr>
        <w:t xml:space="preserve"> (18.12.2013), בו נידון נאשם שהורשע בעבירות של נהיגה בפסילה, נהיגה כשרישיון הנהיגה פקע מעל 12 חודשים ונהיגה ללא ביטוח לשנת מאסר. בית המשפט העליון ציין כי המתחם שקבע בית המשפט לתעבורה, הנע בין 7 חודשי מאסר בפועל ועד 20 חודשי מאסר, הוא "</w:t>
      </w:r>
      <w:r w:rsidRPr="002A49E3">
        <w:rPr>
          <w:rFonts w:ascii="David" w:hAnsi="David" w:cs="Miriam"/>
          <w:rtl/>
        </w:rPr>
        <w:t>מתחם הולם</w:t>
      </w:r>
      <w:r w:rsidRPr="002A49E3">
        <w:rPr>
          <w:rFonts w:ascii="David" w:hAnsi="David"/>
          <w:rtl/>
        </w:rPr>
        <w:t xml:space="preserve">"; </w:t>
      </w:r>
      <w:hyperlink r:id="rId37" w:history="1">
        <w:r w:rsidR="00D3453B" w:rsidRPr="00D3453B">
          <w:rPr>
            <w:rFonts w:ascii="David" w:hAnsi="David"/>
            <w:color w:val="0000FF"/>
            <w:u w:val="single"/>
            <w:rtl/>
          </w:rPr>
          <w:t>עפ"ת 16663-04-18</w:t>
        </w:r>
      </w:hyperlink>
      <w:r w:rsidRPr="002A49E3">
        <w:rPr>
          <w:rFonts w:ascii="David" w:hAnsi="David"/>
          <w:b/>
          <w:bCs/>
          <w:rtl/>
        </w:rPr>
        <w:t xml:space="preserve"> נוג'ידאת נ' מדינת ישראל </w:t>
      </w:r>
      <w:r w:rsidRPr="002A49E3">
        <w:rPr>
          <w:rFonts w:ascii="David" w:hAnsi="David"/>
          <w:rtl/>
        </w:rPr>
        <w:t>(10.5.2018), בו אישר בית המשפט המחוזי מתחם הנע בין מאסר קצר, שניתן לשאת בדרך של עבודות שירות</w:t>
      </w:r>
      <w:r>
        <w:rPr>
          <w:rFonts w:ascii="David" w:hAnsi="David" w:hint="cs"/>
          <w:rtl/>
        </w:rPr>
        <w:t>,</w:t>
      </w:r>
      <w:r w:rsidRPr="002A49E3">
        <w:rPr>
          <w:rFonts w:ascii="David" w:hAnsi="David"/>
          <w:rtl/>
        </w:rPr>
        <w:t xml:space="preserve"> ועד 20 חודשי מאסר בפועל</w:t>
      </w:r>
      <w:r>
        <w:rPr>
          <w:rFonts w:ascii="David" w:hAnsi="David" w:hint="cs"/>
          <w:rtl/>
        </w:rPr>
        <w:t>,</w:t>
      </w:r>
      <w:r w:rsidRPr="002A49E3">
        <w:rPr>
          <w:rFonts w:ascii="David" w:hAnsi="David"/>
          <w:rtl/>
        </w:rPr>
        <w:t xml:space="preserve"> בעבירות של נהיגה בזמן פסילה, נהיגה ללא רישיון וללא ביטוח, נהיגה בקלות ראש ועבירות נוספות על </w:t>
      </w:r>
      <w:hyperlink r:id="rId38" w:history="1">
        <w:r w:rsidR="00D3453B" w:rsidRPr="00D3453B">
          <w:rPr>
            <w:rFonts w:ascii="David" w:hAnsi="David"/>
            <w:color w:val="0000FF"/>
            <w:u w:val="single"/>
            <w:rtl/>
          </w:rPr>
          <w:t>פקודת התעבורה</w:t>
        </w:r>
      </w:hyperlink>
      <w:r w:rsidRPr="002A49E3">
        <w:rPr>
          <w:rFonts w:ascii="David" w:hAnsi="David"/>
          <w:rtl/>
        </w:rPr>
        <w:t xml:space="preserve">, (כן ראו בנושא </w:t>
      </w:r>
      <w:hyperlink r:id="rId39" w:history="1">
        <w:r w:rsidR="00D3453B" w:rsidRPr="00D3453B">
          <w:rPr>
            <w:rFonts w:ascii="David" w:hAnsi="David"/>
            <w:color w:val="0000FF"/>
            <w:u w:val="single"/>
            <w:rtl/>
          </w:rPr>
          <w:t>עפ"ת 42874-05-18</w:t>
        </w:r>
      </w:hyperlink>
      <w:r w:rsidRPr="002A49E3">
        <w:rPr>
          <w:rFonts w:ascii="David" w:hAnsi="David"/>
          <w:rtl/>
        </w:rPr>
        <w:t xml:space="preserve"> </w:t>
      </w:r>
      <w:r w:rsidRPr="002A49E3">
        <w:rPr>
          <w:rFonts w:ascii="David" w:hAnsi="David"/>
          <w:b/>
          <w:bCs/>
          <w:rtl/>
        </w:rPr>
        <w:t>סיסו נ' מדינת ישראל</w:t>
      </w:r>
      <w:r w:rsidRPr="002A49E3">
        <w:rPr>
          <w:rFonts w:ascii="David" w:hAnsi="David"/>
          <w:rtl/>
        </w:rPr>
        <w:t xml:space="preserve"> (4.6.2018)); </w:t>
      </w:r>
      <w:hyperlink r:id="rId40" w:history="1">
        <w:r w:rsidR="00D3453B" w:rsidRPr="00D3453B">
          <w:rPr>
            <w:rFonts w:ascii="David" w:hAnsi="David"/>
            <w:color w:val="0000FF"/>
            <w:u w:val="single"/>
            <w:rtl/>
          </w:rPr>
          <w:t>רע"פ 5244/17</w:t>
        </w:r>
      </w:hyperlink>
      <w:r w:rsidRPr="002A49E3">
        <w:rPr>
          <w:rFonts w:ascii="David" w:hAnsi="David"/>
          <w:rtl/>
        </w:rPr>
        <w:t xml:space="preserve"> </w:t>
      </w:r>
      <w:r w:rsidRPr="002A49E3">
        <w:rPr>
          <w:rFonts w:ascii="David" w:hAnsi="David"/>
          <w:b/>
          <w:bCs/>
          <w:rtl/>
        </w:rPr>
        <w:t>גבריאל תורג'מן נ' מדינת ישראל</w:t>
      </w:r>
      <w:r w:rsidRPr="002A49E3">
        <w:rPr>
          <w:rFonts w:ascii="David" w:hAnsi="David"/>
          <w:rtl/>
        </w:rPr>
        <w:t xml:space="preserve"> (12.9.2017), בו נידון עניינו של נאשם שהורשע בעבירות נהיגה בפסילה, נהיגה ללא ביטוח וללא רישיון </w:t>
      </w:r>
      <w:r>
        <w:rPr>
          <w:rFonts w:ascii="David" w:hAnsi="David" w:hint="cs"/>
          <w:rtl/>
        </w:rPr>
        <w:t xml:space="preserve">ועונשו הוחמר </w:t>
      </w:r>
      <w:r w:rsidRPr="002A49E3">
        <w:rPr>
          <w:rFonts w:ascii="David" w:hAnsi="David"/>
          <w:rtl/>
        </w:rPr>
        <w:t>ל</w:t>
      </w:r>
      <w:r>
        <w:rPr>
          <w:rFonts w:ascii="David" w:hAnsi="David" w:hint="cs"/>
          <w:rtl/>
        </w:rPr>
        <w:t xml:space="preserve">-10 </w:t>
      </w:r>
      <w:r w:rsidRPr="002A49E3">
        <w:rPr>
          <w:rFonts w:ascii="David" w:hAnsi="David"/>
          <w:rtl/>
        </w:rPr>
        <w:t>חודשי מאסר בפועל ועונשים נלווים. לנאשם היה עבר תעבורתי רלוונטי</w:t>
      </w:r>
      <w:r>
        <w:rPr>
          <w:rFonts w:ascii="David" w:hAnsi="David" w:hint="cs"/>
          <w:rtl/>
        </w:rPr>
        <w:t>.</w:t>
      </w:r>
      <w:r w:rsidRPr="002A49E3">
        <w:rPr>
          <w:rFonts w:ascii="David" w:hAnsi="David"/>
          <w:rtl/>
        </w:rPr>
        <w:t xml:space="preserve"> בקשה רשות ערעור שהגיש נדחתה וצוין כי העונש "</w:t>
      </w:r>
      <w:r w:rsidRPr="002A49E3">
        <w:rPr>
          <w:rFonts w:ascii="David" w:hAnsi="David" w:cs="Miriam"/>
          <w:rtl/>
        </w:rPr>
        <w:t>ראוי ומאוזן</w:t>
      </w:r>
      <w:r w:rsidRPr="002A49E3">
        <w:rPr>
          <w:rFonts w:ascii="David" w:hAnsi="David"/>
          <w:rtl/>
        </w:rPr>
        <w:t xml:space="preserve">".   </w:t>
      </w:r>
    </w:p>
    <w:p w14:paraId="2EC6C455" w14:textId="77777777" w:rsidR="000A2120" w:rsidRDefault="000A2120" w:rsidP="000A2120">
      <w:pPr>
        <w:pStyle w:val="a9"/>
        <w:ind w:left="0"/>
        <w:jc w:val="both"/>
        <w:rPr>
          <w:rFonts w:ascii="David" w:hAnsi="David"/>
        </w:rPr>
      </w:pPr>
    </w:p>
    <w:p w14:paraId="1A66B90A" w14:textId="77777777" w:rsidR="000A2120" w:rsidRPr="00D407A5" w:rsidRDefault="000A2120" w:rsidP="000A2120">
      <w:pPr>
        <w:pStyle w:val="a9"/>
        <w:numPr>
          <w:ilvl w:val="0"/>
          <w:numId w:val="1"/>
        </w:numPr>
        <w:spacing w:line="360" w:lineRule="auto"/>
        <w:jc w:val="both"/>
        <w:rPr>
          <w:rFonts w:ascii="David" w:hAnsi="David"/>
        </w:rPr>
      </w:pPr>
      <w:r>
        <w:rPr>
          <w:rFonts w:ascii="David" w:hAnsi="David" w:hint="cs"/>
          <w:rtl/>
        </w:rPr>
        <w:t xml:space="preserve">ביחס לעבירת הסמים אפנה לפסקי הדין הבאים: </w:t>
      </w:r>
      <w:hyperlink r:id="rId41" w:history="1">
        <w:r w:rsidR="00D3453B" w:rsidRPr="00D3453B">
          <w:rPr>
            <w:color w:val="0000FF"/>
            <w:u w:val="single"/>
            <w:rtl/>
          </w:rPr>
          <w:t>רע"פ 636/21</w:t>
        </w:r>
      </w:hyperlink>
      <w:r>
        <w:rPr>
          <w:rFonts w:hint="cs"/>
          <w:rtl/>
        </w:rPr>
        <w:t xml:space="preserve"> ‏</w:t>
      </w:r>
      <w:r w:rsidRPr="00D407A5">
        <w:rPr>
          <w:rFonts w:hint="cs"/>
          <w:b/>
          <w:bCs/>
          <w:rtl/>
        </w:rPr>
        <w:t>ברוך לוי נ' מדינת ישראל</w:t>
      </w:r>
      <w:r>
        <w:rPr>
          <w:rFonts w:hint="cs"/>
          <w:rtl/>
        </w:rPr>
        <w:t xml:space="preserve"> (16.2.2021), בו נידון נאשם שהורשע בהחזקת חשיש במשקל כולל של כ-760 גרם נטו. בית משפט השלום קבע מתחם הנע בין 6 חודשי מאסר לריצוי בדרך של עבודות שירות ועד 12 חודשי מאסר בפועל ועל אף תסקיר חיובי שהמליץ על של"צ נגזרו 4 חודשי מאסר בעבודות שירות; </w:t>
      </w:r>
      <w:hyperlink r:id="rId42" w:history="1">
        <w:r w:rsidR="00D3453B" w:rsidRPr="00D3453B">
          <w:rPr>
            <w:color w:val="0000FF"/>
            <w:u w:val="single"/>
            <w:rtl/>
          </w:rPr>
          <w:t>רע"פ 8759/21</w:t>
        </w:r>
      </w:hyperlink>
      <w:r>
        <w:rPr>
          <w:rFonts w:hint="cs"/>
          <w:rtl/>
        </w:rPr>
        <w:t xml:space="preserve"> </w:t>
      </w:r>
      <w:r w:rsidRPr="00D407A5">
        <w:rPr>
          <w:rFonts w:hint="cs"/>
          <w:b/>
          <w:bCs/>
          <w:rtl/>
        </w:rPr>
        <w:t>אלעד קסלר נ' מדינת ישראל</w:t>
      </w:r>
      <w:r>
        <w:rPr>
          <w:rFonts w:hint="cs"/>
          <w:rtl/>
        </w:rPr>
        <w:t xml:space="preserve"> (23.12.2021), בו הנאשם הורשע בהחזקת 229 גרם קנבוס והחזקת סכין והוטלו עליו 30 ימי מאסר בעבודות שירות, צו מבחן ועונשים נלווים; </w:t>
      </w:r>
      <w:hyperlink r:id="rId43" w:history="1">
        <w:r w:rsidR="00D3453B" w:rsidRPr="00D3453B">
          <w:rPr>
            <w:color w:val="0000FF"/>
            <w:u w:val="single"/>
            <w:rtl/>
          </w:rPr>
          <w:t>ת"פ 51123-01-12</w:t>
        </w:r>
      </w:hyperlink>
      <w:r>
        <w:rPr>
          <w:rFonts w:hint="cs"/>
          <w:rtl/>
        </w:rPr>
        <w:t xml:space="preserve"> </w:t>
      </w:r>
      <w:r w:rsidRPr="00D407A5">
        <w:rPr>
          <w:rFonts w:hint="cs"/>
          <w:b/>
          <w:bCs/>
          <w:rtl/>
        </w:rPr>
        <w:t>מדינת ישראל נ' חוטוריאנסקי</w:t>
      </w:r>
      <w:r>
        <w:rPr>
          <w:rFonts w:hint="cs"/>
          <w:rtl/>
        </w:rPr>
        <w:t xml:space="preserve"> (23.3.2014),</w:t>
      </w:r>
      <w:r w:rsidR="00D3453B">
        <w:rPr>
          <w:rFonts w:hint="cs"/>
          <w:rtl/>
        </w:rPr>
        <w:t xml:space="preserve"> </w:t>
      </w:r>
      <w:r>
        <w:rPr>
          <w:rFonts w:hint="cs"/>
          <w:rtl/>
        </w:rPr>
        <w:t xml:space="preserve"> בו הוטלו על נאשם 6 חודשי מאסר בעבודות שירות (הכוללים מאסר מותנה שהופעל), בגין החזקה של כ- 100 ג' סם מסוג חשיש. בית המשפט קבע כי מתחם העונש ההולם נע בין מאסר מותנה ל- 8 חודשי מאסר בפועל; </w:t>
      </w:r>
      <w:hyperlink r:id="rId44" w:history="1">
        <w:r w:rsidR="00D3453B" w:rsidRPr="00D3453B">
          <w:rPr>
            <w:color w:val="0000FF"/>
            <w:u w:val="single"/>
            <w:rtl/>
          </w:rPr>
          <w:t>ת"פ 51933-05-12</w:t>
        </w:r>
      </w:hyperlink>
      <w:r>
        <w:rPr>
          <w:rFonts w:hint="cs"/>
          <w:rtl/>
        </w:rPr>
        <w:t xml:space="preserve"> </w:t>
      </w:r>
      <w:r w:rsidRPr="00D407A5">
        <w:rPr>
          <w:rFonts w:hint="cs"/>
          <w:b/>
          <w:bCs/>
          <w:rtl/>
        </w:rPr>
        <w:t>מדינת ישראל נ' בוטבול</w:t>
      </w:r>
      <w:r>
        <w:rPr>
          <w:rFonts w:hint="cs"/>
          <w:rtl/>
        </w:rPr>
        <w:t xml:space="preserve"> (27.3.2014), בו הוטלו על הנאשם חודשיים מאסר בעבודות שירות בגין החזקה של 254 גרם חשיש. </w:t>
      </w:r>
    </w:p>
    <w:p w14:paraId="71D56509" w14:textId="77777777" w:rsidR="000A2120" w:rsidRPr="00D407A5" w:rsidRDefault="000A2120" w:rsidP="000A2120">
      <w:pPr>
        <w:pStyle w:val="a9"/>
        <w:ind w:left="0"/>
        <w:jc w:val="both"/>
        <w:rPr>
          <w:rFonts w:ascii="David" w:hAnsi="David"/>
        </w:rPr>
      </w:pPr>
    </w:p>
    <w:p w14:paraId="2291F126" w14:textId="77777777" w:rsidR="000A2120" w:rsidRDefault="000A2120" w:rsidP="000A2120">
      <w:pPr>
        <w:pStyle w:val="a9"/>
        <w:numPr>
          <w:ilvl w:val="0"/>
          <w:numId w:val="1"/>
        </w:numPr>
        <w:spacing w:line="360" w:lineRule="auto"/>
        <w:jc w:val="both"/>
        <w:rPr>
          <w:rFonts w:ascii="David" w:hAnsi="David"/>
        </w:rPr>
      </w:pPr>
      <w:r>
        <w:rPr>
          <w:rFonts w:ascii="David" w:hAnsi="David" w:hint="cs"/>
          <w:rtl/>
        </w:rPr>
        <w:t>לאור כך אני בדעה כי מתחם הענישה ההולם עבירה זו בנסיבותיה נע בין מאסר למשך מספר חודשים שניתן לשאת בעבודות שירות ועד 24 חודשי מאסר בשילוב פסילה בפועל וענישה מותנית וכספית.</w:t>
      </w:r>
    </w:p>
    <w:p w14:paraId="53DD016A" w14:textId="77777777" w:rsidR="000A2120" w:rsidRDefault="000A2120" w:rsidP="000A2120">
      <w:pPr>
        <w:rPr>
          <w:rFonts w:ascii="David" w:hAnsi="David"/>
          <w:rtl/>
        </w:rPr>
      </w:pPr>
    </w:p>
    <w:p w14:paraId="608C2BB4" w14:textId="77777777" w:rsidR="000A2120" w:rsidRPr="004B542B" w:rsidRDefault="000A2120" w:rsidP="000A2120">
      <w:pPr>
        <w:rPr>
          <w:rFonts w:ascii="David" w:hAnsi="David"/>
          <w:b/>
          <w:bCs/>
          <w:u w:val="single"/>
          <w:rtl/>
        </w:rPr>
      </w:pPr>
      <w:r w:rsidRPr="004B542B">
        <w:rPr>
          <w:rFonts w:ascii="David" w:hAnsi="David" w:hint="cs"/>
          <w:b/>
          <w:bCs/>
          <w:u w:val="single"/>
          <w:rtl/>
        </w:rPr>
        <w:t>קביעת עונשו של הנאשם</w:t>
      </w:r>
    </w:p>
    <w:p w14:paraId="7C757D51" w14:textId="77777777" w:rsidR="000A2120" w:rsidRDefault="000A2120" w:rsidP="000A2120">
      <w:pPr>
        <w:rPr>
          <w:rFonts w:ascii="David" w:hAnsi="David"/>
          <w:rtl/>
        </w:rPr>
      </w:pPr>
    </w:p>
    <w:p w14:paraId="42557FF7" w14:textId="77777777" w:rsidR="000A2120" w:rsidRPr="004B542B" w:rsidRDefault="000A2120" w:rsidP="000A2120">
      <w:pPr>
        <w:rPr>
          <w:rFonts w:ascii="David" w:hAnsi="David"/>
          <w:rtl/>
        </w:rPr>
      </w:pPr>
    </w:p>
    <w:p w14:paraId="651B042A" w14:textId="77777777" w:rsidR="000A2120" w:rsidRPr="0097394A" w:rsidRDefault="000A2120" w:rsidP="000A2120">
      <w:pPr>
        <w:pStyle w:val="a9"/>
        <w:numPr>
          <w:ilvl w:val="0"/>
          <w:numId w:val="1"/>
        </w:numPr>
        <w:spacing w:line="360" w:lineRule="auto"/>
        <w:jc w:val="both"/>
        <w:rPr>
          <w:rFonts w:ascii="David" w:hAnsi="David"/>
        </w:rPr>
      </w:pPr>
      <w:r>
        <w:rPr>
          <w:rFonts w:ascii="David" w:hAnsi="David" w:hint="cs"/>
          <w:rtl/>
        </w:rPr>
        <w:t xml:space="preserve">כפי שצוין לעיל, המאשימה סבורה שיש להפעיל את המאסר המותנה ולהטיל עונש מאסר בן 9 חודשים בעבודות שירות ואילו ההגנה מבקשת </w:t>
      </w:r>
      <w:r>
        <w:rPr>
          <w:rFonts w:hint="cs"/>
          <w:rtl/>
        </w:rPr>
        <w:t>להאריך את המאסר המותנה ולהימנע מעונש מוחשי כלשהו וזאת בשל סיכוי שיקומו.</w:t>
      </w:r>
      <w:r>
        <w:rPr>
          <w:rtl/>
        </w:rPr>
        <w:t xml:space="preserve"> אקדים ואומר כי לאחר </w:t>
      </w:r>
      <w:r>
        <w:rPr>
          <w:rFonts w:hint="cs"/>
          <w:rtl/>
        </w:rPr>
        <w:t xml:space="preserve">שבחנתי את מכלול נתוניו של מקרה זה, סברתי שיש מקום להביא בעניינו של הנאשם את סיכויי שיקומו ומשכך להקל עימו, ואולם אין הצדקה לחריגה מהמתחם עד כדי הארכת המאסר המותנה, לא כל שכן הימנעות מהטלת ענישה מוחשית כלשהי. </w:t>
      </w:r>
      <w:r>
        <w:rPr>
          <w:rtl/>
        </w:rPr>
        <w:t>אנמק מסקנתי להלן.</w:t>
      </w:r>
    </w:p>
    <w:p w14:paraId="587BAC81" w14:textId="77777777" w:rsidR="000A2120" w:rsidRPr="0097394A" w:rsidRDefault="000A2120" w:rsidP="000A2120">
      <w:pPr>
        <w:pStyle w:val="a9"/>
        <w:spacing w:line="360" w:lineRule="auto"/>
        <w:ind w:left="0"/>
        <w:jc w:val="both"/>
        <w:rPr>
          <w:rFonts w:ascii="David" w:hAnsi="David"/>
        </w:rPr>
      </w:pPr>
    </w:p>
    <w:p w14:paraId="1B95A443" w14:textId="77777777" w:rsidR="000A2120" w:rsidRPr="0097394A" w:rsidRDefault="000A2120" w:rsidP="000A2120">
      <w:pPr>
        <w:pStyle w:val="a9"/>
        <w:numPr>
          <w:ilvl w:val="0"/>
          <w:numId w:val="1"/>
        </w:numPr>
        <w:spacing w:line="360" w:lineRule="auto"/>
        <w:jc w:val="both"/>
        <w:rPr>
          <w:rFonts w:ascii="David" w:hAnsi="David"/>
        </w:rPr>
      </w:pPr>
      <w:r>
        <w:rPr>
          <w:rtl/>
        </w:rPr>
        <w:t>מאסר מותנה הוא מאסר שריצויו נדחה. הוא הוטל בגין העבירה הקודמת שעבר הנאשם וכעת מתבקשת הפעלתו בשל עבירה נוספת (</w:t>
      </w:r>
      <w:hyperlink r:id="rId45" w:history="1">
        <w:r w:rsidR="00D3453B" w:rsidRPr="00D3453B">
          <w:rPr>
            <w:color w:val="0000FF"/>
            <w:u w:val="single"/>
            <w:rtl/>
          </w:rPr>
          <w:t>רע"פ 2798/06</w:t>
        </w:r>
      </w:hyperlink>
      <w:r>
        <w:rPr>
          <w:rtl/>
        </w:rPr>
        <w:t xml:space="preserve"> </w:t>
      </w:r>
      <w:r w:rsidRPr="0097394A">
        <w:rPr>
          <w:b/>
          <w:bCs/>
          <w:rtl/>
        </w:rPr>
        <w:t>דוד ועקנין נ' מדינת ישראל</w:t>
      </w:r>
      <w:r>
        <w:rPr>
          <w:rtl/>
        </w:rPr>
        <w:t xml:space="preserve"> (16.7.2007)). ככלל, </w:t>
      </w:r>
      <w:r>
        <w:rPr>
          <w:rFonts w:hint="cs"/>
          <w:rtl/>
        </w:rPr>
        <w:t xml:space="preserve">מצווה </w:t>
      </w:r>
      <w:r>
        <w:rPr>
          <w:rtl/>
        </w:rPr>
        <w:t xml:space="preserve">בית המשפט </w:t>
      </w:r>
      <w:r>
        <w:rPr>
          <w:rFonts w:hint="cs"/>
          <w:rtl/>
        </w:rPr>
        <w:t xml:space="preserve">להפעיל </w:t>
      </w:r>
      <w:r>
        <w:rPr>
          <w:rtl/>
        </w:rPr>
        <w:t xml:space="preserve">מאסר מותנה אם הורשע הנאשם בעבירה נוספת. בהתאם </w:t>
      </w:r>
      <w:hyperlink r:id="rId46" w:history="1">
        <w:r w:rsidR="00E5474E" w:rsidRPr="00E5474E">
          <w:rPr>
            <w:rStyle w:val="Hyperlink"/>
            <w:rtl/>
          </w:rPr>
          <w:t>לסעיף 56(א)</w:t>
        </w:r>
      </w:hyperlink>
      <w:r>
        <w:rPr>
          <w:rtl/>
        </w:rPr>
        <w:t xml:space="preserve"> ל</w:t>
      </w:r>
      <w:hyperlink r:id="rId47" w:history="1">
        <w:r w:rsidR="00D3453B" w:rsidRPr="00D3453B">
          <w:rPr>
            <w:color w:val="0000FF"/>
            <w:u w:val="single"/>
            <w:rtl/>
          </w:rPr>
          <w:t>חוק העונשין</w:t>
        </w:r>
      </w:hyperlink>
      <w:r>
        <w:rPr>
          <w:rFonts w:hint="cs"/>
          <w:rtl/>
        </w:rPr>
        <w:t>,</w:t>
      </w:r>
      <w:r>
        <w:rPr>
          <w:rtl/>
        </w:rPr>
        <w:t xml:space="preserve"> </w:t>
      </w:r>
      <w:r>
        <w:rPr>
          <w:rFonts w:hint="cs"/>
          <w:rtl/>
        </w:rPr>
        <w:t xml:space="preserve">רשאי לבית המשפט להימנע מהפעלת המאסר המותנה אם מתקיימים </w:t>
      </w:r>
      <w:r>
        <w:rPr>
          <w:rtl/>
        </w:rPr>
        <w:t>"</w:t>
      </w:r>
      <w:r w:rsidRPr="0097394A">
        <w:rPr>
          <w:rFonts w:ascii="Miriam" w:hAnsi="Miriam" w:cs="Miriam"/>
          <w:rtl/>
        </w:rPr>
        <w:t>טעמים מיוחדים שירשמו</w:t>
      </w:r>
      <w:r>
        <w:rPr>
          <w:rtl/>
        </w:rPr>
        <w:t xml:space="preserve">" </w:t>
      </w:r>
      <w:r>
        <w:rPr>
          <w:rFonts w:hint="cs"/>
          <w:rtl/>
        </w:rPr>
        <w:t xml:space="preserve">וזאת לאחר שהגיע למסקנה </w:t>
      </w:r>
      <w:r>
        <w:rPr>
          <w:rtl/>
        </w:rPr>
        <w:t>שיהיה זה בלתי צודק להפעיל</w:t>
      </w:r>
      <w:r>
        <w:rPr>
          <w:rFonts w:hint="cs"/>
          <w:rtl/>
        </w:rPr>
        <w:t xml:space="preserve">ו </w:t>
      </w:r>
      <w:r>
        <w:rPr>
          <w:rtl/>
        </w:rPr>
        <w:t>בנסיבות העניין (</w:t>
      </w:r>
      <w:hyperlink r:id="rId48" w:history="1">
        <w:r w:rsidR="00D3453B" w:rsidRPr="00D3453B">
          <w:rPr>
            <w:color w:val="0000FF"/>
            <w:u w:val="single"/>
            <w:rtl/>
          </w:rPr>
          <w:t>רע"פ 7391/08</w:t>
        </w:r>
      </w:hyperlink>
      <w:r>
        <w:rPr>
          <w:rtl/>
        </w:rPr>
        <w:t xml:space="preserve"> </w:t>
      </w:r>
      <w:r w:rsidRPr="0097394A">
        <w:rPr>
          <w:b/>
          <w:bCs/>
          <w:rtl/>
        </w:rPr>
        <w:t>מחאג'נה נ' מדינת ישראל</w:t>
      </w:r>
      <w:r>
        <w:rPr>
          <w:rtl/>
        </w:rPr>
        <w:t xml:space="preserve"> (14.9.2009); להלן – עניין </w:t>
      </w:r>
      <w:r w:rsidRPr="0097394A">
        <w:rPr>
          <w:b/>
          <w:bCs/>
          <w:rtl/>
        </w:rPr>
        <w:t>מחאג'נה</w:t>
      </w:r>
      <w:r>
        <w:rPr>
          <w:rtl/>
        </w:rPr>
        <w:t xml:space="preserve">). כמו כן על מנת להאריך את המאסר המותנה יש להימנע מהטלת עונש מאסר </w:t>
      </w:r>
      <w:r w:rsidRPr="0097394A">
        <w:rPr>
          <w:u w:val="single"/>
          <w:rtl/>
        </w:rPr>
        <w:t>ולו על תנאי</w:t>
      </w:r>
      <w:r>
        <w:rPr>
          <w:rtl/>
        </w:rPr>
        <w:t xml:space="preserve"> (</w:t>
      </w:r>
      <w:hyperlink r:id="rId49" w:history="1">
        <w:r w:rsidR="00E5474E" w:rsidRPr="00E5474E">
          <w:rPr>
            <w:rStyle w:val="Hyperlink"/>
            <w:rtl/>
          </w:rPr>
          <w:t>סעיפים 54</w:t>
        </w:r>
      </w:hyperlink>
      <w:r>
        <w:rPr>
          <w:rtl/>
        </w:rPr>
        <w:t xml:space="preserve"> ו- </w:t>
      </w:r>
      <w:hyperlink r:id="rId50" w:history="1">
        <w:r w:rsidR="00E5474E" w:rsidRPr="00E5474E">
          <w:rPr>
            <w:rStyle w:val="Hyperlink"/>
            <w:rtl/>
          </w:rPr>
          <w:t>56(א)</w:t>
        </w:r>
      </w:hyperlink>
      <w:r>
        <w:rPr>
          <w:rtl/>
        </w:rPr>
        <w:t xml:space="preserve"> ל</w:t>
      </w:r>
      <w:hyperlink r:id="rId51" w:history="1">
        <w:r w:rsidR="00D3453B" w:rsidRPr="00D3453B">
          <w:rPr>
            <w:color w:val="0000FF"/>
            <w:u w:val="single"/>
            <w:rtl/>
          </w:rPr>
          <w:t>חוק העונשין</w:t>
        </w:r>
      </w:hyperlink>
      <w:r>
        <w:rPr>
          <w:rtl/>
        </w:rPr>
        <w:t>; (</w:t>
      </w:r>
      <w:hyperlink r:id="rId52" w:history="1">
        <w:r w:rsidR="00D3453B" w:rsidRPr="00D3453B">
          <w:rPr>
            <w:color w:val="0000FF"/>
            <w:u w:val="single"/>
            <w:rtl/>
          </w:rPr>
          <w:t>רע"פ 1441/14</w:t>
        </w:r>
      </w:hyperlink>
      <w:r>
        <w:rPr>
          <w:rtl/>
        </w:rPr>
        <w:t xml:space="preserve"> </w:t>
      </w:r>
      <w:r w:rsidRPr="0097394A">
        <w:rPr>
          <w:b/>
          <w:bCs/>
          <w:rtl/>
        </w:rPr>
        <w:t>האבט חמיס נ' מדינת ישראל</w:t>
      </w:r>
      <w:r>
        <w:rPr>
          <w:rtl/>
        </w:rPr>
        <w:t xml:space="preserve"> (9.12.2014)). </w:t>
      </w:r>
    </w:p>
    <w:p w14:paraId="56CB582F" w14:textId="77777777" w:rsidR="000A2120" w:rsidRPr="0097394A" w:rsidRDefault="000A2120" w:rsidP="000A2120">
      <w:pPr>
        <w:pStyle w:val="a9"/>
        <w:rPr>
          <w:rFonts w:ascii="David" w:hAnsi="David"/>
          <w:rtl/>
        </w:rPr>
      </w:pPr>
    </w:p>
    <w:p w14:paraId="5202E59B" w14:textId="77777777" w:rsidR="000A2120" w:rsidRDefault="000A2120" w:rsidP="000A2120">
      <w:pPr>
        <w:pStyle w:val="a9"/>
        <w:numPr>
          <w:ilvl w:val="0"/>
          <w:numId w:val="1"/>
        </w:numPr>
        <w:spacing w:line="360" w:lineRule="auto"/>
        <w:jc w:val="both"/>
        <w:rPr>
          <w:rFonts w:ascii="David" w:hAnsi="David"/>
        </w:rPr>
      </w:pPr>
      <w:r>
        <w:rPr>
          <w:rFonts w:ascii="David" w:hAnsi="David" w:hint="cs"/>
          <w:rtl/>
        </w:rPr>
        <w:t xml:space="preserve">אינני סבור שמתקיימים במקרה זה טעמים המצדיקים שלא להפעיל את המאסר המותנה. העבירות שעבר הנאשם חמורות, כל אחת בנפרד, לא כל שכן בהשתלבותן. הוא נהג כאשר הוא מצוי בפסילה ובכך ביטא זלזול מופגן בחוק, בשלום גופם של משתמשי הדרך ובחובה לציית לפסקי דין של בתי המשפט. הוא אף לא ציית להוראת שוטרים והאיץ נסיעתו. כמו כן הוא החזיק סם שלא לשימוש עצמי. מדובר בצבר עבירות המחייב תגובה עונשית הולמת. בעניין זה ראוי לציין עוד שהנאשם הגיש ערעור על גזר הדין בו הוטל המאסר המותנה ובית המשפט המחוזי קיבל הערעור והקל משמעותית בתקופת הפסילה שהוטלה עליו. עם זאת, כאמור, הוא לא כיבד אף את פסק הדין שהקל עימו ונתון זה מלמד על האופן בו רואה הוא את חובתו לציית לפסקי דין.  </w:t>
      </w:r>
    </w:p>
    <w:p w14:paraId="542F3FAD" w14:textId="77777777" w:rsidR="000A2120" w:rsidRPr="00027D10" w:rsidRDefault="000A2120" w:rsidP="000A2120">
      <w:pPr>
        <w:pStyle w:val="a9"/>
        <w:rPr>
          <w:rFonts w:ascii="David" w:hAnsi="David"/>
          <w:rtl/>
        </w:rPr>
      </w:pPr>
    </w:p>
    <w:p w14:paraId="33AABDEB" w14:textId="77777777" w:rsidR="000A2120" w:rsidRDefault="000A2120" w:rsidP="000A2120">
      <w:pPr>
        <w:pStyle w:val="a9"/>
        <w:numPr>
          <w:ilvl w:val="0"/>
          <w:numId w:val="1"/>
        </w:numPr>
        <w:spacing w:line="360" w:lineRule="auto"/>
        <w:jc w:val="both"/>
      </w:pPr>
      <w:r w:rsidRPr="00FC7768">
        <w:rPr>
          <w:rFonts w:ascii="David" w:hAnsi="David" w:hint="cs"/>
          <w:rtl/>
        </w:rPr>
        <w:t xml:space="preserve">עם זאת, נתון משמעותי לבחינת האפשרות להארכת המאסר המותנה הוא המלצת שירות המבחן. באופן עקרוני, </w:t>
      </w:r>
      <w:r>
        <w:rPr>
          <w:rtl/>
        </w:rPr>
        <w:t>"</w:t>
      </w:r>
      <w:r w:rsidRPr="00FC7768">
        <w:rPr>
          <w:rFonts w:ascii="Miriam" w:hAnsi="Miriam" w:cs="Miriam"/>
          <w:rtl/>
        </w:rPr>
        <w:t>שיקול הדעת הניתן לבית המשפט בהארכת עונש מאסר מותנה מתמקד במצבים שבהם מוצדק לתת לנאשם הזדמנות נוספת לחזור לדרך הישר, כאשר הוא מראה סימנים המניחים יסוד לציפייה כי כך יהיה</w:t>
      </w:r>
      <w:r>
        <w:rPr>
          <w:rtl/>
        </w:rPr>
        <w:t xml:space="preserve">" (עניין </w:t>
      </w:r>
      <w:r w:rsidRPr="00FC7768">
        <w:rPr>
          <w:b/>
          <w:bCs/>
          <w:rtl/>
        </w:rPr>
        <w:t>מחאג'נה</w:t>
      </w:r>
      <w:r>
        <w:rPr>
          <w:rtl/>
        </w:rPr>
        <w:t xml:space="preserve">). </w:t>
      </w:r>
      <w:r>
        <w:rPr>
          <w:rFonts w:hint="cs"/>
          <w:rtl/>
        </w:rPr>
        <w:t xml:space="preserve">שירות המבחן ממליץ כאמור על ענישה שיקומית ואף מציין כי עונש בעבודות שירות עלול לגרום לרגרסיה בהליך השיקומי. שירות המבחן הוא הגוף המקצועי האמון של שיקום נאשמים וככלל בית המשפט בוחן את המלצותיו בכובד ראש. עם זאת, מדובר בהמלצה ואין בית המשפט מחויב לקבלה. לדידי, הארכת המאסר המותנה במקרה זה היא תגובה עונשית שאינה הולמת את נסיבות המקרה בכללותו, לרבות עברו התעברותי של הנאשם, וזאת אף בהינתן ההליך הטיפולי שעבר הנאשם שהרי </w:t>
      </w:r>
      <w:r>
        <w:rPr>
          <w:rFonts w:cs="Miriam"/>
          <w:rtl/>
        </w:rPr>
        <w:t>"הגם שישנה חשיבות לשיקולי השיקום, הם אינם חזות הכול, ובצדם ניצבים שיקולי הגמול וההרתעה"</w:t>
      </w:r>
      <w:r>
        <w:rPr>
          <w:rtl/>
        </w:rPr>
        <w:t xml:space="preserve"> (</w:t>
      </w:r>
      <w:hyperlink r:id="rId53" w:history="1">
        <w:r w:rsidR="00D3453B" w:rsidRPr="00D3453B">
          <w:rPr>
            <w:color w:val="0000FF"/>
            <w:u w:val="single"/>
            <w:rtl/>
          </w:rPr>
          <w:t>ע"פ 5376/15</w:t>
        </w:r>
      </w:hyperlink>
      <w:r>
        <w:rPr>
          <w:rtl/>
        </w:rPr>
        <w:t xml:space="preserve"> </w:t>
      </w:r>
      <w:r>
        <w:rPr>
          <w:b/>
          <w:bCs/>
          <w:rtl/>
        </w:rPr>
        <w:t>ניסים ביטון נ' מדינת ישראל</w:t>
      </w:r>
      <w:r>
        <w:rPr>
          <w:rtl/>
        </w:rPr>
        <w:t xml:space="preserve"> (11.2.2016)</w:t>
      </w:r>
      <w:r>
        <w:rPr>
          <w:rFonts w:hint="cs"/>
          <w:rtl/>
        </w:rPr>
        <w:t xml:space="preserve">; </w:t>
      </w:r>
      <w:hyperlink r:id="rId54" w:history="1">
        <w:r w:rsidR="00D3453B" w:rsidRPr="00D3453B">
          <w:rPr>
            <w:color w:val="0000FF"/>
            <w:u w:val="single"/>
            <w:rtl/>
          </w:rPr>
          <w:t>רע"פ 7150/21</w:t>
        </w:r>
      </w:hyperlink>
      <w:r>
        <w:rPr>
          <w:rFonts w:hint="cs"/>
          <w:rtl/>
        </w:rPr>
        <w:t xml:space="preserve"> </w:t>
      </w:r>
      <w:r w:rsidRPr="00E26E7E">
        <w:rPr>
          <w:rFonts w:hint="cs"/>
          <w:b/>
          <w:bCs/>
          <w:rtl/>
        </w:rPr>
        <w:t>בניהו מנשירוב נ' מדינת ישראל</w:t>
      </w:r>
      <w:r>
        <w:rPr>
          <w:rFonts w:hint="cs"/>
          <w:rtl/>
        </w:rPr>
        <w:t xml:space="preserve"> (28.10.2021)) ועל בית המשפט לבחון גם שיקולים נוספים מעבר לסיכויי השיקום ובכלל זה הלימה והרתעה</w:t>
      </w:r>
      <w:r>
        <w:rPr>
          <w:rtl/>
        </w:rPr>
        <w:t>.</w:t>
      </w:r>
      <w:r>
        <w:rPr>
          <w:rFonts w:hint="cs"/>
          <w:rtl/>
        </w:rPr>
        <w:t xml:space="preserve"> בעניין זה לא ניתן להתעלם אף מהעבר התעבורתי הכולל הרשעה בעבירה שעניינה נהיגה בשכרות וכן נהיגה תחת השפעת משקאות משכרים ונהיגה בקלות ראש.</w:t>
      </w:r>
    </w:p>
    <w:p w14:paraId="3844B3B1" w14:textId="77777777" w:rsidR="000A2120" w:rsidRPr="00FF41E4" w:rsidRDefault="000A2120" w:rsidP="000A2120">
      <w:pPr>
        <w:pStyle w:val="a9"/>
        <w:rPr>
          <w:rtl/>
        </w:rPr>
      </w:pPr>
    </w:p>
    <w:p w14:paraId="3EAE668A" w14:textId="77777777" w:rsidR="000A2120" w:rsidRDefault="000A2120" w:rsidP="000A2120">
      <w:pPr>
        <w:pStyle w:val="a9"/>
        <w:numPr>
          <w:ilvl w:val="0"/>
          <w:numId w:val="1"/>
        </w:numPr>
        <w:spacing w:line="360" w:lineRule="auto"/>
        <w:jc w:val="both"/>
      </w:pPr>
      <w:r>
        <w:rPr>
          <w:rFonts w:hint="cs"/>
          <w:rtl/>
        </w:rPr>
        <w:t xml:space="preserve">התוצאה היא שאינני סבור שזהו המקרה הנכון להארכת המאסר המותנה. עם זאת, סיכויי השיקום הם נימוק ראוי להקלה עונשית בתקופת המאסר בעבודות שירות שתוטל. בכך ניתנת גם תשובה לטענה לפיה ענישה בעבודות שירות תגרום לרגרסיה ותפגע בשיקולי השיקום. אם אכן מדובר בשיקום כה שברירי אשר עונש מאסר קצר בעבודות שירות עלול להורידו לטמיון, אפשר שהוא אינו מצדיק כלל התחשבות (ראו: </w:t>
      </w:r>
      <w:r w:rsidRPr="004F173D">
        <w:rPr>
          <w:rFonts w:cs="Miriam" w:hint="cs"/>
          <w:rtl/>
        </w:rPr>
        <w:t>"</w:t>
      </w:r>
      <w:r w:rsidRPr="004F173D">
        <w:rPr>
          <w:rFonts w:cs="Miriam"/>
          <w:rtl/>
        </w:rPr>
        <w:t>מסופקני, אם תהליך שיקום שיתמוטט בקלות, בעקבות עונש מאסר לתקופה קצרה, הוא כזה שראוי ליתן לו משקל ממשי בקביעת העונש</w:t>
      </w:r>
      <w:r w:rsidRPr="004F173D">
        <w:rPr>
          <w:rFonts w:cs="Miriam" w:hint="cs"/>
          <w:rtl/>
        </w:rPr>
        <w:t>"</w:t>
      </w:r>
      <w:r>
        <w:rPr>
          <w:rFonts w:hint="cs"/>
          <w:rtl/>
        </w:rPr>
        <w:t xml:space="preserve"> (</w:t>
      </w:r>
      <w:hyperlink r:id="rId55" w:history="1">
        <w:r w:rsidR="00D3453B" w:rsidRPr="00D3453B">
          <w:rPr>
            <w:color w:val="0000FF"/>
            <w:u w:val="single"/>
            <w:rtl/>
          </w:rPr>
          <w:t>ע"פ 2421/21</w:t>
        </w:r>
      </w:hyperlink>
      <w:r>
        <w:rPr>
          <w:rFonts w:hint="cs"/>
          <w:rtl/>
        </w:rPr>
        <w:t xml:space="preserve"> </w:t>
      </w:r>
      <w:r w:rsidRPr="004F173D">
        <w:rPr>
          <w:rFonts w:hint="cs"/>
          <w:b/>
          <w:bCs/>
          <w:rtl/>
        </w:rPr>
        <w:t>אוראל ברמי נ' מדינת ישראל</w:t>
      </w:r>
      <w:r>
        <w:rPr>
          <w:rFonts w:hint="cs"/>
          <w:rtl/>
        </w:rPr>
        <w:t xml:space="preserve"> (7.7.2022), פסקה 10). ואם כך הם פני הדברים ביחס לעונש מאסר ממש, אזי קל וחומר ביחס לעונש בעבודות שירות. </w:t>
      </w:r>
    </w:p>
    <w:p w14:paraId="43A0A2C9" w14:textId="77777777" w:rsidR="000A2120" w:rsidRDefault="000A2120" w:rsidP="000A2120">
      <w:pPr>
        <w:pStyle w:val="a9"/>
        <w:rPr>
          <w:rtl/>
        </w:rPr>
      </w:pPr>
    </w:p>
    <w:p w14:paraId="0491CD05" w14:textId="77777777" w:rsidR="000A2120" w:rsidRDefault="000A2120" w:rsidP="000A2120">
      <w:pPr>
        <w:pStyle w:val="a9"/>
        <w:spacing w:line="360" w:lineRule="auto"/>
        <w:ind w:left="0" w:firstLine="720"/>
        <w:jc w:val="both"/>
      </w:pPr>
      <w:r>
        <w:rPr>
          <w:rFonts w:hint="cs"/>
          <w:rtl/>
        </w:rPr>
        <w:t xml:space="preserve">סיכומו של דבר. דעתי היא שאין מקום להארכת המאסר המותנה. </w:t>
      </w:r>
    </w:p>
    <w:p w14:paraId="6872DDAE" w14:textId="77777777" w:rsidR="000A2120" w:rsidRDefault="000A2120" w:rsidP="000A2120">
      <w:pPr>
        <w:pStyle w:val="a9"/>
        <w:rPr>
          <w:rtl/>
        </w:rPr>
      </w:pPr>
    </w:p>
    <w:p w14:paraId="19AF4424" w14:textId="77777777" w:rsidR="000A2120" w:rsidRDefault="000A2120" w:rsidP="000A2120">
      <w:pPr>
        <w:pStyle w:val="a9"/>
        <w:numPr>
          <w:ilvl w:val="0"/>
          <w:numId w:val="1"/>
        </w:numPr>
        <w:spacing w:line="360" w:lineRule="auto"/>
        <w:jc w:val="both"/>
      </w:pPr>
      <w:r>
        <w:rPr>
          <w:rFonts w:hint="cs"/>
          <w:rtl/>
        </w:rPr>
        <w:t>לצורך קביעת עונשו של הנאשם הבאתי בחשבון את העבר הפלילי הנקי אך מנגד את העבר התעבורתי הכולל עבירות חמורות של נהיגה בשכרות, נהיגה תחת השפעת משקאות משכרים, נהיגה בקלות ראש וכן עבירות רבות נוספות. מנגד הבאתי בחשבון את סיכוי השיקום, אשר מקובל עלי כאמור שהוכחו. הבאתי עוד בחשבון את גילו, את נסיבות חייו, את חלוף הזמן ואת קבלת האחריות והחרטה שביטא. כל אלו יביאו להקלה לא מבוטלת הן בעונש שיוטל והן בכך שאורה על הפעלת המאסר המותנה בחפיפה. אכן ככלל יש להורות על הפעלת מאסר מותנה במצטבר לעונש המוטל (</w:t>
      </w:r>
      <w:hyperlink r:id="rId56" w:history="1">
        <w:r w:rsidR="00E5474E" w:rsidRPr="00E5474E">
          <w:rPr>
            <w:rStyle w:val="Hyperlink"/>
            <w:rFonts w:hint="eastAsia"/>
            <w:rtl/>
          </w:rPr>
          <w:t>סעיף</w:t>
        </w:r>
        <w:r w:rsidR="00E5474E" w:rsidRPr="00E5474E">
          <w:rPr>
            <w:rStyle w:val="Hyperlink"/>
            <w:rtl/>
          </w:rPr>
          <w:t xml:space="preserve"> 58</w:t>
        </w:r>
      </w:hyperlink>
      <w:r>
        <w:rPr>
          <w:rFonts w:hint="cs"/>
          <w:rtl/>
        </w:rPr>
        <w:t xml:space="preserve"> ל</w:t>
      </w:r>
      <w:hyperlink r:id="rId57" w:history="1">
        <w:r w:rsidR="00D3453B" w:rsidRPr="00D3453B">
          <w:rPr>
            <w:color w:val="0000FF"/>
            <w:u w:val="single"/>
            <w:rtl/>
          </w:rPr>
          <w:t>חוק העונשין</w:t>
        </w:r>
      </w:hyperlink>
      <w:r>
        <w:rPr>
          <w:rFonts w:hint="cs"/>
          <w:rtl/>
        </w:rPr>
        <w:t xml:space="preserve">) ואולם במקרה זה ראיתי להורות על חפיפתו וזאת בשל סיכויי השיקום, חלוף הזמן ובמיוחד בשל הרצון להתאים את העונש הכולל לנתוני הנאשם ולהימנע ממצב בו ענישה מחמירה מידי תגרום פגיעה בלתי מידתית על רקע מכלול הנתונים. </w:t>
      </w:r>
    </w:p>
    <w:p w14:paraId="73D5CA14" w14:textId="77777777" w:rsidR="000A2120" w:rsidRPr="00FF41E4" w:rsidRDefault="000A2120" w:rsidP="000A2120">
      <w:pPr>
        <w:pStyle w:val="a9"/>
        <w:rPr>
          <w:rtl/>
        </w:rPr>
      </w:pPr>
    </w:p>
    <w:p w14:paraId="6BB65986" w14:textId="77777777" w:rsidR="000A2120" w:rsidRPr="007E21BF" w:rsidRDefault="000A2120" w:rsidP="000A2120">
      <w:pPr>
        <w:pStyle w:val="a9"/>
        <w:numPr>
          <w:ilvl w:val="0"/>
          <w:numId w:val="1"/>
        </w:numPr>
        <w:spacing w:line="360" w:lineRule="auto"/>
        <w:jc w:val="both"/>
      </w:pPr>
      <w:r w:rsidRPr="007E21BF">
        <w:rPr>
          <w:rFonts w:hint="cs"/>
          <w:rtl/>
        </w:rPr>
        <w:t xml:space="preserve">ביחס לרכיב הפסילה </w:t>
      </w:r>
      <w:r>
        <w:rPr>
          <w:rFonts w:hint="cs"/>
          <w:rtl/>
        </w:rPr>
        <w:t xml:space="preserve">אינני סבור שיש מקום להקלה עד כדי הימנעות מפסילת רישיון, לא כל שכן הימנעות מהפעלת עונש הפסילה המותנית. עברו התעבורתי של הנאשם מכביד והוא חטא בעבר במספר עבירות תעבורה חמורות המבטאות זלזול בחוקי התנועה וגרימת סיכון למשתמשי הדרך. יש לזכור בעניין זה שהנאשם לא רק נהג בזמן פסילה, אלא לא ציית לשוטר ונמלט מהמקום בנסיעה וכן שנתפס מחזיק סמים (לפסילה בעבירות סמים כרכיב עונשי, להבדיל ממניעתי, ראו: </w:t>
      </w:r>
      <w:hyperlink r:id="rId58" w:history="1">
        <w:r w:rsidR="00D3453B" w:rsidRPr="00D3453B">
          <w:rPr>
            <w:color w:val="0000FF"/>
            <w:u w:val="single"/>
            <w:rtl/>
          </w:rPr>
          <w:t>ע"פ  4201/13</w:t>
        </w:r>
      </w:hyperlink>
      <w:r w:rsidRPr="0063112D">
        <w:rPr>
          <w:rFonts w:hint="cs"/>
          <w:rtl/>
        </w:rPr>
        <w:t xml:space="preserve"> </w:t>
      </w:r>
      <w:r w:rsidRPr="0063112D">
        <w:rPr>
          <w:b/>
          <w:bCs/>
          <w:rtl/>
        </w:rPr>
        <w:t>עבד אל רחמן שרכס</w:t>
      </w:r>
      <w:r w:rsidRPr="0063112D">
        <w:rPr>
          <w:rFonts w:hint="cs"/>
          <w:b/>
          <w:bCs/>
          <w:rtl/>
        </w:rPr>
        <w:t xml:space="preserve"> נ' מדינת ישראל</w:t>
      </w:r>
      <w:r w:rsidRPr="0063112D">
        <w:rPr>
          <w:rFonts w:hint="cs"/>
          <w:rtl/>
        </w:rPr>
        <w:t xml:space="preserve"> (29.5.2014)).</w:t>
      </w:r>
      <w:r>
        <w:rPr>
          <w:rFonts w:hint="cs"/>
          <w:sz w:val="22"/>
          <w:szCs w:val="28"/>
          <w:rtl/>
        </w:rPr>
        <w:t xml:space="preserve"> </w:t>
      </w:r>
      <w:r>
        <w:rPr>
          <w:rFonts w:hint="cs"/>
          <w:rtl/>
        </w:rPr>
        <w:t xml:space="preserve">לא התעלמתי מחשיבות הרישיון עבור הנאשם ואולם העונש ההולם במקרה זה אמור לכלול פסילת רישיון לתקופה לא מבוטלת ולשקף בכך את חומרת העבירה, העבר התעבורתי, הצורך בהתרעה ובהגנה על שלום משתמשי הדרך. כמו כן עליו לשקף את עיקרון ההלימה. עם זאת, אף בעניין זה אביא בחשבון את שיקולי השיקום וזאת בשל העובדה שהנאשם יתקשה בעבודתו ללא רישיון נהיגה וזו חשובה לשיקומו (לשיקולי שיקום בעונש פסילה ראו: </w:t>
      </w:r>
      <w:hyperlink r:id="rId59" w:history="1">
        <w:r w:rsidR="00D3453B" w:rsidRPr="00D3453B">
          <w:rPr>
            <w:color w:val="0000FF"/>
            <w:u w:val="single"/>
            <w:rtl/>
          </w:rPr>
          <w:t>רע"פ 370/23</w:t>
        </w:r>
      </w:hyperlink>
      <w:r>
        <w:rPr>
          <w:rFonts w:hint="cs"/>
          <w:rtl/>
        </w:rPr>
        <w:t xml:space="preserve"> </w:t>
      </w:r>
      <w:r w:rsidRPr="00064613">
        <w:rPr>
          <w:rFonts w:hint="cs"/>
          <w:b/>
          <w:bCs/>
          <w:rtl/>
        </w:rPr>
        <w:t xml:space="preserve">אור כהן נ' מדינת ישראל </w:t>
      </w:r>
      <w:r>
        <w:rPr>
          <w:rFonts w:hint="cs"/>
          <w:rtl/>
        </w:rPr>
        <w:t xml:space="preserve">(24.1.2023), פסקה 10). </w:t>
      </w:r>
    </w:p>
    <w:p w14:paraId="4D95580C" w14:textId="77777777" w:rsidR="000A2120" w:rsidRDefault="000A2120" w:rsidP="000A2120">
      <w:pPr>
        <w:pStyle w:val="a9"/>
        <w:ind w:left="0"/>
        <w:jc w:val="both"/>
        <w:rPr>
          <w:rtl/>
        </w:rPr>
      </w:pPr>
    </w:p>
    <w:p w14:paraId="755FB3A0" w14:textId="77777777" w:rsidR="000A2120" w:rsidRDefault="000A2120" w:rsidP="000A2120">
      <w:pPr>
        <w:pStyle w:val="a9"/>
        <w:ind w:left="0"/>
        <w:jc w:val="both"/>
        <w:rPr>
          <w:rtl/>
        </w:rPr>
      </w:pPr>
    </w:p>
    <w:p w14:paraId="737AF736" w14:textId="77777777" w:rsidR="000A2120" w:rsidRDefault="000A2120" w:rsidP="000A2120">
      <w:pPr>
        <w:pStyle w:val="a9"/>
        <w:ind w:left="0"/>
        <w:jc w:val="both"/>
        <w:rPr>
          <w:rtl/>
        </w:rPr>
      </w:pPr>
    </w:p>
    <w:p w14:paraId="4F6AB6A5" w14:textId="77777777" w:rsidR="000A2120" w:rsidRDefault="000A2120" w:rsidP="000A2120">
      <w:pPr>
        <w:pStyle w:val="a9"/>
        <w:ind w:left="0"/>
        <w:jc w:val="both"/>
        <w:rPr>
          <w:rtl/>
        </w:rPr>
      </w:pPr>
    </w:p>
    <w:p w14:paraId="4BEDC4A9" w14:textId="77777777" w:rsidR="000A2120" w:rsidRDefault="000A2120" w:rsidP="000A2120">
      <w:pPr>
        <w:pStyle w:val="a9"/>
        <w:ind w:left="0"/>
        <w:jc w:val="both"/>
        <w:rPr>
          <w:rtl/>
        </w:rPr>
      </w:pPr>
    </w:p>
    <w:p w14:paraId="7B9E76BC" w14:textId="77777777" w:rsidR="000A2120" w:rsidRDefault="000A2120" w:rsidP="000A2120">
      <w:pPr>
        <w:pStyle w:val="a9"/>
        <w:ind w:left="0"/>
        <w:jc w:val="both"/>
      </w:pPr>
    </w:p>
    <w:p w14:paraId="093E075B" w14:textId="77777777" w:rsidR="000A2120" w:rsidRPr="00E26E7E" w:rsidRDefault="000A2120" w:rsidP="000A2120">
      <w:pPr>
        <w:pStyle w:val="a9"/>
        <w:numPr>
          <w:ilvl w:val="0"/>
          <w:numId w:val="1"/>
        </w:numPr>
        <w:spacing w:line="360" w:lineRule="auto"/>
        <w:jc w:val="both"/>
        <w:rPr>
          <w:rtl/>
        </w:rPr>
      </w:pPr>
      <w:r>
        <w:rPr>
          <w:rtl/>
        </w:rPr>
        <w:t>סיכומו של דבר, לאחר שבחנתי את מכלול השיקולים, הן לקולה והן לחומרה, אני גוזר על הנאשם את העונשים הבאים:</w:t>
      </w:r>
    </w:p>
    <w:p w14:paraId="2BACE7AE" w14:textId="77777777" w:rsidR="000A2120" w:rsidRDefault="000A2120" w:rsidP="000A2120">
      <w:pPr>
        <w:pStyle w:val="a9"/>
        <w:rPr>
          <w:rFonts w:ascii="Arial" w:hAnsi="Arial"/>
        </w:rPr>
      </w:pPr>
    </w:p>
    <w:p w14:paraId="2340CBD7" w14:textId="77777777" w:rsidR="000A2120" w:rsidRDefault="000A2120" w:rsidP="000A2120">
      <w:pPr>
        <w:pStyle w:val="a9"/>
        <w:numPr>
          <w:ilvl w:val="0"/>
          <w:numId w:val="2"/>
        </w:numPr>
        <w:spacing w:line="360" w:lineRule="auto"/>
        <w:jc w:val="both"/>
        <w:rPr>
          <w:rFonts w:ascii="Arial" w:hAnsi="Arial"/>
          <w:rtl/>
        </w:rPr>
      </w:pPr>
      <w:r>
        <w:rPr>
          <w:rFonts w:ascii="Arial" w:hAnsi="Arial" w:hint="cs"/>
          <w:rtl/>
        </w:rPr>
        <w:t xml:space="preserve">3 חודשי </w:t>
      </w:r>
      <w:r>
        <w:rPr>
          <w:rFonts w:ascii="Arial" w:hAnsi="Arial"/>
          <w:rtl/>
        </w:rPr>
        <w:t xml:space="preserve">מאסר. </w:t>
      </w:r>
    </w:p>
    <w:p w14:paraId="07D8B17A" w14:textId="77777777" w:rsidR="000A2120" w:rsidRDefault="000A2120" w:rsidP="000A2120">
      <w:pPr>
        <w:pStyle w:val="a9"/>
        <w:numPr>
          <w:ilvl w:val="0"/>
          <w:numId w:val="2"/>
        </w:numPr>
        <w:spacing w:line="360" w:lineRule="auto"/>
        <w:jc w:val="both"/>
        <w:rPr>
          <w:rFonts w:ascii="Arial" w:hAnsi="Arial"/>
        </w:rPr>
      </w:pPr>
      <w:r>
        <w:rPr>
          <w:rFonts w:ascii="Arial" w:hAnsi="Arial"/>
          <w:rtl/>
        </w:rPr>
        <w:t xml:space="preserve">אני מפעיל מאסר המותנה בן </w:t>
      </w:r>
      <w:r>
        <w:rPr>
          <w:rFonts w:ascii="Arial" w:hAnsi="Arial" w:hint="cs"/>
          <w:rtl/>
        </w:rPr>
        <w:t xml:space="preserve">3 חודשים </w:t>
      </w:r>
      <w:r>
        <w:rPr>
          <w:rFonts w:ascii="Arial" w:hAnsi="Arial"/>
          <w:rtl/>
        </w:rPr>
        <w:t>מ</w:t>
      </w:r>
      <w:hyperlink r:id="rId60" w:history="1">
        <w:r w:rsidR="00D3453B" w:rsidRPr="00D3453B">
          <w:rPr>
            <w:rFonts w:ascii="Arial" w:hAnsi="Arial"/>
            <w:color w:val="0000FF"/>
            <w:u w:val="single"/>
            <w:rtl/>
          </w:rPr>
          <w:t>פ"ל (תעבורה עכו)  11281-11-16</w:t>
        </w:r>
      </w:hyperlink>
      <w:r>
        <w:rPr>
          <w:rFonts w:ascii="Arial" w:hAnsi="Arial" w:hint="cs"/>
          <w:rtl/>
        </w:rPr>
        <w:t xml:space="preserve"> </w:t>
      </w:r>
      <w:r>
        <w:rPr>
          <w:rFonts w:ascii="Arial" w:hAnsi="Arial"/>
          <w:rtl/>
        </w:rPr>
        <w:t xml:space="preserve">(גזר הדין מיום </w:t>
      </w:r>
      <w:r>
        <w:rPr>
          <w:rFonts w:ascii="Arial" w:hAnsi="Arial" w:hint="cs"/>
          <w:rtl/>
        </w:rPr>
        <w:t>6.6.19</w:t>
      </w:r>
      <w:r>
        <w:rPr>
          <w:rFonts w:ascii="Arial" w:hAnsi="Arial"/>
          <w:rtl/>
        </w:rPr>
        <w:t xml:space="preserve">) וזאת </w:t>
      </w:r>
      <w:r>
        <w:rPr>
          <w:rFonts w:ascii="Arial" w:hAnsi="Arial"/>
          <w:b/>
          <w:bCs/>
          <w:rtl/>
        </w:rPr>
        <w:t>בחופף</w:t>
      </w:r>
      <w:r>
        <w:rPr>
          <w:rFonts w:ascii="Arial" w:hAnsi="Arial"/>
          <w:rtl/>
        </w:rPr>
        <w:t xml:space="preserve"> לעונש שהוטל. </w:t>
      </w:r>
    </w:p>
    <w:p w14:paraId="1F1D5BE8" w14:textId="77777777" w:rsidR="000A2120" w:rsidRDefault="000A2120" w:rsidP="000A2120">
      <w:pPr>
        <w:pStyle w:val="a9"/>
        <w:numPr>
          <w:ilvl w:val="0"/>
          <w:numId w:val="2"/>
        </w:numPr>
        <w:spacing w:line="360" w:lineRule="auto"/>
        <w:jc w:val="both"/>
        <w:rPr>
          <w:rFonts w:ascii="Arial" w:hAnsi="Arial"/>
        </w:rPr>
      </w:pPr>
      <w:r>
        <w:rPr>
          <w:rFonts w:ascii="Arial" w:hAnsi="Arial"/>
          <w:rtl/>
        </w:rPr>
        <w:t xml:space="preserve">סה"כ יישא הנאשם עונש מאסר בן </w:t>
      </w:r>
      <w:r>
        <w:rPr>
          <w:rFonts w:ascii="Arial" w:hAnsi="Arial" w:hint="cs"/>
          <w:rtl/>
        </w:rPr>
        <w:t xml:space="preserve">3 חודשים </w:t>
      </w:r>
      <w:r>
        <w:rPr>
          <w:rFonts w:ascii="Arial" w:hAnsi="Arial"/>
          <w:rtl/>
        </w:rPr>
        <w:t xml:space="preserve">וזאת בעבודות שירות בהתאם לחו"ד הממונה. הנאשם יתייצב לתחילת ריצוי העונש ביום </w:t>
      </w:r>
      <w:r>
        <w:rPr>
          <w:rFonts w:ascii="Arial" w:hAnsi="Arial" w:hint="cs"/>
          <w:rtl/>
        </w:rPr>
        <w:t xml:space="preserve">21.9.23 </w:t>
      </w:r>
      <w:r>
        <w:rPr>
          <w:rFonts w:ascii="Arial" w:hAnsi="Arial"/>
          <w:rtl/>
        </w:rPr>
        <w:t xml:space="preserve"> במתחם </w:t>
      </w:r>
      <w:r>
        <w:rPr>
          <w:rFonts w:ascii="Arial" w:hAnsi="Arial" w:hint="cs"/>
          <w:rtl/>
        </w:rPr>
        <w:t xml:space="preserve">כלא מגידו. </w:t>
      </w:r>
      <w:r>
        <w:rPr>
          <w:rFonts w:ascii="Arial" w:hAnsi="Arial"/>
          <w:rtl/>
        </w:rPr>
        <w:t xml:space="preserve">מובהר לנאשם לעליו לבצע את העבודות לשביעות רצון הממונה ואם לא יעשה כן ניתן יהיה להפקיען והוא יישא ביתרת התקופה בבית מאסר. </w:t>
      </w:r>
    </w:p>
    <w:p w14:paraId="445B8ACE" w14:textId="77777777" w:rsidR="000A2120" w:rsidRDefault="000A2120" w:rsidP="000A2120">
      <w:pPr>
        <w:pStyle w:val="a9"/>
        <w:numPr>
          <w:ilvl w:val="0"/>
          <w:numId w:val="2"/>
        </w:numPr>
        <w:spacing w:line="360" w:lineRule="auto"/>
        <w:jc w:val="both"/>
        <w:rPr>
          <w:rFonts w:ascii="Arial" w:hAnsi="Arial"/>
        </w:rPr>
      </w:pPr>
      <w:r>
        <w:rPr>
          <w:rFonts w:ascii="Arial" w:hAnsi="Arial"/>
          <w:rtl/>
        </w:rPr>
        <w:t xml:space="preserve">אני מעמיד את הנאשם בפיקוח שירות המבחן למשך </w:t>
      </w:r>
      <w:r>
        <w:rPr>
          <w:rFonts w:ascii="Arial" w:hAnsi="Arial" w:hint="cs"/>
          <w:rtl/>
        </w:rPr>
        <w:t>18</w:t>
      </w:r>
      <w:r>
        <w:rPr>
          <w:rFonts w:ascii="Arial" w:hAnsi="Arial"/>
          <w:rtl/>
        </w:rPr>
        <w:t xml:space="preserve"> חודשים. הוסבר לנאשם שעליו לקיים את הוראות שירות המבחן וכי הפרה של צו הפיקוח עלולה להוביל להפקעתו ולהטלת עונשים נוספים.</w:t>
      </w:r>
    </w:p>
    <w:p w14:paraId="06E8CB2B" w14:textId="77777777" w:rsidR="000A2120" w:rsidRDefault="000A2120" w:rsidP="000A2120">
      <w:pPr>
        <w:pStyle w:val="a9"/>
        <w:numPr>
          <w:ilvl w:val="0"/>
          <w:numId w:val="2"/>
        </w:numPr>
        <w:spacing w:line="360" w:lineRule="auto"/>
        <w:jc w:val="both"/>
        <w:rPr>
          <w:rFonts w:ascii="Arial" w:hAnsi="Arial"/>
        </w:rPr>
      </w:pPr>
      <w:r>
        <w:rPr>
          <w:rFonts w:ascii="Arial" w:hAnsi="Arial" w:hint="cs"/>
          <w:rtl/>
        </w:rPr>
        <w:t>פסילה למשך 12 חודשים מלקבל או להחזיק רישיון נהיגה.</w:t>
      </w:r>
    </w:p>
    <w:p w14:paraId="2BC6EB4B" w14:textId="77777777" w:rsidR="000A2120" w:rsidRDefault="000A2120" w:rsidP="000A2120">
      <w:pPr>
        <w:pStyle w:val="a9"/>
        <w:numPr>
          <w:ilvl w:val="0"/>
          <w:numId w:val="2"/>
        </w:numPr>
        <w:spacing w:line="360" w:lineRule="auto"/>
        <w:jc w:val="both"/>
        <w:rPr>
          <w:rFonts w:ascii="Arial" w:hAnsi="Arial"/>
        </w:rPr>
      </w:pPr>
      <w:r>
        <w:rPr>
          <w:rFonts w:ascii="Arial" w:hAnsi="Arial" w:hint="cs"/>
          <w:rtl/>
        </w:rPr>
        <w:t xml:space="preserve">אני מפעיל פסילה מותנית בת 6 חודשים </w:t>
      </w:r>
      <w:r>
        <w:rPr>
          <w:rFonts w:ascii="Arial" w:hAnsi="Arial"/>
          <w:rtl/>
        </w:rPr>
        <w:t>מ</w:t>
      </w:r>
      <w:hyperlink r:id="rId61" w:history="1">
        <w:r w:rsidR="00D3453B" w:rsidRPr="00D3453B">
          <w:rPr>
            <w:rFonts w:ascii="Arial" w:hAnsi="Arial"/>
            <w:color w:val="0000FF"/>
            <w:u w:val="single"/>
            <w:rtl/>
          </w:rPr>
          <w:t>פ"ל (תעבורה עכו)  11281-11-16</w:t>
        </w:r>
      </w:hyperlink>
      <w:r>
        <w:rPr>
          <w:rFonts w:ascii="Arial" w:hAnsi="Arial" w:hint="cs"/>
          <w:rtl/>
        </w:rPr>
        <w:t xml:space="preserve"> </w:t>
      </w:r>
      <w:r>
        <w:rPr>
          <w:rFonts w:ascii="Arial" w:hAnsi="Arial"/>
          <w:rtl/>
        </w:rPr>
        <w:t xml:space="preserve">(גזר הדין מיום </w:t>
      </w:r>
      <w:r>
        <w:rPr>
          <w:rFonts w:ascii="Arial" w:hAnsi="Arial" w:hint="cs"/>
          <w:rtl/>
        </w:rPr>
        <w:t>6.6.19</w:t>
      </w:r>
      <w:r>
        <w:rPr>
          <w:rFonts w:ascii="Arial" w:hAnsi="Arial"/>
          <w:rtl/>
        </w:rPr>
        <w:t>)</w:t>
      </w:r>
      <w:r>
        <w:rPr>
          <w:rFonts w:ascii="Arial" w:hAnsi="Arial" w:hint="cs"/>
          <w:rtl/>
        </w:rPr>
        <w:t xml:space="preserve"> וזאת באופן ששלושה חודשים יצטברו לפסילה שהוטלה והיתרה תחפוף. </w:t>
      </w:r>
    </w:p>
    <w:p w14:paraId="093D5858" w14:textId="77777777" w:rsidR="000A2120" w:rsidRPr="006F193B" w:rsidRDefault="000A2120" w:rsidP="000A2120">
      <w:pPr>
        <w:pStyle w:val="a9"/>
        <w:spacing w:line="360" w:lineRule="auto"/>
        <w:jc w:val="both"/>
        <w:rPr>
          <w:rFonts w:ascii="Arial" w:hAnsi="Arial"/>
          <w:b/>
          <w:bCs/>
        </w:rPr>
      </w:pPr>
      <w:r w:rsidRPr="006F193B">
        <w:rPr>
          <w:rFonts w:ascii="Arial" w:hAnsi="Arial" w:hint="cs"/>
          <w:b/>
          <w:bCs/>
          <w:rtl/>
        </w:rPr>
        <w:t xml:space="preserve">סה"כ מוטלת על הנאשם אפוא פסילה בת </w:t>
      </w:r>
      <w:r>
        <w:rPr>
          <w:rFonts w:ascii="Arial" w:hAnsi="Arial" w:hint="cs"/>
          <w:b/>
          <w:bCs/>
          <w:rtl/>
        </w:rPr>
        <w:t>15</w:t>
      </w:r>
      <w:r w:rsidRPr="006F193B">
        <w:rPr>
          <w:rFonts w:ascii="Arial" w:hAnsi="Arial" w:hint="cs"/>
          <w:b/>
          <w:bCs/>
          <w:rtl/>
        </w:rPr>
        <w:t xml:space="preserve"> חודשים. </w:t>
      </w:r>
    </w:p>
    <w:p w14:paraId="1172CF02" w14:textId="77777777" w:rsidR="000A2120" w:rsidRDefault="000A2120" w:rsidP="000A2120">
      <w:pPr>
        <w:pStyle w:val="a9"/>
        <w:numPr>
          <w:ilvl w:val="0"/>
          <w:numId w:val="2"/>
        </w:numPr>
        <w:spacing w:line="360" w:lineRule="auto"/>
        <w:jc w:val="both"/>
        <w:rPr>
          <w:rFonts w:ascii="Arial" w:hAnsi="Arial"/>
        </w:rPr>
      </w:pPr>
      <w:r>
        <w:rPr>
          <w:rFonts w:ascii="Arial" w:hAnsi="Arial" w:hint="cs"/>
          <w:rtl/>
        </w:rPr>
        <w:t>קנס בסך 3,000 ₪. הקנס ישולם ב-6 תשלומים שווים ורצופים החל מיום 1.11.23 ובכל 1 לחודש שלאחריו. לא ישולם אחד מהתשלומים במועדו תעמוד היתרה לפירעון מידי.</w:t>
      </w:r>
    </w:p>
    <w:p w14:paraId="7C7C4B8D" w14:textId="77777777" w:rsidR="000A2120" w:rsidRDefault="000A2120" w:rsidP="000A2120">
      <w:pPr>
        <w:ind w:left="720"/>
        <w:rPr>
          <w:rFonts w:ascii="David" w:hAnsi="David"/>
          <w:sz w:val="22"/>
          <w:szCs w:val="22"/>
        </w:rPr>
      </w:pPr>
      <w:r>
        <w:rPr>
          <w:rFonts w:ascii="David" w:hAnsi="David"/>
          <w:sz w:val="22"/>
          <w:szCs w:val="22"/>
          <w:rtl/>
        </w:rPr>
        <w:t>את הסכום יש לשלם ישירות לחשבון המרכז לגביית קנסות, אגרות והוצאות ברשות האכיפה והגבייה באחת מהדרכים הבאות:</w:t>
      </w:r>
    </w:p>
    <w:p w14:paraId="476B5988" w14:textId="77777777" w:rsidR="000A2120" w:rsidRDefault="000A2120" w:rsidP="000A2120">
      <w:pPr>
        <w:pStyle w:val="a9"/>
        <w:numPr>
          <w:ilvl w:val="0"/>
          <w:numId w:val="3"/>
        </w:numPr>
        <w:ind w:left="1417"/>
        <w:rPr>
          <w:rFonts w:ascii="David" w:hAnsi="David"/>
          <w:b/>
          <w:bCs/>
          <w:sz w:val="22"/>
          <w:szCs w:val="22"/>
        </w:rPr>
      </w:pPr>
      <w:r>
        <w:rPr>
          <w:rFonts w:ascii="David" w:hAnsi="David"/>
          <w:b/>
          <w:bCs/>
          <w:sz w:val="22"/>
          <w:szCs w:val="22"/>
          <w:rtl/>
        </w:rPr>
        <w:t>בכרטיס אשראי</w:t>
      </w:r>
      <w:r>
        <w:rPr>
          <w:rFonts w:ascii="David" w:hAnsi="David"/>
          <w:sz w:val="22"/>
          <w:szCs w:val="22"/>
          <w:rtl/>
        </w:rPr>
        <w:t xml:space="preserve"> – באתר המקוון של רשות האכיפה והגבייה, </w:t>
      </w:r>
      <w:r>
        <w:rPr>
          <w:rFonts w:ascii="David" w:hAnsi="David"/>
          <w:sz w:val="22"/>
          <w:szCs w:val="22"/>
        </w:rPr>
        <w:t xml:space="preserve">www.eca.gov.il </w:t>
      </w:r>
      <w:r w:rsidR="00D3453B">
        <w:rPr>
          <w:rFonts w:ascii="David" w:hAnsi="David"/>
          <w:sz w:val="22"/>
          <w:szCs w:val="22"/>
          <w:rtl/>
        </w:rPr>
        <w:t xml:space="preserve"> </w:t>
      </w:r>
    </w:p>
    <w:p w14:paraId="7C56933D" w14:textId="77777777" w:rsidR="000A2120" w:rsidRDefault="000A2120" w:rsidP="000A2120">
      <w:pPr>
        <w:pStyle w:val="a9"/>
        <w:numPr>
          <w:ilvl w:val="0"/>
          <w:numId w:val="3"/>
        </w:numPr>
        <w:ind w:left="1417"/>
        <w:rPr>
          <w:rFonts w:ascii="David" w:hAnsi="David"/>
          <w:b/>
          <w:bCs/>
          <w:sz w:val="22"/>
          <w:szCs w:val="22"/>
        </w:rPr>
      </w:pPr>
      <w:r>
        <w:rPr>
          <w:rFonts w:ascii="David" w:hAnsi="David"/>
          <w:b/>
          <w:bCs/>
          <w:sz w:val="22"/>
          <w:szCs w:val="22"/>
          <w:rtl/>
        </w:rPr>
        <w:t>מוקד שירות טלפוני בשרות עצמי (מרכז גבייה)</w:t>
      </w:r>
      <w:r w:rsidR="00D3453B">
        <w:rPr>
          <w:rFonts w:ascii="David" w:hAnsi="David"/>
          <w:b/>
          <w:bCs/>
          <w:sz w:val="22"/>
          <w:szCs w:val="22"/>
          <w:rtl/>
        </w:rPr>
        <w:t xml:space="preserve"> </w:t>
      </w:r>
      <w:r>
        <w:rPr>
          <w:rFonts w:ascii="David" w:hAnsi="David"/>
          <w:b/>
          <w:bCs/>
          <w:sz w:val="22"/>
          <w:szCs w:val="22"/>
          <w:rtl/>
        </w:rPr>
        <w:t xml:space="preserve"> – בטלפון 35592* או בטלפון 073-2055000</w:t>
      </w:r>
    </w:p>
    <w:p w14:paraId="205B8D63" w14:textId="77777777" w:rsidR="000A2120" w:rsidRDefault="000A2120" w:rsidP="000A2120">
      <w:pPr>
        <w:pStyle w:val="a9"/>
        <w:numPr>
          <w:ilvl w:val="0"/>
          <w:numId w:val="3"/>
        </w:numPr>
        <w:ind w:left="1417"/>
        <w:rPr>
          <w:rFonts w:ascii="David" w:hAnsi="David"/>
          <w:b/>
          <w:bCs/>
          <w:sz w:val="22"/>
          <w:szCs w:val="22"/>
        </w:rPr>
      </w:pPr>
      <w:r>
        <w:rPr>
          <w:rFonts w:ascii="David" w:hAnsi="David"/>
          <w:b/>
          <w:bCs/>
          <w:sz w:val="22"/>
          <w:szCs w:val="22"/>
          <w:rtl/>
        </w:rPr>
        <w:t>במזומן בכל סניף של בנק הדואר</w:t>
      </w:r>
      <w:r>
        <w:rPr>
          <w:rFonts w:ascii="David" w:hAnsi="David"/>
          <w:sz w:val="22"/>
          <w:szCs w:val="22"/>
          <w:rtl/>
        </w:rPr>
        <w:t xml:space="preserve"> – בהצגת תעודת זהות בלבד (אין צורך בשוברי תשלום).</w:t>
      </w:r>
    </w:p>
    <w:p w14:paraId="734BDD1D" w14:textId="77777777" w:rsidR="000A2120" w:rsidRDefault="000A2120" w:rsidP="000A2120">
      <w:pPr>
        <w:rPr>
          <w:rFonts w:ascii="David" w:hAnsi="David"/>
          <w:rtl/>
        </w:rPr>
      </w:pPr>
    </w:p>
    <w:p w14:paraId="406E8CAF" w14:textId="77777777" w:rsidR="000A2120" w:rsidRDefault="00D3453B" w:rsidP="000A2120">
      <w:pPr>
        <w:spacing w:before="120" w:after="120" w:line="360" w:lineRule="auto"/>
        <w:ind w:left="360"/>
        <w:jc w:val="both"/>
        <w:rPr>
          <w:b/>
          <w:bCs/>
          <w:u w:val="single"/>
          <w:rtl/>
        </w:rPr>
      </w:pPr>
      <w:r w:rsidRPr="00D3453B">
        <w:rPr>
          <w:b/>
          <w:bCs/>
          <w:color w:val="FFFFFF"/>
          <w:sz w:val="2"/>
          <w:szCs w:val="2"/>
          <w:u w:val="single"/>
          <w:rtl/>
        </w:rPr>
        <w:t>5129371</w:t>
      </w:r>
      <w:r w:rsidR="000A2120">
        <w:rPr>
          <w:b/>
          <w:bCs/>
          <w:u w:val="single"/>
          <w:rtl/>
        </w:rPr>
        <w:t>להמציא את גזר הדין לשירות המבחן וכן לממונה על עבודות השירות.</w:t>
      </w:r>
    </w:p>
    <w:p w14:paraId="6C17E5D2" w14:textId="77777777" w:rsidR="000A2120" w:rsidRDefault="00D3453B" w:rsidP="000A2120">
      <w:pPr>
        <w:spacing w:before="120" w:after="120" w:line="360" w:lineRule="auto"/>
        <w:ind w:left="360"/>
        <w:jc w:val="both"/>
        <w:rPr>
          <w:b/>
          <w:bCs/>
          <w:u w:val="single"/>
          <w:rtl/>
        </w:rPr>
      </w:pPr>
      <w:r w:rsidRPr="00D3453B">
        <w:rPr>
          <w:b/>
          <w:bCs/>
          <w:color w:val="FFFFFF"/>
          <w:sz w:val="2"/>
          <w:szCs w:val="2"/>
          <w:u w:val="single"/>
          <w:rtl/>
        </w:rPr>
        <w:t>54678313</w:t>
      </w:r>
      <w:r w:rsidR="000A2120">
        <w:rPr>
          <w:b/>
          <w:bCs/>
          <w:u w:val="single"/>
          <w:rtl/>
        </w:rPr>
        <w:t>הודעה זכות ערעור לבית המשפט המחוזי בתוך 45 יום.</w:t>
      </w:r>
    </w:p>
    <w:p w14:paraId="6BD897BB" w14:textId="77777777" w:rsidR="000A2120" w:rsidRPr="004B542B" w:rsidRDefault="000A2120" w:rsidP="000A2120">
      <w:pPr>
        <w:pStyle w:val="a9"/>
        <w:ind w:left="0"/>
        <w:jc w:val="both"/>
        <w:rPr>
          <w:rFonts w:ascii="David" w:hAnsi="David"/>
        </w:rPr>
      </w:pPr>
    </w:p>
    <w:p w14:paraId="6F41D73E" w14:textId="77777777" w:rsidR="000A2120" w:rsidRPr="002B7D23" w:rsidRDefault="00D3453B" w:rsidP="000A2120">
      <w:pPr>
        <w:rPr>
          <w:rFonts w:ascii="David" w:hAnsi="David"/>
          <w:sz w:val="26"/>
          <w:szCs w:val="26"/>
          <w:rtl/>
        </w:rPr>
      </w:pPr>
      <w:bookmarkStart w:id="8" w:name="Nitan"/>
      <w:r>
        <w:rPr>
          <w:rFonts w:ascii="David" w:hAnsi="David"/>
          <w:sz w:val="26"/>
          <w:szCs w:val="26"/>
          <w:rtl/>
        </w:rPr>
        <w:t xml:space="preserve">ניתן היום,  כ"ט תמוז תשפ"ג, 18 יולי 2023, בהעדר הצדדים. </w:t>
      </w:r>
      <w:bookmarkEnd w:id="8"/>
    </w:p>
    <w:p w14:paraId="4BEB5E88" w14:textId="77777777" w:rsidR="000A2120" w:rsidRPr="002B7D23" w:rsidRDefault="000A2120" w:rsidP="00D3453B">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F966EBC" w14:textId="77777777" w:rsidR="000A2120" w:rsidRPr="002B7D23" w:rsidRDefault="000A2120" w:rsidP="000A2120">
      <w:pPr>
        <w:jc w:val="center"/>
        <w:rPr>
          <w:rFonts w:ascii="David" w:hAnsi="David"/>
          <w:sz w:val="26"/>
          <w:szCs w:val="26"/>
          <w:rtl/>
        </w:rPr>
      </w:pPr>
    </w:p>
    <w:p w14:paraId="6922E847" w14:textId="77777777" w:rsidR="00C505B7" w:rsidRPr="00D3453B" w:rsidRDefault="00C505B7" w:rsidP="00D3453B">
      <w:pPr>
        <w:keepNext/>
        <w:rPr>
          <w:rFonts w:ascii="David" w:hAnsi="David"/>
          <w:color w:val="000000"/>
          <w:sz w:val="22"/>
          <w:szCs w:val="22"/>
          <w:rtl/>
        </w:rPr>
      </w:pPr>
    </w:p>
    <w:p w14:paraId="7B35DEA8" w14:textId="77777777" w:rsidR="00D3453B" w:rsidRPr="00D3453B" w:rsidRDefault="00D3453B" w:rsidP="00D3453B">
      <w:pPr>
        <w:keepNext/>
        <w:rPr>
          <w:rFonts w:ascii="David" w:hAnsi="David"/>
          <w:color w:val="000000"/>
          <w:sz w:val="22"/>
          <w:szCs w:val="22"/>
          <w:rtl/>
        </w:rPr>
      </w:pPr>
      <w:r w:rsidRPr="00D3453B">
        <w:rPr>
          <w:rFonts w:ascii="David" w:hAnsi="David"/>
          <w:color w:val="000000"/>
          <w:sz w:val="22"/>
          <w:szCs w:val="22"/>
          <w:rtl/>
        </w:rPr>
        <w:t>יוסי טורס 54678313</w:t>
      </w:r>
    </w:p>
    <w:p w14:paraId="5CABBE54" w14:textId="77777777" w:rsidR="00D3453B" w:rsidRDefault="00D3453B" w:rsidP="00D3453B">
      <w:r w:rsidRPr="00D3453B">
        <w:rPr>
          <w:color w:val="000000"/>
          <w:rtl/>
        </w:rPr>
        <w:t>נוסח מסמך זה כפוף לשינויי ניסוח ועריכה</w:t>
      </w:r>
    </w:p>
    <w:p w14:paraId="43B17A8D" w14:textId="77777777" w:rsidR="00D3453B" w:rsidRDefault="00D3453B" w:rsidP="00D3453B">
      <w:pPr>
        <w:rPr>
          <w:rtl/>
        </w:rPr>
      </w:pPr>
    </w:p>
    <w:p w14:paraId="0AB74B7E" w14:textId="77777777" w:rsidR="00D3453B" w:rsidRDefault="00D3453B" w:rsidP="00D3453B">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34D7D334" w14:textId="77777777" w:rsidR="00D3453B" w:rsidRPr="00D3453B" w:rsidRDefault="00D3453B" w:rsidP="00D3453B">
      <w:pPr>
        <w:jc w:val="center"/>
        <w:rPr>
          <w:color w:val="0000FF"/>
          <w:u w:val="single"/>
        </w:rPr>
      </w:pPr>
    </w:p>
    <w:sectPr w:rsidR="00D3453B" w:rsidRPr="00D3453B" w:rsidSect="00D3453B">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84055" w14:textId="77777777" w:rsidR="00A47754" w:rsidRDefault="00A47754" w:rsidP="006942A2">
      <w:r>
        <w:separator/>
      </w:r>
    </w:p>
  </w:endnote>
  <w:endnote w:type="continuationSeparator" w:id="0">
    <w:p w14:paraId="7A08AF80" w14:textId="77777777" w:rsidR="00A47754" w:rsidRDefault="00A47754" w:rsidP="0069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CDE33" w14:textId="77777777" w:rsidR="00D3453B" w:rsidRDefault="00D3453B" w:rsidP="00D345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55026C" w14:textId="77777777" w:rsidR="00D56C3D" w:rsidRPr="00D3453B" w:rsidRDefault="00D3453B" w:rsidP="00D3453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03736" w14:textId="77777777" w:rsidR="00D3453B" w:rsidRDefault="00D3453B" w:rsidP="00D345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130D">
      <w:rPr>
        <w:rFonts w:ascii="FrankRuehl" w:hAnsi="FrankRuehl" w:cs="FrankRuehl"/>
        <w:noProof/>
        <w:rtl/>
      </w:rPr>
      <w:t>1</w:t>
    </w:r>
    <w:r>
      <w:rPr>
        <w:rFonts w:ascii="FrankRuehl" w:hAnsi="FrankRuehl" w:cs="FrankRuehl"/>
        <w:rtl/>
      </w:rPr>
      <w:fldChar w:fldCharType="end"/>
    </w:r>
  </w:p>
  <w:p w14:paraId="0222EDE2" w14:textId="77777777" w:rsidR="00D56C3D" w:rsidRPr="00D3453B" w:rsidRDefault="00D3453B" w:rsidP="00D3453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8B04C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3A8A8" w14:textId="77777777" w:rsidR="00A47754" w:rsidRDefault="00A47754" w:rsidP="006942A2">
      <w:r>
        <w:separator/>
      </w:r>
    </w:p>
  </w:footnote>
  <w:footnote w:type="continuationSeparator" w:id="0">
    <w:p w14:paraId="66228FC8" w14:textId="77777777" w:rsidR="00A47754" w:rsidRDefault="00A47754" w:rsidP="00694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33B01" w14:textId="77777777" w:rsidR="00D3453B" w:rsidRPr="00D3453B" w:rsidRDefault="00D3453B" w:rsidP="00D3453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56754-10-20</w:t>
    </w:r>
    <w:r>
      <w:rPr>
        <w:rFonts w:ascii="David" w:hAnsi="David"/>
        <w:color w:val="000000"/>
        <w:sz w:val="22"/>
        <w:szCs w:val="22"/>
        <w:rtl/>
      </w:rPr>
      <w:tab/>
      <w:t xml:space="preserve"> מדינת ישראל נ' אליעד בן שיטרית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24898" w14:textId="77777777" w:rsidR="00D3453B" w:rsidRPr="00D3453B" w:rsidRDefault="00D3453B" w:rsidP="00D3453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56754-10-20</w:t>
    </w:r>
    <w:r>
      <w:rPr>
        <w:rFonts w:ascii="David" w:hAnsi="David"/>
        <w:color w:val="000000"/>
        <w:sz w:val="22"/>
        <w:szCs w:val="22"/>
        <w:rtl/>
      </w:rPr>
      <w:tab/>
      <w:t xml:space="preserve"> מדינת ישראל נ' אליעד בן שיטרית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632F42C4"/>
    <w:multiLevelType w:val="hybridMultilevel"/>
    <w:tmpl w:val="06181C02"/>
    <w:lvl w:ilvl="0" w:tplc="644E8CFC">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702AD"/>
    <w:multiLevelType w:val="hybridMultilevel"/>
    <w:tmpl w:val="9B7695F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70329859">
    <w:abstractNumId w:val="1"/>
  </w:num>
  <w:num w:numId="2" w16cid:durableId="3014717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97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2120"/>
    <w:rsid w:val="000A2120"/>
    <w:rsid w:val="006942A2"/>
    <w:rsid w:val="006A741D"/>
    <w:rsid w:val="006B7961"/>
    <w:rsid w:val="0076459A"/>
    <w:rsid w:val="009A4E4C"/>
    <w:rsid w:val="009B130D"/>
    <w:rsid w:val="00A25311"/>
    <w:rsid w:val="00A47754"/>
    <w:rsid w:val="00B843D1"/>
    <w:rsid w:val="00C505B7"/>
    <w:rsid w:val="00C57844"/>
    <w:rsid w:val="00C83FDC"/>
    <w:rsid w:val="00D3453B"/>
    <w:rsid w:val="00D56C3D"/>
    <w:rsid w:val="00E5474E"/>
    <w:rsid w:val="00EA15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E4BCFB"/>
  <w15:chartTrackingRefBased/>
  <w15:docId w15:val="{BBD80D83-4090-4DE1-AC12-E1F8AD4B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212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A2120"/>
    <w:pPr>
      <w:tabs>
        <w:tab w:val="center" w:pos="4153"/>
        <w:tab w:val="right" w:pos="8306"/>
      </w:tabs>
    </w:pPr>
  </w:style>
  <w:style w:type="character" w:customStyle="1" w:styleId="a4">
    <w:name w:val="כותרת עליונה תו"/>
    <w:link w:val="a3"/>
    <w:rsid w:val="000A2120"/>
    <w:rPr>
      <w:rFonts w:ascii="Times New Roman" w:eastAsia="Times New Roman" w:hAnsi="Times New Roman" w:cs="David"/>
      <w:sz w:val="24"/>
      <w:szCs w:val="24"/>
    </w:rPr>
  </w:style>
  <w:style w:type="paragraph" w:styleId="a5">
    <w:name w:val="footer"/>
    <w:basedOn w:val="a"/>
    <w:link w:val="a6"/>
    <w:rsid w:val="000A2120"/>
    <w:pPr>
      <w:tabs>
        <w:tab w:val="center" w:pos="4153"/>
        <w:tab w:val="right" w:pos="8306"/>
      </w:tabs>
    </w:pPr>
  </w:style>
  <w:style w:type="character" w:customStyle="1" w:styleId="a6">
    <w:name w:val="כותרת תחתונה תו"/>
    <w:link w:val="a5"/>
    <w:rsid w:val="000A2120"/>
    <w:rPr>
      <w:rFonts w:ascii="Times New Roman" w:eastAsia="Times New Roman" w:hAnsi="Times New Roman" w:cs="David"/>
      <w:sz w:val="24"/>
      <w:szCs w:val="24"/>
    </w:rPr>
  </w:style>
  <w:style w:type="table" w:styleId="a7">
    <w:name w:val="Table Grid"/>
    <w:basedOn w:val="a1"/>
    <w:rsid w:val="000A212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A2120"/>
  </w:style>
  <w:style w:type="paragraph" w:styleId="a9">
    <w:name w:val="List Paragraph"/>
    <w:basedOn w:val="a"/>
    <w:qFormat/>
    <w:rsid w:val="000A2120"/>
    <w:pPr>
      <w:ind w:left="720"/>
      <w:contextualSpacing/>
    </w:pPr>
  </w:style>
  <w:style w:type="character" w:styleId="Hyperlink">
    <w:name w:val="Hyperlink"/>
    <w:rsid w:val="00D345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501/2a" TargetMode="External"/><Relationship Id="rId21" Type="http://schemas.openxmlformats.org/officeDocument/2006/relationships/hyperlink" Target="http://www.nevo.co.il/law/4216" TargetMode="External"/><Relationship Id="rId34" Type="http://schemas.openxmlformats.org/officeDocument/2006/relationships/hyperlink" Target="http://www.nevo.co.il/law/5227/40a.a.1" TargetMode="External"/><Relationship Id="rId42" Type="http://schemas.openxmlformats.org/officeDocument/2006/relationships/hyperlink" Target="http://www.nevo.co.il/case/28190928"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56.a" TargetMode="External"/><Relationship Id="rId55" Type="http://schemas.openxmlformats.org/officeDocument/2006/relationships/hyperlink" Target="http://www.nevo.co.il/case/27529712"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40a.a.1" TargetMode="External"/><Relationship Id="rId29" Type="http://schemas.openxmlformats.org/officeDocument/2006/relationships/hyperlink" Target="http://www.nevo.co.il/case/25489821" TargetMode="External"/><Relationship Id="rId11" Type="http://schemas.openxmlformats.org/officeDocument/2006/relationships/hyperlink" Target="http://www.nevo.co.il/law/70301/54" TargetMode="External"/><Relationship Id="rId24" Type="http://schemas.openxmlformats.org/officeDocument/2006/relationships/hyperlink" Target="http://www.nevo.co.il/law/5227/67" TargetMode="External"/><Relationship Id="rId32" Type="http://schemas.openxmlformats.org/officeDocument/2006/relationships/hyperlink" Target="http://www.nevo.co.il/case/26986948" TargetMode="External"/><Relationship Id="rId37" Type="http://schemas.openxmlformats.org/officeDocument/2006/relationships/hyperlink" Target="http://www.nevo.co.il/case/23856194" TargetMode="External"/><Relationship Id="rId40" Type="http://schemas.openxmlformats.org/officeDocument/2006/relationships/hyperlink" Target="http://www.nevo.co.il/case/22793926" TargetMode="External"/><Relationship Id="rId45" Type="http://schemas.openxmlformats.org/officeDocument/2006/relationships/hyperlink" Target="http://www.nevo.co.il/case/5857434" TargetMode="External"/><Relationship Id="rId53" Type="http://schemas.openxmlformats.org/officeDocument/2006/relationships/hyperlink" Target="http://www.nevo.co.il/case/20490021" TargetMode="External"/><Relationship Id="rId58" Type="http://schemas.openxmlformats.org/officeDocument/2006/relationships/hyperlink" Target="http://www.nevo.co.il/case/7678679"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1618788" TargetMode="External"/><Relationship Id="rId19" Type="http://schemas.openxmlformats.org/officeDocument/2006/relationships/hyperlink" Target="http://www.nevo.co.il/law/74501/2a"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70301/275"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case/5717163" TargetMode="External"/><Relationship Id="rId35" Type="http://schemas.openxmlformats.org/officeDocument/2006/relationships/hyperlink" Target="http://www.nevo.co.il/law/5227" TargetMode="External"/><Relationship Id="rId43" Type="http://schemas.openxmlformats.org/officeDocument/2006/relationships/hyperlink" Target="http://www.nevo.co.il/case/5613228" TargetMode="External"/><Relationship Id="rId48" Type="http://schemas.openxmlformats.org/officeDocument/2006/relationships/hyperlink" Target="http://www.nevo.co.il/case/6102737" TargetMode="External"/><Relationship Id="rId56" Type="http://schemas.openxmlformats.org/officeDocument/2006/relationships/hyperlink" Target="http://www.nevo.co.il/law/70301/58" TargetMode="External"/><Relationship Id="rId64"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56.a" TargetMode="External"/><Relationship Id="rId17" Type="http://schemas.openxmlformats.org/officeDocument/2006/relationships/hyperlink" Target="http://www.nevo.co.il/law/5227/67" TargetMode="External"/><Relationship Id="rId25" Type="http://schemas.openxmlformats.org/officeDocument/2006/relationships/hyperlink" Target="http://www.nevo.co.il/law/5227" TargetMode="External"/><Relationship Id="rId33" Type="http://schemas.openxmlformats.org/officeDocument/2006/relationships/hyperlink" Target="http://www.nevo.co.il/case/29524606" TargetMode="External"/><Relationship Id="rId38" Type="http://schemas.openxmlformats.org/officeDocument/2006/relationships/hyperlink" Target="http://www.nevo.co.il/law/5227" TargetMode="External"/><Relationship Id="rId46" Type="http://schemas.openxmlformats.org/officeDocument/2006/relationships/hyperlink" Target="http://www.nevo.co.il/law/70301/56.a" TargetMode="External"/><Relationship Id="rId59" Type="http://schemas.openxmlformats.org/officeDocument/2006/relationships/hyperlink" Target="http://www.nevo.co.il/case/29303363" TargetMode="External"/><Relationship Id="rId67" Type="http://schemas.openxmlformats.org/officeDocument/2006/relationships/fontTable" Target="fontTable.xml"/><Relationship Id="rId20" Type="http://schemas.openxmlformats.org/officeDocument/2006/relationships/hyperlink" Target="http://www.nevo.co.il/law/4216/7.a.;7.c" TargetMode="External"/><Relationship Id="rId41" Type="http://schemas.openxmlformats.org/officeDocument/2006/relationships/hyperlink" Target="http://www.nevo.co.il/case/27361147" TargetMode="External"/><Relationship Id="rId54" Type="http://schemas.openxmlformats.org/officeDocument/2006/relationships/hyperlink" Target="http://www.nevo.co.il/case/28032816"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1473042" TargetMode="External"/><Relationship Id="rId36" Type="http://schemas.openxmlformats.org/officeDocument/2006/relationships/hyperlink" Target="http://www.nevo.co.il/case/10488437" TargetMode="External"/><Relationship Id="rId49" Type="http://schemas.openxmlformats.org/officeDocument/2006/relationships/hyperlink" Target="http://www.nevo.co.il/law/70301/54"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5723807" TargetMode="External"/><Relationship Id="rId44" Type="http://schemas.openxmlformats.org/officeDocument/2006/relationships/hyperlink" Target="http://www.nevo.co.il/case/5074126" TargetMode="External"/><Relationship Id="rId52" Type="http://schemas.openxmlformats.org/officeDocument/2006/relationships/hyperlink" Target="http://www.nevo.co.il/case/12930657" TargetMode="External"/><Relationship Id="rId60" Type="http://schemas.openxmlformats.org/officeDocument/2006/relationships/hyperlink" Target="http://www.nevo.co.il/case/21618788"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58" TargetMode="External"/><Relationship Id="rId18" Type="http://schemas.openxmlformats.org/officeDocument/2006/relationships/hyperlink" Target="http://www.nevo.co.il/law/74501" TargetMode="External"/><Relationship Id="rId39" Type="http://schemas.openxmlformats.org/officeDocument/2006/relationships/hyperlink" Target="http://www.nevo.co.il/case/2419555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3045</Words>
  <Characters>15230</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18239</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3407987</vt:i4>
      </vt:variant>
      <vt:variant>
        <vt:i4>162</vt:i4>
      </vt:variant>
      <vt:variant>
        <vt:i4>0</vt:i4>
      </vt:variant>
      <vt:variant>
        <vt:i4>5</vt:i4>
      </vt:variant>
      <vt:variant>
        <vt:lpwstr>http://www.nevo.co.il/case/21618788</vt:lpwstr>
      </vt:variant>
      <vt:variant>
        <vt:lpwstr/>
      </vt:variant>
      <vt:variant>
        <vt:i4>3407987</vt:i4>
      </vt:variant>
      <vt:variant>
        <vt:i4>159</vt:i4>
      </vt:variant>
      <vt:variant>
        <vt:i4>0</vt:i4>
      </vt:variant>
      <vt:variant>
        <vt:i4>5</vt:i4>
      </vt:variant>
      <vt:variant>
        <vt:lpwstr>http://www.nevo.co.il/case/21618788</vt:lpwstr>
      </vt:variant>
      <vt:variant>
        <vt:lpwstr/>
      </vt:variant>
      <vt:variant>
        <vt:i4>3407998</vt:i4>
      </vt:variant>
      <vt:variant>
        <vt:i4>156</vt:i4>
      </vt:variant>
      <vt:variant>
        <vt:i4>0</vt:i4>
      </vt:variant>
      <vt:variant>
        <vt:i4>5</vt:i4>
      </vt:variant>
      <vt:variant>
        <vt:lpwstr>http://www.nevo.co.il/case/29303363</vt:lpwstr>
      </vt:variant>
      <vt:variant>
        <vt:lpwstr/>
      </vt:variant>
      <vt:variant>
        <vt:i4>4128893</vt:i4>
      </vt:variant>
      <vt:variant>
        <vt:i4>153</vt:i4>
      </vt:variant>
      <vt:variant>
        <vt:i4>0</vt:i4>
      </vt:variant>
      <vt:variant>
        <vt:i4>5</vt:i4>
      </vt:variant>
      <vt:variant>
        <vt:lpwstr>http://www.nevo.co.il/case/7678679</vt:lpwstr>
      </vt:variant>
      <vt:variant>
        <vt:lpwstr/>
      </vt:variant>
      <vt:variant>
        <vt:i4>7995492</vt:i4>
      </vt:variant>
      <vt:variant>
        <vt:i4>150</vt:i4>
      </vt:variant>
      <vt:variant>
        <vt:i4>0</vt:i4>
      </vt:variant>
      <vt:variant>
        <vt:i4>5</vt:i4>
      </vt:variant>
      <vt:variant>
        <vt:lpwstr>http://www.nevo.co.il/law/70301</vt:lpwstr>
      </vt:variant>
      <vt:variant>
        <vt:lpwstr/>
      </vt:variant>
      <vt:variant>
        <vt:i4>7143520</vt:i4>
      </vt:variant>
      <vt:variant>
        <vt:i4>147</vt:i4>
      </vt:variant>
      <vt:variant>
        <vt:i4>0</vt:i4>
      </vt:variant>
      <vt:variant>
        <vt:i4>5</vt:i4>
      </vt:variant>
      <vt:variant>
        <vt:lpwstr>http://www.nevo.co.il/law/70301/58</vt:lpwstr>
      </vt:variant>
      <vt:variant>
        <vt:lpwstr/>
      </vt:variant>
      <vt:variant>
        <vt:i4>4128886</vt:i4>
      </vt:variant>
      <vt:variant>
        <vt:i4>144</vt:i4>
      </vt:variant>
      <vt:variant>
        <vt:i4>0</vt:i4>
      </vt:variant>
      <vt:variant>
        <vt:i4>5</vt:i4>
      </vt:variant>
      <vt:variant>
        <vt:lpwstr>http://www.nevo.co.il/case/27529712</vt:lpwstr>
      </vt:variant>
      <vt:variant>
        <vt:lpwstr/>
      </vt:variant>
      <vt:variant>
        <vt:i4>3211383</vt:i4>
      </vt:variant>
      <vt:variant>
        <vt:i4>141</vt:i4>
      </vt:variant>
      <vt:variant>
        <vt:i4>0</vt:i4>
      </vt:variant>
      <vt:variant>
        <vt:i4>5</vt:i4>
      </vt:variant>
      <vt:variant>
        <vt:lpwstr>http://www.nevo.co.il/case/28032816</vt:lpwstr>
      </vt:variant>
      <vt:variant>
        <vt:lpwstr/>
      </vt:variant>
      <vt:variant>
        <vt:i4>3407997</vt:i4>
      </vt:variant>
      <vt:variant>
        <vt:i4>138</vt:i4>
      </vt:variant>
      <vt:variant>
        <vt:i4>0</vt:i4>
      </vt:variant>
      <vt:variant>
        <vt:i4>5</vt:i4>
      </vt:variant>
      <vt:variant>
        <vt:lpwstr>http://www.nevo.co.il/case/20490021</vt:lpwstr>
      </vt:variant>
      <vt:variant>
        <vt:lpwstr/>
      </vt:variant>
      <vt:variant>
        <vt:i4>3997811</vt:i4>
      </vt:variant>
      <vt:variant>
        <vt:i4>135</vt:i4>
      </vt:variant>
      <vt:variant>
        <vt:i4>0</vt:i4>
      </vt:variant>
      <vt:variant>
        <vt:i4>5</vt:i4>
      </vt:variant>
      <vt:variant>
        <vt:lpwstr>http://www.nevo.co.il/case/12930657</vt:lpwstr>
      </vt:variant>
      <vt:variant>
        <vt:lpwstr/>
      </vt:variant>
      <vt:variant>
        <vt:i4>7995492</vt:i4>
      </vt:variant>
      <vt:variant>
        <vt:i4>132</vt:i4>
      </vt:variant>
      <vt:variant>
        <vt:i4>0</vt:i4>
      </vt:variant>
      <vt:variant>
        <vt:i4>5</vt:i4>
      </vt:variant>
      <vt:variant>
        <vt:lpwstr>http://www.nevo.co.il/law/70301</vt:lpwstr>
      </vt:variant>
      <vt:variant>
        <vt:lpwstr/>
      </vt:variant>
      <vt:variant>
        <vt:i4>131150</vt:i4>
      </vt:variant>
      <vt:variant>
        <vt:i4>129</vt:i4>
      </vt:variant>
      <vt:variant>
        <vt:i4>0</vt:i4>
      </vt:variant>
      <vt:variant>
        <vt:i4>5</vt:i4>
      </vt:variant>
      <vt:variant>
        <vt:lpwstr>http://www.nevo.co.il/law/70301/56.a</vt:lpwstr>
      </vt:variant>
      <vt:variant>
        <vt:lpwstr/>
      </vt:variant>
      <vt:variant>
        <vt:i4>6357088</vt:i4>
      </vt:variant>
      <vt:variant>
        <vt:i4>126</vt:i4>
      </vt:variant>
      <vt:variant>
        <vt:i4>0</vt:i4>
      </vt:variant>
      <vt:variant>
        <vt:i4>5</vt:i4>
      </vt:variant>
      <vt:variant>
        <vt:lpwstr>http://www.nevo.co.il/law/70301/54</vt:lpwstr>
      </vt:variant>
      <vt:variant>
        <vt:lpwstr/>
      </vt:variant>
      <vt:variant>
        <vt:i4>3539060</vt:i4>
      </vt:variant>
      <vt:variant>
        <vt:i4>123</vt:i4>
      </vt:variant>
      <vt:variant>
        <vt:i4>0</vt:i4>
      </vt:variant>
      <vt:variant>
        <vt:i4>5</vt:i4>
      </vt:variant>
      <vt:variant>
        <vt:lpwstr>http://www.nevo.co.il/case/6102737</vt:lpwstr>
      </vt:variant>
      <vt:variant>
        <vt:lpwstr/>
      </vt:variant>
      <vt:variant>
        <vt:i4>7995492</vt:i4>
      </vt:variant>
      <vt:variant>
        <vt:i4>120</vt:i4>
      </vt:variant>
      <vt:variant>
        <vt:i4>0</vt:i4>
      </vt:variant>
      <vt:variant>
        <vt:i4>5</vt:i4>
      </vt:variant>
      <vt:variant>
        <vt:lpwstr>http://www.nevo.co.il/law/70301</vt:lpwstr>
      </vt:variant>
      <vt:variant>
        <vt:lpwstr/>
      </vt:variant>
      <vt:variant>
        <vt:i4>131150</vt:i4>
      </vt:variant>
      <vt:variant>
        <vt:i4>117</vt:i4>
      </vt:variant>
      <vt:variant>
        <vt:i4>0</vt:i4>
      </vt:variant>
      <vt:variant>
        <vt:i4>5</vt:i4>
      </vt:variant>
      <vt:variant>
        <vt:lpwstr>http://www.nevo.co.il/law/70301/56.a</vt:lpwstr>
      </vt:variant>
      <vt:variant>
        <vt:lpwstr/>
      </vt:variant>
      <vt:variant>
        <vt:i4>3145848</vt:i4>
      </vt:variant>
      <vt:variant>
        <vt:i4>114</vt:i4>
      </vt:variant>
      <vt:variant>
        <vt:i4>0</vt:i4>
      </vt:variant>
      <vt:variant>
        <vt:i4>5</vt:i4>
      </vt:variant>
      <vt:variant>
        <vt:lpwstr>http://www.nevo.co.il/case/5857434</vt:lpwstr>
      </vt:variant>
      <vt:variant>
        <vt:lpwstr/>
      </vt:variant>
      <vt:variant>
        <vt:i4>3473522</vt:i4>
      </vt:variant>
      <vt:variant>
        <vt:i4>111</vt:i4>
      </vt:variant>
      <vt:variant>
        <vt:i4>0</vt:i4>
      </vt:variant>
      <vt:variant>
        <vt:i4>5</vt:i4>
      </vt:variant>
      <vt:variant>
        <vt:lpwstr>http://www.nevo.co.il/case/5074126</vt:lpwstr>
      </vt:variant>
      <vt:variant>
        <vt:lpwstr/>
      </vt:variant>
      <vt:variant>
        <vt:i4>4063347</vt:i4>
      </vt:variant>
      <vt:variant>
        <vt:i4>108</vt:i4>
      </vt:variant>
      <vt:variant>
        <vt:i4>0</vt:i4>
      </vt:variant>
      <vt:variant>
        <vt:i4>5</vt:i4>
      </vt:variant>
      <vt:variant>
        <vt:lpwstr>http://www.nevo.co.il/case/5613228</vt:lpwstr>
      </vt:variant>
      <vt:variant>
        <vt:lpwstr/>
      </vt:variant>
      <vt:variant>
        <vt:i4>3211388</vt:i4>
      </vt:variant>
      <vt:variant>
        <vt:i4>105</vt:i4>
      </vt:variant>
      <vt:variant>
        <vt:i4>0</vt:i4>
      </vt:variant>
      <vt:variant>
        <vt:i4>5</vt:i4>
      </vt:variant>
      <vt:variant>
        <vt:lpwstr>http://www.nevo.co.il/case/28190928</vt:lpwstr>
      </vt:variant>
      <vt:variant>
        <vt:lpwstr/>
      </vt:variant>
      <vt:variant>
        <vt:i4>3407988</vt:i4>
      </vt:variant>
      <vt:variant>
        <vt:i4>102</vt:i4>
      </vt:variant>
      <vt:variant>
        <vt:i4>0</vt:i4>
      </vt:variant>
      <vt:variant>
        <vt:i4>5</vt:i4>
      </vt:variant>
      <vt:variant>
        <vt:lpwstr>http://www.nevo.co.il/case/27361147</vt:lpwstr>
      </vt:variant>
      <vt:variant>
        <vt:lpwstr/>
      </vt:variant>
      <vt:variant>
        <vt:i4>3407990</vt:i4>
      </vt:variant>
      <vt:variant>
        <vt:i4>99</vt:i4>
      </vt:variant>
      <vt:variant>
        <vt:i4>0</vt:i4>
      </vt:variant>
      <vt:variant>
        <vt:i4>5</vt:i4>
      </vt:variant>
      <vt:variant>
        <vt:lpwstr>http://www.nevo.co.il/case/22793926</vt:lpwstr>
      </vt:variant>
      <vt:variant>
        <vt:lpwstr/>
      </vt:variant>
      <vt:variant>
        <vt:i4>3342460</vt:i4>
      </vt:variant>
      <vt:variant>
        <vt:i4>96</vt:i4>
      </vt:variant>
      <vt:variant>
        <vt:i4>0</vt:i4>
      </vt:variant>
      <vt:variant>
        <vt:i4>5</vt:i4>
      </vt:variant>
      <vt:variant>
        <vt:lpwstr>http://www.nevo.co.il/case/24195552</vt:lpwstr>
      </vt:variant>
      <vt:variant>
        <vt:lpwstr/>
      </vt:variant>
      <vt:variant>
        <vt:i4>8323175</vt:i4>
      </vt:variant>
      <vt:variant>
        <vt:i4>93</vt:i4>
      </vt:variant>
      <vt:variant>
        <vt:i4>0</vt:i4>
      </vt:variant>
      <vt:variant>
        <vt:i4>5</vt:i4>
      </vt:variant>
      <vt:variant>
        <vt:lpwstr>http://www.nevo.co.il/law/5227</vt:lpwstr>
      </vt:variant>
      <vt:variant>
        <vt:lpwstr/>
      </vt:variant>
      <vt:variant>
        <vt:i4>3473523</vt:i4>
      </vt:variant>
      <vt:variant>
        <vt:i4>90</vt:i4>
      </vt:variant>
      <vt:variant>
        <vt:i4>0</vt:i4>
      </vt:variant>
      <vt:variant>
        <vt:i4>5</vt:i4>
      </vt:variant>
      <vt:variant>
        <vt:lpwstr>http://www.nevo.co.il/case/23856194</vt:lpwstr>
      </vt:variant>
      <vt:variant>
        <vt:lpwstr/>
      </vt:variant>
      <vt:variant>
        <vt:i4>4063352</vt:i4>
      </vt:variant>
      <vt:variant>
        <vt:i4>87</vt:i4>
      </vt:variant>
      <vt:variant>
        <vt:i4>0</vt:i4>
      </vt:variant>
      <vt:variant>
        <vt:i4>5</vt:i4>
      </vt:variant>
      <vt:variant>
        <vt:lpwstr>http://www.nevo.co.il/case/10488437</vt:lpwstr>
      </vt:variant>
      <vt:variant>
        <vt:lpwstr/>
      </vt:variant>
      <vt:variant>
        <vt:i4>8323175</vt:i4>
      </vt:variant>
      <vt:variant>
        <vt:i4>84</vt:i4>
      </vt:variant>
      <vt:variant>
        <vt:i4>0</vt:i4>
      </vt:variant>
      <vt:variant>
        <vt:i4>5</vt:i4>
      </vt:variant>
      <vt:variant>
        <vt:lpwstr>http://www.nevo.co.il/law/5227</vt:lpwstr>
      </vt:variant>
      <vt:variant>
        <vt:lpwstr/>
      </vt:variant>
      <vt:variant>
        <vt:i4>7995512</vt:i4>
      </vt:variant>
      <vt:variant>
        <vt:i4>81</vt:i4>
      </vt:variant>
      <vt:variant>
        <vt:i4>0</vt:i4>
      </vt:variant>
      <vt:variant>
        <vt:i4>5</vt:i4>
      </vt:variant>
      <vt:variant>
        <vt:lpwstr>http://www.nevo.co.il/law/5227/40a.a.1</vt:lpwstr>
      </vt:variant>
      <vt:variant>
        <vt:lpwstr/>
      </vt:variant>
      <vt:variant>
        <vt:i4>3342457</vt:i4>
      </vt:variant>
      <vt:variant>
        <vt:i4>78</vt:i4>
      </vt:variant>
      <vt:variant>
        <vt:i4>0</vt:i4>
      </vt:variant>
      <vt:variant>
        <vt:i4>5</vt:i4>
      </vt:variant>
      <vt:variant>
        <vt:lpwstr>http://www.nevo.co.il/case/29524606</vt:lpwstr>
      </vt:variant>
      <vt:variant>
        <vt:lpwstr/>
      </vt:variant>
      <vt:variant>
        <vt:i4>3735667</vt:i4>
      </vt:variant>
      <vt:variant>
        <vt:i4>75</vt:i4>
      </vt:variant>
      <vt:variant>
        <vt:i4>0</vt:i4>
      </vt:variant>
      <vt:variant>
        <vt:i4>5</vt:i4>
      </vt:variant>
      <vt:variant>
        <vt:lpwstr>http://www.nevo.co.il/case/26986948</vt:lpwstr>
      </vt:variant>
      <vt:variant>
        <vt:lpwstr/>
      </vt:variant>
      <vt:variant>
        <vt:i4>3670128</vt:i4>
      </vt:variant>
      <vt:variant>
        <vt:i4>72</vt:i4>
      </vt:variant>
      <vt:variant>
        <vt:i4>0</vt:i4>
      </vt:variant>
      <vt:variant>
        <vt:i4>5</vt:i4>
      </vt:variant>
      <vt:variant>
        <vt:lpwstr>http://www.nevo.co.il/case/5723807</vt:lpwstr>
      </vt:variant>
      <vt:variant>
        <vt:lpwstr/>
      </vt:variant>
      <vt:variant>
        <vt:i4>3539058</vt:i4>
      </vt:variant>
      <vt:variant>
        <vt:i4>69</vt:i4>
      </vt:variant>
      <vt:variant>
        <vt:i4>0</vt:i4>
      </vt:variant>
      <vt:variant>
        <vt:i4>5</vt:i4>
      </vt:variant>
      <vt:variant>
        <vt:lpwstr>http://www.nevo.co.il/case/5717163</vt:lpwstr>
      </vt:variant>
      <vt:variant>
        <vt:lpwstr/>
      </vt:variant>
      <vt:variant>
        <vt:i4>3997809</vt:i4>
      </vt:variant>
      <vt:variant>
        <vt:i4>66</vt:i4>
      </vt:variant>
      <vt:variant>
        <vt:i4>0</vt:i4>
      </vt:variant>
      <vt:variant>
        <vt:i4>5</vt:i4>
      </vt:variant>
      <vt:variant>
        <vt:lpwstr>http://www.nevo.co.il/case/25489821</vt:lpwstr>
      </vt:variant>
      <vt:variant>
        <vt:lpwstr/>
      </vt:variant>
      <vt:variant>
        <vt:i4>3211378</vt:i4>
      </vt:variant>
      <vt:variant>
        <vt:i4>63</vt:i4>
      </vt:variant>
      <vt:variant>
        <vt:i4>0</vt:i4>
      </vt:variant>
      <vt:variant>
        <vt:i4>5</vt:i4>
      </vt:variant>
      <vt:variant>
        <vt:lpwstr>http://www.nevo.co.il/case/21473042</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3145825</vt:i4>
      </vt:variant>
      <vt:variant>
        <vt:i4>57</vt:i4>
      </vt:variant>
      <vt:variant>
        <vt:i4>0</vt:i4>
      </vt:variant>
      <vt:variant>
        <vt:i4>5</vt:i4>
      </vt:variant>
      <vt:variant>
        <vt:lpwstr>http://www.nevo.co.il/law/74501/2a</vt:lpwstr>
      </vt:variant>
      <vt:variant>
        <vt:lpwstr/>
      </vt:variant>
      <vt:variant>
        <vt:i4>8323175</vt:i4>
      </vt:variant>
      <vt:variant>
        <vt:i4>54</vt:i4>
      </vt:variant>
      <vt:variant>
        <vt:i4>0</vt:i4>
      </vt:variant>
      <vt:variant>
        <vt:i4>5</vt:i4>
      </vt:variant>
      <vt:variant>
        <vt:lpwstr>http://www.nevo.co.il/law/5227</vt:lpwstr>
      </vt:variant>
      <vt:variant>
        <vt:lpwstr/>
      </vt:variant>
      <vt:variant>
        <vt:i4>4784200</vt:i4>
      </vt:variant>
      <vt:variant>
        <vt:i4>51</vt:i4>
      </vt:variant>
      <vt:variant>
        <vt:i4>0</vt:i4>
      </vt:variant>
      <vt:variant>
        <vt:i4>5</vt:i4>
      </vt:variant>
      <vt:variant>
        <vt:lpwstr>http://www.nevo.co.il/law/5227/67</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3145825</vt:i4>
      </vt:variant>
      <vt:variant>
        <vt:i4>36</vt:i4>
      </vt:variant>
      <vt:variant>
        <vt:i4>0</vt:i4>
      </vt:variant>
      <vt:variant>
        <vt:i4>5</vt:i4>
      </vt:variant>
      <vt:variant>
        <vt:lpwstr>http://www.nevo.co.il/law/74501/2a</vt:lpwstr>
      </vt:variant>
      <vt:variant>
        <vt:lpwstr/>
      </vt:variant>
      <vt:variant>
        <vt:i4>8257634</vt:i4>
      </vt:variant>
      <vt:variant>
        <vt:i4>33</vt:i4>
      </vt:variant>
      <vt:variant>
        <vt:i4>0</vt:i4>
      </vt:variant>
      <vt:variant>
        <vt:i4>5</vt:i4>
      </vt:variant>
      <vt:variant>
        <vt:lpwstr>http://www.nevo.co.il/law/74501</vt:lpwstr>
      </vt:variant>
      <vt:variant>
        <vt:lpwstr/>
      </vt:variant>
      <vt:variant>
        <vt:i4>4784200</vt:i4>
      </vt:variant>
      <vt:variant>
        <vt:i4>30</vt:i4>
      </vt:variant>
      <vt:variant>
        <vt:i4>0</vt:i4>
      </vt:variant>
      <vt:variant>
        <vt:i4>5</vt:i4>
      </vt:variant>
      <vt:variant>
        <vt:lpwstr>http://www.nevo.co.il/law/5227/67</vt:lpwstr>
      </vt:variant>
      <vt:variant>
        <vt:lpwstr/>
      </vt:variant>
      <vt:variant>
        <vt:i4>7995512</vt:i4>
      </vt:variant>
      <vt:variant>
        <vt:i4>27</vt:i4>
      </vt:variant>
      <vt:variant>
        <vt:i4>0</vt:i4>
      </vt:variant>
      <vt:variant>
        <vt:i4>5</vt:i4>
      </vt:variant>
      <vt:variant>
        <vt:lpwstr>http://www.nevo.co.il/law/5227/40a.a.1</vt:lpwstr>
      </vt:variant>
      <vt:variant>
        <vt:lpwstr/>
      </vt:variant>
      <vt:variant>
        <vt:i4>8323175</vt:i4>
      </vt:variant>
      <vt:variant>
        <vt:i4>24</vt:i4>
      </vt:variant>
      <vt:variant>
        <vt:i4>0</vt:i4>
      </vt:variant>
      <vt:variant>
        <vt:i4>5</vt:i4>
      </vt:variant>
      <vt:variant>
        <vt:lpwstr>http://www.nevo.co.il/law/5227</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7143520</vt:i4>
      </vt:variant>
      <vt:variant>
        <vt:i4>18</vt:i4>
      </vt:variant>
      <vt:variant>
        <vt:i4>0</vt:i4>
      </vt:variant>
      <vt:variant>
        <vt:i4>5</vt:i4>
      </vt:variant>
      <vt:variant>
        <vt:lpwstr>http://www.nevo.co.il/law/70301/58</vt:lpwstr>
      </vt:variant>
      <vt:variant>
        <vt:lpwstr/>
      </vt:variant>
      <vt:variant>
        <vt:i4>131150</vt:i4>
      </vt:variant>
      <vt:variant>
        <vt:i4>15</vt:i4>
      </vt:variant>
      <vt:variant>
        <vt:i4>0</vt:i4>
      </vt:variant>
      <vt:variant>
        <vt:i4>5</vt:i4>
      </vt:variant>
      <vt:variant>
        <vt:lpwstr>http://www.nevo.co.il/law/70301/56.a</vt:lpwstr>
      </vt:variant>
      <vt:variant>
        <vt:lpwstr/>
      </vt:variant>
      <vt:variant>
        <vt:i4>6357088</vt:i4>
      </vt:variant>
      <vt:variant>
        <vt:i4>12</vt:i4>
      </vt:variant>
      <vt:variant>
        <vt:i4>0</vt:i4>
      </vt:variant>
      <vt:variant>
        <vt:i4>5</vt:i4>
      </vt:variant>
      <vt:variant>
        <vt:lpwstr>http://www.nevo.co.il/law/70301/54</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2025-04-23T00:47:00Z</dcterms:created>
  <dcterms:modified xsi:type="dcterms:W3CDTF">2025-04-23T00:47:00Z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56754</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אליעד בן שיטרית</vt:lpwstr>
  </property>
  <property fmtid="{D5CDD505-2E9C-101B-9397-08002B2CF9AE}" pid="10" name="LAWYER">
    <vt:lpwstr>גיל משה</vt:lpwstr>
  </property>
  <property fmtid="{D5CDD505-2E9C-101B-9397-08002B2CF9AE}" pid="11" name="JUDGE">
    <vt:lpwstr>יוסי טורס</vt:lpwstr>
  </property>
  <property fmtid="{D5CDD505-2E9C-101B-9397-08002B2CF9AE}" pid="12" name="CITY">
    <vt:lpwstr>קריות</vt:lpwstr>
  </property>
  <property fmtid="{D5CDD505-2E9C-101B-9397-08002B2CF9AE}" pid="13" name="DATE">
    <vt:lpwstr>20230718</vt:lpwstr>
  </property>
  <property fmtid="{D5CDD505-2E9C-101B-9397-08002B2CF9AE}" pid="14" name="TYPE_N_DATE">
    <vt:lpwstr>38020230718</vt:lpwstr>
  </property>
  <property fmtid="{D5CDD505-2E9C-101B-9397-08002B2CF9AE}" pid="15" name="WORDNUMPAGES">
    <vt:lpwstr>8</vt:lpwstr>
  </property>
  <property fmtid="{D5CDD505-2E9C-101B-9397-08002B2CF9AE}" pid="16" name="TYPE_ABS_DATE">
    <vt:lpwstr>380020230718</vt:lpwstr>
  </property>
  <property fmtid="{D5CDD505-2E9C-101B-9397-08002B2CF9AE}" pid="17" name="ISABSTRACT">
    <vt:lpwstr>Y</vt:lpwstr>
  </property>
  <property fmtid="{D5CDD505-2E9C-101B-9397-08002B2CF9AE}" pid="18" name="CASESLISTTMP1">
    <vt:lpwstr>13093721;21473042;25489821;5717163;5723807;26986948;29524606;10488437;23856194;24195552;22793926;27361147;28190928;5613228;5074126;5857434;6102737;12930657;20490021;28032816;27529712;7678679;29303363;21618788:2</vt:lpwstr>
  </property>
  <property fmtid="{D5CDD505-2E9C-101B-9397-08002B2CF9AE}" pid="19" name="LAWLISTTMP1">
    <vt:lpwstr>4216/007.a;007.c</vt:lpwstr>
  </property>
  <property fmtid="{D5CDD505-2E9C-101B-9397-08002B2CF9AE}" pid="20" name="LAWLISTTMP2">
    <vt:lpwstr>70301/275;056.a:2;054;058</vt:lpwstr>
  </property>
  <property fmtid="{D5CDD505-2E9C-101B-9397-08002B2CF9AE}" pid="21" name="LAWLISTTMP3">
    <vt:lpwstr>5227/067;040a.a.1</vt:lpwstr>
  </property>
  <property fmtid="{D5CDD505-2E9C-101B-9397-08002B2CF9AE}" pid="22" name="LAWLISTTMP4">
    <vt:lpwstr>74501/002a</vt:lpwstr>
  </property>
</Properties>
</file>