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95"/>
        <w:gridCol w:w="3753"/>
        <w:gridCol w:w="474"/>
        <w:gridCol w:w="3101"/>
        <w:gridCol w:w="297"/>
      </w:tblGrid>
      <w:tr w:rsidR="006B681D" w:rsidRPr="0074169C" w14:paraId="24F40EE0" w14:textId="77777777" w:rsidTr="00CE19C0">
        <w:trPr>
          <w:gridAfter w:val="1"/>
          <w:wAfter w:w="297" w:type="dxa"/>
          <w:trHeight w:hRule="exact" w:val="418"/>
          <w:jc w:val="center"/>
        </w:trPr>
        <w:tc>
          <w:tcPr>
            <w:tcW w:w="8523" w:type="dxa"/>
            <w:gridSpan w:val="4"/>
          </w:tcPr>
          <w:p w14:paraId="5615FF68" w14:textId="77777777" w:rsidR="006B681D" w:rsidRPr="0074169C" w:rsidRDefault="006B681D" w:rsidP="002F73E3">
            <w:pPr>
              <w:pStyle w:val="a3"/>
              <w:jc w:val="center"/>
              <w:rPr>
                <w:rFonts w:ascii="Tahoma" w:hAnsi="Tahoma"/>
                <w:color w:val="000080"/>
                <w:sz w:val="32"/>
                <w:szCs w:val="32"/>
                <w:rtl/>
              </w:rPr>
            </w:pPr>
            <w:bookmarkStart w:id="0" w:name="LastJudge"/>
            <w:r w:rsidRPr="0074169C">
              <w:rPr>
                <w:rFonts w:ascii="Tahoma" w:hAnsi="Tahoma"/>
                <w:b/>
                <w:bCs/>
                <w:color w:val="000080"/>
                <w:sz w:val="32"/>
                <w:szCs w:val="32"/>
                <w:rtl/>
              </w:rPr>
              <w:t>בית משפט השלום בתל אביב - יפו</w:t>
            </w:r>
          </w:p>
        </w:tc>
      </w:tr>
      <w:tr w:rsidR="006B681D" w:rsidRPr="0074169C" w14:paraId="65A32691" w14:textId="77777777" w:rsidTr="00CE19C0">
        <w:trPr>
          <w:gridAfter w:val="1"/>
          <w:wAfter w:w="297" w:type="dxa"/>
          <w:trHeight w:val="337"/>
          <w:jc w:val="center"/>
        </w:trPr>
        <w:tc>
          <w:tcPr>
            <w:tcW w:w="4948" w:type="dxa"/>
            <w:gridSpan w:val="2"/>
          </w:tcPr>
          <w:p w14:paraId="41EB75E6" w14:textId="77777777" w:rsidR="006B681D" w:rsidRPr="0074169C" w:rsidRDefault="006B681D" w:rsidP="002F73E3">
            <w:pPr>
              <w:rPr>
                <w:sz w:val="26"/>
                <w:szCs w:val="26"/>
                <w:rtl/>
              </w:rPr>
            </w:pPr>
            <w:r w:rsidRPr="0074169C">
              <w:rPr>
                <w:sz w:val="26"/>
                <w:szCs w:val="26"/>
                <w:rtl/>
              </w:rPr>
              <w:t>ת"פ</w:t>
            </w:r>
            <w:r w:rsidRPr="0074169C">
              <w:rPr>
                <w:rFonts w:hint="cs"/>
                <w:sz w:val="26"/>
                <w:szCs w:val="26"/>
                <w:rtl/>
              </w:rPr>
              <w:t xml:space="preserve"> </w:t>
            </w:r>
            <w:r w:rsidRPr="0074169C">
              <w:rPr>
                <w:sz w:val="26"/>
                <w:szCs w:val="26"/>
                <w:rtl/>
              </w:rPr>
              <w:t>59619-10-20</w:t>
            </w:r>
            <w:r w:rsidRPr="0074169C">
              <w:rPr>
                <w:rFonts w:hint="cs"/>
                <w:sz w:val="26"/>
                <w:szCs w:val="26"/>
                <w:rtl/>
              </w:rPr>
              <w:t xml:space="preserve"> </w:t>
            </w:r>
            <w:r w:rsidRPr="0074169C">
              <w:rPr>
                <w:sz w:val="26"/>
                <w:szCs w:val="26"/>
                <w:rtl/>
              </w:rPr>
              <w:t>מדינת ישראל נ' קרופניק</w:t>
            </w:r>
          </w:p>
        </w:tc>
        <w:tc>
          <w:tcPr>
            <w:tcW w:w="3575" w:type="dxa"/>
            <w:gridSpan w:val="2"/>
          </w:tcPr>
          <w:p w14:paraId="0116E02F" w14:textId="77777777" w:rsidR="006B681D" w:rsidRPr="0074169C" w:rsidRDefault="006B681D" w:rsidP="002F73E3">
            <w:pPr>
              <w:pStyle w:val="a3"/>
              <w:jc w:val="right"/>
              <w:rPr>
                <w:rFonts w:cs="FrankRuehl"/>
                <w:sz w:val="28"/>
                <w:szCs w:val="28"/>
                <w:rtl/>
              </w:rPr>
            </w:pPr>
          </w:p>
        </w:tc>
      </w:tr>
      <w:tr w:rsidR="006B681D" w:rsidRPr="0074169C" w14:paraId="3416F059" w14:textId="77777777" w:rsidTr="00CE19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3F0B6B0F" w14:textId="77777777" w:rsidR="006B681D" w:rsidRPr="0074169C" w:rsidRDefault="006B681D" w:rsidP="006B681D">
            <w:pPr>
              <w:jc w:val="both"/>
              <w:rPr>
                <w:rFonts w:ascii="Arial" w:hAnsi="Arial"/>
                <w:b/>
                <w:bCs/>
                <w:sz w:val="26"/>
                <w:szCs w:val="26"/>
              </w:rPr>
            </w:pPr>
            <w:r w:rsidRPr="0074169C">
              <w:rPr>
                <w:rFonts w:hint="cs"/>
                <w:rtl/>
              </w:rPr>
              <w:t xml:space="preserve"> </w:t>
            </w:r>
            <w:r w:rsidRPr="0074169C">
              <w:rPr>
                <w:rFonts w:ascii="Arial" w:hAnsi="Arial" w:hint="cs"/>
                <w:b/>
                <w:bCs/>
                <w:sz w:val="26"/>
                <w:szCs w:val="26"/>
                <w:rtl/>
              </w:rPr>
              <w:t>ל</w:t>
            </w:r>
            <w:r w:rsidRPr="0074169C">
              <w:rPr>
                <w:rFonts w:ascii="Arial" w:hAnsi="Arial"/>
                <w:b/>
                <w:bCs/>
                <w:sz w:val="26"/>
                <w:szCs w:val="26"/>
                <w:rtl/>
              </w:rPr>
              <w:t xml:space="preserve">פני </w:t>
            </w:r>
            <w:r w:rsidRPr="0074169C">
              <w:rPr>
                <w:rFonts w:ascii="Arial" w:hAnsi="Arial" w:hint="cs"/>
                <w:b/>
                <w:bCs/>
                <w:sz w:val="26"/>
                <w:szCs w:val="26"/>
                <w:rtl/>
              </w:rPr>
              <w:t>כבוד ה</w:t>
            </w:r>
            <w:r w:rsidRPr="0074169C">
              <w:rPr>
                <w:rFonts w:ascii="Arial" w:hAnsi="Arial"/>
                <w:b/>
                <w:bCs/>
                <w:sz w:val="26"/>
                <w:szCs w:val="26"/>
                <w:rtl/>
              </w:rPr>
              <w:t>שופטת</w:t>
            </w:r>
            <w:r w:rsidRPr="0074169C">
              <w:rPr>
                <w:rFonts w:ascii="Arial" w:hAnsi="Arial" w:hint="cs"/>
                <w:b/>
                <w:bCs/>
                <w:sz w:val="26"/>
                <w:szCs w:val="26"/>
                <w:rtl/>
              </w:rPr>
              <w:t xml:space="preserve">  </w:t>
            </w:r>
            <w:r w:rsidRPr="0074169C">
              <w:rPr>
                <w:rFonts w:ascii="Arial" w:hAnsi="Arial"/>
                <w:b/>
                <w:bCs/>
                <w:sz w:val="26"/>
                <w:szCs w:val="26"/>
                <w:rtl/>
              </w:rPr>
              <w:t>עדי יעקובוביץ</w:t>
            </w:r>
          </w:p>
        </w:tc>
      </w:tr>
      <w:tr w:rsidR="006B681D" w:rsidRPr="0074169C" w14:paraId="7530DF51" w14:textId="77777777" w:rsidTr="00CE19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6F0F4E43" w14:textId="77777777" w:rsidR="006B681D" w:rsidRPr="0074169C" w:rsidRDefault="006B681D" w:rsidP="006B681D">
            <w:pPr>
              <w:jc w:val="both"/>
              <w:rPr>
                <w:rFonts w:ascii="Arial" w:hAnsi="Arial"/>
                <w:b/>
                <w:bCs/>
                <w:sz w:val="26"/>
                <w:szCs w:val="26"/>
              </w:rPr>
            </w:pPr>
            <w:bookmarkStart w:id="1" w:name="FirstAppellant"/>
            <w:bookmarkStart w:id="2" w:name="FirstLawyer"/>
            <w:r w:rsidRPr="0074169C">
              <w:rPr>
                <w:rFonts w:ascii="Arial" w:hAnsi="Arial" w:hint="cs"/>
                <w:sz w:val="26"/>
                <w:szCs w:val="26"/>
                <w:rtl/>
              </w:rPr>
              <w:t>ה</w:t>
            </w:r>
            <w:r w:rsidRPr="0074169C">
              <w:rPr>
                <w:rFonts w:ascii="Arial" w:hAnsi="Arial"/>
                <w:sz w:val="26"/>
                <w:szCs w:val="26"/>
                <w:rtl/>
              </w:rPr>
              <w:t>מאשימה</w:t>
            </w:r>
          </w:p>
        </w:tc>
        <w:tc>
          <w:tcPr>
            <w:tcW w:w="4227" w:type="dxa"/>
            <w:gridSpan w:val="2"/>
            <w:tcBorders>
              <w:top w:val="nil"/>
              <w:left w:val="nil"/>
              <w:bottom w:val="nil"/>
              <w:right w:val="nil"/>
            </w:tcBorders>
            <w:shd w:val="clear" w:color="auto" w:fill="auto"/>
          </w:tcPr>
          <w:p w14:paraId="393A4891" w14:textId="77777777" w:rsidR="006B681D" w:rsidRPr="0074169C" w:rsidRDefault="006B681D" w:rsidP="002F73E3">
            <w:pPr>
              <w:rPr>
                <w:sz w:val="26"/>
                <w:szCs w:val="26"/>
                <w:rtl/>
              </w:rPr>
            </w:pPr>
            <w:r w:rsidRPr="0074169C">
              <w:rPr>
                <w:rFonts w:ascii="Arial" w:hAnsi="Arial"/>
                <w:sz w:val="26"/>
                <w:szCs w:val="26"/>
                <w:rtl/>
              </w:rPr>
              <w:t>מדינת ישראל</w:t>
            </w:r>
          </w:p>
          <w:p w14:paraId="0BFEAFA1" w14:textId="77777777" w:rsidR="006B681D" w:rsidRPr="0074169C" w:rsidRDefault="006B681D" w:rsidP="002F73E3">
            <w:pPr>
              <w:rPr>
                <w:sz w:val="26"/>
                <w:szCs w:val="26"/>
              </w:rPr>
            </w:pPr>
            <w:r w:rsidRPr="0074169C">
              <w:rPr>
                <w:rFonts w:hint="cs"/>
                <w:sz w:val="26"/>
                <w:szCs w:val="26"/>
                <w:rtl/>
              </w:rPr>
              <w:t>ע"י ב"כ עו"ד ג'סיקה קובורסי</w:t>
            </w:r>
          </w:p>
        </w:tc>
        <w:tc>
          <w:tcPr>
            <w:tcW w:w="3398" w:type="dxa"/>
            <w:gridSpan w:val="2"/>
            <w:tcBorders>
              <w:top w:val="nil"/>
              <w:left w:val="nil"/>
              <w:bottom w:val="nil"/>
              <w:right w:val="nil"/>
            </w:tcBorders>
            <w:shd w:val="clear" w:color="auto" w:fill="auto"/>
          </w:tcPr>
          <w:p w14:paraId="44A47BDE" w14:textId="77777777" w:rsidR="006B681D" w:rsidRPr="0074169C" w:rsidRDefault="006B681D" w:rsidP="006B681D">
            <w:pPr>
              <w:jc w:val="both"/>
              <w:rPr>
                <w:rFonts w:ascii="Arial" w:hAnsi="Arial"/>
                <w:sz w:val="26"/>
                <w:szCs w:val="26"/>
              </w:rPr>
            </w:pPr>
          </w:p>
        </w:tc>
      </w:tr>
      <w:bookmarkEnd w:id="1"/>
      <w:bookmarkEnd w:id="2"/>
      <w:tr w:rsidR="006B681D" w:rsidRPr="0074169C" w14:paraId="57C09B5A" w14:textId="77777777" w:rsidTr="00CE19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195" w:type="dxa"/>
            <w:tcBorders>
              <w:top w:val="nil"/>
              <w:left w:val="nil"/>
              <w:bottom w:val="nil"/>
              <w:right w:val="nil"/>
            </w:tcBorders>
            <w:shd w:val="clear" w:color="auto" w:fill="auto"/>
          </w:tcPr>
          <w:p w14:paraId="6EF4274D" w14:textId="77777777" w:rsidR="006B681D" w:rsidRPr="0074169C" w:rsidRDefault="006B681D" w:rsidP="006B681D">
            <w:pPr>
              <w:jc w:val="both"/>
              <w:rPr>
                <w:rFonts w:ascii="Arial" w:hAnsi="Arial"/>
                <w:sz w:val="26"/>
                <w:szCs w:val="26"/>
                <w:rtl/>
              </w:rPr>
            </w:pPr>
          </w:p>
        </w:tc>
        <w:tc>
          <w:tcPr>
            <w:tcW w:w="7625" w:type="dxa"/>
            <w:gridSpan w:val="4"/>
            <w:tcBorders>
              <w:top w:val="nil"/>
              <w:left w:val="nil"/>
              <w:bottom w:val="nil"/>
              <w:right w:val="nil"/>
            </w:tcBorders>
            <w:shd w:val="clear" w:color="auto" w:fill="auto"/>
          </w:tcPr>
          <w:p w14:paraId="27949EFF" w14:textId="77777777" w:rsidR="006B681D" w:rsidRPr="0074169C" w:rsidRDefault="006B681D" w:rsidP="006B681D">
            <w:pPr>
              <w:jc w:val="center"/>
              <w:rPr>
                <w:rFonts w:ascii="Arial" w:hAnsi="Arial"/>
                <w:b/>
                <w:bCs/>
                <w:sz w:val="26"/>
                <w:szCs w:val="26"/>
                <w:rtl/>
              </w:rPr>
            </w:pPr>
          </w:p>
          <w:p w14:paraId="0BA47761" w14:textId="77777777" w:rsidR="006B681D" w:rsidRPr="0074169C" w:rsidRDefault="006B681D" w:rsidP="006B681D">
            <w:pPr>
              <w:jc w:val="center"/>
              <w:rPr>
                <w:rFonts w:ascii="Arial" w:hAnsi="Arial"/>
                <w:b/>
                <w:bCs/>
                <w:sz w:val="26"/>
                <w:szCs w:val="26"/>
                <w:rtl/>
              </w:rPr>
            </w:pPr>
            <w:r w:rsidRPr="0074169C">
              <w:rPr>
                <w:rFonts w:ascii="Arial" w:hAnsi="Arial"/>
                <w:b/>
                <w:bCs/>
                <w:sz w:val="26"/>
                <w:szCs w:val="26"/>
                <w:rtl/>
              </w:rPr>
              <w:t>נגד</w:t>
            </w:r>
          </w:p>
          <w:p w14:paraId="3F847671" w14:textId="77777777" w:rsidR="006B681D" w:rsidRPr="0074169C" w:rsidRDefault="006B681D" w:rsidP="006B681D">
            <w:pPr>
              <w:jc w:val="both"/>
              <w:rPr>
                <w:rFonts w:ascii="Arial" w:hAnsi="Arial"/>
                <w:sz w:val="26"/>
                <w:szCs w:val="26"/>
              </w:rPr>
            </w:pPr>
          </w:p>
        </w:tc>
      </w:tr>
      <w:tr w:rsidR="006B681D" w:rsidRPr="0074169C" w14:paraId="5AB9A67D" w14:textId="77777777" w:rsidTr="00CE19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13149E6B" w14:textId="77777777" w:rsidR="006B681D" w:rsidRPr="0074169C" w:rsidRDefault="006B681D" w:rsidP="002F73E3">
            <w:pPr>
              <w:rPr>
                <w:rFonts w:ascii="Arial" w:hAnsi="Arial"/>
                <w:sz w:val="26"/>
                <w:szCs w:val="26"/>
                <w:rtl/>
              </w:rPr>
            </w:pPr>
            <w:r w:rsidRPr="0074169C">
              <w:rPr>
                <w:rFonts w:ascii="Arial" w:hAnsi="Arial" w:hint="cs"/>
                <w:sz w:val="26"/>
                <w:szCs w:val="26"/>
                <w:rtl/>
              </w:rPr>
              <w:t>ה</w:t>
            </w:r>
            <w:r w:rsidRPr="0074169C">
              <w:rPr>
                <w:rFonts w:ascii="Arial" w:hAnsi="Arial"/>
                <w:sz w:val="26"/>
                <w:szCs w:val="26"/>
                <w:rtl/>
              </w:rPr>
              <w:t>נאשמים</w:t>
            </w:r>
          </w:p>
        </w:tc>
        <w:tc>
          <w:tcPr>
            <w:tcW w:w="4227" w:type="dxa"/>
            <w:gridSpan w:val="2"/>
            <w:tcBorders>
              <w:top w:val="nil"/>
              <w:left w:val="nil"/>
              <w:bottom w:val="nil"/>
              <w:right w:val="nil"/>
            </w:tcBorders>
            <w:shd w:val="clear" w:color="auto" w:fill="auto"/>
          </w:tcPr>
          <w:p w14:paraId="190E36BB" w14:textId="77777777" w:rsidR="006B681D" w:rsidRPr="0074169C" w:rsidRDefault="006B681D" w:rsidP="002F73E3">
            <w:pPr>
              <w:rPr>
                <w:sz w:val="26"/>
                <w:szCs w:val="26"/>
                <w:rtl/>
              </w:rPr>
            </w:pPr>
            <w:r w:rsidRPr="0074169C">
              <w:rPr>
                <w:rFonts w:ascii="Arial" w:hAnsi="Arial"/>
                <w:sz w:val="26"/>
                <w:szCs w:val="26"/>
                <w:rtl/>
              </w:rPr>
              <w:t>שפי קרופניק</w:t>
            </w:r>
          </w:p>
          <w:p w14:paraId="51565ED4" w14:textId="77777777" w:rsidR="006B681D" w:rsidRPr="0074169C" w:rsidRDefault="006B681D" w:rsidP="002F73E3">
            <w:pPr>
              <w:rPr>
                <w:sz w:val="26"/>
                <w:szCs w:val="26"/>
                <w:rtl/>
              </w:rPr>
            </w:pPr>
            <w:r w:rsidRPr="0074169C">
              <w:rPr>
                <w:rFonts w:hint="cs"/>
                <w:sz w:val="26"/>
                <w:szCs w:val="26"/>
                <w:rtl/>
              </w:rPr>
              <w:t>ע"י ב"כ עו"ד ניר פוגל</w:t>
            </w:r>
          </w:p>
        </w:tc>
        <w:tc>
          <w:tcPr>
            <w:tcW w:w="3398" w:type="dxa"/>
            <w:gridSpan w:val="2"/>
            <w:tcBorders>
              <w:top w:val="nil"/>
              <w:left w:val="nil"/>
              <w:bottom w:val="nil"/>
              <w:right w:val="nil"/>
            </w:tcBorders>
            <w:shd w:val="clear" w:color="auto" w:fill="auto"/>
          </w:tcPr>
          <w:p w14:paraId="7980BC03" w14:textId="77777777" w:rsidR="006B681D" w:rsidRPr="0074169C" w:rsidRDefault="006B681D" w:rsidP="006B681D">
            <w:pPr>
              <w:jc w:val="right"/>
              <w:rPr>
                <w:rFonts w:ascii="Arial" w:hAnsi="Arial"/>
                <w:sz w:val="26"/>
                <w:szCs w:val="26"/>
              </w:rPr>
            </w:pPr>
          </w:p>
        </w:tc>
      </w:tr>
    </w:tbl>
    <w:p w14:paraId="1F34FCBA" w14:textId="77777777" w:rsidR="006B681D" w:rsidRPr="0074169C" w:rsidRDefault="006B681D" w:rsidP="006B681D"/>
    <w:p w14:paraId="4ED033F3" w14:textId="77777777" w:rsidR="00D76433" w:rsidRPr="00D76433" w:rsidRDefault="00D76433" w:rsidP="006B681D">
      <w:pPr>
        <w:bidi w:val="0"/>
        <w:rPr>
          <w:rFonts w:ascii="Arial" w:hAnsi="Arial"/>
          <w:b/>
          <w:bCs/>
          <w:sz w:val="40"/>
          <w:szCs w:val="40"/>
        </w:rPr>
      </w:pPr>
    </w:p>
    <w:p w14:paraId="2465DCF4" w14:textId="77777777" w:rsidR="00AE76F3" w:rsidRPr="00AE76F3" w:rsidRDefault="00AE76F3" w:rsidP="00D76433">
      <w:pPr>
        <w:rPr>
          <w:rFonts w:ascii="Arial" w:hAnsi="Arial"/>
          <w:sz w:val="40"/>
          <w:szCs w:val="40"/>
          <w:rtl/>
        </w:rPr>
      </w:pPr>
    </w:p>
    <w:p w14:paraId="72DA30CA" w14:textId="77777777" w:rsidR="00AE76F3" w:rsidRPr="00AE76F3" w:rsidRDefault="00AE76F3" w:rsidP="00AE76F3">
      <w:pPr>
        <w:spacing w:after="120" w:line="240" w:lineRule="exact"/>
        <w:ind w:left="283" w:hanging="283"/>
        <w:jc w:val="both"/>
        <w:rPr>
          <w:rFonts w:ascii="FrankRuehl" w:hAnsi="FrankRuehl" w:cs="FrankRuehl"/>
        </w:rPr>
      </w:pPr>
      <w:bookmarkStart w:id="3" w:name="Links_Start"/>
      <w:bookmarkEnd w:id="3"/>
      <w:r w:rsidRPr="00AE76F3">
        <w:rPr>
          <w:rFonts w:ascii="FrankRuehl" w:hAnsi="FrankRuehl" w:cs="FrankRuehl"/>
          <w:rtl/>
        </w:rPr>
        <w:t>ספרות:</w:t>
      </w:r>
    </w:p>
    <w:p w14:paraId="378E9F68" w14:textId="77777777" w:rsidR="00AE76F3" w:rsidRPr="00AE76F3" w:rsidRDefault="00AE76F3" w:rsidP="00AE76F3">
      <w:pPr>
        <w:spacing w:after="120" w:line="240" w:lineRule="exact"/>
        <w:ind w:left="283" w:hanging="283"/>
        <w:jc w:val="both"/>
        <w:rPr>
          <w:rFonts w:ascii="FrankRuehl" w:hAnsi="FrankRuehl" w:cs="FrankRuehl"/>
          <w:color w:val="000000"/>
          <w:rtl/>
        </w:rPr>
      </w:pPr>
      <w:r w:rsidRPr="00AE76F3">
        <w:rPr>
          <w:rFonts w:ascii="FrankRuehl" w:hAnsi="FrankRuehl" w:cs="FrankRuehl"/>
          <w:color w:val="000000"/>
          <w:rtl/>
        </w:rPr>
        <w:t xml:space="preserve">מיכאל בר זוהר  </w:t>
      </w:r>
      <w:r w:rsidRPr="00AE76F3">
        <w:rPr>
          <w:rFonts w:ascii="FrankRuehl" w:hAnsi="FrankRuehl" w:cs="FrankRuehl"/>
          <w:color w:val="000000"/>
        </w:rPr>
        <w:t xml:space="preserve"> </w:t>
      </w:r>
      <w:r w:rsidRPr="00AE76F3">
        <w:rPr>
          <w:rFonts w:ascii="FrankRuehl" w:hAnsi="FrankRuehl" w:cs="FrankRuehl"/>
          <w:b/>
          <w:bCs/>
          <w:color w:val="000000"/>
          <w:rtl/>
        </w:rPr>
        <w:t xml:space="preserve">בן גוריון </w:t>
      </w:r>
    </w:p>
    <w:p w14:paraId="75863384" w14:textId="77777777" w:rsidR="00AE76F3" w:rsidRPr="00AE76F3" w:rsidRDefault="00AE76F3" w:rsidP="00D76433">
      <w:pPr>
        <w:rPr>
          <w:rFonts w:ascii="Arial" w:hAnsi="Arial"/>
          <w:color w:val="000000"/>
          <w:sz w:val="40"/>
          <w:szCs w:val="40"/>
          <w:rtl/>
        </w:rPr>
      </w:pPr>
      <w:bookmarkStart w:id="4" w:name="Links_End"/>
      <w:bookmarkEnd w:id="4"/>
    </w:p>
    <w:p w14:paraId="38734DE2" w14:textId="77777777" w:rsidR="00AE76F3" w:rsidRDefault="00AE76F3" w:rsidP="00AE76F3">
      <w:pPr>
        <w:rPr>
          <w:rFonts w:ascii="Arial" w:hAnsi="Arial"/>
          <w:sz w:val="40"/>
          <w:szCs w:val="40"/>
          <w:rtl/>
        </w:rPr>
      </w:pPr>
      <w:bookmarkStart w:id="5" w:name="LawTable"/>
      <w:bookmarkEnd w:id="5"/>
    </w:p>
    <w:p w14:paraId="3A7FA58D" w14:textId="77777777" w:rsidR="00AE76F3" w:rsidRPr="00AE76F3" w:rsidRDefault="00AE76F3" w:rsidP="00AE76F3">
      <w:pPr>
        <w:spacing w:before="120" w:after="120" w:line="240" w:lineRule="exact"/>
        <w:ind w:left="283" w:hanging="283"/>
        <w:jc w:val="both"/>
        <w:rPr>
          <w:rFonts w:ascii="FrankRuehl" w:hAnsi="FrankRuehl" w:cs="FrankRuehl"/>
          <w:rtl/>
        </w:rPr>
      </w:pPr>
    </w:p>
    <w:p w14:paraId="4DFEF2E1" w14:textId="77777777" w:rsidR="00AE76F3" w:rsidRPr="00AE76F3" w:rsidRDefault="00AE76F3" w:rsidP="00AE76F3">
      <w:pPr>
        <w:spacing w:before="120" w:after="120" w:line="240" w:lineRule="exact"/>
        <w:ind w:left="283" w:hanging="283"/>
        <w:jc w:val="both"/>
        <w:rPr>
          <w:rFonts w:ascii="FrankRuehl" w:hAnsi="FrankRuehl" w:cs="FrankRuehl"/>
          <w:rtl/>
        </w:rPr>
      </w:pPr>
    </w:p>
    <w:p w14:paraId="48B887B7" w14:textId="77777777" w:rsidR="00AE76F3" w:rsidRPr="00AE76F3" w:rsidRDefault="00AE76F3" w:rsidP="00AE76F3">
      <w:pPr>
        <w:spacing w:before="120" w:after="120" w:line="240" w:lineRule="exact"/>
        <w:ind w:left="283" w:hanging="283"/>
        <w:jc w:val="both"/>
        <w:rPr>
          <w:rFonts w:ascii="FrankRuehl" w:hAnsi="FrankRuehl" w:cs="FrankRuehl"/>
          <w:rtl/>
        </w:rPr>
      </w:pPr>
      <w:r w:rsidRPr="00AE76F3">
        <w:rPr>
          <w:rFonts w:ascii="FrankRuehl" w:hAnsi="FrankRuehl" w:cs="FrankRuehl"/>
          <w:rtl/>
        </w:rPr>
        <w:t xml:space="preserve">חקיקה שאוזכרה: </w:t>
      </w:r>
    </w:p>
    <w:p w14:paraId="6A3B597C" w14:textId="77777777" w:rsidR="00AE76F3" w:rsidRPr="00AE76F3" w:rsidRDefault="00AE76F3" w:rsidP="00AE76F3">
      <w:pPr>
        <w:spacing w:before="120" w:after="120" w:line="240" w:lineRule="exact"/>
        <w:ind w:left="283" w:hanging="283"/>
        <w:jc w:val="both"/>
        <w:rPr>
          <w:rFonts w:ascii="FrankRuehl" w:hAnsi="FrankRuehl" w:cs="FrankRuehl"/>
          <w:rtl/>
        </w:rPr>
      </w:pPr>
      <w:hyperlink r:id="rId7" w:history="1">
        <w:r w:rsidRPr="00AE76F3">
          <w:rPr>
            <w:rFonts w:ascii="FrankRuehl" w:hAnsi="FrankRuehl" w:cs="FrankRuehl"/>
            <w:color w:val="0000FF"/>
            <w:rtl/>
          </w:rPr>
          <w:t>פקודת הסמים המסוכנים [נוסח חדש], תשל"ג-1973</w:t>
        </w:r>
      </w:hyperlink>
      <w:r w:rsidRPr="00AE76F3">
        <w:rPr>
          <w:rFonts w:ascii="FrankRuehl" w:hAnsi="FrankRuehl" w:cs="FrankRuehl"/>
          <w:rtl/>
        </w:rPr>
        <w:t xml:space="preserve">: סע'  </w:t>
      </w:r>
      <w:hyperlink r:id="rId8" w:history="1">
        <w:r w:rsidRPr="00AE76F3">
          <w:rPr>
            <w:rFonts w:ascii="FrankRuehl" w:hAnsi="FrankRuehl" w:cs="FrankRuehl"/>
            <w:color w:val="0000FF"/>
            <w:rtl/>
          </w:rPr>
          <w:t>7.א.</w:t>
        </w:r>
      </w:hyperlink>
      <w:r w:rsidRPr="00AE76F3">
        <w:rPr>
          <w:rFonts w:ascii="FrankRuehl" w:hAnsi="FrankRuehl" w:cs="FrankRuehl"/>
          <w:rtl/>
        </w:rPr>
        <w:t xml:space="preserve">, </w:t>
      </w:r>
      <w:hyperlink r:id="rId9" w:history="1">
        <w:r w:rsidRPr="00AE76F3">
          <w:rPr>
            <w:rFonts w:ascii="FrankRuehl" w:hAnsi="FrankRuehl" w:cs="FrankRuehl"/>
            <w:color w:val="0000FF"/>
            <w:rtl/>
          </w:rPr>
          <w:t>7.ג</w:t>
        </w:r>
      </w:hyperlink>
    </w:p>
    <w:p w14:paraId="01E4DA5E" w14:textId="77777777" w:rsidR="00AE76F3" w:rsidRPr="00AE76F3" w:rsidRDefault="00AE76F3" w:rsidP="00AE76F3">
      <w:pPr>
        <w:spacing w:before="120" w:after="120" w:line="240" w:lineRule="exact"/>
        <w:ind w:left="283" w:hanging="283"/>
        <w:jc w:val="both"/>
        <w:rPr>
          <w:rFonts w:ascii="FrankRuehl" w:hAnsi="FrankRuehl" w:cs="FrankRuehl"/>
          <w:rtl/>
        </w:rPr>
      </w:pPr>
      <w:hyperlink r:id="rId10" w:history="1">
        <w:r w:rsidRPr="00AE76F3">
          <w:rPr>
            <w:rFonts w:ascii="FrankRuehl" w:hAnsi="FrankRuehl" w:cs="FrankRuehl"/>
            <w:color w:val="0000FF"/>
            <w:rtl/>
          </w:rPr>
          <w:t>חוק העונשין, תשל"ז-1977</w:t>
        </w:r>
      </w:hyperlink>
      <w:r w:rsidRPr="00AE76F3">
        <w:rPr>
          <w:rFonts w:ascii="FrankRuehl" w:hAnsi="FrankRuehl" w:cs="FrankRuehl"/>
          <w:rtl/>
        </w:rPr>
        <w:t xml:space="preserve">: סע'  </w:t>
      </w:r>
      <w:hyperlink r:id="rId11" w:history="1">
        <w:r w:rsidRPr="00AE76F3">
          <w:rPr>
            <w:rFonts w:ascii="FrankRuehl" w:hAnsi="FrankRuehl" w:cs="FrankRuehl"/>
            <w:color w:val="0000FF"/>
            <w:rtl/>
          </w:rPr>
          <w:t>71 א(ד)</w:t>
        </w:r>
      </w:hyperlink>
      <w:r w:rsidRPr="00AE76F3">
        <w:rPr>
          <w:rFonts w:ascii="FrankRuehl" w:hAnsi="FrankRuehl" w:cs="FrankRuehl"/>
          <w:rtl/>
        </w:rPr>
        <w:t xml:space="preserve">, </w:t>
      </w:r>
      <w:hyperlink r:id="rId12" w:history="1">
        <w:r w:rsidRPr="00AE76F3">
          <w:rPr>
            <w:rFonts w:ascii="FrankRuehl" w:hAnsi="FrankRuehl" w:cs="FrankRuehl"/>
            <w:color w:val="0000FF"/>
            <w:rtl/>
          </w:rPr>
          <w:t>186(א)</w:t>
        </w:r>
      </w:hyperlink>
      <w:r w:rsidRPr="00AE76F3">
        <w:rPr>
          <w:rFonts w:ascii="FrankRuehl" w:hAnsi="FrankRuehl" w:cs="FrankRuehl"/>
          <w:rtl/>
        </w:rPr>
        <w:t xml:space="preserve">, </w:t>
      </w:r>
      <w:hyperlink r:id="rId13" w:history="1">
        <w:r w:rsidRPr="00AE76F3">
          <w:rPr>
            <w:rFonts w:ascii="FrankRuehl" w:hAnsi="FrankRuehl" w:cs="FrankRuehl"/>
            <w:color w:val="0000FF"/>
            <w:rtl/>
          </w:rPr>
          <w:t>40יא</w:t>
        </w:r>
      </w:hyperlink>
    </w:p>
    <w:p w14:paraId="439A0657" w14:textId="77777777" w:rsidR="00AE76F3" w:rsidRPr="00AE76F3" w:rsidRDefault="00AE76F3" w:rsidP="00AE76F3">
      <w:pPr>
        <w:rPr>
          <w:rFonts w:ascii="Arial" w:hAnsi="Arial"/>
          <w:sz w:val="40"/>
          <w:szCs w:val="40"/>
          <w:rtl/>
        </w:rPr>
      </w:pPr>
      <w:bookmarkStart w:id="6" w:name="LawTable_End"/>
      <w:bookmarkEnd w:id="6"/>
    </w:p>
    <w:p w14:paraId="06F2084F" w14:textId="77777777" w:rsidR="00CE19C0" w:rsidRPr="00AE76F3" w:rsidRDefault="00CE19C0" w:rsidP="00D76433">
      <w:pPr>
        <w:rPr>
          <w:rFonts w:ascii="Arial" w:hAnsi="Arial"/>
          <w:sz w:val="40"/>
          <w:szCs w:val="40"/>
        </w:rPr>
      </w:pPr>
    </w:p>
    <w:p w14:paraId="0E357ADF" w14:textId="77777777" w:rsidR="00CE19C0" w:rsidRDefault="00CE19C0" w:rsidP="0074169C">
      <w:pPr>
        <w:spacing w:after="120" w:line="240" w:lineRule="exact"/>
        <w:ind w:left="283" w:hanging="283"/>
        <w:jc w:val="both"/>
        <w:rPr>
          <w:rFonts w:ascii="FrankRuehl" w:hAnsi="FrankRuehl" w:cs="FrankRuehl" w:hint="cs"/>
          <w:b/>
          <w:bCs/>
          <w:rtl/>
        </w:rPr>
      </w:pPr>
      <w:bookmarkStart w:id="7" w:name="PsakDin"/>
    </w:p>
    <w:p w14:paraId="34B76B05" w14:textId="77777777" w:rsidR="00CE19C0" w:rsidRPr="0074169C" w:rsidRDefault="00CE19C0" w:rsidP="0074169C">
      <w:pPr>
        <w:spacing w:after="120" w:line="240" w:lineRule="exact"/>
        <w:ind w:left="283" w:hanging="283"/>
        <w:jc w:val="both"/>
        <w:rPr>
          <w:rFonts w:ascii="FrankRuehl" w:hAnsi="FrankRuehl" w:cs="FrankRuehl"/>
          <w:b/>
          <w:bCs/>
          <w:rtl/>
        </w:rPr>
      </w:pPr>
      <w:r w:rsidRPr="0074169C">
        <w:rPr>
          <w:rFonts w:ascii="FrankRuehl" w:hAnsi="FrankRuehl" w:cs="FrankRuehl"/>
          <w:b/>
          <w:bCs/>
          <w:rtl/>
        </w:rPr>
        <w:t>ספרות:</w:t>
      </w:r>
    </w:p>
    <w:p w14:paraId="7B916685" w14:textId="77777777" w:rsidR="00CE19C0" w:rsidRPr="0074169C" w:rsidRDefault="00CE19C0" w:rsidP="0074169C">
      <w:pPr>
        <w:spacing w:after="120" w:line="240" w:lineRule="exact"/>
        <w:ind w:left="283" w:hanging="283"/>
        <w:jc w:val="both"/>
        <w:rPr>
          <w:rFonts w:ascii="FrankRuehl" w:hAnsi="FrankRuehl" w:cs="FrankRuehl"/>
          <w:b/>
          <w:bCs/>
          <w:color w:val="000000"/>
          <w:rtl/>
        </w:rPr>
      </w:pPr>
      <w:r w:rsidRPr="0074169C">
        <w:rPr>
          <w:rFonts w:ascii="FrankRuehl" w:hAnsi="FrankRuehl" w:cs="FrankRuehl"/>
          <w:b/>
          <w:bCs/>
          <w:color w:val="000000"/>
          <w:rtl/>
        </w:rPr>
        <w:t xml:space="preserve">מיכאל בר זוהר  </w:t>
      </w:r>
      <w:r w:rsidRPr="0074169C">
        <w:rPr>
          <w:rFonts w:ascii="FrankRuehl" w:hAnsi="FrankRuehl" w:cs="FrankRuehl"/>
          <w:b/>
          <w:bCs/>
          <w:color w:val="000000"/>
        </w:rPr>
        <w:t xml:space="preserve"> </w:t>
      </w:r>
      <w:r w:rsidRPr="0074169C">
        <w:rPr>
          <w:rFonts w:ascii="FrankRuehl" w:hAnsi="FrankRuehl" w:cs="FrankRuehl"/>
          <w:b/>
          <w:bCs/>
          <w:color w:val="000000"/>
          <w:rtl/>
        </w:rPr>
        <w:t xml:space="preserve">בן גוריון </w:t>
      </w:r>
    </w:p>
    <w:p w14:paraId="1416F601" w14:textId="77777777" w:rsidR="00CE19C0" w:rsidRPr="0074169C" w:rsidRDefault="00CE19C0" w:rsidP="0074169C">
      <w:pPr>
        <w:spacing w:line="360" w:lineRule="auto"/>
        <w:jc w:val="center"/>
        <w:rPr>
          <w:rFonts w:ascii="Arial" w:hAnsi="Arial"/>
          <w:b/>
          <w:bCs/>
          <w:color w:val="000000"/>
          <w:sz w:val="40"/>
          <w:szCs w:val="40"/>
          <w:u w:val="single"/>
          <w:rtl/>
        </w:rPr>
      </w:pPr>
    </w:p>
    <w:p w14:paraId="4FE8373D" w14:textId="77777777" w:rsidR="00CE19C0" w:rsidRPr="0074169C" w:rsidRDefault="00CE19C0" w:rsidP="0074169C">
      <w:pPr>
        <w:spacing w:line="360" w:lineRule="auto"/>
        <w:jc w:val="center"/>
        <w:rPr>
          <w:rFonts w:ascii="Arial" w:hAnsi="Arial"/>
          <w:b/>
          <w:bCs/>
          <w:sz w:val="40"/>
          <w:szCs w:val="40"/>
          <w:u w:val="single"/>
          <w:rtl/>
        </w:rPr>
      </w:pPr>
      <w:r w:rsidRPr="0074169C">
        <w:rPr>
          <w:rFonts w:ascii="Arial" w:hAnsi="Arial"/>
          <w:b/>
          <w:bCs/>
          <w:sz w:val="40"/>
          <w:szCs w:val="40"/>
          <w:u w:val="single"/>
          <w:rtl/>
        </w:rPr>
        <w:t>גזר דין</w:t>
      </w:r>
    </w:p>
    <w:bookmarkEnd w:id="7"/>
    <w:p w14:paraId="1A9C05D1" w14:textId="77777777" w:rsidR="00CE19C0" w:rsidRPr="006B681D" w:rsidRDefault="00CE19C0" w:rsidP="006B681D">
      <w:pPr>
        <w:spacing w:line="360" w:lineRule="auto"/>
        <w:jc w:val="both"/>
        <w:rPr>
          <w:rFonts w:ascii="Arial" w:hAnsi="Arial"/>
        </w:rPr>
      </w:pPr>
    </w:p>
    <w:p w14:paraId="6E97D08E" w14:textId="77777777" w:rsidR="00CE19C0" w:rsidRPr="006B681D" w:rsidRDefault="00CE19C0" w:rsidP="006B681D">
      <w:pPr>
        <w:spacing w:line="360" w:lineRule="auto"/>
        <w:ind w:left="278"/>
        <w:rPr>
          <w:b/>
          <w:bCs/>
          <w:sz w:val="32"/>
          <w:szCs w:val="32"/>
          <w:u w:val="single"/>
          <w:rtl/>
        </w:rPr>
      </w:pPr>
      <w:r w:rsidRPr="006B681D">
        <w:rPr>
          <w:b/>
          <w:bCs/>
          <w:sz w:val="32"/>
          <w:szCs w:val="32"/>
          <w:u w:val="single"/>
          <w:rtl/>
        </w:rPr>
        <w:t>פתח דבר</w:t>
      </w:r>
    </w:p>
    <w:p w14:paraId="5128C92D" w14:textId="77777777" w:rsidR="006B681D" w:rsidRDefault="006B681D" w:rsidP="006B681D">
      <w:pPr>
        <w:pStyle w:val="aa"/>
        <w:numPr>
          <w:ilvl w:val="0"/>
          <w:numId w:val="1"/>
        </w:numPr>
        <w:spacing w:before="120" w:after="120" w:line="360" w:lineRule="auto"/>
        <w:ind w:left="357" w:hanging="357"/>
        <w:jc w:val="both"/>
        <w:rPr>
          <w:noProof w:val="0"/>
        </w:rPr>
      </w:pPr>
      <w:bookmarkStart w:id="8" w:name="NGCSBookmark"/>
      <w:bookmarkStart w:id="9" w:name="ABSTRACT_START"/>
      <w:bookmarkEnd w:id="0"/>
      <w:bookmarkEnd w:id="8"/>
      <w:bookmarkEnd w:id="9"/>
      <w:r>
        <w:rPr>
          <w:noProof w:val="0"/>
          <w:rtl/>
        </w:rPr>
        <w:t xml:space="preserve">הנאשם הודה והורשע, בכתב אישום מתוקן, במסגרת הסדר דיוני, בעבירות של </w:t>
      </w:r>
      <w:r>
        <w:rPr>
          <w:b/>
          <w:bCs/>
          <w:noProof w:val="0"/>
          <w:rtl/>
        </w:rPr>
        <w:t>החזקת סם שלא לצריכה עצמית</w:t>
      </w:r>
      <w:r>
        <w:rPr>
          <w:noProof w:val="0"/>
          <w:rtl/>
        </w:rPr>
        <w:t xml:space="preserve">, לפי סעיף </w:t>
      </w:r>
      <w:hyperlink r:id="rId14" w:history="1">
        <w:r w:rsidR="00CE19C0" w:rsidRPr="00CE19C0">
          <w:rPr>
            <w:rStyle w:val="Hyperlink"/>
            <w:noProof w:val="0"/>
            <w:rtl/>
          </w:rPr>
          <w:t>7 (</w:t>
        </w:r>
        <w:r w:rsidR="00CE19C0" w:rsidRPr="00CE19C0">
          <w:rPr>
            <w:rStyle w:val="Hyperlink"/>
            <w:rFonts w:hint="cs"/>
            <w:noProof w:val="0"/>
            <w:rtl/>
          </w:rPr>
          <w:t>א</w:t>
        </w:r>
        <w:r w:rsidR="00CE19C0" w:rsidRPr="00CE19C0">
          <w:rPr>
            <w:rStyle w:val="Hyperlink"/>
            <w:noProof w:val="0"/>
            <w:rtl/>
          </w:rPr>
          <w:t>) + 7(</w:t>
        </w:r>
        <w:r w:rsidR="00CE19C0" w:rsidRPr="00CE19C0">
          <w:rPr>
            <w:rStyle w:val="Hyperlink"/>
            <w:rFonts w:hint="cs"/>
            <w:noProof w:val="0"/>
            <w:rtl/>
          </w:rPr>
          <w:t>ג</w:t>
        </w:r>
        <w:r w:rsidR="00CE19C0" w:rsidRPr="00CE19C0">
          <w:rPr>
            <w:rStyle w:val="Hyperlink"/>
            <w:noProof w:val="0"/>
            <w:rtl/>
          </w:rPr>
          <w:t>)</w:t>
        </w:r>
      </w:hyperlink>
      <w:r>
        <w:rPr>
          <w:noProof w:val="0"/>
          <w:rtl/>
        </w:rPr>
        <w:t xml:space="preserve"> רישא ל</w:t>
      </w:r>
      <w:hyperlink r:id="rId15" w:history="1">
        <w:r w:rsidR="0074169C" w:rsidRPr="0074169C">
          <w:rPr>
            <w:rFonts w:hint="cs"/>
            <w:noProof w:val="0"/>
            <w:color w:val="0000FF"/>
            <w:u w:val="single"/>
            <w:rtl/>
          </w:rPr>
          <w:t>פקודת</w:t>
        </w:r>
        <w:r w:rsidR="0074169C" w:rsidRPr="0074169C">
          <w:rPr>
            <w:noProof w:val="0"/>
            <w:color w:val="0000FF"/>
            <w:u w:val="single"/>
            <w:rtl/>
          </w:rPr>
          <w:t xml:space="preserve"> </w:t>
        </w:r>
        <w:r w:rsidR="0074169C" w:rsidRPr="0074169C">
          <w:rPr>
            <w:rFonts w:hint="cs"/>
            <w:noProof w:val="0"/>
            <w:color w:val="0000FF"/>
            <w:u w:val="single"/>
            <w:rtl/>
          </w:rPr>
          <w:t>הסמים</w:t>
        </w:r>
        <w:r w:rsidR="0074169C" w:rsidRPr="0074169C">
          <w:rPr>
            <w:noProof w:val="0"/>
            <w:color w:val="0000FF"/>
            <w:u w:val="single"/>
            <w:rtl/>
          </w:rPr>
          <w:t xml:space="preserve"> </w:t>
        </w:r>
        <w:r w:rsidR="0074169C" w:rsidRPr="0074169C">
          <w:rPr>
            <w:rFonts w:hint="cs"/>
            <w:noProof w:val="0"/>
            <w:color w:val="0000FF"/>
            <w:u w:val="single"/>
            <w:rtl/>
          </w:rPr>
          <w:t>המסוכנים</w:t>
        </w:r>
      </w:hyperlink>
      <w:r>
        <w:rPr>
          <w:noProof w:val="0"/>
          <w:rtl/>
        </w:rPr>
        <w:t xml:space="preserve"> [נוסח חדש] התשל"ג – 1973 ו</w:t>
      </w:r>
      <w:r>
        <w:rPr>
          <w:b/>
          <w:bCs/>
          <w:rtl/>
        </w:rPr>
        <w:t>החזקת אגרופן או סכין שלא כדין</w:t>
      </w:r>
      <w:r>
        <w:rPr>
          <w:rtl/>
        </w:rPr>
        <w:t xml:space="preserve">, לפי </w:t>
      </w:r>
      <w:hyperlink r:id="rId16" w:history="1">
        <w:r w:rsidR="00CE19C0" w:rsidRPr="00CE19C0">
          <w:rPr>
            <w:rStyle w:val="Hyperlink"/>
            <w:rFonts w:hint="cs"/>
            <w:rtl/>
          </w:rPr>
          <w:t>סעיף</w:t>
        </w:r>
        <w:r w:rsidR="00CE19C0" w:rsidRPr="00CE19C0">
          <w:rPr>
            <w:rStyle w:val="Hyperlink"/>
            <w:rtl/>
          </w:rPr>
          <w:t xml:space="preserve"> 186(</w:t>
        </w:r>
        <w:r w:rsidR="00CE19C0" w:rsidRPr="00CE19C0">
          <w:rPr>
            <w:rStyle w:val="Hyperlink"/>
            <w:rFonts w:hint="cs"/>
            <w:rtl/>
          </w:rPr>
          <w:t>א</w:t>
        </w:r>
        <w:r w:rsidR="00CE19C0" w:rsidRPr="00CE19C0">
          <w:rPr>
            <w:rStyle w:val="Hyperlink"/>
            <w:rtl/>
          </w:rPr>
          <w:t>)</w:t>
        </w:r>
      </w:hyperlink>
      <w:r>
        <w:rPr>
          <w:rtl/>
        </w:rPr>
        <w:t xml:space="preserve"> ל</w:t>
      </w:r>
      <w:hyperlink r:id="rId17" w:history="1">
        <w:r w:rsidR="0074169C" w:rsidRPr="0074169C">
          <w:rPr>
            <w:rFonts w:hint="cs"/>
            <w:color w:val="0000FF"/>
            <w:u w:val="single"/>
            <w:rtl/>
          </w:rPr>
          <w:t>חוק</w:t>
        </w:r>
        <w:r w:rsidR="0074169C" w:rsidRPr="0074169C">
          <w:rPr>
            <w:color w:val="0000FF"/>
            <w:u w:val="single"/>
            <w:rtl/>
          </w:rPr>
          <w:t xml:space="preserve"> </w:t>
        </w:r>
        <w:r w:rsidR="0074169C" w:rsidRPr="0074169C">
          <w:rPr>
            <w:rFonts w:hint="cs"/>
            <w:color w:val="0000FF"/>
            <w:u w:val="single"/>
            <w:rtl/>
          </w:rPr>
          <w:t>העונשין</w:t>
        </w:r>
      </w:hyperlink>
      <w:r>
        <w:rPr>
          <w:rtl/>
        </w:rPr>
        <w:t xml:space="preserve"> התשל"ז – 1977 [להלן: "</w:t>
      </w:r>
      <w:r>
        <w:rPr>
          <w:b/>
          <w:bCs/>
          <w:rtl/>
        </w:rPr>
        <w:t>חוק העונשין</w:t>
      </w:r>
      <w:r>
        <w:rPr>
          <w:rtl/>
        </w:rPr>
        <w:t>"].</w:t>
      </w:r>
    </w:p>
    <w:p w14:paraId="24BAAB46" w14:textId="77777777" w:rsidR="006B681D" w:rsidRDefault="006B681D" w:rsidP="006B681D">
      <w:pPr>
        <w:pStyle w:val="aa"/>
        <w:numPr>
          <w:ilvl w:val="0"/>
          <w:numId w:val="1"/>
        </w:numPr>
        <w:spacing w:before="120" w:after="120" w:line="360" w:lineRule="auto"/>
        <w:ind w:left="357" w:hanging="357"/>
        <w:jc w:val="both"/>
        <w:rPr>
          <w:noProof w:val="0"/>
        </w:rPr>
      </w:pPr>
      <w:bookmarkStart w:id="10" w:name="ABSTRACT_END"/>
      <w:bookmarkEnd w:id="10"/>
      <w:r>
        <w:rPr>
          <w:noProof w:val="0"/>
          <w:rtl/>
        </w:rPr>
        <w:lastRenderedPageBreak/>
        <w:t xml:space="preserve">על פי עובדות כתב האישום המתוקן, עולה כי ביום 28.10.19, בשעה 11:16 או בסמוך לכך, ברחוב דב הוז 86, החזיק הנאשם ברכב אדום מסוג יונדאי, על ספסל המושב שלצד הנהג וכן בתיק, ב-2 פלטות סם מסוכן מסוג חשיש במשקל כולל של 181.49 גרם. </w:t>
      </w:r>
    </w:p>
    <w:p w14:paraId="284973CC" w14:textId="77777777" w:rsidR="006B681D" w:rsidRDefault="006B681D" w:rsidP="006B681D">
      <w:pPr>
        <w:pStyle w:val="aa"/>
        <w:spacing w:before="120" w:after="120" w:line="360" w:lineRule="auto"/>
        <w:ind w:left="357"/>
        <w:jc w:val="both"/>
        <w:rPr>
          <w:noProof w:val="0"/>
        </w:rPr>
      </w:pPr>
      <w:r>
        <w:rPr>
          <w:noProof w:val="0"/>
          <w:rtl/>
        </w:rPr>
        <w:t>באותן הנסיבות החזיק הנאשם גם במשקל אלקטרוני ובסכין יפנית, אותה, כפי המתואר בכתב האישום המתוקן, החזיק לשם חיתוך הסם.</w:t>
      </w:r>
    </w:p>
    <w:p w14:paraId="24EC2B02" w14:textId="77777777" w:rsidR="006B681D" w:rsidRDefault="006B681D" w:rsidP="006B681D">
      <w:pPr>
        <w:pStyle w:val="aa"/>
        <w:numPr>
          <w:ilvl w:val="0"/>
          <w:numId w:val="1"/>
        </w:numPr>
        <w:spacing w:before="120" w:after="120" w:line="360" w:lineRule="auto"/>
        <w:ind w:left="357" w:hanging="357"/>
        <w:jc w:val="both"/>
        <w:rPr>
          <w:noProof w:val="0"/>
        </w:rPr>
      </w:pPr>
      <w:r>
        <w:rPr>
          <w:noProof w:val="0"/>
          <w:rtl/>
        </w:rPr>
        <w:t>הנאשם הודה והורשע בכתב האישום המתוקן והופנה בהסכמת הצדדים לשירות המבחן לקבלת תסקיר בעניינו, וכן נשלח לקבלת חוות דעת מטעם הממונה על עבודות השירות.</w:t>
      </w:r>
    </w:p>
    <w:p w14:paraId="133AB3A9" w14:textId="77777777" w:rsidR="006B681D" w:rsidRDefault="006B681D" w:rsidP="006B681D">
      <w:pPr>
        <w:pStyle w:val="aa"/>
        <w:spacing w:before="120" w:after="120" w:line="360" w:lineRule="auto"/>
        <w:ind w:left="357"/>
        <w:jc w:val="both"/>
        <w:rPr>
          <w:noProof w:val="0"/>
        </w:rPr>
      </w:pPr>
      <w:r>
        <w:rPr>
          <w:noProof w:val="0"/>
          <w:rtl/>
        </w:rPr>
        <w:t>ההסדר לא כלל הסכמה לעניין העונש, כאשר המאשימה הצהירה כי עמדתה למאסר אשר יכול וירוצה בעבודות שירות, מאסר על תנאי, קנס, פסילה ופסילה על תנאי. ההגנה חופשיה בטיעוניה ותבקש משירות המבחן לבחון את שאלת ביטול ההרשעה של הנאשם.</w:t>
      </w:r>
    </w:p>
    <w:p w14:paraId="4E0B1C42" w14:textId="77777777" w:rsidR="006B681D" w:rsidRPr="00372595" w:rsidRDefault="006B681D" w:rsidP="006B681D">
      <w:pPr>
        <w:pStyle w:val="aa"/>
        <w:numPr>
          <w:ilvl w:val="0"/>
          <w:numId w:val="1"/>
        </w:numPr>
        <w:spacing w:before="120" w:after="120" w:line="360" w:lineRule="auto"/>
        <w:ind w:left="357" w:hanging="357"/>
        <w:jc w:val="both"/>
        <w:rPr>
          <w:noProof w:val="0"/>
          <w:rtl/>
        </w:rPr>
      </w:pPr>
      <w:r>
        <w:rPr>
          <w:noProof w:val="0"/>
          <w:rtl/>
        </w:rPr>
        <w:t>כפי העולה מחוות דעת הממונה על עבודות השירות, הנאשם נמצא מתאים לריצוי מאסר בדרך של עבודות שירות.</w:t>
      </w:r>
    </w:p>
    <w:p w14:paraId="1B47DCDB" w14:textId="77777777" w:rsidR="006B681D" w:rsidRDefault="006B681D" w:rsidP="006B681D">
      <w:pPr>
        <w:spacing w:line="360" w:lineRule="auto"/>
        <w:rPr>
          <w:b/>
          <w:bCs/>
          <w:sz w:val="32"/>
          <w:szCs w:val="32"/>
          <w:u w:val="single"/>
        </w:rPr>
      </w:pPr>
      <w:r>
        <w:rPr>
          <w:b/>
          <w:bCs/>
          <w:sz w:val="32"/>
          <w:szCs w:val="32"/>
          <w:u w:val="single"/>
          <w:rtl/>
        </w:rPr>
        <w:t xml:space="preserve">תסקיר שירות המבחן </w:t>
      </w:r>
    </w:p>
    <w:p w14:paraId="2EF07EF9" w14:textId="77777777" w:rsidR="006B681D" w:rsidRDefault="006B681D" w:rsidP="006B681D">
      <w:pPr>
        <w:pStyle w:val="aa"/>
        <w:numPr>
          <w:ilvl w:val="0"/>
          <w:numId w:val="1"/>
        </w:numPr>
        <w:spacing w:before="120" w:after="120" w:line="360" w:lineRule="auto"/>
        <w:ind w:left="357" w:hanging="357"/>
        <w:jc w:val="both"/>
        <w:rPr>
          <w:noProof w:val="0"/>
        </w:rPr>
      </w:pPr>
      <w:r>
        <w:rPr>
          <w:noProof w:val="0"/>
          <w:rtl/>
        </w:rPr>
        <w:t>מתסקיר שירות המבחן מיום 1/12/21 עולה כי הנאשם כבן 39, נשוי ואב לשלושה. סיים 12 שנות לימוד עם בגרות חלקית, שירת שירות צבאי מלא ולאחריו, עבד משך מספר שנים בעבודות מזדמנות, כאשר ב-15 השנים האחרונות עובד בתור מנהל קו חלוקה של חברת "אסם" באיזור תל אביב.</w:t>
      </w:r>
    </w:p>
    <w:p w14:paraId="5B43DFE3" w14:textId="77777777" w:rsidR="006B681D" w:rsidRDefault="006B681D" w:rsidP="006B681D">
      <w:pPr>
        <w:pStyle w:val="aa"/>
        <w:spacing w:before="120" w:after="120" w:line="360" w:lineRule="auto"/>
        <w:ind w:left="357"/>
        <w:jc w:val="both"/>
        <w:rPr>
          <w:noProof w:val="0"/>
        </w:rPr>
      </w:pPr>
      <w:r>
        <w:rPr>
          <w:noProof w:val="0"/>
          <w:rtl/>
        </w:rPr>
        <w:t xml:space="preserve">הנאשם נעדר עבר פלילי ולא פתוחים כנגדו תיקי מב"ד נוספים. הנאשם נוטל אחריות על מעשיו ומסר בדיקות שתן נקיות משרידי סם. </w:t>
      </w:r>
    </w:p>
    <w:p w14:paraId="55F0E19A" w14:textId="77777777" w:rsidR="006B681D" w:rsidRDefault="006B681D" w:rsidP="006B681D">
      <w:pPr>
        <w:pStyle w:val="aa"/>
        <w:spacing w:before="120" w:after="120" w:line="360" w:lineRule="auto"/>
        <w:ind w:left="357"/>
        <w:jc w:val="both"/>
        <w:rPr>
          <w:noProof w:val="0"/>
          <w:rtl/>
        </w:rPr>
      </w:pPr>
      <w:r>
        <w:rPr>
          <w:noProof w:val="0"/>
          <w:rtl/>
        </w:rPr>
        <w:t>שירות המבחן התרשם מהנאשם כאדם נורמטיבי, אשר הבין את הבעייתיות שמצבו וההליך המשפטי מהווה עבורו גורם מרתיע ומציב גבול, כך שהסיכון להישנות עבירות מצדו הינו נמוך.</w:t>
      </w:r>
    </w:p>
    <w:p w14:paraId="150BBE7E" w14:textId="77777777" w:rsidR="006B681D" w:rsidRDefault="006B681D" w:rsidP="006B681D">
      <w:pPr>
        <w:pStyle w:val="aa"/>
        <w:spacing w:before="120" w:after="120" w:line="360" w:lineRule="auto"/>
        <w:ind w:left="357"/>
        <w:jc w:val="both"/>
        <w:rPr>
          <w:noProof w:val="0"/>
          <w:rtl/>
        </w:rPr>
      </w:pPr>
      <w:r>
        <w:rPr>
          <w:noProof w:val="0"/>
          <w:rtl/>
        </w:rPr>
        <w:t>לאור כל זאת, שירות המבחן לא מצא צורך בשילוב הנאשם בטיפול והמליץ על מתן צו של"צ בהיקף של 200 שעות, כענישה שתהיה מרתיעה עבורו אך עם זאת תאפשר לו להמשיך במסלול החיים הנורמטיבי בו צועד. עוד שירות המבחן ממליץ על מתן הוראה למסירת בדיקות שתן לאיתור שרידי סם, ומע"ת.</w:t>
      </w:r>
    </w:p>
    <w:p w14:paraId="7E97B0AD" w14:textId="77777777" w:rsidR="006B681D" w:rsidRPr="006B681D" w:rsidRDefault="006B681D" w:rsidP="006B681D">
      <w:pPr>
        <w:spacing w:after="80" w:line="360" w:lineRule="auto"/>
        <w:jc w:val="both"/>
        <w:rPr>
          <w:b/>
          <w:bCs/>
          <w:color w:val="000000"/>
          <w:sz w:val="28"/>
          <w:szCs w:val="28"/>
          <w:u w:val="single"/>
        </w:rPr>
      </w:pPr>
      <w:r w:rsidRPr="006B681D">
        <w:rPr>
          <w:b/>
          <w:bCs/>
          <w:color w:val="000000"/>
          <w:sz w:val="28"/>
          <w:szCs w:val="28"/>
          <w:u w:val="single"/>
          <w:rtl/>
        </w:rPr>
        <w:t>טיעוני הצדדים</w:t>
      </w:r>
    </w:p>
    <w:p w14:paraId="1C61D2F0" w14:textId="77777777" w:rsidR="006B681D" w:rsidRDefault="006B681D" w:rsidP="006B681D">
      <w:pPr>
        <w:pStyle w:val="aa"/>
        <w:numPr>
          <w:ilvl w:val="0"/>
          <w:numId w:val="1"/>
        </w:numPr>
        <w:spacing w:before="120" w:after="120" w:line="360" w:lineRule="auto"/>
        <w:ind w:left="357" w:hanging="357"/>
        <w:jc w:val="both"/>
        <w:rPr>
          <w:noProof w:val="0"/>
          <w:rtl/>
        </w:rPr>
      </w:pPr>
      <w:r>
        <w:rPr>
          <w:b/>
          <w:bCs/>
          <w:noProof w:val="0"/>
          <w:rtl/>
        </w:rPr>
        <w:t>התובעת המלומדת</w:t>
      </w:r>
      <w:r>
        <w:rPr>
          <w:noProof w:val="0"/>
          <w:rtl/>
        </w:rPr>
        <w:t xml:space="preserve">, הפנתה לתסקיר שירות המבחן בו הנאשם עמד ועתרה לעונש של חודשיים מאסר, אשר ירוצה בדרך של עבודות שירות וזאת לצד ענישה נלווית. </w:t>
      </w:r>
    </w:p>
    <w:p w14:paraId="6FE5FEDA" w14:textId="77777777" w:rsidR="006B681D" w:rsidRDefault="006B681D" w:rsidP="006B681D">
      <w:pPr>
        <w:pStyle w:val="aa"/>
        <w:numPr>
          <w:ilvl w:val="0"/>
          <w:numId w:val="1"/>
        </w:numPr>
        <w:spacing w:before="120" w:after="120" w:line="360" w:lineRule="auto"/>
        <w:ind w:left="357" w:hanging="357"/>
        <w:jc w:val="both"/>
        <w:rPr>
          <w:b/>
          <w:bCs/>
          <w:noProof w:val="0"/>
          <w:rtl/>
        </w:rPr>
      </w:pPr>
      <w:r>
        <w:rPr>
          <w:b/>
          <w:bCs/>
          <w:noProof w:val="0"/>
          <w:rtl/>
        </w:rPr>
        <w:t>הסנגור המלומד,</w:t>
      </w:r>
      <w:r>
        <w:rPr>
          <w:noProof w:val="0"/>
          <w:rtl/>
        </w:rPr>
        <w:t xml:space="preserve"> טען כי המלצת שירות המבחן לשל"צ נעוצה היטב בכל מה שעלה מהתסקיר.</w:t>
      </w:r>
    </w:p>
    <w:p w14:paraId="656EDDD7" w14:textId="77777777" w:rsidR="006B681D" w:rsidRDefault="006B681D" w:rsidP="006B681D">
      <w:pPr>
        <w:pStyle w:val="aa"/>
        <w:spacing w:before="120" w:after="120" w:line="360" w:lineRule="auto"/>
        <w:ind w:left="357"/>
        <w:jc w:val="both"/>
        <w:rPr>
          <w:rtl/>
        </w:rPr>
      </w:pPr>
      <w:r>
        <w:rPr>
          <w:rtl/>
        </w:rPr>
        <w:t xml:space="preserve">הנאשם נעדר עבר פלילי, בן 40, בעל תעסוקה יציבה ומשפחה. </w:t>
      </w:r>
    </w:p>
    <w:p w14:paraId="694169A1" w14:textId="77777777" w:rsidR="006B681D" w:rsidRDefault="006B681D" w:rsidP="006B681D">
      <w:pPr>
        <w:pStyle w:val="aa"/>
        <w:spacing w:before="120" w:after="120" w:line="360" w:lineRule="auto"/>
        <w:ind w:left="357"/>
        <w:jc w:val="both"/>
        <w:rPr>
          <w:rtl/>
        </w:rPr>
      </w:pPr>
      <w:r>
        <w:rPr>
          <w:rtl/>
        </w:rPr>
        <w:t>הסנגור ציין כי מסיבה שאינה ברורה שירות המבחן בתסקירו לא בחן את שאלת ההרשעה, כפי שהתבקש על ידו. עם זאת, טען לשאלת ההרשעה עצמה, לאור נסיבותיו של הנאשם, עובד 15 שנים בעבודה יציבה, בעל משפחה, לא פתח תיקים נוספים ושירות המבחן סבור כי אין צורך אף לא בטיפול במסגרת צו מבחן. אשר על כן, טען לביטול הרשעתו של הנאשם.</w:t>
      </w:r>
    </w:p>
    <w:p w14:paraId="0D7E2E3E" w14:textId="77777777" w:rsidR="006B681D" w:rsidRDefault="006B681D" w:rsidP="006B681D">
      <w:pPr>
        <w:pStyle w:val="aa"/>
        <w:spacing w:before="120" w:after="120" w:line="360" w:lineRule="auto"/>
        <w:ind w:left="357"/>
        <w:jc w:val="both"/>
        <w:rPr>
          <w:rtl/>
        </w:rPr>
      </w:pPr>
      <w:r>
        <w:rPr>
          <w:rtl/>
        </w:rPr>
        <w:lastRenderedPageBreak/>
        <w:t xml:space="preserve">הסנגור צירף פסיקה לעניין הימנעות מהרשעת הנאשם, אשר אובחנה על ידי התובעת המלומדת. </w:t>
      </w:r>
    </w:p>
    <w:p w14:paraId="3CC0B174" w14:textId="77777777" w:rsidR="006B681D" w:rsidRDefault="006B681D" w:rsidP="006B681D">
      <w:pPr>
        <w:pStyle w:val="aa"/>
        <w:numPr>
          <w:ilvl w:val="0"/>
          <w:numId w:val="1"/>
        </w:numPr>
        <w:spacing w:before="120" w:after="120" w:line="360" w:lineRule="auto"/>
        <w:ind w:left="357" w:hanging="357"/>
        <w:jc w:val="both"/>
        <w:rPr>
          <w:b/>
          <w:bCs/>
          <w:noProof w:val="0"/>
          <w:rtl/>
        </w:rPr>
      </w:pPr>
      <w:r>
        <w:rPr>
          <w:b/>
          <w:bCs/>
          <w:noProof w:val="0"/>
          <w:rtl/>
        </w:rPr>
        <w:t xml:space="preserve"> הנאשם בדברו האחרון, </w:t>
      </w:r>
      <w:r>
        <w:rPr>
          <w:noProof w:val="0"/>
          <w:rtl/>
        </w:rPr>
        <w:t xml:space="preserve">הביע צער אודות הפרשה, חזר על העובדה ולפיה הוא מועסק בתעסוקה יציבה, איש משפחה ומאז ועד היום הפסיק לצרוך סמים וכן לא נפתחו כנגדו תיקים חדשים. </w:t>
      </w:r>
    </w:p>
    <w:p w14:paraId="47647A12" w14:textId="77777777" w:rsidR="006B681D" w:rsidRPr="006B681D" w:rsidRDefault="006B681D" w:rsidP="006B681D">
      <w:pPr>
        <w:spacing w:after="80" w:line="360" w:lineRule="auto"/>
        <w:jc w:val="both"/>
        <w:rPr>
          <w:b/>
          <w:bCs/>
          <w:color w:val="000000"/>
          <w:sz w:val="28"/>
          <w:szCs w:val="28"/>
          <w:u w:val="single"/>
        </w:rPr>
      </w:pPr>
      <w:r w:rsidRPr="006B681D">
        <w:rPr>
          <w:b/>
          <w:bCs/>
          <w:color w:val="000000"/>
          <w:sz w:val="28"/>
          <w:szCs w:val="28"/>
          <w:u w:val="single"/>
          <w:rtl/>
        </w:rPr>
        <w:t>דיון והכרעה</w:t>
      </w:r>
    </w:p>
    <w:p w14:paraId="74ABD097" w14:textId="77777777" w:rsidR="006B681D" w:rsidRDefault="006B681D" w:rsidP="006B681D">
      <w:pPr>
        <w:pStyle w:val="aa"/>
        <w:spacing w:after="80" w:line="360" w:lineRule="auto"/>
        <w:ind w:left="360"/>
        <w:jc w:val="both"/>
        <w:rPr>
          <w:b/>
          <w:bCs/>
          <w:sz w:val="28"/>
          <w:szCs w:val="28"/>
          <w:rtl/>
        </w:rPr>
      </w:pPr>
      <w:r>
        <w:rPr>
          <w:b/>
          <w:bCs/>
          <w:sz w:val="28"/>
          <w:szCs w:val="28"/>
          <w:rtl/>
        </w:rPr>
        <w:t>סוגיית ביטול ההרשעה</w:t>
      </w:r>
    </w:p>
    <w:p w14:paraId="7E6E18B4" w14:textId="77777777" w:rsidR="006B681D" w:rsidRPr="006B681D" w:rsidRDefault="006B681D" w:rsidP="006B681D">
      <w:pPr>
        <w:pStyle w:val="aa"/>
        <w:numPr>
          <w:ilvl w:val="0"/>
          <w:numId w:val="1"/>
        </w:numPr>
        <w:spacing w:after="80" w:line="360" w:lineRule="auto"/>
        <w:jc w:val="both"/>
        <w:rPr>
          <w:color w:val="000000"/>
          <w:rtl/>
        </w:rPr>
      </w:pPr>
      <w:r w:rsidRPr="006B681D">
        <w:rPr>
          <w:color w:val="000000"/>
          <w:rtl/>
        </w:rPr>
        <w:t xml:space="preserve">בחינת סוגית ביטול הרשעה פלילית, בהתאם לפסיקה, קודמת לבחינת מדיניות הענישה בהתאם לתיקון 113 לחוק </w:t>
      </w:r>
      <w:r>
        <w:rPr>
          <w:rFonts w:ascii="David" w:hAnsi="David"/>
          <w:rtl/>
        </w:rPr>
        <w:t>(</w:t>
      </w:r>
      <w:hyperlink r:id="rId18" w:history="1">
        <w:r w:rsidR="0074169C" w:rsidRPr="0074169C">
          <w:rPr>
            <w:rFonts w:ascii="David" w:hAnsi="David"/>
            <w:color w:val="0000FF"/>
            <w:u w:val="single"/>
            <w:rtl/>
          </w:rPr>
          <w:t>רע"פ 2327/19</w:t>
        </w:r>
      </w:hyperlink>
      <w:r>
        <w:rPr>
          <w:rFonts w:ascii="David" w:hAnsi="David"/>
          <w:rtl/>
        </w:rPr>
        <w:t xml:space="preserve"> </w:t>
      </w:r>
      <w:r>
        <w:rPr>
          <w:rFonts w:ascii="David" w:hAnsi="David" w:hint="cs"/>
          <w:b/>
          <w:bCs/>
          <w:rtl/>
        </w:rPr>
        <w:t xml:space="preserve">גוז מרסלו אדוארדו נ' מדינת ישראל </w:t>
      </w:r>
      <w:r>
        <w:rPr>
          <w:rFonts w:ascii="David" w:hAnsi="David" w:hint="cs"/>
          <w:rtl/>
        </w:rPr>
        <w:t>פסקאות 8 ו-11 (19.5.2019)), ויש לבחון אותה בטרם התייחסות למתחם העונש ההולם.</w:t>
      </w:r>
    </w:p>
    <w:p w14:paraId="60B6A84D" w14:textId="77777777" w:rsidR="006B681D" w:rsidRPr="006B681D" w:rsidRDefault="006B681D" w:rsidP="006B681D">
      <w:pPr>
        <w:pStyle w:val="aa"/>
        <w:numPr>
          <w:ilvl w:val="0"/>
          <w:numId w:val="1"/>
        </w:numPr>
        <w:spacing w:after="80" w:line="360" w:lineRule="auto"/>
        <w:jc w:val="both"/>
        <w:rPr>
          <w:color w:val="000000"/>
        </w:rPr>
      </w:pPr>
      <w:r w:rsidRPr="006B681D">
        <w:rPr>
          <w:color w:val="000000"/>
          <w:rtl/>
        </w:rPr>
        <w:t xml:space="preserve">הכלל הוא כי מי שהוכחה אשמתו, יש להרשיעו בדין (כעולה </w:t>
      </w:r>
      <w:hyperlink w:history="1">
        <w:r w:rsidRPr="0074169C">
          <w:rPr>
            <w:color w:val="000000"/>
            <w:rtl/>
          </w:rPr>
          <w:t>מסעיף 182</w:t>
        </w:r>
      </w:hyperlink>
      <w:r w:rsidRPr="006B681D">
        <w:rPr>
          <w:color w:val="000000"/>
          <w:rtl/>
        </w:rPr>
        <w:t xml:space="preserve"> </w:t>
      </w:r>
      <w:r w:rsidRPr="006B681D">
        <w:rPr>
          <w:rFonts w:hint="cs"/>
          <w:color w:val="000000"/>
          <w:rtl/>
        </w:rPr>
        <w:t>ל</w:t>
      </w:r>
      <w:hyperlink w:history="1">
        <w:r w:rsidRPr="0074169C">
          <w:rPr>
            <w:color w:val="000000"/>
            <w:rtl/>
          </w:rPr>
          <w:t>חוק סדר הדין הפלילי</w:t>
        </w:r>
      </w:hyperlink>
      <w:r w:rsidRPr="006B681D">
        <w:rPr>
          <w:color w:val="000000"/>
          <w:rtl/>
        </w:rPr>
        <w:t>, התשמ"ב-1982 (להלן: "</w:t>
      </w:r>
      <w:hyperlink w:history="1">
        <w:r w:rsidRPr="0074169C">
          <w:rPr>
            <w:b/>
            <w:bCs/>
            <w:color w:val="000000"/>
            <w:rtl/>
          </w:rPr>
          <w:t>חסד"פ</w:t>
        </w:r>
      </w:hyperlink>
      <w:r w:rsidRPr="006B681D">
        <w:rPr>
          <w:color w:val="000000"/>
          <w:rtl/>
        </w:rPr>
        <w:t>"), וחריגה מהכלל תעשה רק במקרים "החריגים", זאת בהתאם ל</w:t>
      </w:r>
      <w:r w:rsidRPr="006B681D">
        <w:rPr>
          <w:b/>
          <w:bCs/>
          <w:color w:val="000000"/>
          <w:rtl/>
        </w:rPr>
        <w:t>חריג לכלל</w:t>
      </w:r>
      <w:r w:rsidRPr="006B681D">
        <w:rPr>
          <w:color w:val="000000"/>
          <w:rtl/>
        </w:rPr>
        <w:t xml:space="preserve"> הקבוע</w:t>
      </w:r>
      <w:r w:rsidRPr="006B681D">
        <w:rPr>
          <w:b/>
          <w:bCs/>
          <w:color w:val="000000"/>
          <w:rtl/>
        </w:rPr>
        <w:t xml:space="preserve"> </w:t>
      </w:r>
      <w:hyperlink w:history="1">
        <w:r w:rsidRPr="0074169C">
          <w:rPr>
            <w:color w:val="000000"/>
            <w:rtl/>
          </w:rPr>
          <w:t>בסעיף 192א</w:t>
        </w:r>
      </w:hyperlink>
      <w:r w:rsidRPr="006B681D">
        <w:rPr>
          <w:color w:val="000000"/>
          <w:rtl/>
        </w:rPr>
        <w:t xml:space="preserve"> ל</w:t>
      </w:r>
      <w:hyperlink w:history="1">
        <w:r w:rsidRPr="0074169C">
          <w:rPr>
            <w:color w:val="000000"/>
            <w:rtl/>
          </w:rPr>
          <w:t>חסד"פ</w:t>
        </w:r>
      </w:hyperlink>
      <w:r w:rsidRPr="006B681D">
        <w:rPr>
          <w:color w:val="000000"/>
          <w:rtl/>
        </w:rPr>
        <w:t xml:space="preserve">, שלפיו בית משפט שהרשיע נאשם </w:t>
      </w:r>
      <w:r w:rsidRPr="006B681D">
        <w:rPr>
          <w:b/>
          <w:bCs/>
          <w:color w:val="000000"/>
          <w:rtl/>
        </w:rPr>
        <w:t>רשאי</w:t>
      </w:r>
      <w:r w:rsidRPr="006B681D">
        <w:rPr>
          <w:color w:val="000000"/>
          <w:rtl/>
        </w:rPr>
        <w:t xml:space="preserve"> </w:t>
      </w:r>
      <w:r w:rsidRPr="006B681D">
        <w:rPr>
          <w:b/>
          <w:bCs/>
          <w:color w:val="000000"/>
          <w:rtl/>
        </w:rPr>
        <w:t>לבטל את ההרשעה</w:t>
      </w:r>
      <w:r w:rsidRPr="006B681D">
        <w:rPr>
          <w:color w:val="000000"/>
          <w:rtl/>
        </w:rPr>
        <w:t xml:space="preserve"> </w:t>
      </w:r>
      <w:r w:rsidRPr="006B681D">
        <w:rPr>
          <w:b/>
          <w:bCs/>
          <w:color w:val="000000"/>
          <w:rtl/>
        </w:rPr>
        <w:t>במסגרת גזר הדין</w:t>
      </w:r>
      <w:r w:rsidRPr="006B681D">
        <w:rPr>
          <w:color w:val="000000"/>
          <w:rtl/>
        </w:rPr>
        <w:t xml:space="preserve"> ולהטיל עליו צו מבחן או צו שירות לתועלת הציבור ללא הרשעה.</w:t>
      </w:r>
    </w:p>
    <w:p w14:paraId="5A637600" w14:textId="77777777" w:rsidR="006B681D" w:rsidRPr="006B681D" w:rsidRDefault="006B681D" w:rsidP="006B681D">
      <w:pPr>
        <w:pStyle w:val="aa"/>
        <w:numPr>
          <w:ilvl w:val="0"/>
          <w:numId w:val="1"/>
        </w:numPr>
        <w:spacing w:after="80" w:line="360" w:lineRule="auto"/>
        <w:jc w:val="both"/>
        <w:rPr>
          <w:color w:val="000000"/>
          <w:rtl/>
        </w:rPr>
      </w:pPr>
      <w:r w:rsidRPr="006B681D">
        <w:rPr>
          <w:color w:val="000000"/>
          <w:rtl/>
        </w:rPr>
        <w:t xml:space="preserve">במסגרת ההחלטה האם להחיל את הכלל של חובת ההרשעה או שמא את החריג בדבר הימנעות מהרשעה או בדבר ביטולה, נדרש </w:t>
      </w:r>
      <w:r w:rsidRPr="006B681D">
        <w:rPr>
          <w:b/>
          <w:bCs/>
          <w:color w:val="000000"/>
          <w:rtl/>
        </w:rPr>
        <w:t>איזון שיקולים</w:t>
      </w:r>
      <w:r w:rsidRPr="006B681D">
        <w:rPr>
          <w:color w:val="000000"/>
          <w:rtl/>
        </w:rPr>
        <w:t xml:space="preserve">, המעמיד את האינטרס הציבורי אל מול נסיבותיו האינדיבידואליות של הנאשם; וככלל, </w:t>
      </w:r>
      <w:r w:rsidRPr="006B681D">
        <w:rPr>
          <w:b/>
          <w:bCs/>
          <w:color w:val="000000"/>
          <w:rtl/>
        </w:rPr>
        <w:t>אין להימנע מלהרשיע</w:t>
      </w:r>
      <w:r w:rsidRPr="006B681D">
        <w:rPr>
          <w:color w:val="000000"/>
          <w:rtl/>
        </w:rPr>
        <w:t xml:space="preserve"> נאשם אשר המיוחס לו הוכח כדין – </w:t>
      </w:r>
      <w:r w:rsidRPr="006B681D">
        <w:rPr>
          <w:b/>
          <w:bCs/>
          <w:color w:val="000000"/>
          <w:rtl/>
        </w:rPr>
        <w:t>רק בנסיבות יוצאות דופן, שבהן אין יחס סביר בין הנזק הצפוי מן ההרשעה בדין לבין חומרתה של העבירה</w:t>
      </w:r>
      <w:r w:rsidRPr="006B681D">
        <w:rPr>
          <w:color w:val="000000"/>
          <w:rtl/>
        </w:rPr>
        <w:t>.</w:t>
      </w:r>
    </w:p>
    <w:p w14:paraId="34B2CAA6" w14:textId="77777777" w:rsidR="006B681D" w:rsidRDefault="006B681D" w:rsidP="006B681D">
      <w:pPr>
        <w:spacing w:after="80" w:line="360" w:lineRule="auto"/>
        <w:ind w:left="360"/>
        <w:jc w:val="both"/>
        <w:rPr>
          <w:rtl/>
        </w:rPr>
      </w:pPr>
      <w:r>
        <w:rPr>
          <w:rtl/>
        </w:rPr>
        <w:t xml:space="preserve">על פי הלכת </w:t>
      </w:r>
      <w:r>
        <w:rPr>
          <w:b/>
          <w:bCs/>
          <w:rtl/>
        </w:rPr>
        <w:t>כתב</w:t>
      </w:r>
      <w:r>
        <w:rPr>
          <w:rtl/>
        </w:rPr>
        <w:t xml:space="preserve"> הידועה (</w:t>
      </w:r>
      <w:hyperlink w:history="1">
        <w:r w:rsidRPr="0074169C">
          <w:rPr>
            <w:color w:val="000000"/>
            <w:rtl/>
          </w:rPr>
          <w:t>ע"פ 2083/96</w:t>
        </w:r>
      </w:hyperlink>
      <w:r>
        <w:rPr>
          <w:rtl/>
        </w:rPr>
        <w:t xml:space="preserve"> </w:t>
      </w:r>
      <w:r>
        <w:rPr>
          <w:rFonts w:hint="cs"/>
          <w:b/>
          <w:bCs/>
          <w:rtl/>
        </w:rPr>
        <w:t>כתב</w:t>
      </w:r>
      <w:r>
        <w:rPr>
          <w:rFonts w:hint="cs"/>
          <w:rtl/>
        </w:rPr>
        <w:t xml:space="preserve"> נ' </w:t>
      </w:r>
      <w:r>
        <w:rPr>
          <w:rFonts w:hint="cs"/>
          <w:b/>
          <w:bCs/>
          <w:rtl/>
        </w:rPr>
        <w:t>מדינת ישראל</w:t>
      </w:r>
      <w:r>
        <w:rPr>
          <w:rFonts w:hint="cs"/>
          <w:rtl/>
        </w:rPr>
        <w:t xml:space="preserve"> [פורסם בנבו] (21.8.97)), החריג המאפשר אי הרשעה שמור למקרים בהם מתקיימים שני תנאים מצטברים:</w:t>
      </w:r>
    </w:p>
    <w:p w14:paraId="4A150451" w14:textId="77777777" w:rsidR="006B681D" w:rsidRPr="006B681D" w:rsidRDefault="006B681D" w:rsidP="006B681D">
      <w:pPr>
        <w:spacing w:after="80" w:line="360" w:lineRule="auto"/>
        <w:ind w:left="720" w:right="680"/>
        <w:jc w:val="both"/>
        <w:rPr>
          <w:bCs/>
          <w:color w:val="000000"/>
          <w:rtl/>
        </w:rPr>
      </w:pPr>
      <w:r w:rsidRPr="006B681D">
        <w:rPr>
          <w:bCs/>
          <w:color w:val="000000"/>
          <w:rtl/>
        </w:rPr>
        <w:t>"ראשית,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w:t>
      </w:r>
    </w:p>
    <w:p w14:paraId="2353723E" w14:textId="77777777" w:rsidR="006B681D" w:rsidRPr="006B681D" w:rsidRDefault="006B681D" w:rsidP="006B681D">
      <w:pPr>
        <w:pStyle w:val="aa"/>
        <w:numPr>
          <w:ilvl w:val="0"/>
          <w:numId w:val="1"/>
        </w:numPr>
        <w:spacing w:after="80" w:line="360" w:lineRule="auto"/>
        <w:jc w:val="both"/>
        <w:rPr>
          <w:color w:val="000000"/>
          <w:rtl/>
        </w:rPr>
      </w:pPr>
      <w:r w:rsidRPr="006B681D">
        <w:rPr>
          <w:color w:val="000000"/>
          <w:rtl/>
        </w:rPr>
        <w:t>ביטול ההרשעה תעשה אך במקרים חריגים ויוצאי דופן, בהתקיים חוסר פרופורציה קיצוני בין עוצמת פגיעה ההרשעה בנאשם לבין התועלת לאינטרס הציבורי כתוצאה מהרשעה.</w:t>
      </w:r>
    </w:p>
    <w:p w14:paraId="53526DB1" w14:textId="77777777" w:rsidR="006B681D" w:rsidRPr="006B681D" w:rsidRDefault="006B681D" w:rsidP="006B681D">
      <w:pPr>
        <w:pStyle w:val="aa"/>
        <w:numPr>
          <w:ilvl w:val="0"/>
          <w:numId w:val="1"/>
        </w:numPr>
        <w:spacing w:after="80" w:line="360" w:lineRule="auto"/>
        <w:jc w:val="both"/>
        <w:rPr>
          <w:color w:val="000000"/>
        </w:rPr>
      </w:pPr>
      <w:r w:rsidRPr="006B681D">
        <w:rPr>
          <w:color w:val="000000"/>
          <w:rtl/>
        </w:rPr>
        <w:t xml:space="preserve">הוכחת הפגיעה בנאשם בעצם </w:t>
      </w:r>
      <w:r>
        <w:rPr>
          <w:rtl/>
        </w:rPr>
        <w:t>הרשעתו, היא נטל המוטל על הנאשם להוכיח כי הרשעה תגרום לו לנזק קונקרטי וממשי לעתיד, ולעניין זה אין להסתפק בתרחישים תאורטיים שאין לדעת אם יתממשו בעתיד (</w:t>
      </w:r>
      <w:r w:rsidRPr="0074169C">
        <w:rPr>
          <w:color w:val="000000"/>
          <w:rtl/>
        </w:rPr>
        <w:t xml:space="preserve">רע"פ </w:t>
      </w:r>
      <w:hyperlink r:id="rId19" w:history="1">
        <w:r w:rsidR="00D76433" w:rsidRPr="00D76433">
          <w:rPr>
            <w:color w:val="0000FF"/>
            <w:u w:val="single"/>
            <w:rtl/>
          </w:rPr>
          <w:t xml:space="preserve">54/15 </w:t>
        </w:r>
      </w:hyperlink>
      <w:r>
        <w:rPr>
          <w:rtl/>
        </w:rPr>
        <w:t xml:space="preserve"> </w:t>
      </w:r>
      <w:r>
        <w:rPr>
          <w:rFonts w:hint="cs"/>
          <w:b/>
          <w:bCs/>
          <w:rtl/>
        </w:rPr>
        <w:t xml:space="preserve">פלוני נ' מדינת ישראל </w:t>
      </w:r>
      <w:r>
        <w:rPr>
          <w:rFonts w:hint="cs"/>
          <w:rtl/>
        </w:rPr>
        <w:t xml:space="preserve">(27.1.2015); </w:t>
      </w:r>
      <w:hyperlink r:id="rId20" w:history="1">
        <w:r w:rsidR="0074169C" w:rsidRPr="0074169C">
          <w:rPr>
            <w:rFonts w:hint="cs"/>
            <w:color w:val="0000FF"/>
            <w:u w:val="single"/>
            <w:rtl/>
          </w:rPr>
          <w:t>רע</w:t>
        </w:r>
        <w:r w:rsidR="0074169C" w:rsidRPr="0074169C">
          <w:rPr>
            <w:color w:val="0000FF"/>
            <w:u w:val="single"/>
            <w:rtl/>
          </w:rPr>
          <w:t>"</w:t>
        </w:r>
        <w:r w:rsidR="0074169C" w:rsidRPr="0074169C">
          <w:rPr>
            <w:rFonts w:hint="cs"/>
            <w:color w:val="0000FF"/>
            <w:u w:val="single"/>
            <w:rtl/>
          </w:rPr>
          <w:t>פ</w:t>
        </w:r>
        <w:r w:rsidR="0074169C" w:rsidRPr="0074169C">
          <w:rPr>
            <w:color w:val="0000FF"/>
            <w:u w:val="single"/>
            <w:rtl/>
          </w:rPr>
          <w:t xml:space="preserve"> 9118/12</w:t>
        </w:r>
      </w:hyperlink>
      <w:r>
        <w:rPr>
          <w:rtl/>
        </w:rPr>
        <w:t xml:space="preserve"> </w:t>
      </w:r>
      <w:r>
        <w:rPr>
          <w:rFonts w:hint="cs"/>
          <w:b/>
          <w:bCs/>
          <w:rtl/>
        </w:rPr>
        <w:t xml:space="preserve">פריגין נ' מדינת ישראל </w:t>
      </w:r>
      <w:r>
        <w:rPr>
          <w:rFonts w:hint="cs"/>
          <w:rtl/>
        </w:rPr>
        <w:t>(1.1.1.2013)).</w:t>
      </w:r>
    </w:p>
    <w:p w14:paraId="1C470FD8" w14:textId="77777777" w:rsidR="006B681D" w:rsidRDefault="006B681D" w:rsidP="006B681D">
      <w:pPr>
        <w:pStyle w:val="aa"/>
        <w:numPr>
          <w:ilvl w:val="0"/>
          <w:numId w:val="1"/>
        </w:numPr>
        <w:spacing w:after="80" w:line="360" w:lineRule="auto"/>
        <w:jc w:val="both"/>
      </w:pPr>
      <w:r>
        <w:rPr>
          <w:rtl/>
        </w:rPr>
        <w:t xml:space="preserve">אציין כי הסנגור ציין קושי פוטנציאלי כלשהו, אשר בנסיבותיו של הנאשם הספציפי, רחוק  ממציאות חייו כפי שנלמדת מתסקיר שירות המבחן וכן מטיעוני הסנגור עצמו. </w:t>
      </w:r>
    </w:p>
    <w:p w14:paraId="6D37A490" w14:textId="77777777" w:rsidR="006B681D" w:rsidRPr="006B681D" w:rsidRDefault="006B681D" w:rsidP="006B681D">
      <w:pPr>
        <w:pStyle w:val="aa"/>
        <w:numPr>
          <w:ilvl w:val="0"/>
          <w:numId w:val="1"/>
        </w:numPr>
        <w:spacing w:after="80" w:line="360" w:lineRule="auto"/>
        <w:jc w:val="both"/>
        <w:rPr>
          <w:color w:val="000000"/>
        </w:rPr>
      </w:pPr>
      <w:r w:rsidRPr="006B681D">
        <w:rPr>
          <w:color w:val="000000"/>
          <w:rtl/>
        </w:rPr>
        <w:t xml:space="preserve">המקרה הנדון עוסק בעבירות סמים וזאת לצד החזקת סכין. </w:t>
      </w:r>
      <w:r>
        <w:rPr>
          <w:rtl/>
        </w:rPr>
        <w:t>יש לציין עוד בהקשר לסוג העבירה, כי ככלל, עבירות אלה אינן מסוג העבירות המתאימות להימנעות מהרשעה, זאת נוכח אופי העבירה, נפוצותה, הערכים המוגנים העומדים בבסיסה והמסוכנות הטמונה בה.</w:t>
      </w:r>
    </w:p>
    <w:p w14:paraId="0AB11304" w14:textId="77777777" w:rsidR="006B681D" w:rsidRPr="006B681D" w:rsidRDefault="006B681D" w:rsidP="006B681D">
      <w:pPr>
        <w:pStyle w:val="aa"/>
        <w:numPr>
          <w:ilvl w:val="0"/>
          <w:numId w:val="1"/>
        </w:numPr>
        <w:spacing w:after="80" w:line="360" w:lineRule="auto"/>
        <w:jc w:val="both"/>
        <w:rPr>
          <w:color w:val="000000"/>
          <w:rtl/>
        </w:rPr>
      </w:pPr>
      <w:r w:rsidRPr="006B681D">
        <w:rPr>
          <w:color w:val="000000"/>
          <w:rtl/>
        </w:rPr>
        <w:t>העבירה בה הורשע הנאשם בנסיבותיה לא מאפשרות ביטול הרשעתו מבלי לפגוע בשיקול אמון הציבור, הגמול וההרתעה. יתרה מזאת, לא שוכנעתי כי נימוקי ההגנה ולפיהם ההרשעה עלולה לפגוע בתעסוקתו העתידית של הנאשם מצדיקים הימנעות מהרשעה. בלשונו של כב' השופט</w:t>
      </w:r>
      <w:r w:rsidR="0074169C">
        <w:rPr>
          <w:color w:val="000000"/>
          <w:rtl/>
        </w:rPr>
        <w:t xml:space="preserve"> </w:t>
      </w:r>
      <w:r w:rsidRPr="006B681D">
        <w:rPr>
          <w:color w:val="000000"/>
          <w:rtl/>
        </w:rPr>
        <w:t>שהם:</w:t>
      </w:r>
    </w:p>
    <w:p w14:paraId="463326BE" w14:textId="77777777" w:rsidR="006B681D" w:rsidRDefault="006B681D" w:rsidP="006B681D">
      <w:pPr>
        <w:pStyle w:val="aa"/>
        <w:shd w:val="clear" w:color="auto" w:fill="FFFFFF"/>
        <w:spacing w:before="240" w:after="240" w:line="360" w:lineRule="atLeast"/>
        <w:ind w:left="1361" w:right="567"/>
        <w:jc w:val="both"/>
        <w:rPr>
          <w:color w:val="000000"/>
        </w:rPr>
      </w:pPr>
      <w:r>
        <w:rPr>
          <w:rFonts w:ascii="David" w:hAnsi="David"/>
          <w:color w:val="000000"/>
          <w:rtl/>
        </w:rPr>
        <w:t>"</w:t>
      </w:r>
      <w:r>
        <w:rPr>
          <w:rFonts w:ascii="David" w:hAnsi="David"/>
          <w:b/>
          <w:bCs/>
          <w:i/>
          <w:iCs/>
          <w:color w:val="000000"/>
          <w:rtl/>
        </w:rPr>
        <w:t>...יש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היתכנותם של אותם תרחישים</w:t>
      </w:r>
      <w:r>
        <w:rPr>
          <w:rFonts w:ascii="David" w:hAnsi="David"/>
          <w:color w:val="000000"/>
          <w:rtl/>
        </w:rPr>
        <w:t>" (</w:t>
      </w:r>
      <w:hyperlink r:id="rId21" w:history="1">
        <w:r w:rsidR="0074169C" w:rsidRPr="0074169C">
          <w:rPr>
            <w:rFonts w:ascii="David" w:hAnsi="David"/>
            <w:color w:val="0000FF"/>
            <w:u w:val="single"/>
            <w:rtl/>
          </w:rPr>
          <w:t>רע"פ 9118/12</w:t>
        </w:r>
      </w:hyperlink>
      <w:r w:rsidR="0074169C">
        <w:rPr>
          <w:rFonts w:ascii="David" w:hAnsi="David"/>
          <w:color w:val="000000"/>
          <w:rtl/>
        </w:rPr>
        <w:t xml:space="preserve"> </w:t>
      </w:r>
      <w:r>
        <w:rPr>
          <w:rFonts w:ascii="David" w:hAnsi="David"/>
          <w:color w:val="000000"/>
          <w:u w:val="single"/>
          <w:rtl/>
        </w:rPr>
        <w:t>פריגין נ' מדינת ישראל</w:t>
      </w:r>
      <w:r w:rsidR="0074169C">
        <w:rPr>
          <w:rFonts w:ascii="David" w:hAnsi="David"/>
          <w:color w:val="000000"/>
          <w:rtl/>
        </w:rPr>
        <w:t xml:space="preserve"> </w:t>
      </w:r>
      <w:r>
        <w:rPr>
          <w:rFonts w:ascii="David" w:hAnsi="David"/>
          <w:color w:val="000000"/>
          <w:rtl/>
        </w:rPr>
        <w:t>(01/01/13).</w:t>
      </w:r>
    </w:p>
    <w:p w14:paraId="336219E5" w14:textId="77777777" w:rsidR="006B681D" w:rsidRPr="006B681D" w:rsidRDefault="006B681D" w:rsidP="006B681D">
      <w:pPr>
        <w:pStyle w:val="aa"/>
        <w:numPr>
          <w:ilvl w:val="0"/>
          <w:numId w:val="1"/>
        </w:numPr>
        <w:spacing w:after="80" w:line="360" w:lineRule="auto"/>
        <w:ind w:left="357"/>
        <w:jc w:val="both"/>
        <w:rPr>
          <w:color w:val="000000"/>
          <w:rtl/>
        </w:rPr>
      </w:pPr>
      <w:r>
        <w:rPr>
          <w:rtl/>
        </w:rPr>
        <w:t xml:space="preserve">אין ספק כי אופי העבירה בנסיבותיה, מקים אינטרס ציבורי ממשי ובעל משקל בהרשעת הנאשם ומאידך אין כל נזק קונקרטי נראה לעין. </w:t>
      </w:r>
    </w:p>
    <w:p w14:paraId="55883BFC" w14:textId="77777777" w:rsidR="006B681D" w:rsidRPr="006B681D" w:rsidRDefault="006B681D" w:rsidP="006B681D">
      <w:pPr>
        <w:pStyle w:val="aa"/>
        <w:numPr>
          <w:ilvl w:val="0"/>
          <w:numId w:val="1"/>
        </w:numPr>
        <w:spacing w:after="80" w:line="360" w:lineRule="auto"/>
        <w:jc w:val="both"/>
        <w:rPr>
          <w:color w:val="000000"/>
          <w:rtl/>
        </w:rPr>
      </w:pPr>
      <w:r w:rsidRPr="006B681D">
        <w:rPr>
          <w:color w:val="000000"/>
          <w:rtl/>
        </w:rPr>
        <w:t xml:space="preserve">על כן, יישום המבחנים האמורים במקרה דנן, מעלה כי </w:t>
      </w:r>
      <w:r w:rsidRPr="006B681D">
        <w:rPr>
          <w:b/>
          <w:bCs/>
          <w:color w:val="000000"/>
          <w:rtl/>
        </w:rPr>
        <w:t>בנסיבות המקרה לא ניתן לוותר על הרשעת הנאשם בדין</w:t>
      </w:r>
      <w:r w:rsidRPr="006B681D">
        <w:rPr>
          <w:color w:val="000000"/>
          <w:rtl/>
        </w:rPr>
        <w:t>. מצאתי כי עניינו של הנאשם אינו נופל לגדר אותם ״חריגים שבחריגים״ וכי לא מתקיימות בו אותן נסיבות מיוחדות המצדיקות הימנעות מהרשעתו.</w:t>
      </w:r>
    </w:p>
    <w:p w14:paraId="66720B8F" w14:textId="77777777" w:rsidR="006B681D" w:rsidRDefault="006B681D" w:rsidP="006B681D">
      <w:pPr>
        <w:spacing w:before="240" w:line="360" w:lineRule="auto"/>
        <w:ind w:left="1077" w:hanging="720"/>
        <w:jc w:val="both"/>
        <w:rPr>
          <w:b/>
          <w:bCs/>
          <w:sz w:val="28"/>
          <w:szCs w:val="28"/>
          <w:rtl/>
        </w:rPr>
      </w:pPr>
      <w:r>
        <w:rPr>
          <w:b/>
          <w:bCs/>
          <w:sz w:val="28"/>
          <w:szCs w:val="28"/>
          <w:rtl/>
        </w:rPr>
        <w:t>מתחם העונש ההולם</w:t>
      </w:r>
    </w:p>
    <w:p w14:paraId="4032650F" w14:textId="77777777" w:rsidR="006B681D" w:rsidRPr="006B681D" w:rsidRDefault="006B681D" w:rsidP="006B681D">
      <w:pPr>
        <w:pStyle w:val="aa"/>
        <w:numPr>
          <w:ilvl w:val="0"/>
          <w:numId w:val="1"/>
        </w:numPr>
        <w:spacing w:after="160" w:line="360" w:lineRule="auto"/>
        <w:jc w:val="both"/>
        <w:rPr>
          <w:rFonts w:ascii="David" w:hAnsi="David"/>
          <w:rtl/>
        </w:rPr>
      </w:pPr>
      <w:r w:rsidRPr="006B681D">
        <w:rPr>
          <w:rFonts w:ascii="David" w:hAnsi="David"/>
          <w:rtl/>
        </w:rPr>
        <w:t>בהתאם לתיקון 113 ל</w:t>
      </w:r>
      <w:hyperlink r:id="rId22" w:history="1">
        <w:r w:rsidR="0074169C" w:rsidRPr="0074169C">
          <w:rPr>
            <w:rFonts w:ascii="David" w:hAnsi="David"/>
            <w:color w:val="0000FF"/>
            <w:u w:val="single"/>
            <w:rtl/>
          </w:rPr>
          <w:t>חוק העונשין</w:t>
        </w:r>
      </w:hyperlink>
      <w:r w:rsidRPr="006B681D">
        <w:rPr>
          <w:rFonts w:ascii="David" w:hAnsi="David"/>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685BD0CE" w14:textId="77777777" w:rsidR="006B681D" w:rsidRPr="006B681D" w:rsidRDefault="006B681D" w:rsidP="006B681D">
      <w:pPr>
        <w:pStyle w:val="aa"/>
        <w:numPr>
          <w:ilvl w:val="0"/>
          <w:numId w:val="1"/>
        </w:numPr>
        <w:snapToGrid w:val="0"/>
        <w:spacing w:after="160" w:line="360" w:lineRule="auto"/>
        <w:jc w:val="both"/>
        <w:rPr>
          <w:rFonts w:ascii="David" w:hAnsi="David"/>
        </w:rPr>
      </w:pPr>
      <w:r w:rsidRPr="006B681D">
        <w:rPr>
          <w:rFonts w:ascii="David" w:hAnsi="David"/>
          <w:rtl/>
        </w:rPr>
        <w:t xml:space="preserve">פסיקת בתי המשפט השונים שבה והדגישה את החומרה הרבה המיוחסת לעבירות סמים, עקב כובד משקלם של הערכים החברתיים המוגנים בעבירות סמים וחומרת הפגיעה בהם על ידי העבריינים. </w:t>
      </w:r>
    </w:p>
    <w:p w14:paraId="25665F4E" w14:textId="77777777" w:rsidR="006B681D" w:rsidRPr="006B681D" w:rsidRDefault="006B681D" w:rsidP="006B681D">
      <w:pPr>
        <w:pStyle w:val="aa"/>
        <w:snapToGrid w:val="0"/>
        <w:spacing w:after="160" w:line="360" w:lineRule="auto"/>
        <w:ind w:left="360"/>
        <w:jc w:val="both"/>
        <w:rPr>
          <w:rFonts w:ascii="David" w:hAnsi="David"/>
        </w:rPr>
      </w:pPr>
      <w:r w:rsidRPr="006B681D">
        <w:rPr>
          <w:rFonts w:ascii="David" w:hAnsi="David"/>
          <w:rtl/>
        </w:rPr>
        <w:t>במעשיו, פגע הנאשם בערכים החברתיים של שמירה על בריאותו ושלומו הפיזי והנפשי של הציבור מפני 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זאת ההגנה על הביטחון האישי והרכוש הציבור.</w:t>
      </w:r>
    </w:p>
    <w:p w14:paraId="6362FF76" w14:textId="77777777" w:rsidR="006B681D" w:rsidRDefault="006B681D" w:rsidP="006B681D">
      <w:pPr>
        <w:pStyle w:val="1"/>
        <w:spacing w:line="360" w:lineRule="auto"/>
        <w:ind w:left="360"/>
        <w:jc w:val="both"/>
        <w:rPr>
          <w:rFonts w:eastAsia="Times New Roman" w:cs="David"/>
          <w:b/>
          <w:bCs/>
          <w:sz w:val="24"/>
          <w:szCs w:val="24"/>
          <w:rtl/>
        </w:rPr>
      </w:pPr>
      <w:r>
        <w:rPr>
          <w:rFonts w:cs="David"/>
          <w:sz w:val="24"/>
          <w:szCs w:val="24"/>
          <w:rtl/>
        </w:rPr>
        <w:t>ב</w:t>
      </w:r>
      <w:hyperlink r:id="rId23" w:history="1">
        <w:r w:rsidR="0074169C" w:rsidRPr="0074169C">
          <w:rPr>
            <w:rFonts w:cs="David" w:hint="cs"/>
            <w:color w:val="0000FF"/>
            <w:sz w:val="24"/>
            <w:szCs w:val="24"/>
            <w:u w:val="single"/>
            <w:rtl/>
          </w:rPr>
          <w:t>ת</w:t>
        </w:r>
        <w:r w:rsidR="0074169C" w:rsidRPr="0074169C">
          <w:rPr>
            <w:rFonts w:cs="David"/>
            <w:color w:val="0000FF"/>
            <w:sz w:val="24"/>
            <w:szCs w:val="24"/>
            <w:u w:val="single"/>
            <w:rtl/>
          </w:rPr>
          <w:t>"</w:t>
        </w:r>
        <w:r w:rsidR="0074169C" w:rsidRPr="0074169C">
          <w:rPr>
            <w:rFonts w:cs="David" w:hint="cs"/>
            <w:color w:val="0000FF"/>
            <w:sz w:val="24"/>
            <w:szCs w:val="24"/>
            <w:u w:val="single"/>
            <w:rtl/>
          </w:rPr>
          <w:t>פ</w:t>
        </w:r>
        <w:r w:rsidR="0074169C" w:rsidRPr="0074169C">
          <w:rPr>
            <w:rFonts w:cs="David"/>
            <w:color w:val="0000FF"/>
            <w:sz w:val="24"/>
            <w:szCs w:val="24"/>
            <w:u w:val="single"/>
            <w:rtl/>
          </w:rPr>
          <w:t xml:space="preserve"> (</w:t>
        </w:r>
        <w:r w:rsidR="0074169C" w:rsidRPr="0074169C">
          <w:rPr>
            <w:rFonts w:cs="David" w:hint="cs"/>
            <w:color w:val="0000FF"/>
            <w:sz w:val="24"/>
            <w:szCs w:val="24"/>
            <w:u w:val="single"/>
            <w:rtl/>
          </w:rPr>
          <w:t>י</w:t>
        </w:r>
        <w:r w:rsidR="0074169C" w:rsidRPr="0074169C">
          <w:rPr>
            <w:rFonts w:cs="David"/>
            <w:color w:val="0000FF"/>
            <w:sz w:val="24"/>
            <w:szCs w:val="24"/>
            <w:u w:val="single"/>
            <w:rtl/>
          </w:rPr>
          <w:t>-</w:t>
        </w:r>
        <w:r w:rsidR="0074169C" w:rsidRPr="0074169C">
          <w:rPr>
            <w:rFonts w:cs="David" w:hint="cs"/>
            <w:color w:val="0000FF"/>
            <w:sz w:val="24"/>
            <w:szCs w:val="24"/>
            <w:u w:val="single"/>
            <w:rtl/>
          </w:rPr>
          <w:t>ם</w:t>
        </w:r>
        <w:r w:rsidR="0074169C" w:rsidRPr="0074169C">
          <w:rPr>
            <w:rFonts w:cs="David"/>
            <w:color w:val="0000FF"/>
            <w:sz w:val="24"/>
            <w:szCs w:val="24"/>
            <w:u w:val="single"/>
            <w:rtl/>
          </w:rPr>
          <w:t>) 48938-01-15</w:t>
        </w:r>
      </w:hyperlink>
      <w:r>
        <w:rPr>
          <w:rFonts w:cs="David"/>
          <w:sz w:val="24"/>
          <w:szCs w:val="24"/>
          <w:rtl/>
        </w:rPr>
        <w:t xml:space="preserve"> </w:t>
      </w:r>
      <w:r>
        <w:rPr>
          <w:rFonts w:cs="David" w:hint="cs"/>
          <w:b/>
          <w:bCs/>
          <w:sz w:val="24"/>
          <w:szCs w:val="24"/>
          <w:rtl/>
        </w:rPr>
        <w:t>מדינת ישראל נ' דוד קריכלי</w:t>
      </w:r>
      <w:r>
        <w:rPr>
          <w:rFonts w:cs="David" w:hint="cs"/>
          <w:sz w:val="24"/>
          <w:szCs w:val="24"/>
          <w:rtl/>
        </w:rPr>
        <w:t xml:space="preserve"> </w:t>
      </w:r>
      <w:r>
        <w:rPr>
          <w:rFonts w:ascii="Times New Roman" w:hAnsi="Times New Roman" w:cs="David"/>
          <w:szCs w:val="24"/>
          <w:rtl/>
        </w:rPr>
        <w:t xml:space="preserve">[פורסם בנבו] </w:t>
      </w:r>
      <w:r>
        <w:rPr>
          <w:rFonts w:cs="David"/>
          <w:sz w:val="24"/>
          <w:szCs w:val="24"/>
          <w:rtl/>
        </w:rPr>
        <w:t xml:space="preserve">(6.6.2016) (להלן: </w:t>
      </w:r>
      <w:r>
        <w:rPr>
          <w:rFonts w:cs="David"/>
          <w:b/>
          <w:bCs/>
          <w:sz w:val="24"/>
          <w:szCs w:val="24"/>
          <w:rtl/>
        </w:rPr>
        <w:t>"עניין קריכלי"</w:t>
      </w:r>
      <w:r>
        <w:rPr>
          <w:rFonts w:cs="David"/>
          <w:sz w:val="24"/>
          <w:szCs w:val="24"/>
          <w:rtl/>
        </w:rPr>
        <w:t xml:space="preserve">) צוין: </w:t>
      </w:r>
    </w:p>
    <w:p w14:paraId="67EF40AF" w14:textId="77777777" w:rsidR="006B681D" w:rsidRDefault="006B681D" w:rsidP="006B681D">
      <w:pPr>
        <w:pStyle w:val="1"/>
        <w:spacing w:after="240" w:line="360" w:lineRule="auto"/>
        <w:jc w:val="both"/>
        <w:rPr>
          <w:rFonts w:eastAsia="Times New Roman" w:cs="David"/>
          <w:b/>
          <w:bCs/>
          <w:sz w:val="24"/>
          <w:szCs w:val="24"/>
        </w:rPr>
      </w:pPr>
      <w:r>
        <w:rPr>
          <w:rFonts w:cs="David"/>
          <w:b/>
          <w:bCs/>
          <w:sz w:val="24"/>
          <w:szCs w:val="24"/>
          <w:rtl/>
        </w:rPr>
        <w:t>"</w:t>
      </w:r>
      <w:r>
        <w:rPr>
          <w:rFonts w:eastAsia="Times New Roman" w:cs="David"/>
          <w:b/>
          <w:bCs/>
          <w:sz w:val="24"/>
          <w:szCs w:val="24"/>
          <w:rtl/>
        </w:rPr>
        <w:t>כידוע, נגע הסמים פוגע קשות בחברה, משחית את הגוף ואת הנפש, וגורם בדרך עקיפה אך בטוחה לעבירות רכוש, לזנות וקלקלותיה ולצורות החמורות של עבירות הרכוש, המגיעות במקרים רבים לכלל אלימות; שכן, מעבר לפגיעה במתמכרים, פיזית ונפשית, נאלצים המכורים המשועבדים להשחית עצמם, בעבירות שונות, והופכים מקרבנות הסחר לפוגעים בציבור הרחב. בתי המשפט הציבו להם מטרה לבער את אותה מכת מדינה, המכלה כל חלקה טובה".</w:t>
      </w:r>
    </w:p>
    <w:p w14:paraId="60916C36" w14:textId="77777777" w:rsidR="006B681D" w:rsidRDefault="006B681D" w:rsidP="006B681D">
      <w:pPr>
        <w:pStyle w:val="aa"/>
        <w:numPr>
          <w:ilvl w:val="0"/>
          <w:numId w:val="1"/>
        </w:numPr>
        <w:snapToGrid w:val="0"/>
        <w:spacing w:after="240" w:line="360" w:lineRule="auto"/>
        <w:jc w:val="both"/>
        <w:rPr>
          <w:rFonts w:ascii="David" w:hAnsi="David"/>
        </w:rPr>
      </w:pPr>
      <w:r>
        <w:rPr>
          <w:rFonts w:ascii="David" w:hAnsi="David"/>
          <w:rtl/>
        </w:rPr>
        <w:t xml:space="preserve">איסור הנשיאה של סכין או אגרופן שלא למטרה כשרה הוא מעין מעגל הגנה נוסף סביב העבירות המגנות על ערכים של שלמות הגוף, החיים והבריאות, שכן פוטנציאל הנזק ואף פוטנציאל ההתלקחות האלימה מוגברים פי כמה בנוכחות הברזל הקר – ראו </w:t>
      </w:r>
      <w:hyperlink r:id="rId24" w:history="1">
        <w:r w:rsidR="0074169C" w:rsidRPr="0074169C">
          <w:rPr>
            <w:rFonts w:ascii="David" w:hAnsi="David"/>
            <w:b/>
            <w:bCs/>
            <w:color w:val="0000FF"/>
            <w:u w:val="single"/>
            <w:rtl/>
          </w:rPr>
          <w:t xml:space="preserve">רע''פ </w:t>
        </w:r>
      </w:hyperlink>
      <w:r>
        <w:rPr>
          <w:rFonts w:ascii="David" w:hAnsi="David"/>
          <w:b/>
          <w:bCs/>
          <w:rtl/>
        </w:rPr>
        <w:t xml:space="preserve"> 7484/08 פלוני נ' מדינת ישראל </w:t>
      </w:r>
      <w:r>
        <w:rPr>
          <w:rFonts w:ascii="David" w:hAnsi="David"/>
          <w:rtl/>
        </w:rPr>
        <w:t xml:space="preserve"> (2009). </w:t>
      </w:r>
    </w:p>
    <w:p w14:paraId="45F1505F" w14:textId="77777777" w:rsidR="006B681D" w:rsidRDefault="006B681D" w:rsidP="006B681D">
      <w:pPr>
        <w:pStyle w:val="aa"/>
        <w:numPr>
          <w:ilvl w:val="0"/>
          <w:numId w:val="1"/>
        </w:numPr>
        <w:spacing w:after="80" w:line="360" w:lineRule="auto"/>
        <w:jc w:val="both"/>
      </w:pPr>
      <w:r>
        <w:rPr>
          <w:rtl/>
        </w:rPr>
        <w:t>באשר ל</w:t>
      </w:r>
      <w:r>
        <w:rPr>
          <w:b/>
          <w:bCs/>
          <w:rtl/>
        </w:rPr>
        <w:t>נסיבות ביצוע העבירה</w:t>
      </w:r>
      <w:r>
        <w:rPr>
          <w:rtl/>
        </w:rPr>
        <w:t>, נתתי דעתי לביצוע העבירה על ידי הנאשם בגפו, ומאידך לנזק הפוטנציאלי שיכול היה להיגרם.</w:t>
      </w:r>
    </w:p>
    <w:p w14:paraId="55A536E9" w14:textId="77777777" w:rsidR="006B681D" w:rsidRDefault="006B681D" w:rsidP="006B681D">
      <w:pPr>
        <w:pStyle w:val="aa"/>
        <w:spacing w:after="80" w:line="360" w:lineRule="auto"/>
        <w:ind w:left="360"/>
        <w:jc w:val="both"/>
      </w:pPr>
      <w:r>
        <w:rPr>
          <w:rtl/>
        </w:rPr>
        <w:t xml:space="preserve">עוד בחנתי את סוג הסם, מסוכנותו, היקף הכמות שהוחזקה והאופן בו הוחזקו הסמים, וכן נתתי דעתי לכך שהנאשם החזיק לצד הסמים ובסכין יפנית, מחוץ לתחום ביתו וכן במשקל אלקטרוני. </w:t>
      </w:r>
    </w:p>
    <w:p w14:paraId="3E385FC9" w14:textId="77777777" w:rsidR="006B681D" w:rsidRDefault="006B681D" w:rsidP="006B681D">
      <w:pPr>
        <w:pStyle w:val="aa"/>
        <w:spacing w:after="80" w:line="360" w:lineRule="auto"/>
        <w:ind w:left="360"/>
        <w:jc w:val="both"/>
        <w:rPr>
          <w:rtl/>
        </w:rPr>
      </w:pPr>
      <w:r>
        <w:rPr>
          <w:rtl/>
        </w:rPr>
        <w:t xml:space="preserve">באשר לסם, בעניינינו מדובר בחשיש, אשר נמנה עם הסמים הקלים ולכאורה אינו מצוי במדרג חומרה גבוה בין הסמים השונים. אמנם מדובר בכמות סם לא גדולה, אך </w:t>
      </w:r>
      <w:r>
        <w:rPr>
          <w:noProof w:val="0"/>
          <w:rtl/>
        </w:rPr>
        <w:t>הסם מחולק</w:t>
      </w:r>
      <w:r>
        <w:rPr>
          <w:rtl/>
        </w:rPr>
        <w:t xml:space="preserve"> לשתי פלטות אשר נמצאו בשני מוקדים שונים ברכבו של הנאשם, מה שמהווה נסיבה לחומרה, כאשר הסם בכמות שאינה לצריכה עצמית (181.49 גרם נטו).</w:t>
      </w:r>
    </w:p>
    <w:p w14:paraId="13BF8561" w14:textId="77777777" w:rsidR="006B681D" w:rsidRDefault="006B681D" w:rsidP="006B681D">
      <w:pPr>
        <w:pStyle w:val="aa"/>
        <w:numPr>
          <w:ilvl w:val="0"/>
          <w:numId w:val="1"/>
        </w:numPr>
        <w:spacing w:after="80" w:line="360" w:lineRule="auto"/>
        <w:jc w:val="both"/>
        <w:rPr>
          <w:rtl/>
        </w:rPr>
      </w:pPr>
      <w:r>
        <w:rPr>
          <w:rtl/>
        </w:rPr>
        <w:t xml:space="preserve">בנסיבות המתוארות, מסקנתי היא כי </w:t>
      </w:r>
      <w:r>
        <w:rPr>
          <w:b/>
          <w:bCs/>
          <w:rtl/>
        </w:rPr>
        <w:t>מידת הפגיעה</w:t>
      </w:r>
      <w:r>
        <w:rPr>
          <w:rtl/>
        </w:rPr>
        <w:t xml:space="preserve"> בערכים המוגנים במקרה איננה ברף הגבוה.</w:t>
      </w:r>
    </w:p>
    <w:p w14:paraId="356C882C" w14:textId="77777777" w:rsidR="006B681D" w:rsidRDefault="006B681D" w:rsidP="006B681D">
      <w:pPr>
        <w:pStyle w:val="aa"/>
        <w:numPr>
          <w:ilvl w:val="0"/>
          <w:numId w:val="1"/>
        </w:numPr>
        <w:snapToGrid w:val="0"/>
        <w:spacing w:after="240" w:line="360" w:lineRule="auto"/>
        <w:jc w:val="both"/>
        <w:rPr>
          <w:rFonts w:ascii="David" w:hAnsi="David"/>
          <w:b/>
          <w:bCs/>
          <w:rtl/>
        </w:rPr>
      </w:pPr>
      <w:r>
        <w:rPr>
          <w:rtl/>
        </w:rPr>
        <w:t>באשר ל</w:t>
      </w:r>
      <w:r>
        <w:rPr>
          <w:b/>
          <w:bCs/>
          <w:rtl/>
        </w:rPr>
        <w:t>מדיניות הענישה הנוהגת</w:t>
      </w:r>
      <w:r>
        <w:rPr>
          <w:rtl/>
        </w:rPr>
        <w:t>, כפי שצוין ב</w:t>
      </w:r>
      <w:r>
        <w:rPr>
          <w:b/>
          <w:bCs/>
          <w:rtl/>
        </w:rPr>
        <w:t>עניין קריכלי</w:t>
      </w:r>
      <w:r>
        <w:rPr>
          <w:rtl/>
        </w:rPr>
        <w:t xml:space="preserve">, ככלל, מדיניות הענישה בעבירות סמים היא מדיניות ענישה מחמירה, ומשנה חומרה נלמד מכך שהנאשם הורשע גם בעבירה של החזקת סכין. יחד עם זאת, מסקירת הפסיקה, עולה כי מדובר במנעד ענישה די רחב. </w:t>
      </w:r>
    </w:p>
    <w:p w14:paraId="1FB0C0BA" w14:textId="77777777" w:rsidR="006B681D" w:rsidRDefault="006B681D" w:rsidP="006B681D">
      <w:pPr>
        <w:pStyle w:val="aa"/>
        <w:snapToGrid w:val="0"/>
        <w:spacing w:after="240" w:line="360" w:lineRule="auto"/>
        <w:ind w:left="360"/>
        <w:jc w:val="both"/>
        <w:rPr>
          <w:rFonts w:ascii="Arial" w:hAnsi="Arial"/>
          <w:b/>
          <w:bCs/>
        </w:rPr>
      </w:pPr>
      <w:r>
        <w:rPr>
          <w:rFonts w:ascii="David" w:hAnsi="David"/>
          <w:rtl/>
        </w:rPr>
        <w:t>להמחשה, ב</w:t>
      </w:r>
      <w:hyperlink r:id="rId25" w:history="1">
        <w:r w:rsidR="0074169C" w:rsidRPr="0074169C">
          <w:rPr>
            <w:rFonts w:ascii="Arial" w:hAnsi="Arial"/>
            <w:color w:val="0000FF"/>
            <w:u w:val="single"/>
            <w:rtl/>
          </w:rPr>
          <w:t>עפ"ג (תל אביב) 6291-09-21</w:t>
        </w:r>
      </w:hyperlink>
      <w:r>
        <w:rPr>
          <w:rFonts w:ascii="Arial" w:hAnsi="Arial"/>
          <w:rtl/>
        </w:rPr>
        <w:t xml:space="preserve"> </w:t>
      </w:r>
      <w:r>
        <w:rPr>
          <w:rFonts w:ascii="Arial" w:hAnsi="Arial"/>
          <w:b/>
          <w:bCs/>
          <w:rtl/>
        </w:rPr>
        <w:t>קסלר נ' מדינת ישראל</w:t>
      </w:r>
      <w:r>
        <w:rPr>
          <w:rFonts w:ascii="Arial" w:hAnsi="Arial"/>
          <w:rtl/>
        </w:rPr>
        <w:t xml:space="preserve"> (01.12.21) – המערער</w:t>
      </w:r>
      <w:r>
        <w:rPr>
          <w:rFonts w:ascii="David" w:hAnsi="David"/>
          <w:rtl/>
        </w:rPr>
        <w:t xml:space="preserve"> הורשע, על פי הודאתו, בעבירה של החזקת סם שלא לצריכה עצמית (להלן: "התיק העיקרי")  וצירף תיק נוסף (להלן: "תיק הצירוף") במסגרתו הורשע בעבירה של החזקת אגרופן או סכין שלא כדין. על פי כתב האישום בתיק העיקרי, עולה כי ביום 28.03.18, בשעה 10:00 או בסמוך לכך, החזיק המערער בביתו, שבאורי צבי גרינברג 21 בחולון, בסם מסוכן מסוג קנבוס,</w:t>
      </w:r>
      <w:r>
        <w:rPr>
          <w:rtl/>
        </w:rPr>
        <w:t xml:space="preserve"> </w:t>
      </w:r>
      <w:r>
        <w:rPr>
          <w:rFonts w:ascii="David" w:hAnsi="David"/>
          <w:rtl/>
        </w:rPr>
        <w:t xml:space="preserve">במשקל כולל של 229.35 גרם נטו, במספר מקומות שונים. על פי כתב האישום בתיק המצורף, עולה כי ביום 11.09.18, בשעה 02:30 או בסמוך לכך, ברחוב </w:t>
      </w:r>
      <w:hyperlink r:id="rId26" w:history="1">
        <w:r w:rsidR="0074169C" w:rsidRPr="0074169C">
          <w:rPr>
            <w:rFonts w:ascii="David" w:hAnsi="David"/>
            <w:color w:val="000000"/>
            <w:rtl/>
          </w:rPr>
          <w:t>בן גוריון</w:t>
        </w:r>
      </w:hyperlink>
      <w:r>
        <w:rPr>
          <w:rFonts w:ascii="David" w:hAnsi="David"/>
          <w:rtl/>
        </w:rPr>
        <w:t xml:space="preserve"> 1 בחולון, החזיק המערער באגרופן, מחוץ לתחום ביתו. </w:t>
      </w:r>
      <w:r>
        <w:rPr>
          <w:rFonts w:ascii="David" w:hAnsi="David"/>
          <w:b/>
          <w:bCs/>
          <w:rtl/>
        </w:rPr>
        <w:t>באשר לעבירת החזקת הסם שלא לצריכה עצמית, בית המשפט העמיד את מתחם העונש ההולם כנע בין מאסר על תנאי לצד צו של"צ, וענישה נלווית ועד ל-8 חודשי מאסר בפועל</w:t>
      </w:r>
      <w:r>
        <w:rPr>
          <w:rFonts w:ascii="David" w:hAnsi="David"/>
          <w:rtl/>
        </w:rPr>
        <w:t>. באשר לעבירת החזקת האגרופן, נקבע מתחם שנע בין מאסר על תנאי ל-6 חודשי מאסר בפועל. בית המשפט גזר על המערער, יליד 1993, נעדר עבר פלילי, אשר הוציא מאז העבירה רישיון לקנאביס רפואי ומאידך לא שיתף פעולה במהלך התהליך הארוך שעבר במסגרת שירות המבחן, מאסר לתקופה של 30 יום על דרך של עבודות שירות, צו מבחן למשך שנה וחצי כהמלצת שירות המבחן, מאסרים על תנאי, התחייבות, חילוט הטלפון הנייד וקנס בסך 2000 ₪.</w:t>
      </w:r>
      <w:r>
        <w:rPr>
          <w:rFonts w:ascii="Arial" w:hAnsi="Arial"/>
          <w:b/>
          <w:bCs/>
          <w:rtl/>
        </w:rPr>
        <w:t xml:space="preserve"> </w:t>
      </w:r>
      <w:r>
        <w:rPr>
          <w:rFonts w:ascii="Arial" w:hAnsi="Arial"/>
          <w:rtl/>
        </w:rPr>
        <w:t>הערעור שהוגש לבית המשפט המחוזי נדחה.</w:t>
      </w:r>
    </w:p>
    <w:p w14:paraId="5ADE50A6" w14:textId="77777777" w:rsidR="006B681D" w:rsidRDefault="006B681D" w:rsidP="006B681D">
      <w:pPr>
        <w:pStyle w:val="aa"/>
        <w:snapToGrid w:val="0"/>
        <w:spacing w:after="240" w:line="360" w:lineRule="auto"/>
        <w:ind w:left="360"/>
        <w:jc w:val="both"/>
        <w:rPr>
          <w:rFonts w:ascii="David" w:hAnsi="David"/>
          <w:rtl/>
        </w:rPr>
      </w:pPr>
      <w:r>
        <w:rPr>
          <w:rFonts w:ascii="David" w:hAnsi="David"/>
          <w:rtl/>
        </w:rPr>
        <w:t>ב</w:t>
      </w:r>
      <w:hyperlink r:id="rId27" w:history="1">
        <w:r w:rsidR="0074169C" w:rsidRPr="0074169C">
          <w:rPr>
            <w:rFonts w:ascii="David" w:hAnsi="David"/>
            <w:color w:val="0000FF"/>
            <w:u w:val="single"/>
            <w:rtl/>
          </w:rPr>
          <w:t>ת"פ (תל-אביב) 49157-08-17</w:t>
        </w:r>
      </w:hyperlink>
      <w:r>
        <w:rPr>
          <w:rFonts w:ascii="David" w:hAnsi="David"/>
          <w:rtl/>
        </w:rPr>
        <w:t xml:space="preserve"> </w:t>
      </w:r>
      <w:r>
        <w:rPr>
          <w:rFonts w:ascii="David" w:hAnsi="David"/>
          <w:b/>
          <w:bCs/>
          <w:rtl/>
        </w:rPr>
        <w:t xml:space="preserve">מדינת ישראל נ' שגב </w:t>
      </w:r>
      <w:r>
        <w:rPr>
          <w:rFonts w:ascii="David" w:hAnsi="David"/>
          <w:rtl/>
        </w:rPr>
        <w:t xml:space="preserve">(22.5.19) הנאשם הורשע על פי הודאתו בעבירות של החזקת סם שלא לצריכה עצמית והחזקת סכין שלא למטרה כשרה. הנאשם החזיק ברכבו, עת שהה בתחנת דלק בהרצליה סם מסוכן מסוג קוקאין, המחולק ל-6 מנות במשקל 5 גרם, ועוד סם מסוג קנאביס במשקל 147.92 גרם, והכול שלא לצריכתו העצמית. עוד החזיק הנאשם ברכבו במשקל אלקטרוני כסוף ובסכין שחורה, מתקבעת, שאורך להבה 10 ס"מ, חדה ומשוננת, זאת מחוץ לחצרי ביתו ולא הוכיח כי החזיקה למטרה כשרה. בית המשפט קבע כי מתחם העונש ההולם בגין עבירת החזקת הסכין נע בין מאסר מותנה לצד של"צ וקנס לבין 8 חודשי מאסר בפועל וכי </w:t>
      </w:r>
      <w:r>
        <w:rPr>
          <w:rFonts w:ascii="David" w:hAnsi="David"/>
          <w:b/>
          <w:bCs/>
          <w:rtl/>
        </w:rPr>
        <w:t>מתחם העונש הכולל בגין אירוע החזקת הסמים והסכין ברכב שהינו אירוע אחד שנע בין מספר חודשי מאסר לריצוי בפועל ועד ל-18 חודשים.</w:t>
      </w:r>
      <w:r>
        <w:rPr>
          <w:rFonts w:ascii="David" w:hAnsi="David"/>
          <w:rtl/>
        </w:rPr>
        <w:t xml:space="preserve"> יחד עם זאת, בית המשפט סטה במקרה של נאשם זה ממתחם העונש ההולם משיקולי שיקום שעבר הנאשם וגזר על נאשם, בעל עבר פלילי, שנטל אחריות על מעשיו וחסך בזמן שיפוטי, עונש של של"צ בהיקף של 300 שעות, צו מבחן למשך 18 חודשים, מאסר על תנאי בן 6 חודשים למשך 3 שנים, קנס בסך של 2,000 ש"ח או 40 ימי מאסר תמורתו, פסילה מלקבל או מלהחזיק רישיון נהיגה לתקופה של 30 ימים, פסילה מלקבל או להחזיק רישיון נהיגה לתקופה על תנאי של 3 חודשים למשך 3 שנים.</w:t>
      </w:r>
    </w:p>
    <w:p w14:paraId="1DC8C92C" w14:textId="77777777" w:rsidR="006B681D" w:rsidRDefault="006B681D" w:rsidP="006B681D">
      <w:pPr>
        <w:pStyle w:val="aa"/>
        <w:snapToGrid w:val="0"/>
        <w:spacing w:after="240" w:line="360" w:lineRule="auto"/>
        <w:ind w:left="360"/>
        <w:jc w:val="both"/>
        <w:rPr>
          <w:rFonts w:ascii="Arial" w:hAnsi="Arial"/>
          <w:rtl/>
        </w:rPr>
      </w:pPr>
      <w:r>
        <w:rPr>
          <w:rFonts w:ascii="David" w:hAnsi="David"/>
          <w:rtl/>
        </w:rPr>
        <w:t xml:space="preserve">וראו גם </w:t>
      </w:r>
      <w:hyperlink r:id="rId28" w:history="1">
        <w:r w:rsidR="0074169C" w:rsidRPr="0074169C">
          <w:rPr>
            <w:rFonts w:ascii="Arial" w:hAnsi="Arial"/>
            <w:color w:val="0000FF"/>
            <w:u w:val="single"/>
            <w:rtl/>
          </w:rPr>
          <w:t>עפ"ג (מרכז) 69406-01-20</w:t>
        </w:r>
      </w:hyperlink>
      <w:r>
        <w:rPr>
          <w:rFonts w:ascii="Arial" w:hAnsi="Arial"/>
          <w:rtl/>
        </w:rPr>
        <w:t xml:space="preserve"> </w:t>
      </w:r>
      <w:r>
        <w:rPr>
          <w:rFonts w:ascii="Arial" w:hAnsi="Arial"/>
          <w:b/>
          <w:bCs/>
          <w:rtl/>
        </w:rPr>
        <w:t xml:space="preserve">פרנקו נ' מדינת ישראל </w:t>
      </w:r>
      <w:r>
        <w:rPr>
          <w:rFonts w:ascii="Arial" w:hAnsi="Arial"/>
          <w:rtl/>
        </w:rPr>
        <w:t xml:space="preserve">(31.8.20); </w:t>
      </w:r>
      <w:hyperlink r:id="rId29" w:history="1">
        <w:r w:rsidR="0074169C" w:rsidRPr="0074169C">
          <w:rPr>
            <w:rFonts w:ascii="David" w:hAnsi="David"/>
            <w:color w:val="0000FF"/>
            <w:u w:val="single"/>
            <w:rtl/>
          </w:rPr>
          <w:t>ת"פ (תל-אביב) 53788-02-16</w:t>
        </w:r>
      </w:hyperlink>
      <w:r>
        <w:rPr>
          <w:rFonts w:ascii="David" w:hAnsi="David"/>
          <w:rtl/>
        </w:rPr>
        <w:t xml:space="preserve"> </w:t>
      </w:r>
      <w:r>
        <w:rPr>
          <w:rFonts w:ascii="David" w:hAnsi="David"/>
          <w:b/>
          <w:bCs/>
          <w:rtl/>
        </w:rPr>
        <w:t xml:space="preserve">מדינת ישראל נ' עמית קלוורי </w:t>
      </w:r>
      <w:r>
        <w:rPr>
          <w:rFonts w:ascii="David" w:hAnsi="David"/>
          <w:rtl/>
        </w:rPr>
        <w:t>(16.7.18);</w:t>
      </w:r>
      <w:r>
        <w:rPr>
          <w:rFonts w:ascii="Arial" w:hAnsi="Arial"/>
          <w:rtl/>
        </w:rPr>
        <w:t xml:space="preserve"> </w:t>
      </w:r>
      <w:hyperlink r:id="rId30" w:history="1">
        <w:r w:rsidR="0074169C" w:rsidRPr="0074169C">
          <w:rPr>
            <w:rFonts w:ascii="Arial" w:hAnsi="Arial"/>
            <w:color w:val="0000FF"/>
            <w:u w:val="single"/>
            <w:rtl/>
          </w:rPr>
          <w:t>ת"פ (רח') 20763-10-18</w:t>
        </w:r>
      </w:hyperlink>
      <w:r>
        <w:rPr>
          <w:rFonts w:ascii="Arial" w:hAnsi="Arial"/>
          <w:rtl/>
        </w:rPr>
        <w:t xml:space="preserve"> </w:t>
      </w:r>
      <w:r>
        <w:rPr>
          <w:rFonts w:ascii="Arial" w:hAnsi="Arial"/>
          <w:b/>
          <w:bCs/>
          <w:rtl/>
        </w:rPr>
        <w:t xml:space="preserve">מדינת ישראל נ' אדיסו </w:t>
      </w:r>
      <w:r>
        <w:rPr>
          <w:rFonts w:ascii="Arial" w:hAnsi="Arial"/>
          <w:rtl/>
        </w:rPr>
        <w:t>(7.6.20).</w:t>
      </w:r>
    </w:p>
    <w:p w14:paraId="3ADA60CC" w14:textId="77777777" w:rsidR="006B681D" w:rsidRPr="00372595" w:rsidRDefault="006B681D" w:rsidP="006B681D">
      <w:pPr>
        <w:pStyle w:val="aa"/>
        <w:snapToGrid w:val="0"/>
        <w:spacing w:after="240" w:line="360" w:lineRule="auto"/>
        <w:ind w:left="360"/>
        <w:jc w:val="both"/>
      </w:pPr>
      <w:r>
        <w:rPr>
          <w:rtl/>
        </w:rPr>
        <w:t xml:space="preserve">לאחר שקילת נסיבות ביצוע העבירה, ובכלל זאת כמות הסמים וסוגם, החזקת הסכין לצד הסמים, ברכב, מידת הפגיעה בערכים המוגנים והענישה </w:t>
      </w:r>
      <w:r>
        <w:rPr>
          <w:rFonts w:ascii="David" w:hAnsi="David"/>
          <w:rtl/>
        </w:rPr>
        <w:t>הנוהגת</w:t>
      </w:r>
      <w:r>
        <w:rPr>
          <w:rtl/>
        </w:rPr>
        <w:t xml:space="preserve">, </w:t>
      </w:r>
      <w:r>
        <w:rPr>
          <w:b/>
          <w:bCs/>
          <w:rtl/>
        </w:rPr>
        <w:t>מתחם העונש ההולם במקרה שלפנינו, נע בין מאסר על תנאי לצד של"צ, ועד ל-10 חודשי מאסר בפועל, לצד ענישה נלווית.</w:t>
      </w:r>
      <w:r>
        <w:rPr>
          <w:rtl/>
        </w:rPr>
        <w:t xml:space="preserve"> </w:t>
      </w:r>
    </w:p>
    <w:p w14:paraId="66C03458" w14:textId="77777777" w:rsidR="006B681D" w:rsidRDefault="006B681D" w:rsidP="006B681D">
      <w:pPr>
        <w:spacing w:line="360" w:lineRule="auto"/>
        <w:ind w:left="369"/>
        <w:jc w:val="both"/>
        <w:rPr>
          <w:b/>
          <w:bCs/>
          <w:noProof/>
          <w:u w:val="single"/>
          <w:rtl/>
        </w:rPr>
      </w:pPr>
      <w:r>
        <w:rPr>
          <w:b/>
          <w:bCs/>
          <w:u w:val="single"/>
          <w:rtl/>
        </w:rPr>
        <w:t xml:space="preserve">סטיה ממתחם העונש </w:t>
      </w:r>
    </w:p>
    <w:p w14:paraId="76A503AF" w14:textId="77777777" w:rsidR="006B681D" w:rsidRDefault="006B681D" w:rsidP="006B681D">
      <w:pPr>
        <w:pStyle w:val="aa"/>
        <w:spacing w:after="160" w:line="360" w:lineRule="auto"/>
        <w:ind w:left="360"/>
        <w:jc w:val="both"/>
        <w:rPr>
          <w:highlight w:val="yellow"/>
          <w:rtl/>
        </w:rPr>
      </w:pPr>
      <w:r>
        <w:rPr>
          <w:rFonts w:ascii="David" w:hAnsi="David"/>
          <w:color w:val="000000"/>
          <w:rtl/>
        </w:rPr>
        <w:t>במקרה דנן, לא מצאתי כי קיימים שיקולים אשר מצדיקים סטייה מהמתחם, לחומרה או לקולא.</w:t>
      </w:r>
    </w:p>
    <w:p w14:paraId="338B4A1C" w14:textId="77777777" w:rsidR="006B681D" w:rsidRDefault="006B681D" w:rsidP="006B681D">
      <w:pPr>
        <w:spacing w:line="360" w:lineRule="auto"/>
        <w:jc w:val="both"/>
        <w:rPr>
          <w:highlight w:val="yellow"/>
          <w:rtl/>
        </w:rPr>
      </w:pPr>
    </w:p>
    <w:p w14:paraId="01A6DFA1" w14:textId="77777777" w:rsidR="006B681D" w:rsidRDefault="006B681D" w:rsidP="006B681D">
      <w:pPr>
        <w:spacing w:line="360" w:lineRule="auto"/>
        <w:ind w:left="1077" w:hanging="720"/>
        <w:jc w:val="both"/>
        <w:rPr>
          <w:b/>
          <w:bCs/>
          <w:sz w:val="28"/>
          <w:szCs w:val="28"/>
        </w:rPr>
      </w:pPr>
      <w:r>
        <w:rPr>
          <w:b/>
          <w:bCs/>
          <w:sz w:val="28"/>
          <w:szCs w:val="28"/>
          <w:rtl/>
        </w:rPr>
        <w:t>מיקום הנאשם בתוך המתחם</w:t>
      </w:r>
    </w:p>
    <w:p w14:paraId="79DDD397" w14:textId="77777777" w:rsidR="006B681D" w:rsidRDefault="006B681D" w:rsidP="006B681D">
      <w:pPr>
        <w:pStyle w:val="aa"/>
        <w:numPr>
          <w:ilvl w:val="0"/>
          <w:numId w:val="1"/>
        </w:numPr>
        <w:spacing w:after="80" w:line="360" w:lineRule="auto"/>
        <w:jc w:val="both"/>
        <w:rPr>
          <w:rtl/>
        </w:rPr>
      </w:pPr>
      <w:r>
        <w:rPr>
          <w:rtl/>
        </w:rPr>
        <w:t xml:space="preserve">כמצוות המחוקק, </w:t>
      </w:r>
      <w:hyperlink r:id="rId31" w:history="1">
        <w:r w:rsidR="00CE19C0" w:rsidRPr="00CE19C0">
          <w:rPr>
            <w:rStyle w:val="Hyperlink"/>
            <w:rFonts w:hint="cs"/>
            <w:rtl/>
          </w:rPr>
          <w:t>בסעיף</w:t>
        </w:r>
        <w:r w:rsidR="00CE19C0" w:rsidRPr="00CE19C0">
          <w:rPr>
            <w:rStyle w:val="Hyperlink"/>
            <w:rtl/>
          </w:rPr>
          <w:t xml:space="preserve"> 40</w:t>
        </w:r>
        <w:r w:rsidR="00CE19C0" w:rsidRPr="00CE19C0">
          <w:rPr>
            <w:rStyle w:val="Hyperlink"/>
            <w:rFonts w:hint="cs"/>
            <w:rtl/>
          </w:rPr>
          <w:t>יא</w:t>
        </w:r>
      </w:hyperlink>
      <w:r>
        <w:rPr>
          <w:rtl/>
        </w:rPr>
        <w:t xml:space="preserve"> ל</w:t>
      </w:r>
      <w:hyperlink r:id="rId32" w:history="1">
        <w:r w:rsidR="0074169C" w:rsidRPr="0074169C">
          <w:rPr>
            <w:rFonts w:hint="cs"/>
            <w:color w:val="0000FF"/>
            <w:u w:val="single"/>
            <w:rtl/>
          </w:rPr>
          <w:t>חוק</w:t>
        </w:r>
        <w:r w:rsidR="0074169C" w:rsidRPr="0074169C">
          <w:rPr>
            <w:color w:val="0000FF"/>
            <w:u w:val="single"/>
            <w:rtl/>
          </w:rPr>
          <w:t xml:space="preserve"> </w:t>
        </w:r>
        <w:r w:rsidR="0074169C" w:rsidRPr="0074169C">
          <w:rPr>
            <w:rFonts w:hint="cs"/>
            <w:color w:val="0000FF"/>
            <w:u w:val="single"/>
            <w:rtl/>
          </w:rPr>
          <w:t>העונשין</w:t>
        </w:r>
      </w:hyperlink>
      <w:r>
        <w:rPr>
          <w:rtl/>
        </w:rPr>
        <w:t>, על בית המשפט לקחת בחשבון, בעת ענישת הנאשם, את נסיבותיו האישיות אשר אינן קשורות בביצוע העבירה. במקרה דנן נסיבות אלו נלמדות מטיעוני ההגנה, מתסקיר שירות המבחן ומדברי הנאשם.</w:t>
      </w:r>
    </w:p>
    <w:p w14:paraId="4E0B3939" w14:textId="77777777" w:rsidR="006B681D" w:rsidRDefault="006B681D" w:rsidP="006B681D">
      <w:pPr>
        <w:pStyle w:val="aa"/>
        <w:spacing w:line="360" w:lineRule="auto"/>
        <w:ind w:left="360"/>
        <w:jc w:val="both"/>
        <w:rPr>
          <w:b/>
          <w:bCs/>
          <w:u w:val="single"/>
        </w:rPr>
      </w:pPr>
      <w:r>
        <w:rPr>
          <w:b/>
          <w:bCs/>
          <w:u w:val="single"/>
          <w:rtl/>
        </w:rPr>
        <w:t>הנסיבות הקונקרטיות</w:t>
      </w:r>
    </w:p>
    <w:p w14:paraId="1F9F1E58" w14:textId="77777777" w:rsidR="006B681D" w:rsidRDefault="006B681D" w:rsidP="006B681D">
      <w:pPr>
        <w:pStyle w:val="aa"/>
        <w:numPr>
          <w:ilvl w:val="0"/>
          <w:numId w:val="1"/>
        </w:numPr>
        <w:spacing w:after="80" w:line="360" w:lineRule="auto"/>
        <w:jc w:val="both"/>
        <w:rPr>
          <w:rtl/>
        </w:rPr>
      </w:pPr>
      <w:r>
        <w:rPr>
          <w:rtl/>
        </w:rPr>
        <w:t>הנאשם בן 39, נשוי ואב לשלושה ילדים, עובד בחמש עשרה השנים האחרונות בתור מנהל קו חלוקה של חברת "אוסם" באיזור תל אביב.</w:t>
      </w:r>
    </w:p>
    <w:p w14:paraId="365BD941" w14:textId="77777777" w:rsidR="006B681D" w:rsidRDefault="006B681D" w:rsidP="006B681D">
      <w:pPr>
        <w:pStyle w:val="aa"/>
        <w:numPr>
          <w:ilvl w:val="0"/>
          <w:numId w:val="1"/>
        </w:numPr>
        <w:spacing w:after="80" w:line="360" w:lineRule="auto"/>
        <w:jc w:val="both"/>
      </w:pPr>
      <w:r>
        <w:rPr>
          <w:rtl/>
        </w:rPr>
        <w:t>הנאשם הודה במסגרת הסדר טיעון בכתב האישום המתוקן, ובכך חסך זמן שיפוטי, נטל אחריות על מעשיו והודה במעשיו.</w:t>
      </w:r>
    </w:p>
    <w:p w14:paraId="7CAA70CB" w14:textId="77777777" w:rsidR="006B681D" w:rsidRDefault="006B681D" w:rsidP="006B681D">
      <w:pPr>
        <w:pStyle w:val="aa"/>
        <w:numPr>
          <w:ilvl w:val="0"/>
          <w:numId w:val="1"/>
        </w:numPr>
        <w:spacing w:after="80" w:line="360" w:lineRule="auto"/>
        <w:jc w:val="both"/>
      </w:pPr>
      <w:r>
        <w:rPr>
          <w:rtl/>
        </w:rPr>
        <w:t xml:space="preserve">הנאשם נעדר עבר פלילי, ולא פתוחים נגדו תיקים נוספים. הנאשם נוטל אחריות על ביצוע המיוחס לו, מודע לחומרת מעשיו ומאז מעצרו הפסיק את שימושו בסם, ומסר בדיקות שתן שנמצאו נקיות משרידי סם. </w:t>
      </w:r>
    </w:p>
    <w:p w14:paraId="31B62850" w14:textId="77777777" w:rsidR="006B681D" w:rsidRDefault="006B681D" w:rsidP="006B681D">
      <w:pPr>
        <w:pStyle w:val="aa"/>
        <w:spacing w:after="80" w:line="360" w:lineRule="auto"/>
        <w:ind w:left="360"/>
        <w:jc w:val="both"/>
      </w:pPr>
      <w:r>
        <w:rPr>
          <w:rtl/>
        </w:rPr>
        <w:t>שירות המבחן התרשם מהנאשם כאדם נורמטיבי, נעדר דפוסים עברייניים, אשר ההליך המשפטי היווה עבורו גורם מרתיע ומציב גבול, הבין את הבעייתיות במעשיו ופעל באופן עצמאי להגמל מסמים. שירות המבחן מצא כי הסיכון להישנות העבירות נמוך, לא מצא נזקקות טיפולית והמליץ על צו של"צ כענישה מרתיעה, לצד הוראה למסירת בדיקות שתן לאיתור שרידי סם.</w:t>
      </w:r>
    </w:p>
    <w:p w14:paraId="3435559D" w14:textId="77777777" w:rsidR="006B681D" w:rsidRDefault="006B681D" w:rsidP="006B681D">
      <w:pPr>
        <w:pStyle w:val="aa"/>
        <w:numPr>
          <w:ilvl w:val="0"/>
          <w:numId w:val="1"/>
        </w:numPr>
        <w:spacing w:after="80" w:line="360" w:lineRule="auto"/>
        <w:jc w:val="both"/>
        <w:rPr>
          <w:rtl/>
        </w:rPr>
      </w:pPr>
      <w:r>
        <w:rPr>
          <w:rtl/>
        </w:rPr>
        <w:t>נוכח הודאת הנאשם בהזדמנות הראשונה והחסכון בזמן שיפוטי, איני מוצאת לנכון לזקוף את חלוף הזמן לחובתו והנאשם ימוקם ברף ה</w:t>
      </w:r>
      <w:r>
        <w:rPr>
          <w:b/>
          <w:bCs/>
          <w:rtl/>
        </w:rPr>
        <w:t>נמוך</w:t>
      </w:r>
      <w:r>
        <w:rPr>
          <w:rtl/>
        </w:rPr>
        <w:t xml:space="preserve"> של מתחם הענישה.  </w:t>
      </w:r>
    </w:p>
    <w:p w14:paraId="7D22259F" w14:textId="77777777" w:rsidR="006B681D" w:rsidRPr="00372595" w:rsidRDefault="006B681D" w:rsidP="006B681D">
      <w:pPr>
        <w:pStyle w:val="aa"/>
        <w:numPr>
          <w:ilvl w:val="0"/>
          <w:numId w:val="1"/>
        </w:numPr>
        <w:snapToGrid w:val="0"/>
        <w:spacing w:before="240" w:after="240" w:line="360" w:lineRule="auto"/>
        <w:jc w:val="both"/>
      </w:pPr>
      <w:r>
        <w:rPr>
          <w:rtl/>
        </w:rPr>
        <w:t>עם זאת, פטור בלא כלום אי אפשר, ועל בית המשפט מוטלת חובה לבטא את חומרת העבירות בענישה קונקרטית וממשית. לנוכח הנתונים, לא מצאתי מקום להשתת מאסר בפועל.</w:t>
      </w:r>
    </w:p>
    <w:p w14:paraId="220A50CE" w14:textId="77777777" w:rsidR="006B681D" w:rsidRPr="006B681D" w:rsidRDefault="006B681D" w:rsidP="006B681D">
      <w:pPr>
        <w:spacing w:after="80" w:line="360" w:lineRule="auto"/>
        <w:jc w:val="both"/>
        <w:rPr>
          <w:b/>
          <w:bCs/>
          <w:color w:val="000000"/>
          <w:sz w:val="28"/>
          <w:szCs w:val="28"/>
          <w:u w:val="single"/>
          <w:rtl/>
        </w:rPr>
      </w:pPr>
      <w:r w:rsidRPr="006B681D">
        <w:rPr>
          <w:b/>
          <w:bCs/>
          <w:color w:val="000000"/>
          <w:sz w:val="28"/>
          <w:szCs w:val="28"/>
          <w:u w:val="single"/>
          <w:rtl/>
        </w:rPr>
        <w:t>סוף דבר</w:t>
      </w:r>
    </w:p>
    <w:p w14:paraId="00CAB50C" w14:textId="77777777" w:rsidR="006B681D" w:rsidRPr="006B681D" w:rsidRDefault="006B681D" w:rsidP="006B681D">
      <w:pPr>
        <w:pStyle w:val="aa"/>
        <w:numPr>
          <w:ilvl w:val="0"/>
          <w:numId w:val="1"/>
        </w:numPr>
        <w:spacing w:after="80" w:line="360" w:lineRule="auto"/>
        <w:jc w:val="both"/>
        <w:rPr>
          <w:color w:val="000000"/>
          <w:rtl/>
        </w:rPr>
      </w:pPr>
      <w:r w:rsidRPr="006B681D">
        <w:rPr>
          <w:color w:val="000000"/>
          <w:rtl/>
        </w:rPr>
        <w:t xml:space="preserve">לצד האינטרס הציבורי הדורש ענישה מוחשית ומרתיעה בעבירות כגון דא, יש לזכור </w:t>
      </w:r>
      <w:r>
        <w:rPr>
          <w:rtl/>
        </w:rPr>
        <w:t>ולהזכיר</w:t>
      </w:r>
      <w:r w:rsidRPr="006B681D">
        <w:rPr>
          <w:color w:val="000000"/>
          <w:rtl/>
        </w:rPr>
        <w:t xml:space="preserve"> כי הענישה, גם לאחר תיקון 113, היא לעולם </w:t>
      </w:r>
      <w:r w:rsidRPr="006B681D">
        <w:rPr>
          <w:b/>
          <w:bCs/>
          <w:color w:val="000000"/>
          <w:rtl/>
        </w:rPr>
        <w:t>אינדיבידואלית</w:t>
      </w:r>
      <w:r w:rsidRPr="006B681D">
        <w:rPr>
          <w:color w:val="000000"/>
          <w:rtl/>
        </w:rPr>
        <w:t>. לעניין זה יפים הדברים שנאמרו ב</w:t>
      </w:r>
      <w:hyperlink r:id="rId33" w:history="1">
        <w:r w:rsidR="0074169C" w:rsidRPr="0074169C">
          <w:rPr>
            <w:rFonts w:hint="cs"/>
            <w:color w:val="0000FF"/>
            <w:u w:val="single"/>
            <w:rtl/>
          </w:rPr>
          <w:t>ע״פ</w:t>
        </w:r>
        <w:r w:rsidR="0074169C" w:rsidRPr="0074169C">
          <w:rPr>
            <w:color w:val="0000FF"/>
            <w:u w:val="single"/>
            <w:rtl/>
          </w:rPr>
          <w:t xml:space="preserve"> 433/89</w:t>
        </w:r>
      </w:hyperlink>
      <w:r w:rsidRPr="006B681D">
        <w:rPr>
          <w:b/>
          <w:bCs/>
          <w:color w:val="000000"/>
          <w:rtl/>
        </w:rPr>
        <w:t xml:space="preserve"> אטיאס נגד מדינת ישראל</w:t>
      </w:r>
      <w:r w:rsidRPr="006B681D">
        <w:rPr>
          <w:color w:val="000000"/>
          <w:rtl/>
        </w:rPr>
        <w:t xml:space="preserve"> (פורסם במאגרים המשפטיים) (03.10.1989):</w:t>
      </w:r>
    </w:p>
    <w:p w14:paraId="7B904866" w14:textId="77777777" w:rsidR="006B681D" w:rsidRPr="006B681D" w:rsidRDefault="006B681D" w:rsidP="006B681D">
      <w:pPr>
        <w:spacing w:after="80" w:line="360" w:lineRule="auto"/>
        <w:ind w:left="720" w:right="680"/>
        <w:jc w:val="both"/>
        <w:rPr>
          <w:b/>
          <w:bCs/>
          <w:color w:val="000000"/>
          <w:rtl/>
        </w:rPr>
      </w:pPr>
      <w:r w:rsidRPr="006B681D">
        <w:rPr>
          <w:b/>
          <w:bCs/>
          <w:color w:val="000000"/>
          <w:rtl/>
        </w:rPr>
        <w:t>״זאת תורת הגישה האינדיווידואלית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p>
    <w:p w14:paraId="6936765A" w14:textId="77777777" w:rsidR="006B681D" w:rsidRPr="006B681D" w:rsidRDefault="006B681D" w:rsidP="006B681D">
      <w:pPr>
        <w:pStyle w:val="aa"/>
        <w:numPr>
          <w:ilvl w:val="0"/>
          <w:numId w:val="1"/>
        </w:numPr>
        <w:spacing w:after="80" w:line="360" w:lineRule="auto"/>
        <w:jc w:val="both"/>
        <w:rPr>
          <w:color w:val="000000"/>
        </w:rPr>
      </w:pPr>
      <w:r w:rsidRPr="006B681D">
        <w:rPr>
          <w:color w:val="000000"/>
          <w:rtl/>
        </w:rPr>
        <w:t>לאחר איזון כלל המפורט לעיל, אני גוזרת על הנאשם את העונשים כדלקמן:</w:t>
      </w:r>
    </w:p>
    <w:p w14:paraId="69674577" w14:textId="77777777" w:rsidR="006B681D" w:rsidRPr="006B681D" w:rsidRDefault="006B681D" w:rsidP="006B681D">
      <w:pPr>
        <w:pStyle w:val="aa"/>
        <w:numPr>
          <w:ilvl w:val="1"/>
          <w:numId w:val="1"/>
        </w:numPr>
        <w:spacing w:after="80" w:line="360" w:lineRule="auto"/>
        <w:jc w:val="both"/>
        <w:rPr>
          <w:color w:val="000000"/>
        </w:rPr>
      </w:pPr>
      <w:r w:rsidRPr="006B681D">
        <w:rPr>
          <w:color w:val="000000"/>
          <w:rtl/>
        </w:rPr>
        <w:t>צו של"צ בהיקף של 200 שעות, אשר יבוצע בהתאם להמלצת שרות המבחן, בתכנית אשר יבנה לנאשם ובפיקוחו.</w:t>
      </w:r>
    </w:p>
    <w:p w14:paraId="39E0E037" w14:textId="77777777" w:rsidR="006B681D" w:rsidRPr="006B681D" w:rsidRDefault="006B681D" w:rsidP="006B681D">
      <w:pPr>
        <w:pStyle w:val="aa"/>
        <w:spacing w:after="80" w:line="360" w:lineRule="auto"/>
        <w:ind w:left="786"/>
        <w:jc w:val="both"/>
        <w:rPr>
          <w:color w:val="000000"/>
        </w:rPr>
      </w:pPr>
      <w:r w:rsidRPr="006B681D">
        <w:rPr>
          <w:color w:val="000000"/>
          <w:u w:val="single"/>
          <w:rtl/>
        </w:rPr>
        <w:t>המזכירות תעביר העתק החלטתי לשירות המבחן, אשר יבנה לנאשם תכנית של"צ בתוך 30 יום מהיום ויעבירה לאישור בית המשפט</w:t>
      </w:r>
      <w:r w:rsidRPr="006B681D">
        <w:rPr>
          <w:color w:val="000000"/>
          <w:rtl/>
        </w:rPr>
        <w:t>.</w:t>
      </w:r>
    </w:p>
    <w:p w14:paraId="03066CBC" w14:textId="77777777" w:rsidR="006B681D" w:rsidRPr="006B681D" w:rsidRDefault="006B681D" w:rsidP="006B681D">
      <w:pPr>
        <w:pStyle w:val="aa"/>
        <w:spacing w:after="80" w:line="360" w:lineRule="auto"/>
        <w:ind w:left="786"/>
        <w:jc w:val="both"/>
        <w:rPr>
          <w:color w:val="000000"/>
          <w:rtl/>
        </w:rPr>
      </w:pPr>
      <w:r w:rsidRPr="006B681D">
        <w:rPr>
          <w:b/>
          <w:bCs/>
          <w:color w:val="000000"/>
          <w:u w:val="single"/>
          <w:rtl/>
        </w:rPr>
        <w:t>מזכירות – נא תזכורת פנימית</w:t>
      </w:r>
      <w:r w:rsidRPr="006B681D">
        <w:rPr>
          <w:color w:val="000000"/>
          <w:rtl/>
        </w:rPr>
        <w:t>.</w:t>
      </w:r>
    </w:p>
    <w:p w14:paraId="2886181A" w14:textId="77777777" w:rsidR="006B681D" w:rsidRPr="006B681D" w:rsidRDefault="006B681D" w:rsidP="006B681D">
      <w:pPr>
        <w:pStyle w:val="aa"/>
        <w:numPr>
          <w:ilvl w:val="1"/>
          <w:numId w:val="1"/>
        </w:numPr>
        <w:spacing w:after="80" w:line="360" w:lineRule="auto"/>
        <w:ind w:left="794"/>
        <w:jc w:val="both"/>
        <w:rPr>
          <w:color w:val="000000"/>
        </w:rPr>
      </w:pPr>
      <w:r w:rsidRPr="006B681D">
        <w:rPr>
          <w:color w:val="000000"/>
          <w:rtl/>
        </w:rPr>
        <w:t>הנאשם ימסור בדיקות שתן על פי דרישה בהתאם לס'</w:t>
      </w:r>
      <w:r w:rsidRPr="0074169C">
        <w:rPr>
          <w:color w:val="000000"/>
          <w:rtl/>
        </w:rPr>
        <w:t xml:space="preserve"> </w:t>
      </w:r>
      <w:hyperlink r:id="rId34" w:history="1">
        <w:r w:rsidR="00CE19C0" w:rsidRPr="00CE19C0">
          <w:rPr>
            <w:rStyle w:val="Hyperlink"/>
            <w:rtl/>
          </w:rPr>
          <w:t xml:space="preserve">71 </w:t>
        </w:r>
        <w:r w:rsidR="00CE19C0" w:rsidRPr="00CE19C0">
          <w:rPr>
            <w:rStyle w:val="Hyperlink"/>
            <w:rFonts w:hint="cs"/>
            <w:rtl/>
          </w:rPr>
          <w:t>א</w:t>
        </w:r>
        <w:r w:rsidR="00CE19C0" w:rsidRPr="00CE19C0">
          <w:rPr>
            <w:rStyle w:val="Hyperlink"/>
            <w:rtl/>
          </w:rPr>
          <w:t>(</w:t>
        </w:r>
        <w:r w:rsidR="00CE19C0" w:rsidRPr="00CE19C0">
          <w:rPr>
            <w:rStyle w:val="Hyperlink"/>
            <w:rFonts w:hint="cs"/>
            <w:rtl/>
          </w:rPr>
          <w:t>ד</w:t>
        </w:r>
        <w:r w:rsidR="00CE19C0" w:rsidRPr="00CE19C0">
          <w:rPr>
            <w:rStyle w:val="Hyperlink"/>
            <w:rtl/>
          </w:rPr>
          <w:t>)</w:t>
        </w:r>
      </w:hyperlink>
      <w:r w:rsidRPr="006B681D">
        <w:rPr>
          <w:color w:val="000000"/>
          <w:rtl/>
        </w:rPr>
        <w:t xml:space="preserve"> ל</w:t>
      </w:r>
      <w:hyperlink r:id="rId35" w:history="1">
        <w:r w:rsidR="0074169C" w:rsidRPr="0074169C">
          <w:rPr>
            <w:rFonts w:hint="cs"/>
            <w:color w:val="0000FF"/>
            <w:u w:val="single"/>
            <w:rtl/>
          </w:rPr>
          <w:t>חוק</w:t>
        </w:r>
        <w:r w:rsidR="0074169C" w:rsidRPr="0074169C">
          <w:rPr>
            <w:color w:val="0000FF"/>
            <w:u w:val="single"/>
            <w:rtl/>
          </w:rPr>
          <w:t xml:space="preserve"> </w:t>
        </w:r>
        <w:r w:rsidR="0074169C" w:rsidRPr="0074169C">
          <w:rPr>
            <w:rFonts w:hint="cs"/>
            <w:color w:val="0000FF"/>
            <w:u w:val="single"/>
            <w:rtl/>
          </w:rPr>
          <w:t>העונשין</w:t>
        </w:r>
      </w:hyperlink>
      <w:r w:rsidRPr="006B681D">
        <w:rPr>
          <w:color w:val="000000"/>
          <w:rtl/>
        </w:rPr>
        <w:t xml:space="preserve">. </w:t>
      </w:r>
    </w:p>
    <w:p w14:paraId="3B5772F1" w14:textId="77777777" w:rsidR="006B681D" w:rsidRPr="006B681D" w:rsidRDefault="006B681D" w:rsidP="006B681D">
      <w:pPr>
        <w:pStyle w:val="aa"/>
        <w:spacing w:after="80" w:line="360" w:lineRule="auto"/>
        <w:ind w:left="794"/>
        <w:jc w:val="both"/>
        <w:rPr>
          <w:b/>
          <w:bCs/>
          <w:color w:val="000000"/>
        </w:rPr>
      </w:pPr>
      <w:r w:rsidRPr="006B681D">
        <w:rPr>
          <w:b/>
          <w:bCs/>
          <w:color w:val="000000"/>
          <w:rtl/>
        </w:rPr>
        <w:t>הנאשם מוזהר כי אם יפר את צו השל"צ תימסר הודעה על כך לבית המשפט, אשר מוסמך לדון בעניינו מחדש במישור העונש.</w:t>
      </w:r>
    </w:p>
    <w:p w14:paraId="24E15BB2" w14:textId="77777777" w:rsidR="006B681D" w:rsidRPr="006B681D" w:rsidRDefault="006B681D" w:rsidP="006B681D">
      <w:pPr>
        <w:pStyle w:val="aa"/>
        <w:numPr>
          <w:ilvl w:val="1"/>
          <w:numId w:val="1"/>
        </w:numPr>
        <w:spacing w:after="80" w:line="360" w:lineRule="auto"/>
        <w:jc w:val="both"/>
        <w:rPr>
          <w:color w:val="000000"/>
        </w:rPr>
      </w:pPr>
      <w:r w:rsidRPr="006B681D">
        <w:rPr>
          <w:color w:val="000000"/>
          <w:rtl/>
        </w:rPr>
        <w:t xml:space="preserve">מאסר למשך 6 חודשים ואולם הנאשם לא יישא בעונש זה אלא אם יעבור עבירת סמים מסוג פשע בתוך שלוש שנים מהיום. </w:t>
      </w:r>
    </w:p>
    <w:p w14:paraId="748794D3" w14:textId="77777777" w:rsidR="006B681D" w:rsidRPr="006B681D" w:rsidRDefault="006B681D" w:rsidP="006B681D">
      <w:pPr>
        <w:pStyle w:val="aa"/>
        <w:numPr>
          <w:ilvl w:val="1"/>
          <w:numId w:val="1"/>
        </w:numPr>
        <w:spacing w:after="80" w:line="360" w:lineRule="auto"/>
        <w:jc w:val="both"/>
        <w:rPr>
          <w:color w:val="000000"/>
        </w:rPr>
      </w:pPr>
      <w:r w:rsidRPr="006B681D">
        <w:rPr>
          <w:color w:val="000000"/>
          <w:rtl/>
        </w:rPr>
        <w:t>מאסר למשך 4 חודשים ואולם הנאשם לא יישא בעונש זה אלא אם יעבור עבירת סמים מסוג עוון בתוך שלוש שנים מהיום.</w:t>
      </w:r>
    </w:p>
    <w:p w14:paraId="106568B4" w14:textId="77777777" w:rsidR="006B681D" w:rsidRDefault="006B681D" w:rsidP="006B681D">
      <w:pPr>
        <w:numPr>
          <w:ilvl w:val="1"/>
          <w:numId w:val="1"/>
        </w:numPr>
        <w:spacing w:after="80" w:line="360" w:lineRule="auto"/>
        <w:contextualSpacing/>
        <w:jc w:val="both"/>
        <w:rPr>
          <w:color w:val="000000"/>
          <w:lang w:eastAsia="he-IL"/>
        </w:rPr>
      </w:pPr>
      <w:r>
        <w:rPr>
          <w:color w:val="000000"/>
          <w:rtl/>
          <w:lang w:eastAsia="he-IL"/>
        </w:rPr>
        <w:t xml:space="preserve">מאסר למשך 3 חודשים ואולם הנאשם לא יישא בעונש זה אלא אם יעבור עבירה של החזקת סכין או אגרופן שלא כדין בתוך שנתיים מהיום.  </w:t>
      </w:r>
    </w:p>
    <w:p w14:paraId="1D6E7338" w14:textId="77777777" w:rsidR="006B681D" w:rsidRPr="006B681D" w:rsidRDefault="006B681D" w:rsidP="006B681D">
      <w:pPr>
        <w:pStyle w:val="aa"/>
        <w:numPr>
          <w:ilvl w:val="1"/>
          <w:numId w:val="1"/>
        </w:numPr>
        <w:spacing w:after="80" w:line="360" w:lineRule="auto"/>
        <w:jc w:val="both"/>
        <w:rPr>
          <w:color w:val="000000"/>
        </w:rPr>
      </w:pPr>
      <w:r w:rsidRPr="006B681D">
        <w:rPr>
          <w:color w:val="000000"/>
          <w:rtl/>
        </w:rPr>
        <w:t>קנס בסך 2000 ₪ או 30 ימי</w:t>
      </w:r>
      <w:r w:rsidRPr="006B681D">
        <w:rPr>
          <w:rFonts w:hint="cs"/>
          <w:color w:val="000000"/>
          <w:rtl/>
        </w:rPr>
        <w:t xml:space="preserve"> מאסר</w:t>
      </w:r>
      <w:r w:rsidRPr="006B681D">
        <w:rPr>
          <w:color w:val="000000"/>
          <w:rtl/>
        </w:rPr>
        <w:t xml:space="preserve"> תמורתם. הקנס ישולם ב-4 תשלומים, החל מיום 01/01/22 ובכל 1 לחודש לאחר מכן. אי עמידה באחד התשלומים תביא לפרעון יתרת הקנס באופן מיידי. </w:t>
      </w:r>
    </w:p>
    <w:p w14:paraId="3146FD2B" w14:textId="77777777" w:rsidR="006B681D" w:rsidRPr="006B681D" w:rsidRDefault="006B681D" w:rsidP="006B681D">
      <w:pPr>
        <w:pStyle w:val="aa"/>
        <w:numPr>
          <w:ilvl w:val="1"/>
          <w:numId w:val="1"/>
        </w:numPr>
        <w:spacing w:after="80" w:line="360" w:lineRule="auto"/>
        <w:jc w:val="both"/>
        <w:rPr>
          <w:color w:val="000000"/>
        </w:rPr>
      </w:pPr>
      <w:r w:rsidRPr="006B681D">
        <w:rPr>
          <w:color w:val="000000"/>
          <w:rtl/>
        </w:rPr>
        <w:t>הנאשם יחתום על התחייבות כספית בסך 5,000 ש״ח שלא לעבור עבירות בהן הו</w:t>
      </w:r>
      <w:r w:rsidRPr="006B681D">
        <w:rPr>
          <w:rFonts w:hint="cs"/>
          <w:color w:val="000000"/>
          <w:rtl/>
        </w:rPr>
        <w:t>רשע</w:t>
      </w:r>
      <w:r w:rsidRPr="006B681D">
        <w:rPr>
          <w:color w:val="000000"/>
          <w:rtl/>
        </w:rPr>
        <w:t xml:space="preserve"> והכל תוך שנה מהיום. </w:t>
      </w:r>
    </w:p>
    <w:p w14:paraId="0B6B1B96" w14:textId="77777777" w:rsidR="006B681D" w:rsidRPr="006B681D" w:rsidRDefault="006B681D" w:rsidP="006B681D">
      <w:pPr>
        <w:pStyle w:val="aa"/>
        <w:spacing w:after="80" w:line="360" w:lineRule="auto"/>
        <w:ind w:left="786"/>
        <w:jc w:val="both"/>
        <w:rPr>
          <w:color w:val="000000"/>
        </w:rPr>
      </w:pPr>
      <w:r w:rsidRPr="006B681D">
        <w:rPr>
          <w:b/>
          <w:bCs/>
          <w:color w:val="000000"/>
          <w:rtl/>
        </w:rPr>
        <w:t>רשמתי בפניי התחייבות הנאשם והיא מהווה חלף חתימה</w:t>
      </w:r>
      <w:r w:rsidRPr="006B681D">
        <w:rPr>
          <w:color w:val="000000"/>
          <w:rtl/>
        </w:rPr>
        <w:t>.</w:t>
      </w:r>
    </w:p>
    <w:p w14:paraId="270E0F7A" w14:textId="77777777" w:rsidR="006B681D" w:rsidRPr="006B681D" w:rsidRDefault="006B681D" w:rsidP="006B681D">
      <w:pPr>
        <w:pStyle w:val="aa"/>
        <w:numPr>
          <w:ilvl w:val="1"/>
          <w:numId w:val="1"/>
        </w:numPr>
        <w:spacing w:after="80" w:line="360" w:lineRule="auto"/>
        <w:jc w:val="both"/>
        <w:rPr>
          <w:color w:val="000000"/>
        </w:rPr>
      </w:pPr>
      <w:r w:rsidRPr="006B681D">
        <w:rPr>
          <w:color w:val="000000"/>
          <w:rtl/>
        </w:rPr>
        <w:t>אני פוסלת</w:t>
      </w:r>
      <w:r>
        <w:rPr>
          <w:rtl/>
        </w:rPr>
        <w:t xml:space="preserve"> את הנאשם מלקבל או מלהחזיק רישיון נהיגה לתקופה של שלושה חודשים וזאת על תנאי למשך 3 שנים.</w:t>
      </w:r>
    </w:p>
    <w:p w14:paraId="617487D2" w14:textId="77777777" w:rsidR="006B681D" w:rsidRDefault="006B681D" w:rsidP="006B681D">
      <w:pPr>
        <w:spacing w:line="360" w:lineRule="auto"/>
        <w:jc w:val="both"/>
        <w:rPr>
          <w:b/>
          <w:bCs/>
          <w:u w:val="single"/>
          <w:rtl/>
        </w:rPr>
      </w:pPr>
    </w:p>
    <w:p w14:paraId="4E8B6E96" w14:textId="77777777" w:rsidR="006B681D" w:rsidRDefault="006B681D" w:rsidP="006B681D">
      <w:pPr>
        <w:spacing w:after="160" w:line="360" w:lineRule="auto"/>
        <w:jc w:val="both"/>
        <w:rPr>
          <w:rtl/>
        </w:rPr>
      </w:pPr>
      <w:r>
        <w:rPr>
          <w:rtl/>
        </w:rPr>
        <w:t>צו כללי למוצגים – סמים, סכין ומשקל דיגיטלי יושמדו. מוצגים נוספים, ככל שישנם בתיק זה, יטופלו בהתאם להחלטת קצין משטרה מוסמך.</w:t>
      </w:r>
    </w:p>
    <w:p w14:paraId="561E4E87" w14:textId="77777777" w:rsidR="006B681D" w:rsidRDefault="006B681D" w:rsidP="006B681D">
      <w:pPr>
        <w:spacing w:line="360" w:lineRule="auto"/>
        <w:jc w:val="both"/>
        <w:rPr>
          <w:b/>
          <w:bCs/>
          <w:u w:val="single"/>
        </w:rPr>
      </w:pPr>
      <w:r>
        <w:rPr>
          <w:rtl/>
        </w:rPr>
        <w:t>ככל שקיימת הפקדה בתיק זה או בתיקים קשורים – מ"י/מ"ת, תושב לנאשם או למי מטעמו, בכפוף לכל דין או החלטה אחרת.</w:t>
      </w:r>
    </w:p>
    <w:p w14:paraId="63B7694F" w14:textId="77777777" w:rsidR="006B681D" w:rsidRDefault="006B681D" w:rsidP="006B681D">
      <w:pPr>
        <w:spacing w:line="360" w:lineRule="auto"/>
        <w:jc w:val="both"/>
        <w:rPr>
          <w:b/>
          <w:bCs/>
          <w:rtl/>
        </w:rPr>
      </w:pPr>
      <w:r>
        <w:rPr>
          <w:b/>
          <w:bCs/>
          <w:rtl/>
        </w:rPr>
        <w:t>זכות ערעור לבית המשפט המחוזי בתל-אביב בתוך 45 יום מהיום.</w:t>
      </w:r>
    </w:p>
    <w:p w14:paraId="0E4FD47E" w14:textId="77777777" w:rsidR="006B681D" w:rsidRDefault="006B681D" w:rsidP="006B681D">
      <w:pPr>
        <w:spacing w:line="360" w:lineRule="auto"/>
        <w:jc w:val="both"/>
        <w:rPr>
          <w:b/>
          <w:bCs/>
          <w:noProof/>
          <w:u w:val="single"/>
          <w:rtl/>
        </w:rPr>
      </w:pPr>
      <w:r>
        <w:rPr>
          <w:b/>
          <w:bCs/>
          <w:u w:val="single"/>
          <w:rtl/>
        </w:rPr>
        <w:t>המזכירות תעביר העתק גזר דין זה לשירות המבחן.</w:t>
      </w:r>
    </w:p>
    <w:p w14:paraId="2797A29E" w14:textId="77777777" w:rsidR="006B681D" w:rsidRPr="00B05847" w:rsidRDefault="006B681D" w:rsidP="006B681D">
      <w:pPr>
        <w:spacing w:line="360" w:lineRule="auto"/>
        <w:rPr>
          <w:rtl/>
        </w:rPr>
      </w:pPr>
    </w:p>
    <w:p w14:paraId="7F464DC1" w14:textId="77777777" w:rsidR="006B681D" w:rsidRPr="00B05847" w:rsidRDefault="006B681D" w:rsidP="006B681D">
      <w:pPr>
        <w:rPr>
          <w:rtl/>
        </w:rPr>
      </w:pPr>
    </w:p>
    <w:p w14:paraId="4721D475" w14:textId="77777777" w:rsidR="006B681D" w:rsidRPr="00B05847" w:rsidRDefault="006B681D" w:rsidP="006B681D">
      <w:pPr>
        <w:rPr>
          <w:rtl/>
        </w:rPr>
      </w:pPr>
    </w:p>
    <w:p w14:paraId="77E06358" w14:textId="77777777" w:rsidR="006B681D" w:rsidRPr="00B05847" w:rsidRDefault="006B681D" w:rsidP="006B681D">
      <w:pPr>
        <w:rPr>
          <w:rtl/>
        </w:rPr>
      </w:pPr>
    </w:p>
    <w:p w14:paraId="765014D0" w14:textId="77777777" w:rsidR="006B681D" w:rsidRPr="0074169C" w:rsidRDefault="0074169C" w:rsidP="006B681D">
      <w:pPr>
        <w:rPr>
          <w:color w:val="FFFFFF"/>
          <w:sz w:val="2"/>
          <w:szCs w:val="2"/>
          <w:rtl/>
        </w:rPr>
      </w:pPr>
      <w:r w:rsidRPr="0074169C">
        <w:rPr>
          <w:color w:val="FFFFFF"/>
          <w:sz w:val="2"/>
          <w:szCs w:val="2"/>
          <w:rtl/>
        </w:rPr>
        <w:t>5129371</w:t>
      </w:r>
    </w:p>
    <w:p w14:paraId="793B547D" w14:textId="77777777" w:rsidR="006B681D" w:rsidRPr="00250B83" w:rsidRDefault="0074169C" w:rsidP="006B681D">
      <w:pPr>
        <w:rPr>
          <w:rtl/>
        </w:rPr>
      </w:pPr>
      <w:bookmarkStart w:id="11" w:name="Nitan"/>
      <w:r w:rsidRPr="0074169C">
        <w:rPr>
          <w:rFonts w:ascii="Arial" w:hAnsi="Arial"/>
          <w:b/>
          <w:bCs/>
          <w:color w:val="FFFFFF"/>
          <w:sz w:val="2"/>
          <w:szCs w:val="2"/>
          <w:rtl/>
        </w:rPr>
        <w:t>54678313</w:t>
      </w:r>
      <w:r>
        <w:rPr>
          <w:rFonts w:ascii="Arial" w:hAnsi="Arial"/>
          <w:b/>
          <w:bCs/>
          <w:rtl/>
        </w:rPr>
        <w:t xml:space="preserve">ניתן היום,  א' טבת תשפ"ב, 05 דצמבר 2021, בנוכחות הצדדים. </w:t>
      </w:r>
      <w:bookmarkEnd w:id="11"/>
    </w:p>
    <w:p w14:paraId="74253306" w14:textId="77777777" w:rsidR="006B681D" w:rsidRPr="00250B83" w:rsidRDefault="006B681D" w:rsidP="0074169C">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2235182" w14:textId="77777777" w:rsidR="006B681D" w:rsidRPr="00250B83" w:rsidRDefault="006B681D" w:rsidP="006B681D">
      <w:pPr>
        <w:jc w:val="center"/>
        <w:rPr>
          <w:rFonts w:ascii="Arial" w:hAnsi="Arial"/>
          <w:rtl/>
        </w:rPr>
      </w:pPr>
    </w:p>
    <w:p w14:paraId="2FFACA75" w14:textId="77777777" w:rsidR="006B681D" w:rsidRPr="00250B83" w:rsidRDefault="006B681D" w:rsidP="006B681D">
      <w:pPr>
        <w:rPr>
          <w:rtl/>
        </w:rPr>
      </w:pPr>
    </w:p>
    <w:p w14:paraId="4335C95D" w14:textId="77777777" w:rsidR="006B681D" w:rsidRDefault="006B681D" w:rsidP="006B681D">
      <w:pPr>
        <w:pStyle w:val="a3"/>
        <w:jc w:val="center"/>
        <w:rPr>
          <w:rtl/>
        </w:rPr>
      </w:pPr>
    </w:p>
    <w:p w14:paraId="017ACCFB" w14:textId="77777777" w:rsidR="0021571A" w:rsidRPr="0074169C" w:rsidRDefault="0021571A" w:rsidP="0074169C">
      <w:pPr>
        <w:keepNext/>
        <w:rPr>
          <w:rFonts w:ascii="David" w:hAnsi="David"/>
          <w:color w:val="000000"/>
          <w:sz w:val="22"/>
          <w:szCs w:val="22"/>
          <w:rtl/>
        </w:rPr>
      </w:pPr>
    </w:p>
    <w:p w14:paraId="5F1664A4" w14:textId="77777777" w:rsidR="0074169C" w:rsidRPr="0074169C" w:rsidRDefault="0074169C" w:rsidP="0074169C">
      <w:pPr>
        <w:keepNext/>
        <w:rPr>
          <w:rFonts w:ascii="David" w:hAnsi="David"/>
          <w:color w:val="000000"/>
          <w:sz w:val="22"/>
          <w:szCs w:val="22"/>
          <w:rtl/>
        </w:rPr>
      </w:pPr>
      <w:r w:rsidRPr="0074169C">
        <w:rPr>
          <w:rFonts w:ascii="David" w:hAnsi="David"/>
          <w:color w:val="000000"/>
          <w:sz w:val="22"/>
          <w:szCs w:val="22"/>
          <w:rtl/>
        </w:rPr>
        <w:t>עדי יעקובוביץ 54678313</w:t>
      </w:r>
    </w:p>
    <w:p w14:paraId="791FCEE7" w14:textId="77777777" w:rsidR="0074169C" w:rsidRDefault="0074169C" w:rsidP="0074169C">
      <w:r w:rsidRPr="0074169C">
        <w:rPr>
          <w:color w:val="000000"/>
          <w:rtl/>
        </w:rPr>
        <w:t>נוסח מסמך זה כפוף לשינויי ניסוח ועריכה</w:t>
      </w:r>
    </w:p>
    <w:p w14:paraId="54516BBA" w14:textId="77777777" w:rsidR="0074169C" w:rsidRDefault="0074169C" w:rsidP="0074169C">
      <w:pPr>
        <w:rPr>
          <w:rtl/>
        </w:rPr>
      </w:pPr>
    </w:p>
    <w:p w14:paraId="529EA97E" w14:textId="77777777" w:rsidR="0074169C" w:rsidRDefault="0074169C" w:rsidP="0074169C">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2BD92855" w14:textId="77777777" w:rsidR="0074169C" w:rsidRPr="0074169C" w:rsidRDefault="0074169C" w:rsidP="0074169C">
      <w:pPr>
        <w:jc w:val="center"/>
        <w:rPr>
          <w:color w:val="0000FF"/>
          <w:u w:val="single"/>
        </w:rPr>
      </w:pPr>
    </w:p>
    <w:sectPr w:rsidR="0074169C" w:rsidRPr="0074169C" w:rsidSect="0074169C">
      <w:headerReference w:type="even" r:id="rId37"/>
      <w:headerReference w:type="default" r:id="rId38"/>
      <w:footerReference w:type="even" r:id="rId39"/>
      <w:footerReference w:type="default" r:id="rId4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1177C" w14:textId="77777777" w:rsidR="00DD7AE9" w:rsidRDefault="00DD7AE9" w:rsidP="006A318E">
      <w:r>
        <w:separator/>
      </w:r>
    </w:p>
  </w:endnote>
  <w:endnote w:type="continuationSeparator" w:id="0">
    <w:p w14:paraId="5C12346A" w14:textId="77777777" w:rsidR="00DD7AE9" w:rsidRDefault="00DD7AE9" w:rsidP="006A3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A0EFC" w14:textId="77777777" w:rsidR="0074169C" w:rsidRDefault="0074169C" w:rsidP="007416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5DA65A" w14:textId="77777777" w:rsidR="002F73E3" w:rsidRPr="0074169C" w:rsidRDefault="0074169C" w:rsidP="0074169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783A1" w14:textId="77777777" w:rsidR="0074169C" w:rsidRDefault="0074169C" w:rsidP="007416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294C">
      <w:rPr>
        <w:rFonts w:ascii="FrankRuehl" w:hAnsi="FrankRuehl" w:cs="FrankRuehl"/>
        <w:noProof/>
        <w:rtl/>
      </w:rPr>
      <w:t>1</w:t>
    </w:r>
    <w:r>
      <w:rPr>
        <w:rFonts w:ascii="FrankRuehl" w:hAnsi="FrankRuehl" w:cs="FrankRuehl"/>
        <w:rtl/>
      </w:rPr>
      <w:fldChar w:fldCharType="end"/>
    </w:r>
  </w:p>
  <w:p w14:paraId="49E19141" w14:textId="77777777" w:rsidR="002F73E3" w:rsidRPr="0074169C" w:rsidRDefault="0074169C" w:rsidP="0074169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60E62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AABE1" w14:textId="77777777" w:rsidR="00DD7AE9" w:rsidRDefault="00DD7AE9" w:rsidP="006A318E">
      <w:r>
        <w:separator/>
      </w:r>
    </w:p>
  </w:footnote>
  <w:footnote w:type="continuationSeparator" w:id="0">
    <w:p w14:paraId="0D8DC0E2" w14:textId="77777777" w:rsidR="00DD7AE9" w:rsidRDefault="00DD7AE9" w:rsidP="006A3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DEBC1" w14:textId="77777777" w:rsidR="0074169C" w:rsidRPr="0074169C" w:rsidRDefault="0074169C" w:rsidP="007416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59619-10-20</w:t>
    </w:r>
    <w:r>
      <w:rPr>
        <w:rFonts w:ascii="David" w:hAnsi="David"/>
        <w:color w:val="000000"/>
        <w:sz w:val="22"/>
        <w:szCs w:val="22"/>
        <w:rtl/>
      </w:rPr>
      <w:tab/>
      <w:t xml:space="preserve"> מדינת ישראל נ' שפי קרופניק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0CF75" w14:textId="77777777" w:rsidR="0074169C" w:rsidRPr="0074169C" w:rsidRDefault="0074169C" w:rsidP="007416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59619-10-20</w:t>
    </w:r>
    <w:r>
      <w:rPr>
        <w:rFonts w:ascii="David" w:hAnsi="David"/>
        <w:color w:val="000000"/>
        <w:sz w:val="22"/>
        <w:szCs w:val="22"/>
        <w:rtl/>
      </w:rPr>
      <w:tab/>
      <w:t xml:space="preserve"> מדינת ישראל נ' שפי קרופניק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16A05"/>
    <w:multiLevelType w:val="hybridMultilevel"/>
    <w:tmpl w:val="3D183120"/>
    <w:lvl w:ilvl="0" w:tplc="1F5C8AC6">
      <w:start w:val="1"/>
      <w:numFmt w:val="decimal"/>
      <w:lvlText w:val="%1."/>
      <w:lvlJc w:val="left"/>
      <w:pPr>
        <w:ind w:left="360" w:hanging="360"/>
      </w:pPr>
      <w:rPr>
        <w:b w:val="0"/>
        <w:bCs w:val="0"/>
      </w:rPr>
    </w:lvl>
    <w:lvl w:ilvl="1" w:tplc="F044217A">
      <w:start w:val="1"/>
      <w:numFmt w:val="hebrew1"/>
      <w:lvlText w:val="%2."/>
      <w:lvlJc w:val="center"/>
      <w:pPr>
        <w:ind w:left="786" w:hanging="360"/>
      </w:pPr>
      <w:rPr>
        <w:lang w:val="en-US"/>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89807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681D"/>
    <w:rsid w:val="0021571A"/>
    <w:rsid w:val="00245182"/>
    <w:rsid w:val="00281FEF"/>
    <w:rsid w:val="002F73E3"/>
    <w:rsid w:val="0040294C"/>
    <w:rsid w:val="004710CE"/>
    <w:rsid w:val="006A318E"/>
    <w:rsid w:val="006B681D"/>
    <w:rsid w:val="0074169C"/>
    <w:rsid w:val="009A4E4C"/>
    <w:rsid w:val="00A54F28"/>
    <w:rsid w:val="00AE76F3"/>
    <w:rsid w:val="00B56350"/>
    <w:rsid w:val="00CE19C0"/>
    <w:rsid w:val="00D32B75"/>
    <w:rsid w:val="00D76433"/>
    <w:rsid w:val="00DD7AE9"/>
    <w:rsid w:val="00E85E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9AECDD"/>
  <w15:chartTrackingRefBased/>
  <w15:docId w15:val="{89E8A15F-C081-47CD-85F3-CDDDF91B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68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681D"/>
    <w:pPr>
      <w:tabs>
        <w:tab w:val="center" w:pos="4153"/>
        <w:tab w:val="right" w:pos="8306"/>
      </w:tabs>
    </w:pPr>
  </w:style>
  <w:style w:type="character" w:customStyle="1" w:styleId="a4">
    <w:name w:val="כותרת עליונה תו"/>
    <w:link w:val="a3"/>
    <w:rsid w:val="006B681D"/>
    <w:rPr>
      <w:rFonts w:ascii="Times New Roman" w:eastAsia="Times New Roman" w:hAnsi="Times New Roman" w:cs="David"/>
      <w:sz w:val="24"/>
      <w:szCs w:val="24"/>
    </w:rPr>
  </w:style>
  <w:style w:type="paragraph" w:styleId="a5">
    <w:name w:val="footer"/>
    <w:basedOn w:val="a"/>
    <w:link w:val="a6"/>
    <w:rsid w:val="006B681D"/>
    <w:pPr>
      <w:tabs>
        <w:tab w:val="center" w:pos="4153"/>
        <w:tab w:val="right" w:pos="8306"/>
      </w:tabs>
    </w:pPr>
  </w:style>
  <w:style w:type="character" w:customStyle="1" w:styleId="a6">
    <w:name w:val="כותרת תחתונה תו"/>
    <w:link w:val="a5"/>
    <w:rsid w:val="006B681D"/>
    <w:rPr>
      <w:rFonts w:ascii="Times New Roman" w:eastAsia="Times New Roman" w:hAnsi="Times New Roman" w:cs="David"/>
      <w:sz w:val="24"/>
      <w:szCs w:val="24"/>
    </w:rPr>
  </w:style>
  <w:style w:type="table" w:styleId="a7">
    <w:name w:val="Table Grid"/>
    <w:basedOn w:val="a1"/>
    <w:rsid w:val="006B68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681D"/>
  </w:style>
  <w:style w:type="character" w:customStyle="1" w:styleId="a9">
    <w:name w:val="פיסקת רשימה תו"/>
    <w:link w:val="aa"/>
    <w:locked/>
    <w:rsid w:val="006B681D"/>
    <w:rPr>
      <w:rFonts w:cs="David"/>
      <w:noProof/>
      <w:sz w:val="24"/>
      <w:szCs w:val="24"/>
    </w:rPr>
  </w:style>
  <w:style w:type="paragraph" w:styleId="aa">
    <w:name w:val="List Paragraph"/>
    <w:basedOn w:val="a"/>
    <w:link w:val="a9"/>
    <w:qFormat/>
    <w:rsid w:val="006B681D"/>
    <w:pPr>
      <w:ind w:left="720"/>
      <w:contextualSpacing/>
    </w:pPr>
    <w:rPr>
      <w:rFonts w:ascii="Calibri" w:eastAsia="Calibri" w:hAnsi="Calibri"/>
      <w:noProof/>
    </w:rPr>
  </w:style>
  <w:style w:type="character" w:styleId="Hyperlink">
    <w:name w:val="Hyperlink"/>
    <w:rsid w:val="006B681D"/>
    <w:rPr>
      <w:color w:val="0000FF"/>
      <w:u w:val="single"/>
    </w:rPr>
  </w:style>
  <w:style w:type="paragraph" w:customStyle="1" w:styleId="1">
    <w:name w:val="פיסקת רשימה1"/>
    <w:basedOn w:val="a"/>
    <w:rsid w:val="006B681D"/>
    <w:pPr>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25585375" TargetMode="External"/><Relationship Id="rId26" Type="http://schemas.openxmlformats.org/officeDocument/2006/relationships/hyperlink" Target="http://www.nevo.co.il/safrut/bookgroup/2870" TargetMode="External"/><Relationship Id="rId39" Type="http://schemas.openxmlformats.org/officeDocument/2006/relationships/footer" Target="footer1.xml"/><Relationship Id="rId21" Type="http://schemas.openxmlformats.org/officeDocument/2006/relationships/hyperlink" Target="http://www.nevo.co.il/case/5611948" TargetMode="External"/><Relationship Id="rId34" Type="http://schemas.openxmlformats.org/officeDocument/2006/relationships/hyperlink" Target="http://www.nevo.co.il/law/70301/71a.d"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86.a" TargetMode="External"/><Relationship Id="rId20" Type="http://schemas.openxmlformats.org/officeDocument/2006/relationships/hyperlink" Target="http://www.nevo.co.il/case/5611948" TargetMode="External"/><Relationship Id="rId29" Type="http://schemas.openxmlformats.org/officeDocument/2006/relationships/hyperlink" Target="http://www.nevo.co.il/case/2099195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71a.d" TargetMode="External"/><Relationship Id="rId24" Type="http://schemas.openxmlformats.org/officeDocument/2006/relationships/hyperlink" Target="http://www.nevo.co.il/case/5670124" TargetMode="External"/><Relationship Id="rId32" Type="http://schemas.openxmlformats.org/officeDocument/2006/relationships/hyperlink" Target="http://www.nevo.co.il/law/7030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8841309" TargetMode="External"/><Relationship Id="rId28" Type="http://schemas.openxmlformats.org/officeDocument/2006/relationships/hyperlink" Target="http://www.nevo.co.il/case/2640617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9994809"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2937758" TargetMode="External"/><Relationship Id="rId30" Type="http://schemas.openxmlformats.org/officeDocument/2006/relationships/hyperlink" Target="http://www.nevo.co.il/case/25036097" TargetMode="External"/><Relationship Id="rId35" Type="http://schemas.openxmlformats.org/officeDocument/2006/relationships/hyperlink" Target="http://www.nevo.co.il/law/70301"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914030" TargetMode="External"/><Relationship Id="rId33" Type="http://schemas.openxmlformats.org/officeDocument/2006/relationships/hyperlink" Target="http://www.nevo.co.il/case/17941073"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2750</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16471</CharactersWithSpaces>
  <SharedDoc>false</SharedDoc>
  <HLinks>
    <vt:vector size="180"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4849667</vt:i4>
      </vt:variant>
      <vt:variant>
        <vt:i4>99</vt:i4>
      </vt:variant>
      <vt:variant>
        <vt:i4>0</vt:i4>
      </vt:variant>
      <vt:variant>
        <vt:i4>5</vt:i4>
      </vt:variant>
      <vt:variant>
        <vt:lpwstr>http://www.nevo.co.il/law/70301/71a.d</vt:lpwstr>
      </vt:variant>
      <vt:variant>
        <vt:lpwstr/>
      </vt:variant>
      <vt:variant>
        <vt:i4>4063351</vt:i4>
      </vt:variant>
      <vt:variant>
        <vt:i4>96</vt:i4>
      </vt:variant>
      <vt:variant>
        <vt:i4>0</vt:i4>
      </vt:variant>
      <vt:variant>
        <vt:i4>5</vt:i4>
      </vt:variant>
      <vt:variant>
        <vt:lpwstr>http://www.nevo.co.il/case/17941073</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3997810</vt:i4>
      </vt:variant>
      <vt:variant>
        <vt:i4>87</vt:i4>
      </vt:variant>
      <vt:variant>
        <vt:i4>0</vt:i4>
      </vt:variant>
      <vt:variant>
        <vt:i4>5</vt:i4>
      </vt:variant>
      <vt:variant>
        <vt:lpwstr>http://www.nevo.co.il/case/25036097</vt:lpwstr>
      </vt:variant>
      <vt:variant>
        <vt:lpwstr/>
      </vt:variant>
      <vt:variant>
        <vt:i4>4128884</vt:i4>
      </vt:variant>
      <vt:variant>
        <vt:i4>84</vt:i4>
      </vt:variant>
      <vt:variant>
        <vt:i4>0</vt:i4>
      </vt:variant>
      <vt:variant>
        <vt:i4>5</vt:i4>
      </vt:variant>
      <vt:variant>
        <vt:lpwstr>http://www.nevo.co.il/case/20991958</vt:lpwstr>
      </vt:variant>
      <vt:variant>
        <vt:lpwstr/>
      </vt:variant>
      <vt:variant>
        <vt:i4>3604595</vt:i4>
      </vt:variant>
      <vt:variant>
        <vt:i4>81</vt:i4>
      </vt:variant>
      <vt:variant>
        <vt:i4>0</vt:i4>
      </vt:variant>
      <vt:variant>
        <vt:i4>5</vt:i4>
      </vt:variant>
      <vt:variant>
        <vt:lpwstr>http://www.nevo.co.il/case/26406170</vt:lpwstr>
      </vt:variant>
      <vt:variant>
        <vt:lpwstr/>
      </vt:variant>
      <vt:variant>
        <vt:i4>3735666</vt:i4>
      </vt:variant>
      <vt:variant>
        <vt:i4>78</vt:i4>
      </vt:variant>
      <vt:variant>
        <vt:i4>0</vt:i4>
      </vt:variant>
      <vt:variant>
        <vt:i4>5</vt:i4>
      </vt:variant>
      <vt:variant>
        <vt:lpwstr>http://www.nevo.co.il/case/22937758</vt:lpwstr>
      </vt:variant>
      <vt:variant>
        <vt:lpwstr/>
      </vt:variant>
      <vt:variant>
        <vt:i4>2293792</vt:i4>
      </vt:variant>
      <vt:variant>
        <vt:i4>75</vt:i4>
      </vt:variant>
      <vt:variant>
        <vt:i4>0</vt:i4>
      </vt:variant>
      <vt:variant>
        <vt:i4>5</vt:i4>
      </vt:variant>
      <vt:variant>
        <vt:lpwstr>http://www.nevo.co.il/safrut/bookgroup/2870</vt:lpwstr>
      </vt:variant>
      <vt:variant>
        <vt:lpwstr/>
      </vt:variant>
      <vt:variant>
        <vt:i4>3932274</vt:i4>
      </vt:variant>
      <vt:variant>
        <vt:i4>72</vt:i4>
      </vt:variant>
      <vt:variant>
        <vt:i4>0</vt:i4>
      </vt:variant>
      <vt:variant>
        <vt:i4>5</vt:i4>
      </vt:variant>
      <vt:variant>
        <vt:lpwstr>http://www.nevo.co.il/case/27914030</vt:lpwstr>
      </vt:variant>
      <vt:variant>
        <vt:lpwstr/>
      </vt:variant>
      <vt:variant>
        <vt:i4>3604592</vt:i4>
      </vt:variant>
      <vt:variant>
        <vt:i4>69</vt:i4>
      </vt:variant>
      <vt:variant>
        <vt:i4>0</vt:i4>
      </vt:variant>
      <vt:variant>
        <vt:i4>5</vt:i4>
      </vt:variant>
      <vt:variant>
        <vt:lpwstr>http://www.nevo.co.il/case/5670124</vt:lpwstr>
      </vt:variant>
      <vt:variant>
        <vt:lpwstr/>
      </vt:variant>
      <vt:variant>
        <vt:i4>3670139</vt:i4>
      </vt:variant>
      <vt:variant>
        <vt:i4>66</vt:i4>
      </vt:variant>
      <vt:variant>
        <vt:i4>0</vt:i4>
      </vt:variant>
      <vt:variant>
        <vt:i4>5</vt:i4>
      </vt:variant>
      <vt:variant>
        <vt:lpwstr>http://www.nevo.co.il/case/18841309</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3473527</vt:i4>
      </vt:variant>
      <vt:variant>
        <vt:i4>60</vt:i4>
      </vt:variant>
      <vt:variant>
        <vt:i4>0</vt:i4>
      </vt:variant>
      <vt:variant>
        <vt:i4>5</vt:i4>
      </vt:variant>
      <vt:variant>
        <vt:lpwstr>http://www.nevo.co.il/case/5611948</vt:lpwstr>
      </vt:variant>
      <vt:variant>
        <vt:lpwstr/>
      </vt:variant>
      <vt:variant>
        <vt:i4>3473527</vt:i4>
      </vt:variant>
      <vt:variant>
        <vt:i4>57</vt:i4>
      </vt:variant>
      <vt:variant>
        <vt:i4>0</vt:i4>
      </vt:variant>
      <vt:variant>
        <vt:i4>5</vt:i4>
      </vt:variant>
      <vt:variant>
        <vt:lpwstr>http://www.nevo.co.il/case/5611948</vt:lpwstr>
      </vt:variant>
      <vt:variant>
        <vt:lpwstr/>
      </vt:variant>
      <vt:variant>
        <vt:i4>3932284</vt:i4>
      </vt:variant>
      <vt:variant>
        <vt:i4>54</vt:i4>
      </vt:variant>
      <vt:variant>
        <vt:i4>0</vt:i4>
      </vt:variant>
      <vt:variant>
        <vt:i4>5</vt:i4>
      </vt:variant>
      <vt:variant>
        <vt:lpwstr>http://www.nevo.co.il/case/19994809</vt:lpwstr>
      </vt:variant>
      <vt:variant>
        <vt:lpwstr/>
      </vt:variant>
      <vt:variant>
        <vt:i4>3473530</vt:i4>
      </vt:variant>
      <vt:variant>
        <vt:i4>33</vt:i4>
      </vt:variant>
      <vt:variant>
        <vt:i4>0</vt:i4>
      </vt:variant>
      <vt:variant>
        <vt:i4>5</vt:i4>
      </vt:variant>
      <vt:variant>
        <vt:lpwstr>http://www.nevo.co.il/case/25585375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4849667</vt:i4>
      </vt:variant>
      <vt:variant>
        <vt:i4>12</vt:i4>
      </vt:variant>
      <vt:variant>
        <vt:i4>0</vt:i4>
      </vt:variant>
      <vt:variant>
        <vt:i4>5</vt:i4>
      </vt:variant>
      <vt:variant>
        <vt:lpwstr>http://www.nevo.co.il/law/70301/71a.d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2025-04-23T00:47:00Z</dcterms:created>
  <dcterms:modified xsi:type="dcterms:W3CDTF">2025-04-23T00:47:00Z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59619</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שפי קרופניק</vt:lpwstr>
  </property>
  <property fmtid="{D5CDD505-2E9C-101B-9397-08002B2CF9AE}" pid="10" name="LAWYER">
    <vt:lpwstr>ג'סיקה קובורסי;ניר פוגל</vt:lpwstr>
  </property>
  <property fmtid="{D5CDD505-2E9C-101B-9397-08002B2CF9AE}" pid="11" name="JUDGE">
    <vt:lpwstr>עדי יעקובוביץ</vt:lpwstr>
  </property>
  <property fmtid="{D5CDD505-2E9C-101B-9397-08002B2CF9AE}" pid="12" name="CITY">
    <vt:lpwstr>ת"א</vt:lpwstr>
  </property>
  <property fmtid="{D5CDD505-2E9C-101B-9397-08002B2CF9AE}" pid="13" name="DATE">
    <vt:lpwstr>20211205</vt:lpwstr>
  </property>
  <property fmtid="{D5CDD505-2E9C-101B-9397-08002B2CF9AE}" pid="14" name="TYPE_N_DATE">
    <vt:lpwstr>38020211205</vt:lpwstr>
  </property>
  <property fmtid="{D5CDD505-2E9C-101B-9397-08002B2CF9AE}" pid="15" name="WORDNUMPAGES">
    <vt:lpwstr>8</vt:lpwstr>
  </property>
  <property fmtid="{D5CDD505-2E9C-101B-9397-08002B2CF9AE}" pid="16" name="TYPE_ABS_DATE">
    <vt:lpwstr>380020211205</vt:lpwstr>
  </property>
  <property fmtid="{D5CDD505-2E9C-101B-9397-08002B2CF9AE}" pid="17" name="ISABSTRACT">
    <vt:lpwstr>Y</vt:lpwstr>
  </property>
  <property fmtid="{D5CDD505-2E9C-101B-9397-08002B2CF9AE}" pid="18" name="CASESLISTTMP1">
    <vt:lpwstr>25585375;19994809;5611948:2;18841309;5670124;27914030;22937758;26406170;20991958;25036097;17941073</vt:lpwstr>
  </property>
  <property fmtid="{D5CDD505-2E9C-101B-9397-08002B2CF9AE}" pid="19" name="BOOKGROUPTMP1">
    <vt:lpwstr/>
  </property>
  <property fmtid="{D5CDD505-2E9C-101B-9397-08002B2CF9AE}" pid="20" name="NOBOOKNEVO">
    <vt:lpwstr>2870</vt:lpwstr>
  </property>
  <property fmtid="{D5CDD505-2E9C-101B-9397-08002B2CF9AE}" pid="21" name="LAWLISTTMP1">
    <vt:lpwstr>4216/007.a;007.c</vt:lpwstr>
  </property>
  <property fmtid="{D5CDD505-2E9C-101B-9397-08002B2CF9AE}" pid="22" name="LAWLISTTMP2">
    <vt:lpwstr>70301/186.a;40ja;071a.d</vt:lpwstr>
  </property>
</Properties>
</file>