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0"/>
        <w:gridCol w:w="3662"/>
        <w:gridCol w:w="99"/>
      </w:tblGrid>
      <w:tr w:rsidR="008717BB" w:rsidRPr="008A1D03" w14:paraId="5B842F9F" w14:textId="77777777" w:rsidTr="00567A98">
        <w:trPr>
          <w:gridAfter w:val="1"/>
          <w:wAfter w:w="99" w:type="dxa"/>
          <w:trHeight w:hRule="exact" w:val="418"/>
          <w:jc w:val="center"/>
        </w:trPr>
        <w:tc>
          <w:tcPr>
            <w:tcW w:w="8721" w:type="dxa"/>
            <w:gridSpan w:val="4"/>
          </w:tcPr>
          <w:p w14:paraId="35C18125" w14:textId="77777777" w:rsidR="008717BB" w:rsidRPr="008A1D03" w:rsidRDefault="008717BB" w:rsidP="00CF2F2E">
            <w:pPr>
              <w:pStyle w:val="a3"/>
              <w:jc w:val="center"/>
              <w:rPr>
                <w:rFonts w:ascii="Tahoma" w:hAnsi="Tahoma" w:cs="Tahoma"/>
                <w:color w:val="000080"/>
                <w:rtl/>
              </w:rPr>
            </w:pPr>
            <w:bookmarkStart w:id="0" w:name="LastJudge"/>
            <w:r w:rsidRPr="008A1D03">
              <w:rPr>
                <w:rFonts w:ascii="Tahoma" w:hAnsi="Tahoma" w:cs="Tahoma"/>
                <w:b/>
                <w:bCs/>
                <w:color w:val="000080"/>
                <w:rtl/>
              </w:rPr>
              <w:t>בית משפט השלום ברחובות</w:t>
            </w:r>
          </w:p>
        </w:tc>
      </w:tr>
      <w:tr w:rsidR="008717BB" w:rsidRPr="008A1D03" w14:paraId="20F5FDD4" w14:textId="77777777" w:rsidTr="00567A98">
        <w:trPr>
          <w:gridAfter w:val="1"/>
          <w:wAfter w:w="99" w:type="dxa"/>
          <w:trHeight w:val="337"/>
          <w:jc w:val="center"/>
        </w:trPr>
        <w:tc>
          <w:tcPr>
            <w:tcW w:w="5059" w:type="dxa"/>
            <w:gridSpan w:val="3"/>
          </w:tcPr>
          <w:p w14:paraId="7923D607" w14:textId="77777777" w:rsidR="00567A98" w:rsidRDefault="008717BB" w:rsidP="00567A98">
            <w:pPr>
              <w:rPr>
                <w:rFonts w:ascii="David" w:hAnsi="David"/>
                <w:rtl/>
              </w:rPr>
            </w:pPr>
            <w:r w:rsidRPr="008A1D03">
              <w:rPr>
                <w:rFonts w:ascii="David" w:hAnsi="David"/>
                <w:rtl/>
              </w:rPr>
              <w:t xml:space="preserve">ת"פ 60606-10-20 מדינת ישראל נ' </w:t>
            </w:r>
            <w:r w:rsidR="00567A98">
              <w:rPr>
                <w:rFonts w:ascii="David" w:hAnsi="David" w:hint="cs"/>
                <w:rtl/>
              </w:rPr>
              <w:t xml:space="preserve">פלוני </w:t>
            </w:r>
            <w:r w:rsidRPr="008A1D03">
              <w:rPr>
                <w:rFonts w:ascii="David" w:hAnsi="David"/>
                <w:rtl/>
              </w:rPr>
              <w:t>(עציר)</w:t>
            </w:r>
            <w:r w:rsidRPr="008A1D03">
              <w:rPr>
                <w:rFonts w:ascii="David" w:hAnsi="David"/>
                <w:rtl/>
              </w:rPr>
              <w:br/>
              <w:t xml:space="preserve">ת"פ 4822-02-21 מדינת ישראל נ' </w:t>
            </w:r>
            <w:r w:rsidR="00567A98">
              <w:rPr>
                <w:rFonts w:ascii="David" w:hAnsi="David" w:hint="cs"/>
                <w:rtl/>
              </w:rPr>
              <w:t xml:space="preserve">פלוני </w:t>
            </w:r>
          </w:p>
          <w:p w14:paraId="6ED6C0A1" w14:textId="77777777" w:rsidR="008717BB" w:rsidRPr="008A1D03" w:rsidRDefault="008717BB" w:rsidP="00567A98">
            <w:pPr>
              <w:rPr>
                <w:rFonts w:ascii="David" w:hAnsi="David"/>
                <w:rtl/>
              </w:rPr>
            </w:pPr>
            <w:r w:rsidRPr="008A1D03">
              <w:rPr>
                <w:rFonts w:ascii="David" w:hAnsi="David"/>
                <w:rtl/>
              </w:rPr>
              <w:t xml:space="preserve"> (עציר)</w:t>
            </w:r>
          </w:p>
          <w:p w14:paraId="3FA8C485" w14:textId="77777777" w:rsidR="008717BB" w:rsidRPr="008A1D03" w:rsidRDefault="008717BB" w:rsidP="00CF2F2E">
            <w:pPr>
              <w:pStyle w:val="a3"/>
              <w:rPr>
                <w:rFonts w:cs="FrankRuehl"/>
                <w:sz w:val="28"/>
                <w:szCs w:val="28"/>
                <w:rtl/>
              </w:rPr>
            </w:pPr>
          </w:p>
        </w:tc>
        <w:tc>
          <w:tcPr>
            <w:tcW w:w="3662" w:type="dxa"/>
          </w:tcPr>
          <w:p w14:paraId="4887E8AD" w14:textId="77777777" w:rsidR="008717BB" w:rsidRPr="008A1D03" w:rsidRDefault="008717BB" w:rsidP="00CF2F2E">
            <w:pPr>
              <w:pStyle w:val="a3"/>
              <w:jc w:val="right"/>
              <w:rPr>
                <w:rFonts w:cs="FrankRuehl"/>
                <w:sz w:val="28"/>
                <w:szCs w:val="28"/>
                <w:rtl/>
              </w:rPr>
            </w:pPr>
          </w:p>
        </w:tc>
      </w:tr>
      <w:tr w:rsidR="008717BB" w:rsidRPr="008A1D03" w14:paraId="1DAFFFFF" w14:textId="77777777" w:rsidTr="00567A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81784B6" w14:textId="77777777" w:rsidR="008717BB" w:rsidRPr="008A1D03" w:rsidRDefault="008717BB" w:rsidP="008717BB">
            <w:pPr>
              <w:jc w:val="both"/>
              <w:rPr>
                <w:rFonts w:ascii="David" w:hAnsi="David"/>
                <w:sz w:val="26"/>
                <w:szCs w:val="26"/>
              </w:rPr>
            </w:pPr>
            <w:r w:rsidRPr="008A1D03">
              <w:rPr>
                <w:rFonts w:hint="cs"/>
                <w:rtl/>
              </w:rPr>
              <w:t xml:space="preserve"> </w:t>
            </w:r>
            <w:r w:rsidRPr="008A1D03">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594AF3A9" w14:textId="77777777" w:rsidR="008717BB" w:rsidRPr="008A1D03" w:rsidRDefault="008717BB" w:rsidP="00CF2F2E">
            <w:pPr>
              <w:rPr>
                <w:rFonts w:ascii="David" w:hAnsi="David"/>
                <w:b/>
                <w:bCs/>
                <w:sz w:val="26"/>
                <w:szCs w:val="26"/>
                <w:rtl/>
              </w:rPr>
            </w:pPr>
            <w:r w:rsidRPr="008A1D03">
              <w:rPr>
                <w:rFonts w:ascii="David" w:hAnsi="David"/>
                <w:b/>
                <w:bCs/>
                <w:sz w:val="26"/>
                <w:szCs w:val="26"/>
                <w:rtl/>
              </w:rPr>
              <w:t>כבוד השופטת  אדנקו סבחת- חיימוביץ</w:t>
            </w:r>
          </w:p>
          <w:p w14:paraId="2B72876B" w14:textId="77777777" w:rsidR="008717BB" w:rsidRPr="008A1D03" w:rsidRDefault="008717BB" w:rsidP="00CF2F2E">
            <w:pPr>
              <w:rPr>
                <w:rFonts w:ascii="David" w:hAnsi="David"/>
                <w:sz w:val="26"/>
                <w:szCs w:val="26"/>
                <w:rtl/>
              </w:rPr>
            </w:pPr>
          </w:p>
          <w:p w14:paraId="63C1D25C" w14:textId="77777777" w:rsidR="008717BB" w:rsidRPr="008A1D03" w:rsidRDefault="008717BB" w:rsidP="008717BB">
            <w:pPr>
              <w:jc w:val="both"/>
              <w:rPr>
                <w:rFonts w:ascii="David" w:hAnsi="David"/>
                <w:sz w:val="26"/>
                <w:szCs w:val="26"/>
              </w:rPr>
            </w:pPr>
          </w:p>
        </w:tc>
      </w:tr>
      <w:tr w:rsidR="008717BB" w:rsidRPr="008A1D03" w14:paraId="305D49A6" w14:textId="77777777" w:rsidTr="00567A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3FC94AF" w14:textId="77777777" w:rsidR="008717BB" w:rsidRPr="008A1D03" w:rsidRDefault="008717BB" w:rsidP="008717BB">
            <w:pPr>
              <w:jc w:val="both"/>
              <w:rPr>
                <w:rFonts w:ascii="David" w:hAnsi="David"/>
                <w:b/>
                <w:bCs/>
                <w:sz w:val="26"/>
                <w:szCs w:val="26"/>
              </w:rPr>
            </w:pPr>
            <w:bookmarkStart w:id="1" w:name="FirstAppellant"/>
            <w:r w:rsidRPr="008A1D03">
              <w:rPr>
                <w:rFonts w:ascii="David" w:hAnsi="David"/>
                <w:b/>
                <w:bCs/>
                <w:sz w:val="26"/>
                <w:szCs w:val="26"/>
                <w:rtl/>
              </w:rPr>
              <w:t>בעניין:</w:t>
            </w:r>
          </w:p>
        </w:tc>
        <w:tc>
          <w:tcPr>
            <w:tcW w:w="4126" w:type="dxa"/>
            <w:tcBorders>
              <w:top w:val="nil"/>
              <w:left w:val="nil"/>
              <w:bottom w:val="nil"/>
              <w:right w:val="nil"/>
            </w:tcBorders>
            <w:shd w:val="clear" w:color="auto" w:fill="auto"/>
          </w:tcPr>
          <w:p w14:paraId="0BE0B626" w14:textId="77777777" w:rsidR="008717BB" w:rsidRPr="008A1D03" w:rsidRDefault="008717BB" w:rsidP="00CF2F2E">
            <w:pPr>
              <w:rPr>
                <w:rFonts w:ascii="David" w:hAnsi="David"/>
                <w:b/>
                <w:bCs/>
                <w:sz w:val="26"/>
                <w:szCs w:val="26"/>
              </w:rPr>
            </w:pPr>
            <w:r w:rsidRPr="008A1D03">
              <w:rPr>
                <w:rFonts w:ascii="David" w:hAnsi="David"/>
                <w:b/>
                <w:bCs/>
                <w:sz w:val="26"/>
                <w:szCs w:val="26"/>
                <w:rtl/>
              </w:rPr>
              <w:t>מדינת ישראל</w:t>
            </w:r>
          </w:p>
        </w:tc>
        <w:tc>
          <w:tcPr>
            <w:tcW w:w="3771" w:type="dxa"/>
            <w:gridSpan w:val="3"/>
            <w:tcBorders>
              <w:top w:val="nil"/>
              <w:left w:val="nil"/>
              <w:bottom w:val="nil"/>
              <w:right w:val="nil"/>
            </w:tcBorders>
            <w:shd w:val="clear" w:color="auto" w:fill="auto"/>
          </w:tcPr>
          <w:p w14:paraId="46B8889A" w14:textId="77777777" w:rsidR="008717BB" w:rsidRPr="008A1D03" w:rsidRDefault="008717BB" w:rsidP="008717BB">
            <w:pPr>
              <w:jc w:val="both"/>
              <w:rPr>
                <w:rFonts w:ascii="David" w:hAnsi="David"/>
                <w:b/>
                <w:bCs/>
                <w:sz w:val="26"/>
                <w:szCs w:val="26"/>
              </w:rPr>
            </w:pPr>
          </w:p>
        </w:tc>
      </w:tr>
      <w:bookmarkEnd w:id="1"/>
      <w:tr w:rsidR="008717BB" w:rsidRPr="008A1D03" w14:paraId="6DE2ED04" w14:textId="77777777" w:rsidTr="00567A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5DF26A5" w14:textId="77777777" w:rsidR="008717BB" w:rsidRPr="008A1D03" w:rsidRDefault="008717BB" w:rsidP="008717BB">
            <w:pPr>
              <w:jc w:val="both"/>
              <w:rPr>
                <w:rFonts w:ascii="David" w:hAnsi="David"/>
                <w:b/>
                <w:bCs/>
                <w:sz w:val="26"/>
                <w:szCs w:val="26"/>
                <w:rtl/>
              </w:rPr>
            </w:pPr>
          </w:p>
        </w:tc>
        <w:tc>
          <w:tcPr>
            <w:tcW w:w="4126" w:type="dxa"/>
            <w:tcBorders>
              <w:top w:val="nil"/>
              <w:left w:val="nil"/>
              <w:bottom w:val="nil"/>
              <w:right w:val="nil"/>
            </w:tcBorders>
            <w:shd w:val="clear" w:color="auto" w:fill="auto"/>
          </w:tcPr>
          <w:p w14:paraId="5CDA4A67" w14:textId="77777777" w:rsidR="008717BB" w:rsidRPr="008A1D03" w:rsidRDefault="008717BB" w:rsidP="008717BB">
            <w:pPr>
              <w:jc w:val="both"/>
              <w:rPr>
                <w:rFonts w:ascii="David" w:hAnsi="David"/>
                <w:b/>
                <w:bCs/>
                <w:sz w:val="26"/>
                <w:szCs w:val="26"/>
                <w:rtl/>
              </w:rPr>
            </w:pPr>
          </w:p>
        </w:tc>
        <w:tc>
          <w:tcPr>
            <w:tcW w:w="3771" w:type="dxa"/>
            <w:gridSpan w:val="3"/>
            <w:tcBorders>
              <w:top w:val="nil"/>
              <w:left w:val="nil"/>
              <w:bottom w:val="nil"/>
              <w:right w:val="nil"/>
            </w:tcBorders>
            <w:shd w:val="clear" w:color="auto" w:fill="auto"/>
          </w:tcPr>
          <w:p w14:paraId="3D652FAE" w14:textId="77777777" w:rsidR="008717BB" w:rsidRPr="008A1D03" w:rsidRDefault="008717BB" w:rsidP="008717BB">
            <w:pPr>
              <w:jc w:val="right"/>
              <w:rPr>
                <w:rFonts w:ascii="David" w:hAnsi="David"/>
                <w:b/>
                <w:bCs/>
                <w:sz w:val="26"/>
                <w:szCs w:val="26"/>
                <w:rtl/>
              </w:rPr>
            </w:pPr>
            <w:r w:rsidRPr="008A1D03">
              <w:rPr>
                <w:rFonts w:ascii="David" w:hAnsi="David"/>
                <w:b/>
                <w:bCs/>
                <w:sz w:val="26"/>
                <w:szCs w:val="26"/>
                <w:rtl/>
              </w:rPr>
              <w:t>המאשימה</w:t>
            </w:r>
          </w:p>
        </w:tc>
      </w:tr>
      <w:tr w:rsidR="008717BB" w:rsidRPr="008A1D03" w14:paraId="4CEC2ACE" w14:textId="77777777" w:rsidTr="00567A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ABA53F" w14:textId="77777777" w:rsidR="008717BB" w:rsidRPr="008A1D03" w:rsidRDefault="008717BB" w:rsidP="008717BB">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14EF1FDB" w14:textId="77777777" w:rsidR="008717BB" w:rsidRPr="008A1D03" w:rsidRDefault="008717BB" w:rsidP="008717BB">
            <w:pPr>
              <w:jc w:val="center"/>
              <w:rPr>
                <w:rFonts w:ascii="David" w:hAnsi="David"/>
                <w:b/>
                <w:bCs/>
                <w:sz w:val="26"/>
                <w:szCs w:val="26"/>
                <w:rtl/>
              </w:rPr>
            </w:pPr>
          </w:p>
          <w:p w14:paraId="34A5D05A" w14:textId="77777777" w:rsidR="008717BB" w:rsidRPr="008A1D03" w:rsidRDefault="008717BB" w:rsidP="008717BB">
            <w:pPr>
              <w:jc w:val="center"/>
              <w:rPr>
                <w:rFonts w:ascii="David" w:hAnsi="David"/>
                <w:b/>
                <w:bCs/>
                <w:sz w:val="26"/>
                <w:szCs w:val="26"/>
                <w:rtl/>
              </w:rPr>
            </w:pPr>
            <w:r w:rsidRPr="008A1D03">
              <w:rPr>
                <w:rFonts w:ascii="David" w:hAnsi="David"/>
                <w:b/>
                <w:bCs/>
                <w:sz w:val="26"/>
                <w:szCs w:val="26"/>
                <w:rtl/>
              </w:rPr>
              <w:t>נגד</w:t>
            </w:r>
          </w:p>
          <w:p w14:paraId="5836E496" w14:textId="77777777" w:rsidR="008717BB" w:rsidRPr="008A1D03" w:rsidRDefault="008717BB" w:rsidP="008717BB">
            <w:pPr>
              <w:jc w:val="both"/>
              <w:rPr>
                <w:rFonts w:ascii="David" w:hAnsi="David"/>
                <w:b/>
                <w:bCs/>
                <w:sz w:val="26"/>
                <w:szCs w:val="26"/>
              </w:rPr>
            </w:pPr>
          </w:p>
        </w:tc>
      </w:tr>
      <w:tr w:rsidR="008717BB" w:rsidRPr="008A1D03" w14:paraId="79373244" w14:textId="77777777" w:rsidTr="00567A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B32F249" w14:textId="77777777" w:rsidR="008717BB" w:rsidRPr="008A1D03" w:rsidRDefault="008717BB" w:rsidP="00CF2F2E">
            <w:pPr>
              <w:rPr>
                <w:rFonts w:ascii="David" w:hAnsi="David"/>
                <w:b/>
                <w:bCs/>
                <w:sz w:val="26"/>
                <w:szCs w:val="26"/>
                <w:rtl/>
              </w:rPr>
            </w:pPr>
          </w:p>
        </w:tc>
        <w:tc>
          <w:tcPr>
            <w:tcW w:w="4126" w:type="dxa"/>
            <w:tcBorders>
              <w:top w:val="nil"/>
              <w:left w:val="nil"/>
              <w:bottom w:val="nil"/>
              <w:right w:val="nil"/>
            </w:tcBorders>
            <w:shd w:val="clear" w:color="auto" w:fill="auto"/>
          </w:tcPr>
          <w:p w14:paraId="0C859F02" w14:textId="77777777" w:rsidR="008717BB" w:rsidRPr="008A1D03" w:rsidRDefault="00567A98" w:rsidP="00CF2F2E">
            <w:pPr>
              <w:rPr>
                <w:rFonts w:ascii="David" w:hAnsi="David"/>
                <w:b/>
                <w:bCs/>
                <w:sz w:val="26"/>
                <w:szCs w:val="26"/>
                <w:rtl/>
              </w:rPr>
            </w:pPr>
            <w:r>
              <w:rPr>
                <w:rFonts w:ascii="David" w:hAnsi="David" w:hint="cs"/>
                <w:b/>
                <w:bCs/>
                <w:sz w:val="26"/>
                <w:szCs w:val="26"/>
                <w:rtl/>
              </w:rPr>
              <w:t xml:space="preserve">פלוני </w:t>
            </w:r>
            <w:r w:rsidR="008717BB" w:rsidRPr="008A1D03">
              <w:rPr>
                <w:rFonts w:ascii="David" w:hAnsi="David"/>
                <w:b/>
                <w:bCs/>
                <w:sz w:val="26"/>
                <w:szCs w:val="26"/>
                <w:rtl/>
              </w:rPr>
              <w:t xml:space="preserve"> (עציר)</w:t>
            </w:r>
          </w:p>
        </w:tc>
        <w:tc>
          <w:tcPr>
            <w:tcW w:w="3771" w:type="dxa"/>
            <w:gridSpan w:val="3"/>
            <w:tcBorders>
              <w:top w:val="nil"/>
              <w:left w:val="nil"/>
              <w:bottom w:val="nil"/>
              <w:right w:val="nil"/>
            </w:tcBorders>
            <w:shd w:val="clear" w:color="auto" w:fill="auto"/>
          </w:tcPr>
          <w:p w14:paraId="7D31C3F3" w14:textId="77777777" w:rsidR="008717BB" w:rsidRPr="008A1D03" w:rsidRDefault="008717BB" w:rsidP="008717BB">
            <w:pPr>
              <w:jc w:val="right"/>
              <w:rPr>
                <w:rFonts w:ascii="David" w:hAnsi="David"/>
                <w:b/>
                <w:bCs/>
                <w:sz w:val="26"/>
                <w:szCs w:val="26"/>
              </w:rPr>
            </w:pPr>
          </w:p>
        </w:tc>
      </w:tr>
      <w:tr w:rsidR="008717BB" w:rsidRPr="008A1D03" w14:paraId="7364E319" w14:textId="77777777" w:rsidTr="00567A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590579C" w14:textId="77777777" w:rsidR="008717BB" w:rsidRPr="008A1D03" w:rsidRDefault="008717BB" w:rsidP="008717BB">
            <w:pPr>
              <w:jc w:val="both"/>
              <w:rPr>
                <w:rFonts w:ascii="David" w:hAnsi="David"/>
                <w:b/>
                <w:bCs/>
                <w:sz w:val="26"/>
                <w:szCs w:val="26"/>
                <w:rtl/>
              </w:rPr>
            </w:pPr>
          </w:p>
        </w:tc>
        <w:tc>
          <w:tcPr>
            <w:tcW w:w="4126" w:type="dxa"/>
            <w:tcBorders>
              <w:top w:val="nil"/>
              <w:left w:val="nil"/>
              <w:bottom w:val="nil"/>
              <w:right w:val="nil"/>
            </w:tcBorders>
            <w:shd w:val="clear" w:color="auto" w:fill="auto"/>
          </w:tcPr>
          <w:p w14:paraId="1D7DCDB9" w14:textId="77777777" w:rsidR="008717BB" w:rsidRPr="008A1D03" w:rsidRDefault="008717BB" w:rsidP="008717BB">
            <w:pPr>
              <w:jc w:val="both"/>
              <w:rPr>
                <w:rFonts w:ascii="David" w:hAnsi="David"/>
                <w:b/>
                <w:bCs/>
                <w:sz w:val="26"/>
                <w:szCs w:val="26"/>
                <w:rtl/>
              </w:rPr>
            </w:pPr>
          </w:p>
        </w:tc>
        <w:tc>
          <w:tcPr>
            <w:tcW w:w="3771" w:type="dxa"/>
            <w:gridSpan w:val="3"/>
            <w:tcBorders>
              <w:top w:val="nil"/>
              <w:left w:val="nil"/>
              <w:bottom w:val="nil"/>
              <w:right w:val="nil"/>
            </w:tcBorders>
            <w:shd w:val="clear" w:color="auto" w:fill="auto"/>
          </w:tcPr>
          <w:p w14:paraId="7E49E1B5" w14:textId="77777777" w:rsidR="008717BB" w:rsidRPr="008A1D03" w:rsidRDefault="008717BB" w:rsidP="008717BB">
            <w:pPr>
              <w:jc w:val="right"/>
              <w:rPr>
                <w:rFonts w:ascii="David" w:hAnsi="David"/>
                <w:b/>
                <w:bCs/>
                <w:sz w:val="26"/>
                <w:szCs w:val="26"/>
              </w:rPr>
            </w:pPr>
            <w:r w:rsidRPr="008A1D03">
              <w:rPr>
                <w:rFonts w:ascii="David" w:hAnsi="David"/>
                <w:b/>
                <w:bCs/>
                <w:sz w:val="26"/>
                <w:szCs w:val="26"/>
                <w:rtl/>
              </w:rPr>
              <w:t>הנאש</w:t>
            </w:r>
            <w:r w:rsidRPr="008A1D03">
              <w:rPr>
                <w:rFonts w:ascii="David" w:hAnsi="David" w:hint="cs"/>
                <w:b/>
                <w:bCs/>
                <w:sz w:val="26"/>
                <w:szCs w:val="26"/>
                <w:rtl/>
              </w:rPr>
              <w:t>ם</w:t>
            </w:r>
          </w:p>
        </w:tc>
      </w:tr>
    </w:tbl>
    <w:p w14:paraId="00692A26" w14:textId="77777777" w:rsidR="008717BB" w:rsidRPr="008A1D03" w:rsidRDefault="008717BB" w:rsidP="008717BB">
      <w:pPr>
        <w:rPr>
          <w:rFonts w:ascii="David" w:hAnsi="David"/>
          <w:sz w:val="26"/>
          <w:szCs w:val="26"/>
          <w:rtl/>
        </w:rPr>
      </w:pPr>
    </w:p>
    <w:p w14:paraId="5D82B537" w14:textId="77777777" w:rsidR="008717BB" w:rsidRPr="008A1D03" w:rsidRDefault="008717BB" w:rsidP="008717BB">
      <w:pPr>
        <w:rPr>
          <w:rtl/>
        </w:rPr>
      </w:pPr>
    </w:p>
    <w:p w14:paraId="7A6EEEC6" w14:textId="77777777" w:rsidR="008717BB" w:rsidRPr="008A1D03" w:rsidRDefault="008717BB" w:rsidP="008717BB">
      <w:pPr>
        <w:rPr>
          <w:rtl/>
        </w:rPr>
      </w:pPr>
      <w:r w:rsidRPr="008A1D03">
        <w:rPr>
          <w:rtl/>
        </w:rPr>
        <w:t>נוכחים:</w:t>
      </w:r>
    </w:p>
    <w:p w14:paraId="0CCB0A75" w14:textId="77777777" w:rsidR="008717BB" w:rsidRPr="008A1D03" w:rsidRDefault="008717BB" w:rsidP="008717BB">
      <w:pPr>
        <w:rPr>
          <w:rtl/>
        </w:rPr>
      </w:pPr>
      <w:bookmarkStart w:id="2" w:name="FirstLawyer"/>
      <w:r w:rsidRPr="008A1D03">
        <w:rPr>
          <w:rtl/>
        </w:rPr>
        <w:t>ב"כ</w:t>
      </w:r>
      <w:bookmarkEnd w:id="2"/>
      <w:r w:rsidRPr="008A1D03">
        <w:rPr>
          <w:rtl/>
        </w:rPr>
        <w:t xml:space="preserve"> המאשימה </w:t>
      </w:r>
      <w:r w:rsidRPr="008A1D03">
        <w:rPr>
          <w:rFonts w:hint="cs"/>
          <w:rtl/>
        </w:rPr>
        <w:t>עו"ד רותם פלג</w:t>
      </w:r>
    </w:p>
    <w:p w14:paraId="645CECF7" w14:textId="77777777" w:rsidR="008717BB" w:rsidRPr="008A1D03" w:rsidRDefault="008717BB" w:rsidP="008717BB">
      <w:pPr>
        <w:rPr>
          <w:rtl/>
        </w:rPr>
      </w:pPr>
      <w:r w:rsidRPr="008A1D03">
        <w:rPr>
          <w:rtl/>
        </w:rPr>
        <w:t xml:space="preserve">הנאשם </w:t>
      </w:r>
      <w:r w:rsidRPr="008A1D03">
        <w:rPr>
          <w:rFonts w:hint="cs"/>
          <w:rtl/>
        </w:rPr>
        <w:t>הובא על ידי שב"ס</w:t>
      </w:r>
    </w:p>
    <w:p w14:paraId="5BFB9DFD" w14:textId="77777777" w:rsidR="008717BB" w:rsidRPr="008A1D03" w:rsidRDefault="008717BB" w:rsidP="008717BB">
      <w:pPr>
        <w:rPr>
          <w:rtl/>
        </w:rPr>
      </w:pPr>
      <w:r w:rsidRPr="008A1D03">
        <w:rPr>
          <w:rFonts w:hint="cs"/>
          <w:rtl/>
        </w:rPr>
        <w:t>ב"כ ה</w:t>
      </w:r>
      <w:r w:rsidRPr="008A1D03">
        <w:rPr>
          <w:rtl/>
        </w:rPr>
        <w:t xml:space="preserve">נאשם </w:t>
      </w:r>
      <w:r w:rsidRPr="008A1D03">
        <w:rPr>
          <w:rFonts w:hint="cs"/>
          <w:rtl/>
        </w:rPr>
        <w:t>עו"ד מירי פרידמן</w:t>
      </w:r>
      <w:r w:rsidRPr="008A1D03">
        <w:rPr>
          <w:rtl/>
        </w:rPr>
        <w:t xml:space="preserve"> </w:t>
      </w:r>
    </w:p>
    <w:p w14:paraId="5EE8E014" w14:textId="77777777" w:rsidR="00567A98" w:rsidRDefault="00567A98" w:rsidP="008717BB">
      <w:pPr>
        <w:rPr>
          <w:rtl/>
        </w:rPr>
      </w:pPr>
    </w:p>
    <w:p w14:paraId="26E9520F" w14:textId="77777777" w:rsidR="00567A98" w:rsidRPr="00567A98" w:rsidRDefault="00567A98" w:rsidP="00567A98">
      <w:pPr>
        <w:spacing w:after="120" w:line="240" w:lineRule="exact"/>
        <w:ind w:left="283" w:hanging="283"/>
        <w:jc w:val="both"/>
        <w:rPr>
          <w:rFonts w:ascii="FrankRuehl" w:hAnsi="FrankRuehl" w:cs="FrankRuehl"/>
          <w:rtl/>
        </w:rPr>
      </w:pPr>
    </w:p>
    <w:p w14:paraId="5FFDC76A" w14:textId="77777777" w:rsidR="00B96D0B" w:rsidRPr="00B96D0B" w:rsidRDefault="00B96D0B" w:rsidP="00B96D0B">
      <w:pPr>
        <w:spacing w:before="120" w:after="120" w:line="240" w:lineRule="exact"/>
        <w:ind w:left="283" w:hanging="283"/>
        <w:jc w:val="both"/>
        <w:rPr>
          <w:rFonts w:ascii="FrankRuehl" w:hAnsi="FrankRuehl" w:cs="FrankRuehl"/>
          <w:rtl/>
        </w:rPr>
      </w:pPr>
    </w:p>
    <w:p w14:paraId="25D80FAA" w14:textId="77777777" w:rsidR="00946B42" w:rsidRDefault="00946B42" w:rsidP="00946B42">
      <w:pPr>
        <w:rPr>
          <w:rFonts w:ascii="Arial" w:hAnsi="Arial"/>
          <w:rtl/>
        </w:rPr>
      </w:pPr>
      <w:bookmarkStart w:id="3" w:name="LawTable"/>
      <w:bookmarkEnd w:id="3"/>
    </w:p>
    <w:p w14:paraId="6CDDC4A5" w14:textId="77777777" w:rsidR="00946B42" w:rsidRPr="00946B42" w:rsidRDefault="00946B42" w:rsidP="00946B42">
      <w:pPr>
        <w:spacing w:before="120" w:after="120" w:line="240" w:lineRule="exact"/>
        <w:ind w:left="283" w:hanging="283"/>
        <w:jc w:val="both"/>
        <w:rPr>
          <w:rFonts w:ascii="FrankRuehl" w:hAnsi="FrankRuehl" w:cs="FrankRuehl"/>
          <w:rtl/>
        </w:rPr>
      </w:pPr>
    </w:p>
    <w:p w14:paraId="12CDF09F" w14:textId="77777777" w:rsidR="00946B42" w:rsidRPr="00946B42" w:rsidRDefault="00946B42" w:rsidP="00946B42">
      <w:pPr>
        <w:spacing w:before="120" w:after="120" w:line="240" w:lineRule="exact"/>
        <w:ind w:left="283" w:hanging="283"/>
        <w:jc w:val="both"/>
        <w:rPr>
          <w:rFonts w:ascii="FrankRuehl" w:hAnsi="FrankRuehl" w:cs="FrankRuehl"/>
          <w:rtl/>
        </w:rPr>
      </w:pPr>
    </w:p>
    <w:p w14:paraId="0194AEDA" w14:textId="77777777" w:rsidR="00946B42" w:rsidRPr="00946B42" w:rsidRDefault="00946B42" w:rsidP="00946B42">
      <w:pPr>
        <w:spacing w:before="120" w:after="120" w:line="240" w:lineRule="exact"/>
        <w:ind w:left="283" w:hanging="283"/>
        <w:jc w:val="both"/>
        <w:rPr>
          <w:rFonts w:ascii="FrankRuehl" w:hAnsi="FrankRuehl" w:cs="FrankRuehl"/>
          <w:rtl/>
        </w:rPr>
      </w:pPr>
      <w:r w:rsidRPr="00946B42">
        <w:rPr>
          <w:rFonts w:ascii="FrankRuehl" w:hAnsi="FrankRuehl" w:cs="FrankRuehl"/>
          <w:rtl/>
        </w:rPr>
        <w:t xml:space="preserve">חקיקה שאוזכרה: </w:t>
      </w:r>
    </w:p>
    <w:p w14:paraId="40047F51" w14:textId="77777777" w:rsidR="00946B42" w:rsidRPr="00946B42" w:rsidRDefault="00946B42" w:rsidP="00946B42">
      <w:pPr>
        <w:spacing w:before="120" w:after="120" w:line="240" w:lineRule="exact"/>
        <w:ind w:left="283" w:hanging="283"/>
        <w:jc w:val="both"/>
        <w:rPr>
          <w:rFonts w:ascii="FrankRuehl" w:hAnsi="FrankRuehl" w:cs="FrankRuehl"/>
          <w:rtl/>
        </w:rPr>
      </w:pPr>
      <w:hyperlink r:id="rId7" w:history="1">
        <w:r w:rsidRPr="00946B42">
          <w:rPr>
            <w:rFonts w:ascii="FrankRuehl" w:hAnsi="FrankRuehl" w:cs="FrankRuehl"/>
            <w:color w:val="0000FF"/>
            <w:rtl/>
          </w:rPr>
          <w:t>חוק העונשין, תשל"ז-1977</w:t>
        </w:r>
      </w:hyperlink>
      <w:r w:rsidRPr="00946B42">
        <w:rPr>
          <w:rFonts w:ascii="FrankRuehl" w:hAnsi="FrankRuehl" w:cs="FrankRuehl"/>
          <w:rtl/>
        </w:rPr>
        <w:t xml:space="preserve">: סע'  </w:t>
      </w:r>
      <w:hyperlink r:id="rId8" w:history="1">
        <w:r w:rsidRPr="00946B42">
          <w:rPr>
            <w:rFonts w:ascii="FrankRuehl" w:hAnsi="FrankRuehl" w:cs="FrankRuehl"/>
            <w:color w:val="0000FF"/>
            <w:rtl/>
          </w:rPr>
          <w:t>40ח'</w:t>
        </w:r>
      </w:hyperlink>
      <w:r w:rsidRPr="00946B42">
        <w:rPr>
          <w:rFonts w:ascii="FrankRuehl" w:hAnsi="FrankRuehl" w:cs="FrankRuehl"/>
          <w:rtl/>
        </w:rPr>
        <w:t xml:space="preserve">, </w:t>
      </w:r>
      <w:hyperlink r:id="rId9" w:history="1">
        <w:r w:rsidRPr="00946B42">
          <w:rPr>
            <w:rFonts w:ascii="FrankRuehl" w:hAnsi="FrankRuehl" w:cs="FrankRuehl"/>
            <w:color w:val="0000FF"/>
            <w:rtl/>
          </w:rPr>
          <w:t>40ט'</w:t>
        </w:r>
      </w:hyperlink>
      <w:r w:rsidRPr="00946B42">
        <w:rPr>
          <w:rFonts w:ascii="FrankRuehl" w:hAnsi="FrankRuehl" w:cs="FrankRuehl"/>
          <w:rtl/>
        </w:rPr>
        <w:t xml:space="preserve">, </w:t>
      </w:r>
      <w:hyperlink r:id="rId10" w:history="1">
        <w:r w:rsidRPr="00946B42">
          <w:rPr>
            <w:rFonts w:ascii="FrankRuehl" w:hAnsi="FrankRuehl" w:cs="FrankRuehl"/>
            <w:color w:val="0000FF"/>
            <w:rtl/>
          </w:rPr>
          <w:t>192</w:t>
        </w:r>
      </w:hyperlink>
      <w:r w:rsidRPr="00946B42">
        <w:rPr>
          <w:rFonts w:ascii="FrankRuehl" w:hAnsi="FrankRuehl" w:cs="FrankRuehl"/>
          <w:rtl/>
        </w:rPr>
        <w:t xml:space="preserve">, </w:t>
      </w:r>
      <w:hyperlink r:id="rId11" w:history="1">
        <w:r w:rsidRPr="00946B42">
          <w:rPr>
            <w:rFonts w:ascii="FrankRuehl" w:hAnsi="FrankRuehl" w:cs="FrankRuehl"/>
            <w:color w:val="0000FF"/>
            <w:rtl/>
          </w:rPr>
          <w:t>333</w:t>
        </w:r>
      </w:hyperlink>
      <w:r w:rsidRPr="00946B42">
        <w:rPr>
          <w:rFonts w:ascii="FrankRuehl" w:hAnsi="FrankRuehl" w:cs="FrankRuehl"/>
          <w:rtl/>
        </w:rPr>
        <w:t xml:space="preserve">, </w:t>
      </w:r>
      <w:hyperlink r:id="rId12" w:history="1">
        <w:r w:rsidRPr="00946B42">
          <w:rPr>
            <w:rFonts w:ascii="FrankRuehl" w:hAnsi="FrankRuehl" w:cs="FrankRuehl"/>
            <w:color w:val="0000FF"/>
            <w:rtl/>
          </w:rPr>
          <w:t>382(ב)</w:t>
        </w:r>
      </w:hyperlink>
      <w:r w:rsidRPr="00946B42">
        <w:rPr>
          <w:rFonts w:ascii="FrankRuehl" w:hAnsi="FrankRuehl" w:cs="FrankRuehl"/>
          <w:rtl/>
        </w:rPr>
        <w:t xml:space="preserve">, </w:t>
      </w:r>
      <w:hyperlink r:id="rId13" w:history="1">
        <w:r w:rsidRPr="00946B42">
          <w:rPr>
            <w:rFonts w:ascii="FrankRuehl" w:hAnsi="FrankRuehl" w:cs="FrankRuehl"/>
            <w:color w:val="0000FF"/>
            <w:rtl/>
          </w:rPr>
          <w:t>382(ג)</w:t>
        </w:r>
      </w:hyperlink>
    </w:p>
    <w:p w14:paraId="07952105" w14:textId="77777777" w:rsidR="00946B42" w:rsidRPr="00946B42" w:rsidRDefault="00946B42" w:rsidP="00946B42">
      <w:pPr>
        <w:spacing w:before="120" w:after="120" w:line="240" w:lineRule="exact"/>
        <w:ind w:left="283" w:hanging="283"/>
        <w:jc w:val="both"/>
        <w:rPr>
          <w:rFonts w:ascii="FrankRuehl" w:hAnsi="FrankRuehl" w:cs="FrankRuehl"/>
          <w:rtl/>
        </w:rPr>
      </w:pPr>
      <w:hyperlink r:id="rId14" w:history="1">
        <w:r w:rsidRPr="00946B42">
          <w:rPr>
            <w:rFonts w:ascii="FrankRuehl" w:hAnsi="FrankRuehl" w:cs="FrankRuehl"/>
            <w:color w:val="0000FF"/>
            <w:rtl/>
          </w:rPr>
          <w:t>פקודת הסמים המסוכנים [נוסח חדש], תשל"ג-1973</w:t>
        </w:r>
      </w:hyperlink>
      <w:r w:rsidRPr="00946B42">
        <w:rPr>
          <w:rFonts w:ascii="FrankRuehl" w:hAnsi="FrankRuehl" w:cs="FrankRuehl"/>
          <w:rtl/>
        </w:rPr>
        <w:t xml:space="preserve">: סע'  </w:t>
      </w:r>
      <w:hyperlink r:id="rId15" w:history="1">
        <w:r w:rsidRPr="00946B42">
          <w:rPr>
            <w:rFonts w:ascii="FrankRuehl" w:hAnsi="FrankRuehl" w:cs="FrankRuehl"/>
            <w:color w:val="0000FF"/>
            <w:rtl/>
          </w:rPr>
          <w:t>6</w:t>
        </w:r>
      </w:hyperlink>
    </w:p>
    <w:p w14:paraId="7F206C8B" w14:textId="77777777" w:rsidR="00946B42" w:rsidRPr="00946B42" w:rsidRDefault="00946B42" w:rsidP="00946B42">
      <w:pPr>
        <w:rPr>
          <w:rFonts w:ascii="Arial" w:hAnsi="Arial"/>
          <w:rtl/>
        </w:rPr>
      </w:pPr>
      <w:bookmarkStart w:id="4" w:name="LawTable_End"/>
      <w:bookmarkEnd w:id="4"/>
    </w:p>
    <w:p w14:paraId="19F10563" w14:textId="77777777" w:rsidR="008717BB" w:rsidRPr="00B96D0B" w:rsidRDefault="008717BB" w:rsidP="00B96D0B">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17BB" w:rsidRPr="00055EDB" w14:paraId="6274187A" w14:textId="77777777" w:rsidTr="008717BB">
        <w:trPr>
          <w:trHeight w:val="355"/>
          <w:jc w:val="center"/>
        </w:trPr>
        <w:tc>
          <w:tcPr>
            <w:tcW w:w="8820" w:type="dxa"/>
            <w:tcBorders>
              <w:top w:val="nil"/>
              <w:left w:val="nil"/>
              <w:bottom w:val="nil"/>
              <w:right w:val="nil"/>
            </w:tcBorders>
            <w:shd w:val="clear" w:color="auto" w:fill="auto"/>
          </w:tcPr>
          <w:p w14:paraId="4E68683A" w14:textId="77777777" w:rsidR="008A1D03" w:rsidRPr="008A1D03" w:rsidRDefault="008A1D03" w:rsidP="008A1D03">
            <w:pPr>
              <w:jc w:val="center"/>
              <w:rPr>
                <w:rFonts w:ascii="Arial" w:hAnsi="Arial" w:cs="FrankRuehl"/>
                <w:b/>
                <w:bCs/>
                <w:sz w:val="32"/>
                <w:szCs w:val="32"/>
                <w:u w:val="single"/>
                <w:rtl/>
              </w:rPr>
            </w:pPr>
            <w:bookmarkStart w:id="5" w:name="PsakDin" w:colFirst="0" w:colLast="0"/>
            <w:bookmarkEnd w:id="0"/>
            <w:r w:rsidRPr="008A1D03">
              <w:rPr>
                <w:rFonts w:ascii="Arial" w:hAnsi="Arial" w:cs="FrankRuehl"/>
                <w:b/>
                <w:bCs/>
                <w:sz w:val="32"/>
                <w:szCs w:val="32"/>
                <w:u w:val="single"/>
                <w:rtl/>
              </w:rPr>
              <w:t>גזר דין</w:t>
            </w:r>
          </w:p>
          <w:p w14:paraId="16735AEE" w14:textId="77777777" w:rsidR="008717BB" w:rsidRPr="008A1D03" w:rsidRDefault="008717BB" w:rsidP="008A1D03">
            <w:pPr>
              <w:jc w:val="center"/>
              <w:rPr>
                <w:rFonts w:ascii="Arial" w:hAnsi="Arial" w:cs="FrankRuehl"/>
                <w:bCs/>
                <w:sz w:val="32"/>
                <w:szCs w:val="32"/>
                <w:u w:val="single"/>
              </w:rPr>
            </w:pPr>
          </w:p>
        </w:tc>
      </w:tr>
      <w:bookmarkEnd w:id="5"/>
    </w:tbl>
    <w:p w14:paraId="1ADBED1E" w14:textId="77777777" w:rsidR="008717BB" w:rsidRPr="00055EDB" w:rsidRDefault="008717BB" w:rsidP="008717BB">
      <w:pPr>
        <w:rPr>
          <w:rFonts w:ascii="Arial" w:hAnsi="Arial"/>
          <w:rtl/>
        </w:rPr>
      </w:pPr>
    </w:p>
    <w:p w14:paraId="022467DA" w14:textId="77777777" w:rsidR="008717BB" w:rsidRPr="00055EDB" w:rsidRDefault="008717BB" w:rsidP="008717BB">
      <w:pPr>
        <w:rPr>
          <w:b/>
          <w:bCs/>
          <w:u w:val="single"/>
          <w:rtl/>
        </w:rPr>
      </w:pPr>
      <w:r w:rsidRPr="00055EDB">
        <w:rPr>
          <w:b/>
          <w:bCs/>
          <w:u w:val="single"/>
          <w:rtl/>
        </w:rPr>
        <w:t>כתב</w:t>
      </w:r>
      <w:r>
        <w:rPr>
          <w:rFonts w:hint="cs"/>
          <w:b/>
          <w:bCs/>
          <w:u w:val="single"/>
          <w:rtl/>
        </w:rPr>
        <w:t>י</w:t>
      </w:r>
      <w:r w:rsidRPr="00055EDB">
        <w:rPr>
          <w:b/>
          <w:bCs/>
          <w:u w:val="single"/>
          <w:rtl/>
        </w:rPr>
        <w:t xml:space="preserve"> האישום ורקע</w:t>
      </w:r>
    </w:p>
    <w:p w14:paraId="49B0C267" w14:textId="77777777" w:rsidR="008717BB" w:rsidRDefault="008717BB" w:rsidP="008717BB">
      <w:pPr>
        <w:numPr>
          <w:ilvl w:val="0"/>
          <w:numId w:val="1"/>
        </w:numPr>
        <w:spacing w:line="360" w:lineRule="auto"/>
        <w:ind w:left="425" w:hanging="425"/>
        <w:contextualSpacing/>
        <w:jc w:val="both"/>
      </w:pPr>
      <w:bookmarkStart w:id="6" w:name="ABSTRACT_START"/>
      <w:bookmarkEnd w:id="6"/>
      <w:r>
        <w:rPr>
          <w:rFonts w:hint="cs"/>
          <w:rtl/>
        </w:rPr>
        <w:t>הנאשם הורשע על פי הודאתו בכתבי אישום מתוקנים בשני התיקים שבכותרת.</w:t>
      </w:r>
    </w:p>
    <w:p w14:paraId="1D1EC9B5" w14:textId="77777777" w:rsidR="008717BB" w:rsidRDefault="008717BB" w:rsidP="008717BB">
      <w:pPr>
        <w:ind w:left="425"/>
        <w:contextualSpacing/>
        <w:jc w:val="both"/>
      </w:pPr>
    </w:p>
    <w:p w14:paraId="412CD888" w14:textId="77777777" w:rsidR="008717BB" w:rsidRDefault="008717BB" w:rsidP="008717BB">
      <w:pPr>
        <w:numPr>
          <w:ilvl w:val="0"/>
          <w:numId w:val="1"/>
        </w:numPr>
        <w:spacing w:line="360" w:lineRule="auto"/>
        <w:ind w:left="425" w:hanging="425"/>
        <w:contextualSpacing/>
        <w:jc w:val="both"/>
      </w:pPr>
      <w:r>
        <w:rPr>
          <w:rFonts w:hint="cs"/>
          <w:rtl/>
        </w:rPr>
        <w:t>ב</w:t>
      </w:r>
      <w:hyperlink r:id="rId16" w:history="1">
        <w:r w:rsidR="008A1D03" w:rsidRPr="008A1D03">
          <w:rPr>
            <w:color w:val="0000FF"/>
            <w:u w:val="single"/>
            <w:rtl/>
          </w:rPr>
          <w:t>ת"פ 4822-02-21</w:t>
        </w:r>
      </w:hyperlink>
      <w:r>
        <w:rPr>
          <w:rFonts w:hint="cs"/>
          <w:rtl/>
        </w:rPr>
        <w:t xml:space="preserve"> הורשע הנאשם בשני אישומים, שעניינם עבירות אלימות כלפי בת זוג. </w:t>
      </w:r>
    </w:p>
    <w:p w14:paraId="707BA096" w14:textId="77777777" w:rsidR="008717BB" w:rsidRDefault="008717BB" w:rsidP="008717BB">
      <w:pPr>
        <w:pStyle w:val="a9"/>
        <w:rPr>
          <w:rtl/>
        </w:rPr>
      </w:pPr>
    </w:p>
    <w:p w14:paraId="51CC89C3" w14:textId="77777777" w:rsidR="008717BB" w:rsidRDefault="008717BB" w:rsidP="008717BB">
      <w:pPr>
        <w:spacing w:line="360" w:lineRule="auto"/>
        <w:ind w:left="425"/>
        <w:contextualSpacing/>
        <w:jc w:val="both"/>
      </w:pPr>
      <w:r>
        <w:rPr>
          <w:rFonts w:hint="cs"/>
          <w:rtl/>
        </w:rPr>
        <w:lastRenderedPageBreak/>
        <w:t xml:space="preserve">באישום הראשון, הורשע הנאשם בעבירות של איומים, עבירה לפי </w:t>
      </w:r>
      <w:hyperlink r:id="rId17" w:history="1">
        <w:r w:rsidR="00567A98" w:rsidRPr="00567A98">
          <w:rPr>
            <w:rStyle w:val="Hyperlink"/>
            <w:rFonts w:hint="eastAsia"/>
            <w:rtl/>
          </w:rPr>
          <w:t>סעיף</w:t>
        </w:r>
        <w:r w:rsidR="00567A98" w:rsidRPr="00567A98">
          <w:rPr>
            <w:rStyle w:val="Hyperlink"/>
            <w:rtl/>
          </w:rPr>
          <w:t xml:space="preserve"> 192</w:t>
        </w:r>
      </w:hyperlink>
      <w:r>
        <w:rPr>
          <w:rFonts w:hint="cs"/>
          <w:rtl/>
        </w:rPr>
        <w:t xml:space="preserve"> ל</w:t>
      </w:r>
      <w:hyperlink r:id="rId18" w:history="1">
        <w:r w:rsidR="008A1D03" w:rsidRPr="008A1D03">
          <w:rPr>
            <w:color w:val="0000FF"/>
            <w:u w:val="single"/>
            <w:rtl/>
          </w:rPr>
          <w:t>חוק העונשין</w:t>
        </w:r>
      </w:hyperlink>
      <w:r>
        <w:rPr>
          <w:rFonts w:hint="cs"/>
          <w:rtl/>
        </w:rPr>
        <w:t xml:space="preserve">, תשל"ז </w:t>
      </w:r>
      <w:r>
        <w:rPr>
          <w:rtl/>
        </w:rPr>
        <w:t>–</w:t>
      </w:r>
      <w:r>
        <w:rPr>
          <w:rFonts w:hint="cs"/>
          <w:rtl/>
        </w:rPr>
        <w:t xml:space="preserve"> 1977  (להלן: "</w:t>
      </w:r>
      <w:r w:rsidRPr="00030B59">
        <w:rPr>
          <w:rFonts w:hint="cs"/>
          <w:b/>
          <w:bCs/>
          <w:rtl/>
        </w:rPr>
        <w:t>החוק</w:t>
      </w:r>
      <w:r>
        <w:rPr>
          <w:rFonts w:hint="cs"/>
          <w:rtl/>
        </w:rPr>
        <w:t xml:space="preserve">"); תקיפה סתם-בן זוג, עבירה לפי </w:t>
      </w:r>
      <w:hyperlink r:id="rId19" w:history="1">
        <w:r w:rsidR="00567A98" w:rsidRPr="00567A98">
          <w:rPr>
            <w:rStyle w:val="Hyperlink"/>
            <w:rFonts w:hint="eastAsia"/>
            <w:rtl/>
          </w:rPr>
          <w:t>סעיף</w:t>
        </w:r>
        <w:r w:rsidR="00567A98" w:rsidRPr="00567A98">
          <w:rPr>
            <w:rStyle w:val="Hyperlink"/>
            <w:rtl/>
          </w:rPr>
          <w:t xml:space="preserve"> 382(ב)</w:t>
        </w:r>
      </w:hyperlink>
      <w:r>
        <w:rPr>
          <w:rFonts w:hint="cs"/>
          <w:rtl/>
        </w:rPr>
        <w:t xml:space="preserve"> לחוק ותקיפה הגורמת חבלה של ממש- בן זוג, עבירה לפי </w:t>
      </w:r>
      <w:hyperlink r:id="rId20" w:history="1">
        <w:r w:rsidR="00567A98" w:rsidRPr="00567A98">
          <w:rPr>
            <w:rStyle w:val="Hyperlink"/>
            <w:rFonts w:hint="eastAsia"/>
            <w:rtl/>
          </w:rPr>
          <w:t>סעיף</w:t>
        </w:r>
        <w:r w:rsidR="00567A98" w:rsidRPr="00567A98">
          <w:rPr>
            <w:rStyle w:val="Hyperlink"/>
            <w:rtl/>
          </w:rPr>
          <w:t xml:space="preserve"> 382(ג)</w:t>
        </w:r>
      </w:hyperlink>
      <w:r>
        <w:rPr>
          <w:rFonts w:hint="cs"/>
          <w:rtl/>
        </w:rPr>
        <w:t xml:space="preserve"> לחוק. </w:t>
      </w:r>
    </w:p>
    <w:p w14:paraId="2ECDCDA4" w14:textId="77777777" w:rsidR="008717BB" w:rsidRDefault="008717BB" w:rsidP="008717BB">
      <w:pPr>
        <w:spacing w:line="360" w:lineRule="auto"/>
        <w:ind w:left="425"/>
        <w:contextualSpacing/>
        <w:jc w:val="both"/>
        <w:rPr>
          <w:rtl/>
        </w:rPr>
      </w:pPr>
      <w:bookmarkStart w:id="7" w:name="ABSTRACT_END"/>
      <w:bookmarkEnd w:id="7"/>
      <w:r>
        <w:rPr>
          <w:rFonts w:hint="cs"/>
          <w:rtl/>
        </w:rPr>
        <w:t xml:space="preserve">בתאריך 30.01.21 בשעה 12:00 לערך בעת שהנאשם והמתלוננת שהו בבית, נתגלע ויכוח בין השניים על אודות הרגלי הניקיון של המתלוננת. במהלך הוויכוח הוציא הנאשם מהמקרר בקבוק שמפניה, תוך שאמר למתלוננת שהוא זקוק לאלכוהול "בכדי שיהיה לו כוח לשים סוף למערכת יחסים ביניהם", והחל לשתות ממנו ולקלל את המתלוננת "זונה, שרמוטה, לכי תמצצי, רוסיה, שרמוטה". בהמשך לכך החל הנאשם להוציא חפציו מהבית, ובתוך כך סטר בפניה של המתלוננת וצעד לכיוון רכבו על מנת להעמיס את החפצים. המתלוננת נעלה את דלת הבית ומשהבחין בכך הנאשם, הוא איים עליה שיהרוג אותה. במקביל, התקשרה המתלוננת לאמו של הנאשם ומסרה לה שהיא מפחדת מהנאשם. משפתחה המתלוננת את דלת הבית, הנאשם היכה בראשה באמצעות ידו והיכה באגרוף בבטנה. בהמשך התיישב הנאשם על המתלוננת, תפס בידיה וחנק אותה. הנאשם המשיך לשתות אלכוהול ונרדם על הספה. בהמשך, ובעת שהמתלוננת ישבה על הספה, תפס הנאשם את ראשה והטיחו בקיר הצמוד לספה. </w:t>
      </w:r>
    </w:p>
    <w:p w14:paraId="2856D137" w14:textId="77777777" w:rsidR="008717BB" w:rsidRDefault="008717BB" w:rsidP="008717BB">
      <w:pPr>
        <w:spacing w:line="360" w:lineRule="auto"/>
        <w:ind w:left="425"/>
        <w:contextualSpacing/>
        <w:jc w:val="both"/>
        <w:rPr>
          <w:rtl/>
        </w:rPr>
      </w:pPr>
      <w:r>
        <w:rPr>
          <w:rFonts w:hint="cs"/>
          <w:rtl/>
        </w:rPr>
        <w:t xml:space="preserve">בתאריך 31.01.21 בשעה 02:00 לערך בשעה שהמתלוננת ישנה, הנאשם משך בשערות ראשה עם ידו, ואגרף את ידו השנייה מול פניה. כתוצאה מהתקיפות נגרם למתלוננת שטף דם בצידו השמאלי של מותנה.     </w:t>
      </w:r>
    </w:p>
    <w:p w14:paraId="25A4ED25" w14:textId="77777777" w:rsidR="008717BB" w:rsidRDefault="008717BB" w:rsidP="008717BB">
      <w:pPr>
        <w:spacing w:line="360" w:lineRule="auto"/>
        <w:ind w:left="425"/>
        <w:contextualSpacing/>
        <w:jc w:val="both"/>
        <w:rPr>
          <w:rtl/>
        </w:rPr>
      </w:pPr>
    </w:p>
    <w:p w14:paraId="432A66D4" w14:textId="77777777" w:rsidR="008717BB" w:rsidRDefault="008717BB" w:rsidP="008717BB">
      <w:pPr>
        <w:spacing w:line="360" w:lineRule="auto"/>
        <w:ind w:left="425"/>
        <w:contextualSpacing/>
        <w:jc w:val="both"/>
        <w:rPr>
          <w:rtl/>
        </w:rPr>
      </w:pPr>
      <w:r>
        <w:rPr>
          <w:rFonts w:hint="cs"/>
          <w:rtl/>
        </w:rPr>
        <w:t xml:space="preserve">באישום השני הורשע הנאשם בעבירה של חבלה חמורה, עבירה לפי </w:t>
      </w:r>
      <w:hyperlink r:id="rId21" w:history="1">
        <w:r w:rsidR="00567A98" w:rsidRPr="00567A98">
          <w:rPr>
            <w:rStyle w:val="Hyperlink"/>
            <w:rFonts w:hint="eastAsia"/>
            <w:rtl/>
          </w:rPr>
          <w:t>סעיף</w:t>
        </w:r>
        <w:r w:rsidR="00567A98" w:rsidRPr="00567A98">
          <w:rPr>
            <w:rStyle w:val="Hyperlink"/>
            <w:rtl/>
          </w:rPr>
          <w:t xml:space="preserve"> 333</w:t>
        </w:r>
      </w:hyperlink>
      <w:r>
        <w:rPr>
          <w:rFonts w:hint="cs"/>
          <w:rtl/>
        </w:rPr>
        <w:t xml:space="preserve"> לחוק, בכך שבתאריך 21.10.19 היכה הנאשם במכת אגרוף בפניה של המתלוננת, זרק אותה לרצפה ובעט ברגליו בגופה. כתוצאה מהתקיפה נגרם למתלוננת שבר באף. </w:t>
      </w:r>
    </w:p>
    <w:p w14:paraId="4CB7AA4E" w14:textId="77777777" w:rsidR="008717BB" w:rsidRDefault="008717BB" w:rsidP="008717BB">
      <w:pPr>
        <w:spacing w:line="360" w:lineRule="auto"/>
        <w:ind w:left="425"/>
        <w:contextualSpacing/>
        <w:jc w:val="both"/>
      </w:pPr>
    </w:p>
    <w:p w14:paraId="3D0D63A1" w14:textId="77777777" w:rsidR="008717BB" w:rsidRDefault="008717BB" w:rsidP="008717BB">
      <w:pPr>
        <w:numPr>
          <w:ilvl w:val="0"/>
          <w:numId w:val="1"/>
        </w:numPr>
        <w:spacing w:line="360" w:lineRule="auto"/>
        <w:ind w:left="425" w:hanging="425"/>
        <w:contextualSpacing/>
        <w:jc w:val="both"/>
      </w:pPr>
      <w:r>
        <w:rPr>
          <w:rFonts w:hint="cs"/>
          <w:rtl/>
        </w:rPr>
        <w:t>ב</w:t>
      </w:r>
      <w:hyperlink r:id="rId22" w:history="1">
        <w:r w:rsidR="008A1D03" w:rsidRPr="008A1D03">
          <w:rPr>
            <w:color w:val="0000FF"/>
            <w:u w:val="single"/>
            <w:rtl/>
          </w:rPr>
          <w:t>ת"פ 60606-10-20</w:t>
        </w:r>
      </w:hyperlink>
      <w:r>
        <w:rPr>
          <w:rFonts w:hint="cs"/>
          <w:rtl/>
        </w:rPr>
        <w:t xml:space="preserve"> הורשע הנאשם בעבירה של גידול, יצור והכנת סמים מסוכנים, עבירה לפי </w:t>
      </w:r>
      <w:hyperlink r:id="rId23" w:history="1">
        <w:r w:rsidR="00567A98" w:rsidRPr="00567A98">
          <w:rPr>
            <w:rStyle w:val="Hyperlink"/>
            <w:rFonts w:hint="eastAsia"/>
            <w:rtl/>
          </w:rPr>
          <w:t>סעיף</w:t>
        </w:r>
        <w:r w:rsidR="00567A98" w:rsidRPr="00567A98">
          <w:rPr>
            <w:rStyle w:val="Hyperlink"/>
            <w:rtl/>
          </w:rPr>
          <w:t xml:space="preserve"> 6</w:t>
        </w:r>
      </w:hyperlink>
      <w:r>
        <w:rPr>
          <w:rFonts w:hint="cs"/>
          <w:rtl/>
        </w:rPr>
        <w:t xml:space="preserve"> ל</w:t>
      </w:r>
      <w:hyperlink r:id="rId24" w:history="1">
        <w:r w:rsidR="008A1D03" w:rsidRPr="008A1D03">
          <w:rPr>
            <w:color w:val="0000FF"/>
            <w:u w:val="single"/>
            <w:rtl/>
          </w:rPr>
          <w:t>פקודת הסמים המסוכנים</w:t>
        </w:r>
      </w:hyperlink>
      <w:r>
        <w:rPr>
          <w:rFonts w:hint="cs"/>
          <w:rtl/>
        </w:rPr>
        <w:t xml:space="preserve"> (נוסח חדש), תשל"ג </w:t>
      </w:r>
      <w:r>
        <w:rPr>
          <w:rtl/>
        </w:rPr>
        <w:t>–</w:t>
      </w:r>
      <w:r>
        <w:rPr>
          <w:rFonts w:hint="cs"/>
          <w:rtl/>
        </w:rPr>
        <w:t xml:space="preserve"> 1973 (להלן: "</w:t>
      </w:r>
      <w:r w:rsidRPr="00821729">
        <w:rPr>
          <w:rFonts w:hint="cs"/>
          <w:b/>
          <w:bCs/>
          <w:rtl/>
        </w:rPr>
        <w:t>הפקודה</w:t>
      </w:r>
      <w:r>
        <w:rPr>
          <w:rFonts w:hint="cs"/>
          <w:rtl/>
        </w:rPr>
        <w:t xml:space="preserve">"). </w:t>
      </w:r>
    </w:p>
    <w:p w14:paraId="45B3E38A" w14:textId="77777777" w:rsidR="008717BB" w:rsidRDefault="008717BB" w:rsidP="008717BB">
      <w:pPr>
        <w:spacing w:line="360" w:lineRule="auto"/>
        <w:ind w:left="425"/>
        <w:contextualSpacing/>
        <w:jc w:val="both"/>
      </w:pPr>
      <w:r>
        <w:rPr>
          <w:rFonts w:hint="cs"/>
          <w:rtl/>
        </w:rPr>
        <w:t xml:space="preserve">ביום 06.05.20, במסגרת חיפוש בביתו של הנאשם, נתפסו במרפסת הבית שלוש אדניות ובהן שלושה שתילים של סם מסוג קנבוס, במשקל 23 גרם נטו. </w:t>
      </w:r>
    </w:p>
    <w:p w14:paraId="212D0CFC" w14:textId="77777777" w:rsidR="008717BB" w:rsidRPr="00821729" w:rsidRDefault="008717BB" w:rsidP="008717BB">
      <w:pPr>
        <w:contextualSpacing/>
        <w:jc w:val="both"/>
      </w:pPr>
    </w:p>
    <w:p w14:paraId="5857EFF2" w14:textId="77777777" w:rsidR="008717BB" w:rsidRDefault="008717BB" w:rsidP="008717BB">
      <w:pPr>
        <w:numPr>
          <w:ilvl w:val="0"/>
          <w:numId w:val="1"/>
        </w:numPr>
        <w:spacing w:line="360" w:lineRule="auto"/>
        <w:ind w:left="425" w:hanging="425"/>
        <w:contextualSpacing/>
        <w:jc w:val="both"/>
      </w:pPr>
      <w:r>
        <w:rPr>
          <w:rFonts w:hint="cs"/>
          <w:rtl/>
        </w:rPr>
        <w:t>ביום 14.09.21 הודיעו הצדדים, בפני כב' השופטת דיבון-סגל, על הסדר דיוני במסגרתו הודה הנאשם ולא הורשע. הוא הורשע בפניי בדיון מיום 30.9.21 בשני התיקים שבכותרת.</w:t>
      </w:r>
    </w:p>
    <w:p w14:paraId="409CECEF" w14:textId="77777777" w:rsidR="008717BB" w:rsidRPr="00055EDB" w:rsidRDefault="008717BB" w:rsidP="008717BB">
      <w:pPr>
        <w:ind w:left="425"/>
        <w:contextualSpacing/>
        <w:jc w:val="both"/>
      </w:pPr>
    </w:p>
    <w:p w14:paraId="5F3A5461" w14:textId="77777777" w:rsidR="008717BB" w:rsidRPr="00055EDB" w:rsidRDefault="008717BB" w:rsidP="008717BB">
      <w:pPr>
        <w:jc w:val="both"/>
        <w:rPr>
          <w:b/>
          <w:bCs/>
          <w:u w:val="single"/>
          <w:rtl/>
        </w:rPr>
      </w:pPr>
      <w:r w:rsidRPr="00055EDB">
        <w:rPr>
          <w:b/>
          <w:bCs/>
          <w:u w:val="single"/>
          <w:rtl/>
        </w:rPr>
        <w:t>טיעוני הצדדים לעונש</w:t>
      </w:r>
    </w:p>
    <w:p w14:paraId="5BC3F8FC" w14:textId="77777777" w:rsidR="008717BB" w:rsidRDefault="008717BB" w:rsidP="008717BB">
      <w:pPr>
        <w:numPr>
          <w:ilvl w:val="0"/>
          <w:numId w:val="1"/>
        </w:numPr>
        <w:spacing w:line="360" w:lineRule="auto"/>
        <w:ind w:left="425" w:hanging="425"/>
        <w:contextualSpacing/>
        <w:jc w:val="both"/>
      </w:pPr>
      <w:r>
        <w:rPr>
          <w:rFonts w:hint="cs"/>
          <w:rtl/>
        </w:rPr>
        <w:t xml:space="preserve">ב"כ המאשימה הפנתה לערכים המוגנים בהם פגע הנאשם בעבירות האלימות כלפי בת זוג ובעבירת הסמים. </w:t>
      </w:r>
    </w:p>
    <w:p w14:paraId="0833BD08" w14:textId="77777777" w:rsidR="008717BB" w:rsidRDefault="008717BB" w:rsidP="008717BB">
      <w:pPr>
        <w:spacing w:line="360" w:lineRule="auto"/>
        <w:ind w:left="425"/>
        <w:contextualSpacing/>
        <w:jc w:val="both"/>
        <w:rPr>
          <w:rtl/>
        </w:rPr>
      </w:pPr>
      <w:r>
        <w:rPr>
          <w:rFonts w:hint="cs"/>
          <w:rtl/>
        </w:rPr>
        <w:t xml:space="preserve">ב"כ המאשימה ביקשה לקבוע, כי מתחם העונש ההולם בעבירות האלימות הוא בין 30 ל- 50 חודשי מאסר בפועל לצד רכיבי ענישה נלווים. בעבירת הסמים, ביקשה ב"כ המאשימה לקבוע, כי מתחם העונש ההולם נע בין מספר חודשי מאסר ועד שנת מאסר.  בתמיכה לעתירתה הפנתה </w:t>
      </w:r>
      <w:r>
        <w:rPr>
          <w:rFonts w:hint="cs"/>
          <w:rtl/>
        </w:rPr>
        <w:lastRenderedPageBreak/>
        <w:t>ב"כ המאשימה לאסופת פסקי דין והדגישה, כי על פי הפסיקה יש מגמת החמרה  בענישה בעבירות של אלימות במשפחה.</w:t>
      </w:r>
    </w:p>
    <w:p w14:paraId="43E79B72" w14:textId="77777777" w:rsidR="008717BB" w:rsidRDefault="008717BB" w:rsidP="008717BB">
      <w:pPr>
        <w:spacing w:line="360" w:lineRule="auto"/>
        <w:ind w:left="425"/>
        <w:contextualSpacing/>
        <w:jc w:val="both"/>
        <w:rPr>
          <w:rtl/>
        </w:rPr>
      </w:pPr>
    </w:p>
    <w:p w14:paraId="27433F74" w14:textId="77777777" w:rsidR="008717BB" w:rsidRDefault="008717BB" w:rsidP="008717BB">
      <w:pPr>
        <w:spacing w:line="360" w:lineRule="auto"/>
        <w:ind w:left="425"/>
        <w:contextualSpacing/>
        <w:jc w:val="both"/>
        <w:rPr>
          <w:rtl/>
        </w:rPr>
      </w:pPr>
      <w:r>
        <w:rPr>
          <w:rFonts w:hint="cs"/>
          <w:rtl/>
        </w:rPr>
        <w:t xml:space="preserve">אשר לנסיבות הקשורות בביצוע העבירה נטען, כי הנאשם צרך אלכוהול, הכניס את עצמו למצב בו היה נתון ולכן לא מתקיים הקרבה לסייג לאחריות פלילית. הנאשם יכול היה להפסיק את האלימות כלפי בת זוגו בכל שלב, אך הוא העדיף להמשיך להפליא בה את מכותיו. אפילו על פי חוות הדעת מטעם ההגנה הנאשם מזהה מצבי סיכון, אך חרף זאת בחר לצרוך אלכוהול. </w:t>
      </w:r>
    </w:p>
    <w:p w14:paraId="59E61337" w14:textId="77777777" w:rsidR="008717BB" w:rsidRDefault="008717BB" w:rsidP="008717BB">
      <w:pPr>
        <w:spacing w:line="360" w:lineRule="auto"/>
        <w:ind w:left="425"/>
        <w:contextualSpacing/>
        <w:jc w:val="both"/>
        <w:rPr>
          <w:rtl/>
        </w:rPr>
      </w:pPr>
    </w:p>
    <w:p w14:paraId="6A7C0928" w14:textId="77777777" w:rsidR="008717BB" w:rsidRDefault="008717BB" w:rsidP="008717BB">
      <w:pPr>
        <w:spacing w:line="360" w:lineRule="auto"/>
        <w:ind w:left="425"/>
        <w:contextualSpacing/>
        <w:jc w:val="both"/>
        <w:rPr>
          <w:rtl/>
        </w:rPr>
      </w:pPr>
      <w:r>
        <w:rPr>
          <w:rFonts w:hint="cs"/>
          <w:rtl/>
        </w:rPr>
        <w:t xml:space="preserve">בנסיבותיו של תיק זה עתרה ב"כ המאשימה להשית על הנאשם עונש בשליש התחתון של כל אחד מהמתחמים אולם לא בתחתית המתחם, בין היתר בהעדר שיקולי שיקום. עוד עתרה המאשימה לקבוע שהמאסרים יושתו במצטבר זה לזה, לצד מאסר מותנה וקנס. </w:t>
      </w:r>
    </w:p>
    <w:p w14:paraId="33783E1D" w14:textId="77777777" w:rsidR="008717BB" w:rsidRDefault="008717BB" w:rsidP="008717BB">
      <w:pPr>
        <w:ind w:left="425"/>
        <w:contextualSpacing/>
        <w:jc w:val="both"/>
      </w:pPr>
    </w:p>
    <w:p w14:paraId="26F3BEAC" w14:textId="77777777" w:rsidR="008717BB" w:rsidRDefault="008717BB" w:rsidP="008717BB">
      <w:pPr>
        <w:numPr>
          <w:ilvl w:val="0"/>
          <w:numId w:val="1"/>
        </w:numPr>
        <w:spacing w:line="360" w:lineRule="auto"/>
        <w:ind w:left="425" w:hanging="425"/>
        <w:contextualSpacing/>
        <w:jc w:val="both"/>
      </w:pPr>
      <w:r>
        <w:rPr>
          <w:rFonts w:hint="cs"/>
          <w:rtl/>
        </w:rPr>
        <w:t xml:space="preserve">ב"כ הנאשם טענה שהמאשימה אינה נוהגת בהגינות בנאשם, שכן מחד המאשימה סירבה להפנותו להליך שיקומי ומאידך היא מבקשת לזקוף לחובתו את העדר השיקום בטיעוניה לעונש. </w:t>
      </w:r>
    </w:p>
    <w:p w14:paraId="6FE681AE" w14:textId="77777777" w:rsidR="008717BB" w:rsidRDefault="008717BB" w:rsidP="008717BB">
      <w:pPr>
        <w:spacing w:line="360" w:lineRule="auto"/>
        <w:ind w:left="425"/>
        <w:contextualSpacing/>
        <w:jc w:val="both"/>
        <w:rPr>
          <w:rtl/>
        </w:rPr>
      </w:pPr>
      <w:r w:rsidRPr="00010F97">
        <w:rPr>
          <w:rFonts w:hint="cs"/>
          <w:rtl/>
        </w:rPr>
        <w:t xml:space="preserve">הנאשם הודה </w:t>
      </w:r>
      <w:r>
        <w:rPr>
          <w:rFonts w:hint="cs"/>
          <w:rtl/>
        </w:rPr>
        <w:t>ונטל אחריות למעשיו</w:t>
      </w:r>
      <w:r w:rsidRPr="00010F97">
        <w:rPr>
          <w:rFonts w:hint="cs"/>
          <w:rtl/>
        </w:rPr>
        <w:t xml:space="preserve">. </w:t>
      </w:r>
    </w:p>
    <w:p w14:paraId="7909EF10" w14:textId="77777777" w:rsidR="008717BB" w:rsidRDefault="008717BB" w:rsidP="008717BB">
      <w:pPr>
        <w:spacing w:line="360" w:lineRule="auto"/>
        <w:ind w:left="425"/>
        <w:contextualSpacing/>
        <w:jc w:val="both"/>
      </w:pPr>
      <w:r>
        <w:rPr>
          <w:rFonts w:hint="cs"/>
          <w:rtl/>
        </w:rPr>
        <w:t xml:space="preserve">ב"כ הנאשם הפנתה לנסיבותיו האישיות של הנאשם, שסובל מפוסט טראומה משירותו הצבאי, זאת לאחר שנפצע במהלך מארב בו חברו נהרג לצידו. על מנת לשכך את הטראומה החל הנאשם לפני כ- 15 שנה לצרוך סמים, מה שהוביל בסופו של דבר אף לכתבי האישום בעניינו. הנאשם טופל במרכז לבריאות הנפש ובמשך שנים רבות ניהל אורח חיים נורמטיבי ולא הסתבך עם החוק. הנאשם עבד ולו שלושה ילדים. עם זאת, על רקע פרידה מבת זוגו הקודמת, החל מצבו הרגשי והכלכלי להתערער ועלו וצפו תסמיני פוסט טראומה שהובילו לשני האירועים הנקודתיים המפורטים בכתב האישום בו הורשע. הנאשם שוהה במעצר מזה 8 חודשים, ובקשתו לקבל טיפול ייעודי לפוסט טראומה לא הועילה. </w:t>
      </w:r>
    </w:p>
    <w:p w14:paraId="0D252696" w14:textId="77777777" w:rsidR="008717BB" w:rsidRDefault="008717BB" w:rsidP="008717BB">
      <w:pPr>
        <w:spacing w:line="360" w:lineRule="auto"/>
        <w:ind w:left="425"/>
        <w:contextualSpacing/>
        <w:jc w:val="both"/>
        <w:rPr>
          <w:rtl/>
        </w:rPr>
      </w:pPr>
      <w:r>
        <w:rPr>
          <w:rFonts w:hint="cs"/>
          <w:rtl/>
        </w:rPr>
        <w:t>ב"כ הנאשם טענה, כי הנאשם צרך אלכוהול בשל פוסט טראומה ולכן עבירות האלימות בוצעו כשהוא במצב של שכרות ולכן ביקשה לקבוע שקיימת קרבה לסייג לאחריות פלילית. לשיטתה, בעצם העובדה שהנאשם סובל מפוסט טראומה יש כדי להשפיע על המודעות שלו בעת כניסה למצב של שכרות.</w:t>
      </w:r>
    </w:p>
    <w:p w14:paraId="65460003" w14:textId="77777777" w:rsidR="008717BB" w:rsidRDefault="008717BB" w:rsidP="008717BB">
      <w:pPr>
        <w:spacing w:line="360" w:lineRule="auto"/>
        <w:ind w:left="425"/>
        <w:contextualSpacing/>
        <w:jc w:val="both"/>
        <w:rPr>
          <w:rtl/>
        </w:rPr>
      </w:pPr>
      <w:r>
        <w:rPr>
          <w:rFonts w:hint="cs"/>
          <w:rtl/>
        </w:rPr>
        <w:t xml:space="preserve">עוד נטען, כי לנוכח השירות הצבאי בגינו סובל הנאשם מפוסט הטראומה, הרי שעל המדינה החובה לדאוג לטיפול ושיקום הנאשם חלף השמתו מאחורי סורג ובריח. על כן, יש לסטות ממתחם העונש ההולם ולהעמיד את עונשו של הנאשם על 8 חודשי מאסר, תקופת ימי מעצרו בתיק האלימות כלפי בת הזוג.  </w:t>
      </w:r>
    </w:p>
    <w:p w14:paraId="497B63C8" w14:textId="77777777" w:rsidR="008717BB" w:rsidRPr="00055EDB" w:rsidRDefault="008717BB" w:rsidP="008717BB">
      <w:pPr>
        <w:spacing w:line="360" w:lineRule="auto"/>
        <w:ind w:left="425"/>
        <w:contextualSpacing/>
        <w:jc w:val="both"/>
        <w:rPr>
          <w:rtl/>
        </w:rPr>
      </w:pPr>
      <w:r>
        <w:rPr>
          <w:rFonts w:hint="cs"/>
          <w:rtl/>
        </w:rPr>
        <w:t xml:space="preserve">לחלופין, עתרה ב"כ הנאשם להורות על שחרורו של הנאשם למעצר בבית הוריו או "בבית של אנדריי" לצד הליך טיפולי כפי שהציעה ד"ר תמיר. </w:t>
      </w:r>
    </w:p>
    <w:p w14:paraId="1DAFD0B1" w14:textId="77777777" w:rsidR="008717BB" w:rsidRDefault="008717BB" w:rsidP="008717BB">
      <w:pPr>
        <w:ind w:left="425"/>
        <w:contextualSpacing/>
        <w:jc w:val="both"/>
      </w:pPr>
    </w:p>
    <w:p w14:paraId="7CE5D264" w14:textId="77777777" w:rsidR="008717BB" w:rsidRPr="00055EDB" w:rsidRDefault="008717BB" w:rsidP="008717BB">
      <w:pPr>
        <w:numPr>
          <w:ilvl w:val="0"/>
          <w:numId w:val="1"/>
        </w:numPr>
        <w:spacing w:line="360" w:lineRule="auto"/>
        <w:ind w:left="425" w:hanging="425"/>
        <w:contextualSpacing/>
        <w:jc w:val="both"/>
        <w:rPr>
          <w:rtl/>
        </w:rPr>
      </w:pPr>
      <w:r>
        <w:rPr>
          <w:rtl/>
        </w:rPr>
        <w:t>הנאשם מסר</w:t>
      </w:r>
      <w:r>
        <w:rPr>
          <w:rFonts w:hint="cs"/>
          <w:rtl/>
        </w:rPr>
        <w:t xml:space="preserve">, כי במשך 15 שנים ניהל אורח חיים נורמטיבי, וכי  ב- 3 השנים האחרונות הטראומה חזרה אליו. הוא צריך ורוצה לקבל טיפול. הוא מצטער על הדברים שעשה הגם שהוסיף שאינו זוכר את מה שהיה מאחר שהיה שיכור במועד האירוע. הוא ביקש סליחה וביקש לתת לו הזדמנות להשתלב בחיים נורמטיביים.  </w:t>
      </w:r>
    </w:p>
    <w:p w14:paraId="17C53A18" w14:textId="77777777" w:rsidR="008717BB" w:rsidRPr="00055EDB" w:rsidRDefault="008717BB" w:rsidP="008717BB">
      <w:pPr>
        <w:ind w:left="720"/>
        <w:contextualSpacing/>
        <w:jc w:val="both"/>
        <w:rPr>
          <w:b/>
          <w:bCs/>
          <w:u w:val="single"/>
          <w:rtl/>
        </w:rPr>
      </w:pPr>
    </w:p>
    <w:p w14:paraId="045276A0" w14:textId="77777777" w:rsidR="008717BB" w:rsidRDefault="008717BB" w:rsidP="008717BB">
      <w:pPr>
        <w:spacing w:line="360" w:lineRule="auto"/>
        <w:jc w:val="both"/>
        <w:rPr>
          <w:b/>
          <w:bCs/>
          <w:u w:val="single"/>
          <w:rtl/>
        </w:rPr>
      </w:pPr>
      <w:r>
        <w:rPr>
          <w:rFonts w:hint="cs"/>
          <w:b/>
          <w:bCs/>
          <w:u w:val="single"/>
          <w:rtl/>
        </w:rPr>
        <w:t>ראיות הצדדים לעונש</w:t>
      </w:r>
    </w:p>
    <w:p w14:paraId="6A9D8BAC" w14:textId="77777777" w:rsidR="008717BB" w:rsidRPr="00BC171A" w:rsidRDefault="008717BB" w:rsidP="008717BB">
      <w:pPr>
        <w:numPr>
          <w:ilvl w:val="0"/>
          <w:numId w:val="1"/>
        </w:numPr>
        <w:spacing w:line="360" w:lineRule="auto"/>
        <w:ind w:left="425" w:hanging="425"/>
        <w:contextualSpacing/>
        <w:jc w:val="both"/>
      </w:pPr>
      <w:r w:rsidRPr="00BC171A">
        <w:rPr>
          <w:rFonts w:hint="cs"/>
          <w:rtl/>
        </w:rPr>
        <w:t xml:space="preserve">המאשימה הגישה את גיליון הרישום הפלילי של הנאשם (טע/4) וכן תעודות רפואיות של המתלוננת מתאריך 22.10.19 (טע/5) אודות חבלת ראש/פנים ושבר באף. </w:t>
      </w:r>
    </w:p>
    <w:p w14:paraId="3904447D" w14:textId="77777777" w:rsidR="008717BB" w:rsidRDefault="008717BB" w:rsidP="008717BB">
      <w:pPr>
        <w:numPr>
          <w:ilvl w:val="0"/>
          <w:numId w:val="1"/>
        </w:numPr>
        <w:spacing w:line="360" w:lineRule="auto"/>
        <w:ind w:left="425" w:hanging="425"/>
        <w:contextualSpacing/>
        <w:jc w:val="both"/>
      </w:pPr>
      <w:r>
        <w:rPr>
          <w:rFonts w:hint="cs"/>
          <w:rtl/>
        </w:rPr>
        <w:t xml:space="preserve">מטעם הנאשם הוגשו </w:t>
      </w:r>
      <w:r w:rsidRPr="00010F97">
        <w:rPr>
          <w:rFonts w:hint="cs"/>
          <w:rtl/>
        </w:rPr>
        <w:t>חוות דעת פסיכיאטרית מהמרכז לבריאות הנפש שלוותה (טע/1)</w:t>
      </w:r>
      <w:r>
        <w:rPr>
          <w:rFonts w:hint="cs"/>
          <w:rtl/>
        </w:rPr>
        <w:t xml:space="preserve"> ודו</w:t>
      </w:r>
      <w:r w:rsidRPr="00C51671">
        <w:rPr>
          <w:rFonts w:hint="cs"/>
          <w:rtl/>
        </w:rPr>
        <w:t>ח פסיכוסוציאלי</w:t>
      </w:r>
      <w:r>
        <w:rPr>
          <w:rFonts w:hint="cs"/>
          <w:rtl/>
        </w:rPr>
        <w:t xml:space="preserve"> מאת</w:t>
      </w:r>
      <w:r w:rsidRPr="00C51671">
        <w:rPr>
          <w:rFonts w:hint="cs"/>
          <w:rtl/>
        </w:rPr>
        <w:t xml:space="preserve"> ד"ר גילי תמיר (טע/2)</w:t>
      </w:r>
      <w:r>
        <w:rPr>
          <w:rFonts w:hint="cs"/>
          <w:rtl/>
        </w:rPr>
        <w:t>.</w:t>
      </w:r>
    </w:p>
    <w:p w14:paraId="73C444AD" w14:textId="77777777" w:rsidR="008717BB" w:rsidRDefault="008717BB" w:rsidP="008717BB">
      <w:pPr>
        <w:pStyle w:val="a9"/>
        <w:rPr>
          <w:rtl/>
        </w:rPr>
      </w:pPr>
    </w:p>
    <w:p w14:paraId="4B8B95CF" w14:textId="77777777" w:rsidR="008717BB" w:rsidRDefault="008717BB" w:rsidP="008717BB">
      <w:pPr>
        <w:numPr>
          <w:ilvl w:val="0"/>
          <w:numId w:val="1"/>
        </w:numPr>
        <w:spacing w:line="360" w:lineRule="auto"/>
        <w:ind w:left="425" w:hanging="425"/>
        <w:contextualSpacing/>
        <w:jc w:val="both"/>
      </w:pPr>
      <w:r>
        <w:rPr>
          <w:rFonts w:hint="cs"/>
          <w:rtl/>
        </w:rPr>
        <w:t>עדות המתלוננת לעונש.</w:t>
      </w:r>
    </w:p>
    <w:p w14:paraId="44FF14DE" w14:textId="77777777" w:rsidR="008717BB" w:rsidRPr="00055EDB" w:rsidRDefault="008717BB" w:rsidP="008717BB">
      <w:pPr>
        <w:jc w:val="both"/>
        <w:rPr>
          <w:rFonts w:ascii="David" w:hAnsi="David"/>
          <w:b/>
          <w:bCs/>
          <w:color w:val="000000"/>
          <w:sz w:val="26"/>
          <w:szCs w:val="26"/>
          <w:u w:val="single"/>
        </w:rPr>
      </w:pPr>
    </w:p>
    <w:p w14:paraId="08D06D5B" w14:textId="77777777" w:rsidR="008717BB" w:rsidRPr="00055EDB" w:rsidRDefault="008717BB" w:rsidP="008717BB">
      <w:pPr>
        <w:spacing w:line="360" w:lineRule="auto"/>
        <w:jc w:val="both"/>
        <w:rPr>
          <w:rFonts w:ascii="David" w:hAnsi="David"/>
          <w:sz w:val="26"/>
          <w:szCs w:val="26"/>
          <w:rtl/>
        </w:rPr>
      </w:pPr>
      <w:r w:rsidRPr="00055EDB">
        <w:rPr>
          <w:rFonts w:ascii="David" w:hAnsi="David"/>
          <w:b/>
          <w:bCs/>
          <w:color w:val="000000"/>
          <w:sz w:val="26"/>
          <w:szCs w:val="26"/>
          <w:u w:val="single"/>
          <w:rtl/>
        </w:rPr>
        <w:t>דיון והכרעה</w:t>
      </w:r>
    </w:p>
    <w:p w14:paraId="3EFFF455" w14:textId="77777777" w:rsidR="008717BB" w:rsidRDefault="008717BB" w:rsidP="008717BB">
      <w:pPr>
        <w:numPr>
          <w:ilvl w:val="0"/>
          <w:numId w:val="1"/>
        </w:numPr>
        <w:spacing w:line="360" w:lineRule="auto"/>
        <w:ind w:left="425" w:hanging="425"/>
        <w:contextualSpacing/>
        <w:jc w:val="both"/>
      </w:pPr>
      <w:r>
        <w:rPr>
          <w:rFonts w:hint="cs"/>
          <w:rtl/>
        </w:rPr>
        <w:t>ב"כ הנאשם ביקשה בשלהי טיעוניה, כי ככל שתדחה עתירתה להסתפק בימי מעצרו של הנאשם, אזי לשקול שחרורו של הנאשם למעצר בית ולטיפול בהתאם לתוכנית שהגישה ד"ר תמיר (טע/3).</w:t>
      </w:r>
    </w:p>
    <w:p w14:paraId="7C4D2429" w14:textId="77777777" w:rsidR="008717BB" w:rsidRDefault="008717BB" w:rsidP="008717BB">
      <w:pPr>
        <w:spacing w:line="360" w:lineRule="auto"/>
        <w:ind w:left="425"/>
        <w:contextualSpacing/>
        <w:jc w:val="both"/>
        <w:rPr>
          <w:rtl/>
        </w:rPr>
      </w:pPr>
      <w:r>
        <w:rPr>
          <w:rFonts w:hint="cs"/>
          <w:rtl/>
        </w:rPr>
        <w:t>אומר כבר עתה, כי לא מצאתי לדון בבקשה חלופית זו לשחרור הנאשם לחלופת מעצר ושילובו בטיפול, שכן לא הוצגה לעיוני חלופה טיפולית כוללת שיש בה לעמוד במבחנים שנקבעו לשחרור לחלופה טיפולית.</w:t>
      </w:r>
    </w:p>
    <w:p w14:paraId="36713D72" w14:textId="77777777" w:rsidR="008717BB" w:rsidRPr="002A0B7A" w:rsidRDefault="008717BB" w:rsidP="008717BB">
      <w:pPr>
        <w:ind w:left="425"/>
        <w:contextualSpacing/>
        <w:jc w:val="both"/>
      </w:pPr>
    </w:p>
    <w:p w14:paraId="314EFE54" w14:textId="77777777" w:rsidR="008717BB" w:rsidRPr="002A0B7A" w:rsidRDefault="008717BB" w:rsidP="008717BB">
      <w:pPr>
        <w:spacing w:line="360" w:lineRule="auto"/>
        <w:jc w:val="both"/>
        <w:rPr>
          <w:rFonts w:ascii="David" w:hAnsi="David"/>
          <w:rtl/>
        </w:rPr>
      </w:pPr>
      <w:r w:rsidRPr="002A0B7A">
        <w:rPr>
          <w:rFonts w:ascii="David" w:hAnsi="David"/>
          <w:b/>
          <w:bCs/>
          <w:u w:val="single"/>
          <w:rtl/>
        </w:rPr>
        <w:t>קביעת מתחם העונש ההולם</w:t>
      </w:r>
    </w:p>
    <w:p w14:paraId="3E7FB408" w14:textId="77777777" w:rsidR="008717BB" w:rsidRPr="00055EDB" w:rsidRDefault="008717BB" w:rsidP="008717BB">
      <w:pPr>
        <w:numPr>
          <w:ilvl w:val="0"/>
          <w:numId w:val="1"/>
        </w:numPr>
        <w:spacing w:line="360" w:lineRule="auto"/>
        <w:ind w:left="425" w:hanging="425"/>
        <w:contextualSpacing/>
        <w:jc w:val="both"/>
      </w:pPr>
      <w:r w:rsidRPr="00055EDB">
        <w:rPr>
          <w:color w:val="000000"/>
          <w:rtl/>
        </w:rPr>
        <w:t xml:space="preserve">קביעת מתחם העונש ההולם למעשה העבירה נעשה בהתאם לעקרון ההלימה. לשם קביעת מתחם העונש ההולם יש להתחשב בערך החברתי שנפגע, במידת הפגיעה בו, במדיניות הענישה הנוהגת ובנסיבות הקשורות בביצוע העבירה. </w:t>
      </w:r>
    </w:p>
    <w:p w14:paraId="442A76BD" w14:textId="77777777" w:rsidR="008717BB" w:rsidRPr="00055EDB" w:rsidRDefault="008717BB" w:rsidP="008717BB">
      <w:pPr>
        <w:ind w:left="425"/>
        <w:contextualSpacing/>
        <w:jc w:val="both"/>
      </w:pPr>
    </w:p>
    <w:p w14:paraId="2C1A16B7" w14:textId="77777777" w:rsidR="008717BB" w:rsidRDefault="008717BB" w:rsidP="008717BB">
      <w:pPr>
        <w:numPr>
          <w:ilvl w:val="0"/>
          <w:numId w:val="1"/>
        </w:numPr>
        <w:spacing w:line="360" w:lineRule="auto"/>
        <w:ind w:left="425" w:hanging="425"/>
        <w:contextualSpacing/>
        <w:jc w:val="both"/>
      </w:pPr>
      <w:r>
        <w:rPr>
          <w:rFonts w:hint="cs"/>
          <w:rtl/>
        </w:rPr>
        <w:t>הגם שכתב האישום בגין אלימות כלפי בת זוג מייחס לנאשם שני אישומים המאשימה עתרה לקבוע מתחם אחד לכל עבירות האלימות ומתחם נפרד לעבירת הסמים, וכך אעשה.</w:t>
      </w:r>
    </w:p>
    <w:p w14:paraId="7FE62D17" w14:textId="77777777" w:rsidR="008717BB" w:rsidRDefault="008717BB" w:rsidP="008717BB">
      <w:pPr>
        <w:pStyle w:val="a9"/>
        <w:rPr>
          <w:rtl/>
        </w:rPr>
      </w:pPr>
    </w:p>
    <w:p w14:paraId="3C5CB78D" w14:textId="77777777" w:rsidR="008717BB" w:rsidRPr="00055EDB" w:rsidRDefault="008717BB" w:rsidP="008717BB">
      <w:pPr>
        <w:numPr>
          <w:ilvl w:val="0"/>
          <w:numId w:val="1"/>
        </w:numPr>
        <w:spacing w:line="360" w:lineRule="auto"/>
        <w:ind w:left="425" w:hanging="425"/>
        <w:contextualSpacing/>
        <w:jc w:val="both"/>
      </w:pPr>
      <w:r w:rsidRPr="00D851A7">
        <w:rPr>
          <w:b/>
          <w:bCs/>
          <w:rtl/>
        </w:rPr>
        <w:t>ב</w:t>
      </w:r>
      <w:r w:rsidRPr="00D851A7">
        <w:rPr>
          <w:rFonts w:hint="cs"/>
          <w:b/>
          <w:bCs/>
          <w:rtl/>
        </w:rPr>
        <w:t>עבירות האלימות</w:t>
      </w:r>
      <w:r>
        <w:rPr>
          <w:rFonts w:hint="cs"/>
          <w:rtl/>
        </w:rPr>
        <w:t xml:space="preserve">  </w:t>
      </w:r>
      <w:r w:rsidRPr="00055EDB">
        <w:rPr>
          <w:rtl/>
        </w:rPr>
        <w:t>פגע הנאשם</w:t>
      </w:r>
      <w:r w:rsidRPr="00055EDB">
        <w:rPr>
          <w:b/>
          <w:bCs/>
          <w:rtl/>
        </w:rPr>
        <w:t xml:space="preserve"> </w:t>
      </w:r>
      <w:r w:rsidRPr="00520701">
        <w:rPr>
          <w:rtl/>
        </w:rPr>
        <w:t>בערכים החברתיים המוגנים</w:t>
      </w:r>
      <w:r w:rsidRPr="00055EDB">
        <w:rPr>
          <w:b/>
          <w:bCs/>
          <w:rtl/>
        </w:rPr>
        <w:t xml:space="preserve"> </w:t>
      </w:r>
      <w:r w:rsidRPr="00055EDB">
        <w:rPr>
          <w:rtl/>
        </w:rPr>
        <w:t>של הגנה על גופ</w:t>
      </w:r>
      <w:r>
        <w:rPr>
          <w:rFonts w:hint="cs"/>
          <w:rtl/>
        </w:rPr>
        <w:t>ה</w:t>
      </w:r>
      <w:r w:rsidRPr="00055EDB">
        <w:rPr>
          <w:rtl/>
        </w:rPr>
        <w:t>, ביטחונ</w:t>
      </w:r>
      <w:r>
        <w:rPr>
          <w:rFonts w:hint="cs"/>
          <w:rtl/>
        </w:rPr>
        <w:t>ה</w:t>
      </w:r>
      <w:r w:rsidRPr="00055EDB">
        <w:rPr>
          <w:rtl/>
        </w:rPr>
        <w:t xml:space="preserve"> ושלוות  נפש</w:t>
      </w:r>
      <w:r>
        <w:rPr>
          <w:rFonts w:hint="cs"/>
          <w:rtl/>
        </w:rPr>
        <w:t>ה של המתלוננת, שהותקפה שוב ושוב בביתה מבצרה.</w:t>
      </w:r>
    </w:p>
    <w:p w14:paraId="4BFA8127" w14:textId="77777777" w:rsidR="008717BB" w:rsidRDefault="008717BB" w:rsidP="008717BB">
      <w:pPr>
        <w:ind w:left="425"/>
        <w:contextualSpacing/>
        <w:jc w:val="both"/>
        <w:rPr>
          <w:rtl/>
        </w:rPr>
      </w:pPr>
    </w:p>
    <w:p w14:paraId="64398258" w14:textId="77777777" w:rsidR="008717BB" w:rsidRDefault="008717BB" w:rsidP="008717BB">
      <w:pPr>
        <w:spacing w:line="360" w:lineRule="auto"/>
        <w:ind w:left="425"/>
        <w:contextualSpacing/>
        <w:jc w:val="both"/>
        <w:rPr>
          <w:rtl/>
        </w:rPr>
      </w:pPr>
      <w:r>
        <w:rPr>
          <w:rFonts w:hint="cs"/>
          <w:rtl/>
        </w:rPr>
        <w:t>על חומרתן של עבירות אלימות במשפחה ועל הסכנה הרבה הנשקפת מהן עמד בית המשפט ב</w:t>
      </w:r>
      <w:hyperlink r:id="rId25" w:history="1">
        <w:r w:rsidR="008A1D03" w:rsidRPr="008A1D03">
          <w:rPr>
            <w:color w:val="0000FF"/>
            <w:u w:val="single"/>
            <w:rtl/>
          </w:rPr>
          <w:t>ע"פ 792/10</w:t>
        </w:r>
      </w:hyperlink>
      <w:r>
        <w:rPr>
          <w:rFonts w:hint="cs"/>
          <w:rtl/>
        </w:rPr>
        <w:t xml:space="preserve"> </w:t>
      </w:r>
      <w:r w:rsidRPr="00DC696C">
        <w:rPr>
          <w:rFonts w:hint="cs"/>
          <w:b/>
          <w:bCs/>
          <w:rtl/>
        </w:rPr>
        <w:t>מדינת ישראל נ' פלוני</w:t>
      </w:r>
      <w:r>
        <w:rPr>
          <w:rFonts w:hint="cs"/>
          <w:rtl/>
        </w:rPr>
        <w:t xml:space="preserve"> (14.02.11), עמ' 5):</w:t>
      </w:r>
    </w:p>
    <w:p w14:paraId="0D4A4742" w14:textId="77777777" w:rsidR="008717BB" w:rsidRPr="00AB3146" w:rsidRDefault="008717BB" w:rsidP="008717BB">
      <w:pPr>
        <w:spacing w:line="360" w:lineRule="auto"/>
        <w:ind w:left="720"/>
        <w:contextualSpacing/>
        <w:jc w:val="both"/>
        <w:rPr>
          <w:rtl/>
        </w:rPr>
      </w:pPr>
      <w:r w:rsidRPr="00520701">
        <w:rPr>
          <w:rFonts w:hint="cs"/>
          <w:rtl/>
        </w:rPr>
        <w:t>"</w:t>
      </w:r>
      <w:r w:rsidRPr="00AB3146">
        <w:rPr>
          <w:b/>
          <w:bCs/>
          <w:rtl/>
        </w:rPr>
        <w:t>עבירות אלו, מתרחשות על דרך הכלל בבית פנימה, באין רואה ובאין שומע, ומוסתרות היטב מהסביבה. פעמים רבות, שרוי התוקף</w:t>
      </w:r>
      <w:r w:rsidRPr="00AB3146">
        <w:rPr>
          <w:rFonts w:hint="cs"/>
          <w:b/>
          <w:bCs/>
          <w:rtl/>
        </w:rPr>
        <w:t xml:space="preserve"> </w:t>
      </w:r>
      <w:r w:rsidRPr="00AB3146">
        <w:rPr>
          <w:b/>
          <w:bCs/>
          <w:rtl/>
        </w:rPr>
        <w:t>בקונספציה שגויה לפיה אין בכוחו של החוק לפרוץ את מפתן ביתו, בו רשאי הוא, לשיטתו, לנהוג במשפחתו כרצונו, כמו הייתה קניינו. אלמנטים אלו, המשולבים דרך כלל בעבירות האלימות במשפחה, מעצימים את הסכנה הנשקפת מן התוקף כמו גם את חשיבותם של שיקולי ההרתעה האישית והציבורית</w:t>
      </w:r>
      <w:r w:rsidRPr="00520701">
        <w:rPr>
          <w:rFonts w:hint="cs"/>
          <w:rtl/>
        </w:rPr>
        <w:t>"</w:t>
      </w:r>
      <w:r w:rsidRPr="00520701">
        <w:rPr>
          <w:rtl/>
        </w:rPr>
        <w:t xml:space="preserve">. </w:t>
      </w:r>
    </w:p>
    <w:p w14:paraId="759C67EB" w14:textId="77777777" w:rsidR="008717BB" w:rsidRDefault="008717BB" w:rsidP="008717BB">
      <w:pPr>
        <w:spacing w:before="100" w:beforeAutospacing="1" w:after="100" w:afterAutospacing="1" w:line="360" w:lineRule="auto"/>
        <w:ind w:firstLine="425"/>
        <w:jc w:val="both"/>
        <w:rPr>
          <w:rtl/>
        </w:rPr>
      </w:pPr>
      <w:r w:rsidRPr="007F0881">
        <w:rPr>
          <w:rFonts w:hint="cs"/>
          <w:rtl/>
        </w:rPr>
        <w:t xml:space="preserve">ראו גם </w:t>
      </w:r>
      <w:r w:rsidRPr="007F0881">
        <w:rPr>
          <w:rtl/>
        </w:rPr>
        <w:t>ב</w:t>
      </w:r>
      <w:hyperlink r:id="rId26" w:history="1">
        <w:r w:rsidR="008A1D03" w:rsidRPr="008A1D03">
          <w:rPr>
            <w:color w:val="0000FF"/>
            <w:u w:val="single"/>
            <w:rtl/>
          </w:rPr>
          <w:t>רע"פ 182/13</w:t>
        </w:r>
      </w:hyperlink>
      <w:r w:rsidRPr="007F0881">
        <w:rPr>
          <w:rtl/>
        </w:rPr>
        <w:t xml:space="preserve"> </w:t>
      </w:r>
      <w:r w:rsidRPr="00E76EA4">
        <w:rPr>
          <w:b/>
          <w:bCs/>
          <w:rtl/>
        </w:rPr>
        <w:t>נעם משה נ' מדינת ישראל</w:t>
      </w:r>
      <w:r w:rsidRPr="007F0881">
        <w:rPr>
          <w:rtl/>
        </w:rPr>
        <w:t xml:space="preserve">  </w:t>
      </w:r>
      <w:r w:rsidRPr="006D37C6">
        <w:rPr>
          <w:rFonts w:hint="cs"/>
          <w:rtl/>
        </w:rPr>
        <w:t>((21.1.13), סעיף</w:t>
      </w:r>
      <w:r>
        <w:rPr>
          <w:rFonts w:hint="cs"/>
          <w:rtl/>
        </w:rPr>
        <w:t xml:space="preserve"> 15</w:t>
      </w:r>
      <w:r w:rsidRPr="007F0881">
        <w:rPr>
          <w:rFonts w:hint="cs"/>
          <w:rtl/>
        </w:rPr>
        <w:t>)</w:t>
      </w:r>
      <w:r>
        <w:rPr>
          <w:rFonts w:hint="cs"/>
          <w:rtl/>
        </w:rPr>
        <w:t xml:space="preserve"> בו נקבע</w:t>
      </w:r>
      <w:r w:rsidRPr="007F0881">
        <w:rPr>
          <w:rFonts w:hint="cs"/>
          <w:rtl/>
        </w:rPr>
        <w:t>:</w:t>
      </w:r>
    </w:p>
    <w:p w14:paraId="0C4BA460" w14:textId="77777777" w:rsidR="008717BB" w:rsidRPr="007F0881" w:rsidRDefault="008717BB" w:rsidP="008717BB">
      <w:pPr>
        <w:spacing w:before="100" w:beforeAutospacing="1" w:after="100" w:afterAutospacing="1" w:line="360" w:lineRule="auto"/>
        <w:ind w:left="720"/>
        <w:jc w:val="both"/>
        <w:rPr>
          <w:rtl/>
        </w:rPr>
      </w:pPr>
      <w:r w:rsidRPr="007F0881">
        <w:rPr>
          <w:rtl/>
        </w:rPr>
        <w:t>"</w:t>
      </w:r>
      <w:r w:rsidRPr="006D37C6">
        <w:rPr>
          <w:b/>
          <w:bCs/>
          <w:rtl/>
        </w:rPr>
        <w:t>מעשי אלימות בתוך המשפחה נתפסים כבעלי חומרה מיוחדת במערכת האיסורים הפליליים העוסקים בעבירות אלימות. הציפייה האנושית הטבעית הינה כי</w:t>
      </w:r>
      <w:r w:rsidR="008A1D03">
        <w:rPr>
          <w:b/>
          <w:bCs/>
          <w:rtl/>
        </w:rPr>
        <w:t xml:space="preserve"> </w:t>
      </w:r>
      <w:r w:rsidRPr="006D37C6">
        <w:rPr>
          <w:b/>
          <w:bCs/>
          <w:rtl/>
        </w:rPr>
        <w:t xml:space="preserve"> בתוך משפחה ישררו יחסי אהבה, הרמוניה</w:t>
      </w:r>
      <w:r w:rsidRPr="006D37C6">
        <w:rPr>
          <w:rFonts w:ascii="David" w:hAnsi="David"/>
          <w:b/>
          <w:bCs/>
          <w:rtl/>
        </w:rPr>
        <w:t>,</w:t>
      </w:r>
      <w:r>
        <w:rPr>
          <w:rFonts w:ascii="David" w:hAnsi="David"/>
          <w:b/>
          <w:bCs/>
          <w:rtl/>
        </w:rPr>
        <w:t xml:space="preserve"> וכבוד הדדי. הפרתה של ציפייה זו הופכת את השימוש באלימות במשפחה לתופעה העומדת בניגוד עמוק לחוש הצדק האנושי. יתר על כן, במסגרת המשפחה, מופעלת האלימות על פי רוב בידי החזק כלפי החלש. פערי הכוחות הם גדולים כשמדובר באלימות כלפי קטינים או כלפי בת זוג ... נפוצותן של עבירות אלה, והצורך להגן על קרבנות האלימות ..., תורמים אף הם להחמרה הנדרשת בענישה בעבירות אלה</w:t>
      </w:r>
      <w:r w:rsidRPr="00B521D0">
        <w:rPr>
          <w:rFonts w:ascii="David" w:hAnsi="David"/>
          <w:rtl/>
        </w:rPr>
        <w:t>"</w:t>
      </w:r>
      <w:r w:rsidRPr="00B521D0">
        <w:rPr>
          <w:rFonts w:ascii="David" w:hAnsi="David" w:hint="cs"/>
          <w:rtl/>
        </w:rPr>
        <w:t>.</w:t>
      </w:r>
    </w:p>
    <w:p w14:paraId="4CEDB00B" w14:textId="77777777" w:rsidR="008717BB" w:rsidRPr="00055EDB" w:rsidRDefault="008717BB" w:rsidP="008717BB">
      <w:pPr>
        <w:spacing w:line="360" w:lineRule="auto"/>
        <w:ind w:left="425"/>
        <w:contextualSpacing/>
        <w:jc w:val="both"/>
      </w:pPr>
      <w:r w:rsidRPr="00A45E0D">
        <w:rPr>
          <w:rFonts w:hint="cs"/>
          <w:b/>
          <w:bCs/>
          <w:rtl/>
        </w:rPr>
        <w:t>בעבירת הסמים</w:t>
      </w:r>
      <w:r>
        <w:rPr>
          <w:rFonts w:hint="cs"/>
          <w:rtl/>
        </w:rPr>
        <w:t xml:space="preserve"> פגע הנאשם בערכים החברתיים המוגנים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מהעבריינות הנלווית לשימוש בסמים ובכלל זה ההגנה על הביטחון האישי ורכוש הציבור. </w:t>
      </w:r>
    </w:p>
    <w:p w14:paraId="5587868A" w14:textId="77777777" w:rsidR="008717BB" w:rsidRPr="00055EDB" w:rsidRDefault="008717BB" w:rsidP="008717BB">
      <w:pPr>
        <w:ind w:left="425"/>
        <w:contextualSpacing/>
        <w:jc w:val="both"/>
      </w:pPr>
    </w:p>
    <w:p w14:paraId="4B412F3A" w14:textId="77777777" w:rsidR="008717BB" w:rsidRPr="00055EDB" w:rsidRDefault="008717BB" w:rsidP="008717BB">
      <w:pPr>
        <w:numPr>
          <w:ilvl w:val="0"/>
          <w:numId w:val="1"/>
        </w:numPr>
        <w:spacing w:line="360" w:lineRule="auto"/>
        <w:ind w:left="425" w:hanging="425"/>
        <w:contextualSpacing/>
        <w:jc w:val="both"/>
      </w:pPr>
      <w:r w:rsidRPr="00055EDB">
        <w:rPr>
          <w:rtl/>
        </w:rPr>
        <w:t>בחינת מידת הפגיעה בער</w:t>
      </w:r>
      <w:r>
        <w:rPr>
          <w:rFonts w:hint="cs"/>
          <w:rtl/>
        </w:rPr>
        <w:t xml:space="preserve">כים </w:t>
      </w:r>
      <w:r w:rsidRPr="00055EDB">
        <w:rPr>
          <w:rtl/>
        </w:rPr>
        <w:t>החברתי</w:t>
      </w:r>
      <w:r>
        <w:rPr>
          <w:rFonts w:hint="cs"/>
          <w:rtl/>
        </w:rPr>
        <w:t>ים</w:t>
      </w:r>
      <w:r w:rsidRPr="00055EDB">
        <w:rPr>
          <w:rtl/>
        </w:rPr>
        <w:t xml:space="preserve"> המוג</w:t>
      </w:r>
      <w:r>
        <w:rPr>
          <w:rFonts w:hint="cs"/>
          <w:rtl/>
        </w:rPr>
        <w:t>נים</w:t>
      </w:r>
      <w:r w:rsidRPr="00055EDB">
        <w:rPr>
          <w:rtl/>
        </w:rPr>
        <w:t xml:space="preserve"> מובילה למסקנה, כי זו במידה בינונית</w:t>
      </w:r>
      <w:r>
        <w:rPr>
          <w:rFonts w:hint="cs"/>
          <w:rtl/>
        </w:rPr>
        <w:t xml:space="preserve"> בעבירות האלימות ובמידה נמוכה- בינונית בעבירת הסמים</w:t>
      </w:r>
      <w:r w:rsidRPr="00055EDB">
        <w:rPr>
          <w:rtl/>
        </w:rPr>
        <w:t>.</w:t>
      </w:r>
    </w:p>
    <w:p w14:paraId="1EBDAEC5" w14:textId="77777777" w:rsidR="008717BB" w:rsidRPr="00055EDB" w:rsidRDefault="008717BB" w:rsidP="008717BB">
      <w:pPr>
        <w:ind w:left="425"/>
        <w:contextualSpacing/>
        <w:jc w:val="both"/>
      </w:pPr>
    </w:p>
    <w:p w14:paraId="6DE68837" w14:textId="77777777" w:rsidR="008717BB" w:rsidRDefault="008717BB" w:rsidP="008717BB">
      <w:pPr>
        <w:numPr>
          <w:ilvl w:val="0"/>
          <w:numId w:val="1"/>
        </w:numPr>
        <w:spacing w:line="360" w:lineRule="auto"/>
        <w:ind w:left="425" w:hanging="425"/>
        <w:contextualSpacing/>
        <w:jc w:val="both"/>
      </w:pPr>
      <w:r w:rsidRPr="00055EDB">
        <w:rPr>
          <w:rtl/>
        </w:rPr>
        <w:t>אשר ל</w:t>
      </w:r>
      <w:r w:rsidRPr="00055EDB">
        <w:rPr>
          <w:b/>
          <w:bCs/>
          <w:rtl/>
        </w:rPr>
        <w:t>נסיבות ביצוע העבירה</w:t>
      </w:r>
      <w:r w:rsidRPr="00055EDB">
        <w:rPr>
          <w:rtl/>
        </w:rPr>
        <w:t xml:space="preserve">, </w:t>
      </w:r>
      <w:r>
        <w:rPr>
          <w:rFonts w:hint="cs"/>
          <w:rtl/>
        </w:rPr>
        <w:t xml:space="preserve">בעבירות האלימות עסקינן בשני אישומים. </w:t>
      </w:r>
    </w:p>
    <w:p w14:paraId="40049F37" w14:textId="77777777" w:rsidR="008717BB" w:rsidRDefault="008717BB" w:rsidP="008717BB">
      <w:pPr>
        <w:pStyle w:val="a9"/>
        <w:rPr>
          <w:rtl/>
        </w:rPr>
      </w:pPr>
    </w:p>
    <w:p w14:paraId="0C5CD6ED" w14:textId="77777777" w:rsidR="008717BB" w:rsidRDefault="008717BB" w:rsidP="008717BB">
      <w:pPr>
        <w:spacing w:line="360" w:lineRule="auto"/>
        <w:ind w:left="425"/>
        <w:contextualSpacing/>
        <w:jc w:val="both"/>
      </w:pPr>
      <w:r>
        <w:rPr>
          <w:rFonts w:hint="cs"/>
          <w:rtl/>
        </w:rPr>
        <w:t xml:space="preserve">באישום הראשון על רקע ויכוח אודות הרגלי הניקיון של המתלוננת הוציא הנאשם מהמקרר בקבוק שמפניה, תוך שאמר למתלוננת </w:t>
      </w:r>
      <w:r>
        <w:rPr>
          <w:rtl/>
        </w:rPr>
        <w:t xml:space="preserve">שהוא זקוק לאלכוהול "בכדי שיהיה לו כוח לשים סוף למערכת יחסים ביניהם", והחל לשתות </w:t>
      </w:r>
      <w:r>
        <w:rPr>
          <w:rFonts w:hint="cs"/>
          <w:rtl/>
        </w:rPr>
        <w:t>ממנו כשהוא מ</w:t>
      </w:r>
      <w:r>
        <w:rPr>
          <w:rtl/>
        </w:rPr>
        <w:t>קלל א</w:t>
      </w:r>
      <w:r>
        <w:rPr>
          <w:rFonts w:hint="cs"/>
          <w:rtl/>
        </w:rPr>
        <w:t>ו</w:t>
      </w:r>
      <w:r>
        <w:rPr>
          <w:rtl/>
        </w:rPr>
        <w:t>ת</w:t>
      </w:r>
      <w:r>
        <w:rPr>
          <w:rFonts w:hint="cs"/>
          <w:rtl/>
        </w:rPr>
        <w:t xml:space="preserve">ה. </w:t>
      </w:r>
      <w:r>
        <w:rPr>
          <w:rtl/>
        </w:rPr>
        <w:t xml:space="preserve">בהמשך </w:t>
      </w:r>
      <w:r>
        <w:rPr>
          <w:rFonts w:hint="cs"/>
          <w:rtl/>
        </w:rPr>
        <w:t xml:space="preserve">הוא </w:t>
      </w:r>
      <w:r>
        <w:rPr>
          <w:rtl/>
        </w:rPr>
        <w:t>סטר בפניה</w:t>
      </w:r>
      <w:r>
        <w:rPr>
          <w:rFonts w:hint="cs"/>
          <w:rtl/>
        </w:rPr>
        <w:t xml:space="preserve">, </w:t>
      </w:r>
      <w:r>
        <w:rPr>
          <w:rtl/>
        </w:rPr>
        <w:t xml:space="preserve">איים </w:t>
      </w:r>
      <w:r>
        <w:rPr>
          <w:rFonts w:hint="cs"/>
          <w:rtl/>
        </w:rPr>
        <w:t>ש</w:t>
      </w:r>
      <w:r>
        <w:rPr>
          <w:rtl/>
        </w:rPr>
        <w:t>יהרוג אותה</w:t>
      </w:r>
      <w:r>
        <w:rPr>
          <w:rFonts w:hint="cs"/>
          <w:rtl/>
        </w:rPr>
        <w:t xml:space="preserve">, </w:t>
      </w:r>
      <w:r>
        <w:rPr>
          <w:rtl/>
        </w:rPr>
        <w:t>היכה בראשה בידו ובאגרוף בבטנה. בהמשך התיישב הנאשם על המתלוננת, תפס בידיה וחנק אותה. הנאשם המשיך לשתות אלכוהול ונרדם על הספה. בהמשך לכך, בשעה שישבה המתלוננת על הספה</w:t>
      </w:r>
      <w:r>
        <w:rPr>
          <w:rFonts w:hint="cs"/>
          <w:rtl/>
        </w:rPr>
        <w:t xml:space="preserve"> הוא </w:t>
      </w:r>
      <w:r>
        <w:rPr>
          <w:rtl/>
        </w:rPr>
        <w:t xml:space="preserve">תפס את ראשה והטיחו בקיר הצמוד לספה. </w:t>
      </w:r>
      <w:r>
        <w:rPr>
          <w:rFonts w:hint="cs"/>
          <w:rtl/>
        </w:rPr>
        <w:t xml:space="preserve">יום למחרת, בעודה ישנה הוא </w:t>
      </w:r>
      <w:r>
        <w:rPr>
          <w:rtl/>
        </w:rPr>
        <w:t>משך בשערות ראשה עם ידו, ואגרף את ידו השנ</w:t>
      </w:r>
      <w:r>
        <w:rPr>
          <w:rFonts w:hint="cs"/>
          <w:rtl/>
        </w:rPr>
        <w:t>י</w:t>
      </w:r>
      <w:r>
        <w:rPr>
          <w:rtl/>
        </w:rPr>
        <w:t>יה מול פניה. כתוצאה מהתקיפות נגרם למתלוננת שטף דם בצידו השמאלי של מותנה.</w:t>
      </w:r>
      <w:r>
        <w:rPr>
          <w:rFonts w:hint="cs"/>
          <w:rtl/>
        </w:rPr>
        <w:t xml:space="preserve"> מדובר באירוע בו האלימות נמשכת על פני שעות רבות בהן הנאשם מפליא במתלוננת את מכותיו ללא מעצור ואף אם התוצאה אינה קשה, הרי שמדובר באירוע מתמשך וקשה בבחינת הייתה המתלוננת שק חבטות של הנאשם.</w:t>
      </w:r>
    </w:p>
    <w:p w14:paraId="60AE02AF" w14:textId="77777777" w:rsidR="008717BB" w:rsidRDefault="008717BB" w:rsidP="008717BB">
      <w:pPr>
        <w:pStyle w:val="a9"/>
        <w:rPr>
          <w:rtl/>
        </w:rPr>
      </w:pPr>
    </w:p>
    <w:p w14:paraId="0EA9E372" w14:textId="77777777" w:rsidR="008717BB" w:rsidRDefault="008717BB" w:rsidP="008717BB">
      <w:pPr>
        <w:spacing w:line="360" w:lineRule="auto"/>
        <w:ind w:left="425"/>
        <w:contextualSpacing/>
        <w:jc w:val="both"/>
        <w:rPr>
          <w:rtl/>
        </w:rPr>
      </w:pPr>
      <w:r>
        <w:rPr>
          <w:rFonts w:hint="cs"/>
          <w:rtl/>
        </w:rPr>
        <w:t>על פי האישום השני תקף הנא</w:t>
      </w:r>
      <w:r>
        <w:rPr>
          <w:rtl/>
        </w:rPr>
        <w:t>שם את המתלוננת במכת אגרוף בפניה, זרק אותה לרצפה ובעט</w:t>
      </w:r>
      <w:r>
        <w:rPr>
          <w:rFonts w:hint="cs"/>
          <w:rtl/>
        </w:rPr>
        <w:t xml:space="preserve"> </w:t>
      </w:r>
      <w:r>
        <w:rPr>
          <w:rtl/>
        </w:rPr>
        <w:t>בגופה</w:t>
      </w:r>
      <w:r>
        <w:rPr>
          <w:rFonts w:hint="cs"/>
          <w:rtl/>
        </w:rPr>
        <w:t xml:space="preserve"> ו</w:t>
      </w:r>
      <w:r>
        <w:rPr>
          <w:rtl/>
        </w:rPr>
        <w:t>כתוצאה מ</w:t>
      </w:r>
      <w:r>
        <w:rPr>
          <w:rFonts w:hint="cs"/>
          <w:rtl/>
        </w:rPr>
        <w:t xml:space="preserve">כך </w:t>
      </w:r>
      <w:r>
        <w:rPr>
          <w:rtl/>
        </w:rPr>
        <w:t>נגרם ל</w:t>
      </w:r>
      <w:r>
        <w:rPr>
          <w:rFonts w:hint="cs"/>
          <w:rtl/>
        </w:rPr>
        <w:t>ה</w:t>
      </w:r>
      <w:r>
        <w:rPr>
          <w:rtl/>
        </w:rPr>
        <w:t xml:space="preserve"> שבר באף.</w:t>
      </w:r>
    </w:p>
    <w:p w14:paraId="26874729" w14:textId="77777777" w:rsidR="008717BB" w:rsidRDefault="008717BB" w:rsidP="008717BB">
      <w:pPr>
        <w:spacing w:line="360" w:lineRule="auto"/>
        <w:ind w:left="425"/>
        <w:contextualSpacing/>
        <w:jc w:val="both"/>
        <w:rPr>
          <w:rtl/>
        </w:rPr>
      </w:pPr>
    </w:p>
    <w:p w14:paraId="2EC1B2F5" w14:textId="77777777" w:rsidR="008717BB" w:rsidRDefault="008717BB" w:rsidP="008717BB">
      <w:pPr>
        <w:spacing w:line="360" w:lineRule="auto"/>
        <w:ind w:left="425"/>
        <w:contextualSpacing/>
        <w:jc w:val="both"/>
        <w:rPr>
          <w:rtl/>
        </w:rPr>
      </w:pPr>
      <w:r>
        <w:rPr>
          <w:rFonts w:hint="cs"/>
          <w:rtl/>
        </w:rPr>
        <w:t xml:space="preserve">אשר לעבירת הסמים, במסגרת חיפוש בבית הנאשם נתפסו שלוש אדניות ובהן שלושה שתילים של סם מסוכן מסוג קנבוס במשקל 23 גרם נטו. </w:t>
      </w:r>
    </w:p>
    <w:p w14:paraId="57FB2A48" w14:textId="77777777" w:rsidR="008717BB" w:rsidRPr="00055EDB" w:rsidRDefault="008717BB" w:rsidP="008717BB">
      <w:pPr>
        <w:contextualSpacing/>
        <w:jc w:val="both"/>
        <w:rPr>
          <w:rtl/>
        </w:rPr>
      </w:pPr>
      <w:r w:rsidRPr="00055EDB">
        <w:rPr>
          <w:rtl/>
        </w:rPr>
        <w:t xml:space="preserve">  </w:t>
      </w:r>
    </w:p>
    <w:p w14:paraId="5991FEB8" w14:textId="77777777" w:rsidR="008717BB" w:rsidRDefault="008717BB" w:rsidP="008717BB">
      <w:pPr>
        <w:spacing w:line="360" w:lineRule="auto"/>
        <w:contextualSpacing/>
        <w:jc w:val="both"/>
        <w:rPr>
          <w:b/>
          <w:bCs/>
          <w:u w:val="single"/>
          <w:rtl/>
        </w:rPr>
      </w:pPr>
    </w:p>
    <w:p w14:paraId="50E5CEA1" w14:textId="77777777" w:rsidR="008717BB" w:rsidRDefault="008717BB" w:rsidP="008717BB">
      <w:pPr>
        <w:spacing w:line="360" w:lineRule="auto"/>
        <w:contextualSpacing/>
        <w:jc w:val="both"/>
        <w:rPr>
          <w:b/>
          <w:bCs/>
          <w:u w:val="single"/>
          <w:rtl/>
        </w:rPr>
      </w:pPr>
    </w:p>
    <w:p w14:paraId="1B34E503" w14:textId="77777777" w:rsidR="008717BB" w:rsidRPr="00113926" w:rsidRDefault="008717BB" w:rsidP="008717BB">
      <w:pPr>
        <w:spacing w:line="360" w:lineRule="auto"/>
        <w:contextualSpacing/>
        <w:jc w:val="both"/>
        <w:rPr>
          <w:b/>
          <w:bCs/>
          <w:u w:val="single"/>
        </w:rPr>
      </w:pPr>
      <w:r>
        <w:rPr>
          <w:rFonts w:hint="cs"/>
          <w:b/>
          <w:bCs/>
          <w:u w:val="single"/>
          <w:rtl/>
        </w:rPr>
        <w:t>ה</w:t>
      </w:r>
      <w:r w:rsidRPr="00113926">
        <w:rPr>
          <w:rFonts w:hint="cs"/>
          <w:b/>
          <w:bCs/>
          <w:u w:val="single"/>
          <w:rtl/>
        </w:rPr>
        <w:t>טענה לקרבה לסייג</w:t>
      </w:r>
      <w:r>
        <w:rPr>
          <w:rFonts w:hint="cs"/>
          <w:b/>
          <w:bCs/>
          <w:u w:val="single"/>
          <w:rtl/>
        </w:rPr>
        <w:t xml:space="preserve"> לאחריו פלילית</w:t>
      </w:r>
    </w:p>
    <w:p w14:paraId="5742547E" w14:textId="77777777" w:rsidR="008717BB" w:rsidRDefault="008717BB" w:rsidP="008717BB">
      <w:pPr>
        <w:numPr>
          <w:ilvl w:val="0"/>
          <w:numId w:val="1"/>
        </w:numPr>
        <w:spacing w:line="360" w:lineRule="auto"/>
        <w:ind w:left="425" w:hanging="425"/>
        <w:contextualSpacing/>
        <w:jc w:val="both"/>
      </w:pPr>
      <w:r>
        <w:rPr>
          <w:rFonts w:hint="cs"/>
          <w:rtl/>
        </w:rPr>
        <w:t xml:space="preserve">ההגנה עתרה לקבוע, כי קיימת קרבה לסייג לאחריות פלילית בשל הגנת השכרות. נטען, כי הנאשם ביקש לשכך את סבלו מפוסט טראומה באמצעות צריכת אלכוהול, כך שנכנס למצב תוך התנהגות בלתי נשלטת, וכי יש בעובדה שהוא סובל מפוסט טראומה כדי להשפיע על מצב המודעות שלו טרם כניסה למצב של צריכת אלכוהול. </w:t>
      </w:r>
    </w:p>
    <w:p w14:paraId="26B04CA7" w14:textId="77777777" w:rsidR="008717BB" w:rsidRDefault="008717BB" w:rsidP="008717BB">
      <w:pPr>
        <w:ind w:left="425"/>
        <w:contextualSpacing/>
        <w:jc w:val="both"/>
      </w:pPr>
    </w:p>
    <w:p w14:paraId="54796534" w14:textId="77777777" w:rsidR="008717BB" w:rsidRDefault="008717BB" w:rsidP="008717BB">
      <w:pPr>
        <w:numPr>
          <w:ilvl w:val="0"/>
          <w:numId w:val="1"/>
        </w:numPr>
        <w:spacing w:line="360" w:lineRule="auto"/>
        <w:ind w:left="425" w:hanging="425"/>
        <w:contextualSpacing/>
        <w:jc w:val="both"/>
      </w:pPr>
      <w:r>
        <w:rPr>
          <w:rFonts w:hint="cs"/>
          <w:rtl/>
        </w:rPr>
        <w:t>ב"כ המאשימה ביקשה לדחות הטענה.</w:t>
      </w:r>
    </w:p>
    <w:p w14:paraId="502C611E" w14:textId="77777777" w:rsidR="008717BB" w:rsidRDefault="008717BB" w:rsidP="008717BB">
      <w:pPr>
        <w:ind w:left="425"/>
        <w:contextualSpacing/>
        <w:jc w:val="both"/>
      </w:pPr>
    </w:p>
    <w:p w14:paraId="5196A4F2" w14:textId="77777777" w:rsidR="008717BB" w:rsidRPr="002E3F27" w:rsidRDefault="00567A98" w:rsidP="008717BB">
      <w:pPr>
        <w:numPr>
          <w:ilvl w:val="0"/>
          <w:numId w:val="1"/>
        </w:numPr>
        <w:spacing w:line="360" w:lineRule="auto"/>
        <w:ind w:left="425" w:hanging="425"/>
        <w:contextualSpacing/>
        <w:jc w:val="both"/>
      </w:pPr>
      <w:hyperlink r:id="rId27" w:history="1">
        <w:r w:rsidRPr="00567A98">
          <w:rPr>
            <w:rStyle w:val="Hyperlink"/>
            <w:rFonts w:hint="eastAsia"/>
            <w:rtl/>
          </w:rPr>
          <w:t>סעיף</w:t>
        </w:r>
        <w:r w:rsidRPr="00567A98">
          <w:rPr>
            <w:rStyle w:val="Hyperlink"/>
            <w:rtl/>
          </w:rPr>
          <w:t xml:space="preserve"> 40ט'</w:t>
        </w:r>
      </w:hyperlink>
      <w:r w:rsidR="008717BB">
        <w:rPr>
          <w:rFonts w:hint="cs"/>
          <w:rtl/>
        </w:rPr>
        <w:t xml:space="preserve"> לחוק</w:t>
      </w:r>
      <w:bookmarkStart w:id="8" w:name="Seif585"/>
      <w:bookmarkEnd w:id="8"/>
      <w:r w:rsidR="008717BB">
        <w:rPr>
          <w:rFonts w:hint="cs"/>
          <w:rtl/>
        </w:rPr>
        <w:t xml:space="preserve"> שכותרתו "</w:t>
      </w:r>
      <w:r w:rsidR="008717BB" w:rsidRPr="007A4FC3">
        <w:rPr>
          <w:b/>
          <w:bCs/>
          <w:rtl/>
        </w:rPr>
        <w:t>נסיבות הקשורות בביצוע העבירה</w:t>
      </w:r>
      <w:r w:rsidR="008717BB" w:rsidRPr="007A4FC3">
        <w:rPr>
          <w:rFonts w:hint="cs"/>
          <w:rtl/>
        </w:rPr>
        <w:t>" קובע כך:</w:t>
      </w:r>
    </w:p>
    <w:p w14:paraId="1B42CB15" w14:textId="77777777" w:rsidR="008717BB" w:rsidRPr="007A4FC3" w:rsidRDefault="008717BB" w:rsidP="008717BB">
      <w:pPr>
        <w:spacing w:line="360" w:lineRule="auto"/>
        <w:ind w:left="720"/>
        <w:contextualSpacing/>
        <w:jc w:val="both"/>
        <w:rPr>
          <w:b/>
          <w:bCs/>
          <w:rtl/>
        </w:rPr>
      </w:pPr>
      <w:r>
        <w:rPr>
          <w:rFonts w:hint="cs"/>
          <w:rtl/>
        </w:rPr>
        <w:t>"</w:t>
      </w:r>
      <w:r w:rsidRPr="007A4FC3">
        <w:rPr>
          <w:b/>
          <w:bCs/>
          <w:rtl/>
        </w:rPr>
        <w:t>(א)</w:t>
      </w:r>
      <w:r w:rsidR="008A1D03">
        <w:rPr>
          <w:b/>
          <w:bCs/>
          <w:rtl/>
        </w:rPr>
        <w:t xml:space="preserve"> </w:t>
      </w:r>
      <w:r w:rsidRPr="007A4FC3">
        <w:rPr>
          <w:b/>
          <w:bCs/>
          <w:rtl/>
        </w:rPr>
        <w:t xml:space="preserve"> בקביעת מתחם העונש ההולם למעשה העבירה שביצע הנאשם כאמור בסעיף 40ג(א), יתחשב בית המשפט בהתקיימותן של נסיבות הקשורות בביצוע העבירה, המפורטות להלן, ובמידה שבה התקיימו, ככל שסבר שהן משפיעות על חומרת מעשה העבירה ועל אשמו של הנאשם:</w:t>
      </w:r>
    </w:p>
    <w:p w14:paraId="6C759F12" w14:textId="77777777" w:rsidR="008717BB" w:rsidRPr="007A4FC3" w:rsidRDefault="008717BB" w:rsidP="008717BB">
      <w:pPr>
        <w:spacing w:line="360" w:lineRule="auto"/>
        <w:ind w:left="720"/>
        <w:contextualSpacing/>
        <w:jc w:val="both"/>
        <w:rPr>
          <w:b/>
          <w:bCs/>
          <w:rtl/>
        </w:rPr>
      </w:pPr>
      <w:r w:rsidRPr="007A4FC3">
        <w:rPr>
          <w:rFonts w:hint="cs"/>
          <w:b/>
          <w:bCs/>
          <w:rtl/>
        </w:rPr>
        <w:t>...</w:t>
      </w:r>
    </w:p>
    <w:p w14:paraId="77646973" w14:textId="77777777" w:rsidR="008717BB" w:rsidRPr="007A4FC3" w:rsidRDefault="008717BB" w:rsidP="008717BB">
      <w:pPr>
        <w:spacing w:line="360" w:lineRule="auto"/>
        <w:ind w:left="720"/>
        <w:contextualSpacing/>
        <w:jc w:val="both"/>
        <w:rPr>
          <w:b/>
          <w:bCs/>
          <w:rtl/>
        </w:rPr>
      </w:pPr>
      <w:r w:rsidRPr="007A4FC3">
        <w:rPr>
          <w:b/>
          <w:bCs/>
          <w:rtl/>
        </w:rPr>
        <w:t xml:space="preserve"> (</w:t>
      </w:r>
      <w:r w:rsidRPr="007A4FC3">
        <w:rPr>
          <w:rFonts w:hint="cs"/>
          <w:b/>
          <w:bCs/>
          <w:rtl/>
        </w:rPr>
        <w:t>9</w:t>
      </w:r>
      <w:r w:rsidRPr="007A4FC3">
        <w:rPr>
          <w:b/>
          <w:bCs/>
          <w:rtl/>
        </w:rPr>
        <w:t>)</w:t>
      </w:r>
      <w:r w:rsidR="008A1D03">
        <w:rPr>
          <w:b/>
          <w:bCs/>
          <w:rtl/>
        </w:rPr>
        <w:t xml:space="preserve">  </w:t>
      </w:r>
      <w:r w:rsidRPr="007A4FC3">
        <w:rPr>
          <w:rFonts w:hint="cs"/>
          <w:b/>
          <w:bCs/>
          <w:rtl/>
        </w:rPr>
        <w:t>הקרבה לסייג לאחריות פלילית כאמור בסימן ב' לפרק ה'1.</w:t>
      </w:r>
    </w:p>
    <w:p w14:paraId="622E60FA" w14:textId="77777777" w:rsidR="008717BB" w:rsidRPr="007A4FC3" w:rsidRDefault="008717BB" w:rsidP="008717BB">
      <w:pPr>
        <w:spacing w:line="360" w:lineRule="auto"/>
        <w:ind w:left="720"/>
        <w:contextualSpacing/>
        <w:jc w:val="both"/>
        <w:rPr>
          <w:b/>
          <w:bCs/>
          <w:rtl/>
        </w:rPr>
      </w:pPr>
      <w:r w:rsidRPr="007A4FC3">
        <w:rPr>
          <w:rFonts w:hint="cs"/>
          <w:b/>
          <w:bCs/>
          <w:rtl/>
        </w:rPr>
        <w:t>...</w:t>
      </w:r>
    </w:p>
    <w:p w14:paraId="284B4EEF" w14:textId="77777777" w:rsidR="008717BB" w:rsidRPr="002E3F27" w:rsidRDefault="008717BB" w:rsidP="008717BB">
      <w:pPr>
        <w:spacing w:line="360" w:lineRule="auto"/>
        <w:ind w:left="720"/>
        <w:contextualSpacing/>
        <w:jc w:val="both"/>
        <w:rPr>
          <w:rtl/>
        </w:rPr>
      </w:pPr>
      <w:r w:rsidRPr="007A4FC3">
        <w:rPr>
          <w:b/>
          <w:bCs/>
          <w:rtl/>
        </w:rPr>
        <w:t>(ב)</w:t>
      </w:r>
      <w:r w:rsidR="008A1D03">
        <w:rPr>
          <w:b/>
          <w:bCs/>
          <w:rtl/>
        </w:rPr>
        <w:t xml:space="preserve"> </w:t>
      </w:r>
      <w:r w:rsidRPr="007A4FC3">
        <w:rPr>
          <w:b/>
          <w:bCs/>
          <w:rtl/>
        </w:rPr>
        <w:t xml:space="preserve"> לעניין נסיבות כאמור בסעיף קטן (א)(6) עד (9), בית המשפט יתחשב בהן ככל שסבר שהן מפחיתות את חומרת מעשה העבירה ואת אשמו של הנאשם</w:t>
      </w:r>
      <w:r>
        <w:rPr>
          <w:rFonts w:hint="cs"/>
          <w:rtl/>
        </w:rPr>
        <w:t>..."</w:t>
      </w:r>
      <w:r w:rsidRPr="002E3F27">
        <w:rPr>
          <w:rtl/>
        </w:rPr>
        <w:t>.</w:t>
      </w:r>
    </w:p>
    <w:p w14:paraId="6C1FE0D1" w14:textId="77777777" w:rsidR="008717BB" w:rsidRDefault="008717BB" w:rsidP="008717BB">
      <w:pPr>
        <w:spacing w:line="360" w:lineRule="auto"/>
        <w:ind w:left="425"/>
        <w:contextualSpacing/>
        <w:jc w:val="both"/>
      </w:pPr>
    </w:p>
    <w:p w14:paraId="1E00A265" w14:textId="77777777" w:rsidR="008717BB" w:rsidRDefault="008717BB" w:rsidP="008717BB">
      <w:pPr>
        <w:numPr>
          <w:ilvl w:val="0"/>
          <w:numId w:val="1"/>
        </w:numPr>
        <w:spacing w:line="360" w:lineRule="auto"/>
        <w:ind w:left="425" w:hanging="425"/>
        <w:contextualSpacing/>
        <w:jc w:val="both"/>
      </w:pPr>
      <w:r>
        <w:rPr>
          <w:rFonts w:hint="cs"/>
          <w:rtl/>
        </w:rPr>
        <w:t>בהתאם ל</w:t>
      </w:r>
      <w:r w:rsidRPr="00010F97">
        <w:rPr>
          <w:rFonts w:hint="cs"/>
          <w:rtl/>
        </w:rPr>
        <w:t xml:space="preserve">חוות </w:t>
      </w:r>
      <w:r>
        <w:rPr>
          <w:rFonts w:hint="cs"/>
          <w:rtl/>
        </w:rPr>
        <w:t>ה</w:t>
      </w:r>
      <w:r w:rsidRPr="00010F97">
        <w:rPr>
          <w:rFonts w:hint="cs"/>
          <w:rtl/>
        </w:rPr>
        <w:t xml:space="preserve">דעת </w:t>
      </w:r>
      <w:r>
        <w:rPr>
          <w:rFonts w:hint="cs"/>
          <w:rtl/>
        </w:rPr>
        <w:t>ה</w:t>
      </w:r>
      <w:r w:rsidRPr="00010F97">
        <w:rPr>
          <w:rFonts w:hint="cs"/>
          <w:rtl/>
        </w:rPr>
        <w:t>פסיכיאטרית מהמרכז לבריאות הנפש  שלוותה (טע/1)</w:t>
      </w:r>
      <w:r>
        <w:rPr>
          <w:rFonts w:hint="cs"/>
          <w:rtl/>
        </w:rPr>
        <w:t xml:space="preserve"> הנאשם נמצא כשיר לעמוד לדין ואחראי למעשיו.</w:t>
      </w:r>
    </w:p>
    <w:p w14:paraId="1962C8E5" w14:textId="77777777" w:rsidR="008717BB" w:rsidRDefault="008717BB" w:rsidP="008717BB">
      <w:pPr>
        <w:spacing w:line="360" w:lineRule="auto"/>
        <w:ind w:left="425"/>
        <w:contextualSpacing/>
        <w:jc w:val="both"/>
        <w:rPr>
          <w:rtl/>
        </w:rPr>
      </w:pPr>
      <w:r>
        <w:rPr>
          <w:rFonts w:hint="cs"/>
          <w:rtl/>
        </w:rPr>
        <w:t>הנאשם מוכר למערכת בריאות הנפש מאשפוז בשנת 2006 לצורך גמילה מסמים ואלכוהול במחלקה לתחלואה כפולה. מדיווחי הנאשם ודוח שהוגש בעניינו, במהלך שירותו הצבאי נורה על ידי צלף "</w:t>
      </w:r>
      <w:r w:rsidRPr="00400524">
        <w:rPr>
          <w:rFonts w:hint="cs"/>
          <w:b/>
          <w:bCs/>
          <w:rtl/>
        </w:rPr>
        <w:t>מאז- מדווח על תסמינים בתר-חבלתיים חלקיים, ובהם: מחשבות חוזרות על האירוע, סיוטי לילה, פלאשבקים וקשיי שינה</w:t>
      </w:r>
      <w:r>
        <w:rPr>
          <w:rFonts w:hint="cs"/>
          <w:rtl/>
        </w:rPr>
        <w:t xml:space="preserve">". מאז מעצרו הנוכחי הוא בטיפול פסיכיאטרי בבית המעצר ומקבל טיפול תרופתי. </w:t>
      </w:r>
    </w:p>
    <w:p w14:paraId="7DC1C89D" w14:textId="77777777" w:rsidR="008717BB" w:rsidRDefault="008717BB" w:rsidP="008717BB">
      <w:pPr>
        <w:spacing w:line="360" w:lineRule="auto"/>
        <w:ind w:left="425"/>
        <w:contextualSpacing/>
        <w:jc w:val="both"/>
        <w:rPr>
          <w:rtl/>
        </w:rPr>
      </w:pPr>
      <w:r>
        <w:rPr>
          <w:rFonts w:hint="cs"/>
          <w:rtl/>
        </w:rPr>
        <w:t>לסיכום נקבע "</w:t>
      </w:r>
      <w:r w:rsidRPr="00400524">
        <w:rPr>
          <w:rFonts w:hint="cs"/>
          <w:b/>
          <w:bCs/>
          <w:rtl/>
        </w:rPr>
        <w:t>עולה חדש לקיום תסמונת פוסטטראומטית, הפרעת אישיות נרציסיסטים ודיסוציאליים, התמכרות לסמים ולחומרים פסי</w:t>
      </w:r>
      <w:r>
        <w:rPr>
          <w:rFonts w:hint="cs"/>
          <w:b/>
          <w:bCs/>
          <w:rtl/>
        </w:rPr>
        <w:t>כו</w:t>
      </w:r>
      <w:r w:rsidRPr="00400524">
        <w:rPr>
          <w:rFonts w:hint="cs"/>
          <w:b/>
          <w:bCs/>
          <w:rtl/>
        </w:rPr>
        <w:t>אקטיביים אחרים</w:t>
      </w:r>
      <w:r>
        <w:rPr>
          <w:rFonts w:hint="cs"/>
          <w:rtl/>
        </w:rPr>
        <w:t>".</w:t>
      </w:r>
    </w:p>
    <w:p w14:paraId="0E3A1D8F" w14:textId="77777777" w:rsidR="008717BB" w:rsidRDefault="008717BB" w:rsidP="008717BB">
      <w:pPr>
        <w:spacing w:line="360" w:lineRule="auto"/>
        <w:ind w:left="425"/>
        <w:contextualSpacing/>
        <w:jc w:val="both"/>
        <w:rPr>
          <w:rtl/>
        </w:rPr>
      </w:pPr>
      <w:r>
        <w:rPr>
          <w:rFonts w:hint="cs"/>
          <w:rtl/>
        </w:rPr>
        <w:t>אשר לעבירות המיוחסות לנאשם, הלה מסר שאינו זוכר את האירועים, כי היה תחת השפעת אלכוהול, אך מסר שאינו משליך את האחריות על האלכוהול אלא על עצמו.</w:t>
      </w:r>
    </w:p>
    <w:p w14:paraId="668CA76D" w14:textId="77777777" w:rsidR="008717BB" w:rsidRDefault="008717BB" w:rsidP="008717BB">
      <w:pPr>
        <w:spacing w:line="360" w:lineRule="auto"/>
        <w:ind w:left="425"/>
        <w:contextualSpacing/>
        <w:jc w:val="both"/>
        <w:rPr>
          <w:rtl/>
        </w:rPr>
      </w:pPr>
      <w:r>
        <w:rPr>
          <w:rFonts w:hint="cs"/>
          <w:rtl/>
        </w:rPr>
        <w:t>בשלהי חוות הדעת קבעה הפסיכיאטרית "</w:t>
      </w:r>
      <w:r w:rsidRPr="00400524">
        <w:rPr>
          <w:rFonts w:hint="cs"/>
          <w:b/>
          <w:bCs/>
          <w:rtl/>
        </w:rPr>
        <w:t>הנבדק זקוק למעקב וטיפול פסיכיאטרי, בירור אבחנתי, הפנייתנו להליך גמילה במידה וקיימת מוטיבציה לכך</w:t>
      </w:r>
      <w:r>
        <w:rPr>
          <w:rFonts w:hint="cs"/>
          <w:rtl/>
        </w:rPr>
        <w:t xml:space="preserve">".  </w:t>
      </w:r>
    </w:p>
    <w:p w14:paraId="3CFFEE71" w14:textId="77777777" w:rsidR="008717BB" w:rsidRDefault="008717BB" w:rsidP="008717BB">
      <w:pPr>
        <w:numPr>
          <w:ilvl w:val="0"/>
          <w:numId w:val="1"/>
        </w:numPr>
        <w:spacing w:line="360" w:lineRule="auto"/>
        <w:ind w:left="425" w:hanging="425"/>
        <w:contextualSpacing/>
        <w:jc w:val="both"/>
      </w:pPr>
      <w:r>
        <w:rPr>
          <w:rFonts w:hint="cs"/>
          <w:rtl/>
        </w:rPr>
        <w:t>הדוח</w:t>
      </w:r>
      <w:r w:rsidRPr="00C51671">
        <w:rPr>
          <w:rFonts w:hint="cs"/>
          <w:rtl/>
        </w:rPr>
        <w:t xml:space="preserve"> </w:t>
      </w:r>
      <w:r>
        <w:rPr>
          <w:rFonts w:hint="cs"/>
          <w:rtl/>
        </w:rPr>
        <w:t>ה</w:t>
      </w:r>
      <w:r w:rsidRPr="00C51671">
        <w:rPr>
          <w:rFonts w:hint="cs"/>
          <w:rtl/>
        </w:rPr>
        <w:t>פסיכוסוציאלי</w:t>
      </w:r>
      <w:r>
        <w:rPr>
          <w:rFonts w:hint="cs"/>
          <w:rtl/>
        </w:rPr>
        <w:t xml:space="preserve"> מאת </w:t>
      </w:r>
      <w:r w:rsidRPr="00C51671">
        <w:rPr>
          <w:rFonts w:hint="cs"/>
          <w:rtl/>
        </w:rPr>
        <w:t xml:space="preserve">ד"ר גילי תמיר (טע/2) </w:t>
      </w:r>
      <w:r>
        <w:rPr>
          <w:rFonts w:hint="cs"/>
          <w:rtl/>
        </w:rPr>
        <w:t xml:space="preserve">סוקר את קורות חייו של הנאשם וקובע, כי יש צורך ביצירת אבחנה פסיכיאטרית מסודרת בעניינו, לצד קידום ההכרה על ידי משרד הביטחון על רקע התרשמות מפוסט טראומה כתוצאה מאירוע קשה בצבא. </w:t>
      </w:r>
    </w:p>
    <w:p w14:paraId="416B49D4" w14:textId="77777777" w:rsidR="008717BB" w:rsidRDefault="008717BB" w:rsidP="00567A98">
      <w:pPr>
        <w:spacing w:line="360" w:lineRule="auto"/>
        <w:ind w:left="425"/>
        <w:contextualSpacing/>
        <w:jc w:val="both"/>
        <w:rPr>
          <w:rtl/>
        </w:rPr>
      </w:pPr>
      <w:r>
        <w:rPr>
          <w:rFonts w:hint="cs"/>
          <w:rtl/>
        </w:rPr>
        <w:t>בסיכומו של דבר קבעה ד"ר תמיר "</w:t>
      </w:r>
      <w:r w:rsidRPr="00BD38EA">
        <w:rPr>
          <w:rFonts w:hint="cs"/>
          <w:b/>
          <w:bCs/>
          <w:rtl/>
        </w:rPr>
        <w:t xml:space="preserve">עוד התרשמתי כי </w:t>
      </w:r>
      <w:r w:rsidR="00567A98">
        <w:rPr>
          <w:rFonts w:hint="cs"/>
          <w:b/>
          <w:bCs/>
          <w:rtl/>
        </w:rPr>
        <w:t>פלוני</w:t>
      </w:r>
      <w:r w:rsidRPr="00BD38EA">
        <w:rPr>
          <w:rFonts w:hint="cs"/>
          <w:b/>
          <w:bCs/>
          <w:rtl/>
        </w:rPr>
        <w:t xml:space="preserve"> אינו מחזיק בדפוסים עבריינים מושרשים, וכי מעורבותו בפלילים כיום, הינה תולדה של מצבים רגשיים לא מעובדים, דחיסה רגשית וקושי בויסות דחפים וכעסים שמועצם בעקבות שימוש באלכוהול. למרות קשייו לעשות כן, </w:t>
      </w:r>
      <w:r w:rsidR="00567A98">
        <w:rPr>
          <w:rFonts w:hint="cs"/>
          <w:b/>
          <w:bCs/>
          <w:rtl/>
        </w:rPr>
        <w:t>פלוני</w:t>
      </w:r>
      <w:r w:rsidRPr="00BD38EA">
        <w:rPr>
          <w:rFonts w:hint="cs"/>
          <w:b/>
          <w:bCs/>
          <w:rtl/>
        </w:rPr>
        <w:t xml:space="preserve"> זיהה באופן ראשוני מצבים המובילים לשתיית אלכוהול ולהתפרצויות אלימות, ואף ידע להב</w:t>
      </w:r>
      <w:r>
        <w:rPr>
          <w:rFonts w:hint="cs"/>
          <w:b/>
          <w:bCs/>
          <w:rtl/>
        </w:rPr>
        <w:t>ח</w:t>
      </w:r>
      <w:r w:rsidRPr="00BD38EA">
        <w:rPr>
          <w:rFonts w:hint="cs"/>
          <w:b/>
          <w:bCs/>
          <w:rtl/>
        </w:rPr>
        <w:t>ין בין מצבי הסיכון.</w:t>
      </w:r>
      <w:r>
        <w:rPr>
          <w:rFonts w:hint="cs"/>
          <w:b/>
          <w:bCs/>
          <w:rtl/>
        </w:rPr>
        <w:t xml:space="preserve">.. </w:t>
      </w:r>
      <w:r w:rsidRPr="0036207C">
        <w:rPr>
          <w:rFonts w:hint="cs"/>
          <w:b/>
          <w:bCs/>
          <w:rtl/>
        </w:rPr>
        <w:t>להערכתי במצבים של שכרות בדומה למצבי שינה, מפגין התפרצויות אלימות, מבלי שמבחין באדם שעומד מולו (פגיעה רנדומלית)</w:t>
      </w:r>
      <w:r>
        <w:rPr>
          <w:rFonts w:hint="cs"/>
          <w:rtl/>
        </w:rPr>
        <w:t>" (עמ' 10).</w:t>
      </w:r>
    </w:p>
    <w:p w14:paraId="4BFC2F9E" w14:textId="77777777" w:rsidR="008717BB" w:rsidRDefault="008717BB" w:rsidP="008717BB">
      <w:pPr>
        <w:spacing w:line="360" w:lineRule="auto"/>
        <w:ind w:left="425"/>
        <w:contextualSpacing/>
        <w:jc w:val="both"/>
        <w:rPr>
          <w:rtl/>
        </w:rPr>
      </w:pPr>
    </w:p>
    <w:p w14:paraId="24BBA5EE" w14:textId="77777777" w:rsidR="008717BB" w:rsidRDefault="008717BB" w:rsidP="008717BB">
      <w:pPr>
        <w:spacing w:line="360" w:lineRule="auto"/>
        <w:ind w:left="425"/>
        <w:contextualSpacing/>
        <w:jc w:val="both"/>
        <w:rPr>
          <w:rtl/>
        </w:rPr>
      </w:pPr>
      <w:r>
        <w:rPr>
          <w:rFonts w:hint="cs"/>
          <w:rtl/>
        </w:rPr>
        <w:t>בעדותה בפניי חזרה ד"ר תמיר על חשיבות שילובו של הנאשם בהליך טיפולי חלף הותרתו במעצר והוסיפה "</w:t>
      </w:r>
      <w:r w:rsidRPr="00BD38EA">
        <w:rPr>
          <w:rFonts w:hint="cs"/>
          <w:b/>
          <w:bCs/>
          <w:rtl/>
        </w:rPr>
        <w:t>סברתי וגם היום אני סבורה שטוב היה לו ניתנה לו אפשרות להשתלב בטיפול בפיקוח בית המשפט, ולא להשאיר עצור בהעדר טיפול מותאם בשירות בתי הסוהר... בהעדר הכרה, בהעדר טיפול מתאים המראות חוזרים ושימוש באלכוהול בהחלט מגדיל את הסיכון להתפרצות אלימה ולצערי אינו חריג מהלומי קרב רבים מאוד שפגשתי ושכולם אופיינו באירועים אלימים או במצב שינה או בצריכת אלכוהול</w:t>
      </w:r>
      <w:r>
        <w:rPr>
          <w:rFonts w:hint="cs"/>
          <w:rtl/>
        </w:rPr>
        <w:t xml:space="preserve">" (עמ' 9 </w:t>
      </w:r>
      <w:r>
        <w:rPr>
          <w:rtl/>
        </w:rPr>
        <w:t>–</w:t>
      </w:r>
      <w:r>
        <w:rPr>
          <w:rFonts w:hint="cs"/>
          <w:rtl/>
        </w:rPr>
        <w:t xml:space="preserve"> 10 פרוטוקול 30.09.21). ד"ר תמיר הציעה תוכנית טיפולית לנאשם (טע/3) הכוללת מפגש שבועי אצל מומחה להתמכרויות ופוסט טראומה ומפגש נוסף אצל מטפלת בתחום אלימות במשפחה במרכז "מחוברים" שבניהולה. </w:t>
      </w:r>
    </w:p>
    <w:p w14:paraId="4DD953A8" w14:textId="77777777" w:rsidR="008717BB" w:rsidRDefault="008717BB" w:rsidP="008717BB">
      <w:pPr>
        <w:contextualSpacing/>
        <w:jc w:val="both"/>
      </w:pPr>
    </w:p>
    <w:p w14:paraId="256B36B7" w14:textId="77777777" w:rsidR="008717BB" w:rsidRDefault="008717BB" w:rsidP="008717BB">
      <w:pPr>
        <w:numPr>
          <w:ilvl w:val="0"/>
          <w:numId w:val="1"/>
        </w:numPr>
        <w:spacing w:line="360" w:lineRule="auto"/>
        <w:ind w:left="425" w:hanging="425"/>
        <w:contextualSpacing/>
        <w:jc w:val="both"/>
      </w:pPr>
      <w:r>
        <w:rPr>
          <w:rFonts w:hint="cs"/>
          <w:rtl/>
        </w:rPr>
        <w:t>המתלוננת בעדותה בפניי התמקדה בסבלו של הנאשם תוך התעלמות מהנזקים שנגרמו לה:</w:t>
      </w:r>
    </w:p>
    <w:p w14:paraId="1D1EC66D" w14:textId="77777777" w:rsidR="008717BB" w:rsidRDefault="008717BB" w:rsidP="008717BB">
      <w:pPr>
        <w:spacing w:line="360" w:lineRule="auto"/>
        <w:ind w:left="425"/>
        <w:contextualSpacing/>
        <w:jc w:val="both"/>
      </w:pPr>
      <w:r>
        <w:rPr>
          <w:rFonts w:hint="cs"/>
          <w:rtl/>
        </w:rPr>
        <w:t>"</w:t>
      </w:r>
      <w:r w:rsidRPr="00DC696C">
        <w:rPr>
          <w:rFonts w:hint="cs"/>
          <w:b/>
          <w:bCs/>
          <w:rtl/>
        </w:rPr>
        <w:t>יש פה אדם שסובל מחרדות שתוקפים אותו בלילות, לפעמים לא מצליח להירדם. הדרך להתמודד עם זה לפעמים לעשן ג'וינט, או לשתות פעם בכמה חודשים אלכוהול כי זה הדבר היחיד שיכול להרגיע אותו. האדם סובל מחרדות. הבן אדם היה בעזה. עבר מלחמות. אני כל הזמן שבאתי להתלונן לא באתי להעניש אותו או שאני מפחדת אני ביקשתי עזרה בשבילו טיפול עבורו. אני ביקשתי שיעזרו לו זה מה שצריך לעשות... אני לא מפחדת זה לא הסיפור פה. יש פה בן אדם שזקוק לטיפול עזרה בסיוטים בחרדות פוסט טראומה מה שזה לא יודעת צריך טיפול. זה לא אדם אלים. מדובר בבן אדם שסובל מסיוטים ולא יודע איך להתמודד</w:t>
      </w:r>
      <w:r>
        <w:rPr>
          <w:rFonts w:hint="cs"/>
          <w:b/>
          <w:bCs/>
          <w:rtl/>
        </w:rPr>
        <w:t>.</w:t>
      </w:r>
      <w:r w:rsidRPr="00DC696C">
        <w:rPr>
          <w:rFonts w:hint="cs"/>
          <w:b/>
          <w:bCs/>
          <w:rtl/>
        </w:rPr>
        <w:t>.. אני יודעת שזה קשור לצבא מבקשת שמישהו יתן לו יד. שיקשיבו לו בסופו של דבר רוצים לפתוח דף חדש ולהיות ביחד</w:t>
      </w:r>
      <w:r>
        <w:rPr>
          <w:rFonts w:hint="cs"/>
          <w:rtl/>
        </w:rPr>
        <w:t xml:space="preserve">" (פרוטוקול עמ' 12 </w:t>
      </w:r>
      <w:r>
        <w:rPr>
          <w:rtl/>
        </w:rPr>
        <w:t>–</w:t>
      </w:r>
      <w:r>
        <w:rPr>
          <w:rFonts w:hint="cs"/>
          <w:rtl/>
        </w:rPr>
        <w:t xml:space="preserve"> 13). </w:t>
      </w:r>
    </w:p>
    <w:p w14:paraId="40AF0310" w14:textId="77777777" w:rsidR="008717BB" w:rsidRDefault="008717BB" w:rsidP="008717BB">
      <w:pPr>
        <w:spacing w:line="360" w:lineRule="auto"/>
        <w:ind w:left="425"/>
        <w:contextualSpacing/>
        <w:jc w:val="both"/>
      </w:pPr>
    </w:p>
    <w:p w14:paraId="151550E3" w14:textId="77777777" w:rsidR="008717BB" w:rsidRDefault="008717BB" w:rsidP="008717BB">
      <w:pPr>
        <w:numPr>
          <w:ilvl w:val="0"/>
          <w:numId w:val="1"/>
        </w:numPr>
        <w:spacing w:line="360" w:lineRule="auto"/>
        <w:ind w:left="425" w:hanging="425"/>
        <w:contextualSpacing/>
        <w:jc w:val="both"/>
      </w:pPr>
      <w:r>
        <w:rPr>
          <w:rFonts w:hint="cs"/>
          <w:rtl/>
        </w:rPr>
        <w:t>ב"כ הנאשם הפנתה ל</w:t>
      </w:r>
      <w:hyperlink r:id="rId28" w:history="1">
        <w:r w:rsidR="008A1D03" w:rsidRPr="008A1D03">
          <w:rPr>
            <w:color w:val="0000FF"/>
            <w:u w:val="single"/>
            <w:rtl/>
          </w:rPr>
          <w:t>ת"פ 14479-06-20</w:t>
        </w:r>
      </w:hyperlink>
      <w:r>
        <w:rPr>
          <w:rFonts w:hint="cs"/>
          <w:rtl/>
        </w:rPr>
        <w:t xml:space="preserve"> </w:t>
      </w:r>
      <w:r w:rsidRPr="00400524">
        <w:rPr>
          <w:rFonts w:hint="cs"/>
          <w:b/>
          <w:bCs/>
          <w:rtl/>
        </w:rPr>
        <w:t>מדינת ישראל נ' ציון כהן</w:t>
      </w:r>
      <w:r>
        <w:rPr>
          <w:rFonts w:hint="cs"/>
          <w:rtl/>
        </w:rPr>
        <w:t xml:space="preserve"> (13.09.21), בו נקבע בחוות הדעת שהוגשו בעניינו של הנאשם, כי הוא לוקה בהפרעת אישיות חמורה הכוללת קווים סכיזואידיים ונרקיסיסטיים ונוקשות מחשבתית קשה ביותר. באותו מקרה בית המשפט קבע, כי מתקיימת קרבה לסייג לאחריות פלילית שיש בה להשפיע על מתחם העונש ההולם.</w:t>
      </w:r>
    </w:p>
    <w:p w14:paraId="6DCCC04C" w14:textId="77777777" w:rsidR="008717BB" w:rsidRDefault="008717BB" w:rsidP="008717BB">
      <w:pPr>
        <w:spacing w:line="360" w:lineRule="auto"/>
        <w:ind w:left="425"/>
        <w:rPr>
          <w:rtl/>
        </w:rPr>
      </w:pPr>
      <w:r>
        <w:rPr>
          <w:rFonts w:hint="cs"/>
          <w:rtl/>
        </w:rPr>
        <w:t>בעניינו של הנאשם שבפניי, אין אבחנה המעידה על לקות נפשית, אלא אמירה ל"</w:t>
      </w:r>
      <w:r w:rsidRPr="00F24173">
        <w:rPr>
          <w:rFonts w:hint="cs"/>
          <w:b/>
          <w:bCs/>
          <w:rtl/>
        </w:rPr>
        <w:t>חשד</w:t>
      </w:r>
      <w:r>
        <w:rPr>
          <w:rFonts w:hint="cs"/>
          <w:rtl/>
        </w:rPr>
        <w:t xml:space="preserve">" לפוסט טראומה והפרעת אישיות נרקיסיסטית ודיסוציאלית והתמכרות לסמים וחומרים אחרים ויש להפנותו להמשך בירור, כך שעניינו שונה מעניינו של כהן.  </w:t>
      </w:r>
    </w:p>
    <w:p w14:paraId="62FA0769" w14:textId="77777777" w:rsidR="008717BB" w:rsidRDefault="008717BB" w:rsidP="008717BB">
      <w:pPr>
        <w:spacing w:line="360" w:lineRule="auto"/>
        <w:ind w:left="425"/>
        <w:contextualSpacing/>
        <w:jc w:val="both"/>
      </w:pPr>
    </w:p>
    <w:p w14:paraId="2CFB4540" w14:textId="77777777" w:rsidR="008717BB" w:rsidRPr="000428BD" w:rsidRDefault="008717BB" w:rsidP="008717BB">
      <w:pPr>
        <w:numPr>
          <w:ilvl w:val="0"/>
          <w:numId w:val="1"/>
        </w:numPr>
        <w:spacing w:line="360" w:lineRule="auto"/>
        <w:ind w:left="425" w:hanging="425"/>
        <w:contextualSpacing/>
        <w:jc w:val="both"/>
      </w:pPr>
      <w:r>
        <w:rPr>
          <w:rFonts w:hint="cs"/>
          <w:rtl/>
        </w:rPr>
        <w:t xml:space="preserve">מקובלת עלי עמדת המאשימה, </w:t>
      </w:r>
      <w:r w:rsidRPr="000428BD">
        <w:rPr>
          <w:rFonts w:hint="cs"/>
          <w:rtl/>
        </w:rPr>
        <w:t xml:space="preserve">כי חלקו של הנאשם הוא בלעדי בתקיפות. בכל שלב יכול היה הנאשם להפסיק את האלימות הקשה בה נקט כלפי המתלוננת. יחד עם זאת, לא ניתן להתעלם מהרקע העולה מחוות הדעת והדוח הפסיכוסוציאלי, בדבר </w:t>
      </w:r>
      <w:r>
        <w:rPr>
          <w:rFonts w:hint="cs"/>
          <w:rtl/>
        </w:rPr>
        <w:t>חשד ל</w:t>
      </w:r>
      <w:r w:rsidRPr="000428BD">
        <w:rPr>
          <w:rFonts w:hint="cs"/>
          <w:rtl/>
        </w:rPr>
        <w:t>פוסט טראומה שלא טופלה והמצויה ברקע לשימוש לרעה בסמים ואלכוהול, כאשר האירוע באישום הראשון בוצע במהלך ולאחר צריכת אלכוהול, כשהוא מודע להשלכות של הסיכון שבכניסה למצב זה וההשפעה על התנהגותו האלימה.</w:t>
      </w:r>
    </w:p>
    <w:p w14:paraId="3E9C76A0" w14:textId="77777777" w:rsidR="008717BB" w:rsidRDefault="008717BB" w:rsidP="008717BB">
      <w:pPr>
        <w:spacing w:line="360" w:lineRule="auto"/>
        <w:ind w:left="425"/>
        <w:contextualSpacing/>
        <w:jc w:val="both"/>
      </w:pPr>
    </w:p>
    <w:p w14:paraId="137FB1D1" w14:textId="77777777" w:rsidR="008717BB" w:rsidRDefault="008717BB" w:rsidP="008717BB">
      <w:pPr>
        <w:numPr>
          <w:ilvl w:val="0"/>
          <w:numId w:val="1"/>
        </w:numPr>
        <w:spacing w:line="360" w:lineRule="auto"/>
        <w:ind w:left="425" w:hanging="425"/>
        <w:contextualSpacing/>
        <w:jc w:val="both"/>
      </w:pPr>
      <w:r>
        <w:rPr>
          <w:rFonts w:hint="cs"/>
          <w:rtl/>
        </w:rPr>
        <w:t>נוכח כל האמור לעיל, יש לתת משקל, אם כי לא משמעותי, לכך שהנאשם כנראה סובל מפוסט טראומה שלא טופלה ולקשר שלה לצריכת סמים ואלכוהול לצד החשד לפרעת אישיות נרקיסיסטי</w:t>
      </w:r>
      <w:r>
        <w:rPr>
          <w:rFonts w:hint="eastAsia"/>
          <w:rtl/>
        </w:rPr>
        <w:t>ת</w:t>
      </w:r>
      <w:r>
        <w:rPr>
          <w:rFonts w:hint="cs"/>
          <w:rtl/>
        </w:rPr>
        <w:t xml:space="preserve"> ודיסוציאלית.</w:t>
      </w:r>
    </w:p>
    <w:p w14:paraId="24D562AA" w14:textId="77777777" w:rsidR="008717BB" w:rsidRDefault="008717BB" w:rsidP="008717BB">
      <w:pPr>
        <w:spacing w:line="360" w:lineRule="auto"/>
        <w:ind w:left="425"/>
        <w:contextualSpacing/>
        <w:jc w:val="both"/>
      </w:pPr>
    </w:p>
    <w:p w14:paraId="2936CF07" w14:textId="77777777" w:rsidR="008717BB" w:rsidRPr="009526A9" w:rsidRDefault="008717BB" w:rsidP="008717BB">
      <w:pPr>
        <w:rPr>
          <w:b/>
          <w:bCs/>
          <w:u w:val="single"/>
          <w:rtl/>
        </w:rPr>
      </w:pPr>
      <w:r w:rsidRPr="009526A9">
        <w:rPr>
          <w:rFonts w:hint="cs"/>
          <w:b/>
          <w:bCs/>
          <w:u w:val="single"/>
          <w:rtl/>
        </w:rPr>
        <w:t xml:space="preserve">מתחם העונש ההולם בעבירות אלימות </w:t>
      </w:r>
    </w:p>
    <w:p w14:paraId="36B10D05" w14:textId="77777777" w:rsidR="008717BB" w:rsidRDefault="008717BB" w:rsidP="008717BB">
      <w:pPr>
        <w:numPr>
          <w:ilvl w:val="0"/>
          <w:numId w:val="1"/>
        </w:numPr>
        <w:spacing w:line="360" w:lineRule="auto"/>
        <w:ind w:left="425" w:hanging="425"/>
        <w:contextualSpacing/>
        <w:jc w:val="both"/>
      </w:pPr>
      <w:r>
        <w:rPr>
          <w:rFonts w:hint="cs"/>
          <w:rtl/>
        </w:rPr>
        <w:t>הנאשם תקף את המתלוננת בצורה ברוטלית על פני מספר שעות וגרם לה לשטף דם במותנה ובאירוע ממועד אחר הוא היכה אותה באגרוף ובעט בה וגרם לה לשבר באף. מדובר באירועי אלימות חמורים.</w:t>
      </w:r>
    </w:p>
    <w:p w14:paraId="414D4B9D" w14:textId="77777777" w:rsidR="008717BB" w:rsidRDefault="008717BB" w:rsidP="008717BB">
      <w:pPr>
        <w:ind w:left="425"/>
        <w:contextualSpacing/>
        <w:jc w:val="both"/>
      </w:pPr>
    </w:p>
    <w:p w14:paraId="4D5A94DC" w14:textId="77777777" w:rsidR="008717BB" w:rsidRDefault="008717BB" w:rsidP="008717BB">
      <w:pPr>
        <w:numPr>
          <w:ilvl w:val="0"/>
          <w:numId w:val="1"/>
        </w:numPr>
        <w:spacing w:line="360" w:lineRule="auto"/>
        <w:ind w:left="425" w:hanging="425"/>
        <w:contextualSpacing/>
        <w:jc w:val="both"/>
      </w:pPr>
      <w:r w:rsidRPr="00055EDB">
        <w:rPr>
          <w:rtl/>
        </w:rPr>
        <w:t>בחינת מדיניות הענישה הנוהגת מעלה, כי במקרים דומים</w:t>
      </w:r>
      <w:r>
        <w:rPr>
          <w:rFonts w:hint="cs"/>
          <w:rtl/>
        </w:rPr>
        <w:t>, של אלימות בתוך המשפחה,</w:t>
      </w:r>
      <w:r w:rsidRPr="00055EDB">
        <w:rPr>
          <w:rtl/>
        </w:rPr>
        <w:t xml:space="preserve"> הוטלו </w:t>
      </w:r>
      <w:r>
        <w:rPr>
          <w:rFonts w:hint="cs"/>
          <w:rtl/>
        </w:rPr>
        <w:t>על נא</w:t>
      </w:r>
      <w:r>
        <w:rPr>
          <w:rtl/>
        </w:rPr>
        <w:t xml:space="preserve">שמים עונשי </w:t>
      </w:r>
      <w:r w:rsidRPr="00055EDB">
        <w:rPr>
          <w:rtl/>
        </w:rPr>
        <w:t>מאסר</w:t>
      </w:r>
      <w:r>
        <w:rPr>
          <w:rFonts w:hint="cs"/>
          <w:rtl/>
        </w:rPr>
        <w:t xml:space="preserve"> לתקופות משתנות</w:t>
      </w:r>
      <w:r w:rsidRPr="00055EDB">
        <w:rPr>
          <w:rtl/>
        </w:rPr>
        <w:t xml:space="preserve"> (</w:t>
      </w:r>
      <w:r w:rsidRPr="00F24173">
        <w:rPr>
          <w:rtl/>
        </w:rPr>
        <w:t xml:space="preserve">ראו </w:t>
      </w:r>
      <w:hyperlink r:id="rId29" w:history="1">
        <w:r w:rsidR="008A1D03" w:rsidRPr="008A1D03">
          <w:rPr>
            <w:rFonts w:ascii="Arial" w:hAnsi="Arial"/>
            <w:color w:val="0000FF"/>
            <w:u w:val="single"/>
            <w:rtl/>
          </w:rPr>
          <w:t>רע"פ 2602/14</w:t>
        </w:r>
      </w:hyperlink>
      <w:r w:rsidRPr="00705398">
        <w:rPr>
          <w:rFonts w:ascii="Arial" w:hAnsi="Arial"/>
          <w:b/>
          <w:bCs/>
          <w:rtl/>
        </w:rPr>
        <w:t xml:space="preserve"> טצילו  גובנה נ' מדינת ישראל </w:t>
      </w:r>
      <w:r w:rsidRPr="00705398">
        <w:rPr>
          <w:rFonts w:ascii="Arial" w:hAnsi="Arial"/>
          <w:rtl/>
        </w:rPr>
        <w:t>(4.5.14),</w:t>
      </w:r>
      <w:hyperlink r:id="rId30" w:history="1">
        <w:r w:rsidR="008A1D03" w:rsidRPr="008A1D03">
          <w:rPr>
            <w:rFonts w:ascii="Arial" w:hAnsi="Arial"/>
            <w:color w:val="0000FF"/>
            <w:u w:val="single"/>
            <w:rtl/>
          </w:rPr>
          <w:t>ת"פ (ראשל"צ) 28841-09-12</w:t>
        </w:r>
      </w:hyperlink>
      <w:r w:rsidRPr="00705398">
        <w:rPr>
          <w:rFonts w:ascii="Arial" w:hAnsi="Arial"/>
          <w:b/>
          <w:bCs/>
          <w:rtl/>
        </w:rPr>
        <w:t xml:space="preserve"> מדינת ישראל נ' דמירי </w:t>
      </w:r>
      <w:r w:rsidRPr="00705398">
        <w:rPr>
          <w:rFonts w:ascii="Arial" w:hAnsi="Arial"/>
          <w:rtl/>
        </w:rPr>
        <w:t xml:space="preserve">(25.2.14), </w:t>
      </w:r>
      <w:hyperlink r:id="rId31" w:history="1">
        <w:r w:rsidR="008A1D03" w:rsidRPr="008A1D03">
          <w:rPr>
            <w:color w:val="0000FF"/>
            <w:u w:val="single"/>
            <w:rtl/>
          </w:rPr>
          <w:t>ת"פ (רמלה) 22490-03-20</w:t>
        </w:r>
      </w:hyperlink>
      <w:r w:rsidRPr="00412A4D">
        <w:rPr>
          <w:rtl/>
        </w:rPr>
        <w:t xml:space="preserve"> </w:t>
      </w:r>
      <w:r w:rsidRPr="00705398">
        <w:rPr>
          <w:b/>
          <w:bCs/>
          <w:rtl/>
        </w:rPr>
        <w:t>מדינת ישראל</w:t>
      </w:r>
      <w:r w:rsidRPr="00412A4D">
        <w:rPr>
          <w:rtl/>
        </w:rPr>
        <w:t xml:space="preserve"> נ' </w:t>
      </w:r>
      <w:r w:rsidRPr="00705398">
        <w:rPr>
          <w:b/>
          <w:bCs/>
          <w:rtl/>
        </w:rPr>
        <w:t>דוד דני רחמים</w:t>
      </w:r>
      <w:r>
        <w:rPr>
          <w:rFonts w:hint="cs"/>
          <w:rtl/>
        </w:rPr>
        <w:t xml:space="preserve"> (21.03.21), </w:t>
      </w:r>
      <w:hyperlink r:id="rId32" w:history="1">
        <w:r w:rsidR="008A1D03" w:rsidRPr="008A1D03">
          <w:rPr>
            <w:color w:val="0000FF"/>
            <w:u w:val="single"/>
            <w:rtl/>
          </w:rPr>
          <w:t>ת"פ (רמלה) 4355-10-20</w:t>
        </w:r>
      </w:hyperlink>
      <w:r w:rsidRPr="00DF7B05">
        <w:rPr>
          <w:rtl/>
        </w:rPr>
        <w:t xml:space="preserve"> </w:t>
      </w:r>
      <w:r w:rsidRPr="00705398">
        <w:rPr>
          <w:b/>
          <w:bCs/>
          <w:rtl/>
        </w:rPr>
        <w:t>מדינת ישראל</w:t>
      </w:r>
      <w:r w:rsidRPr="00DF7B05">
        <w:rPr>
          <w:rtl/>
        </w:rPr>
        <w:t xml:space="preserve"> נ' </w:t>
      </w:r>
      <w:r w:rsidRPr="00705398">
        <w:rPr>
          <w:b/>
          <w:bCs/>
          <w:rtl/>
        </w:rPr>
        <w:t>פלוני</w:t>
      </w:r>
      <w:r>
        <w:rPr>
          <w:rFonts w:hint="cs"/>
          <w:rtl/>
        </w:rPr>
        <w:t xml:space="preserve"> (19.05.21), </w:t>
      </w:r>
      <w:r w:rsidRPr="00725E54">
        <w:rPr>
          <w:rtl/>
        </w:rPr>
        <w:t>ת</w:t>
      </w:r>
      <w:r>
        <w:rPr>
          <w:rFonts w:hint="cs"/>
          <w:rtl/>
        </w:rPr>
        <w:t>ת"</w:t>
      </w:r>
      <w:hyperlink r:id="rId33" w:history="1">
        <w:r w:rsidR="008A1D03" w:rsidRPr="008A1D03">
          <w:rPr>
            <w:color w:val="0000FF"/>
            <w:u w:val="single"/>
            <w:rtl/>
          </w:rPr>
          <w:t>פ 19717-01-13</w:t>
        </w:r>
      </w:hyperlink>
      <w:r>
        <w:rPr>
          <w:rFonts w:hint="cs"/>
          <w:rtl/>
        </w:rPr>
        <w:t xml:space="preserve"> </w:t>
      </w:r>
      <w:r w:rsidRPr="00F24173">
        <w:rPr>
          <w:rFonts w:hint="cs"/>
          <w:b/>
          <w:bCs/>
          <w:rtl/>
        </w:rPr>
        <w:t>מדינת ישראל נ' אלכסי דיאצנקו</w:t>
      </w:r>
      <w:r>
        <w:rPr>
          <w:rFonts w:hint="cs"/>
          <w:rtl/>
        </w:rPr>
        <w:t xml:space="preserve"> (26.02.14) ו</w:t>
      </w:r>
      <w:hyperlink r:id="rId34" w:history="1">
        <w:r w:rsidR="008A1D03" w:rsidRPr="008A1D03">
          <w:rPr>
            <w:color w:val="0000FF"/>
            <w:u w:val="single"/>
            <w:rtl/>
          </w:rPr>
          <w:t>ת"פ 61214-11-14</w:t>
        </w:r>
      </w:hyperlink>
      <w:r>
        <w:rPr>
          <w:rFonts w:hint="cs"/>
          <w:rtl/>
        </w:rPr>
        <w:t xml:space="preserve"> </w:t>
      </w:r>
      <w:r w:rsidRPr="00F24173">
        <w:rPr>
          <w:rFonts w:hint="cs"/>
          <w:b/>
          <w:bCs/>
          <w:rtl/>
        </w:rPr>
        <w:t>מדינת ישראל נ' אהרון כליפה</w:t>
      </w:r>
      <w:r>
        <w:rPr>
          <w:rFonts w:hint="cs"/>
          <w:rtl/>
        </w:rPr>
        <w:t xml:space="preserve"> (08.09.15)).</w:t>
      </w:r>
    </w:p>
    <w:p w14:paraId="270D990F" w14:textId="77777777" w:rsidR="008717BB" w:rsidRDefault="008717BB" w:rsidP="008717BB">
      <w:pPr>
        <w:ind w:left="425"/>
        <w:contextualSpacing/>
        <w:jc w:val="both"/>
      </w:pPr>
    </w:p>
    <w:p w14:paraId="4FB5A5D2" w14:textId="77777777" w:rsidR="008717BB" w:rsidRDefault="008717BB" w:rsidP="008717BB">
      <w:pPr>
        <w:numPr>
          <w:ilvl w:val="0"/>
          <w:numId w:val="1"/>
        </w:numPr>
        <w:spacing w:line="360" w:lineRule="auto"/>
        <w:ind w:left="425" w:hanging="425"/>
        <w:contextualSpacing/>
        <w:jc w:val="both"/>
      </w:pPr>
      <w:r>
        <w:rPr>
          <w:rFonts w:hint="cs"/>
          <w:rtl/>
        </w:rPr>
        <w:t>בשים לב למדיניות הענישה הנוהגת, נסיבות ביצוע העבירה ובהתחשב בקיומו של חשד בדבר פוסט טראומה והפרעת אישיות, אני קובעת כי מתחם העונש ההולם בעבירות האלימות בהן הורשע הנאשם הוא בין 16 חודשים ועד 35 חודשי מאסר בפועל לצד ענישה נלווית. אלמלא האמור בחוות הדעת היה מקום לקבוע מתחם ענישה בין 20 ל- 40 חודשי מאסר בפועל.</w:t>
      </w:r>
    </w:p>
    <w:p w14:paraId="06A74D2C" w14:textId="77777777" w:rsidR="008717BB" w:rsidRPr="004F4ABF" w:rsidRDefault="008717BB" w:rsidP="008717BB">
      <w:pPr>
        <w:numPr>
          <w:ilvl w:val="0"/>
          <w:numId w:val="1"/>
        </w:numPr>
        <w:spacing w:line="360" w:lineRule="auto"/>
        <w:ind w:left="425" w:hanging="425"/>
        <w:contextualSpacing/>
        <w:jc w:val="both"/>
      </w:pPr>
      <w:r>
        <w:rPr>
          <w:rFonts w:hint="cs"/>
          <w:rtl/>
        </w:rPr>
        <w:t>ב"כ הנאשם הפנתה לפסיקה בה סטה בית המשפט ממתחם העונש ההולם מטעמי שיקום אך לא מצאתי לגזור מאלה לענייננו. ב"כ הנאשם הפנתה ל</w:t>
      </w:r>
      <w:hyperlink r:id="rId35" w:history="1">
        <w:r w:rsidR="008A1D03" w:rsidRPr="008A1D03">
          <w:rPr>
            <w:color w:val="0000FF"/>
            <w:u w:val="single"/>
            <w:rtl/>
          </w:rPr>
          <w:t>ת"פ 7629-11-17</w:t>
        </w:r>
      </w:hyperlink>
      <w:r w:rsidRPr="00730A85">
        <w:rPr>
          <w:rtl/>
        </w:rPr>
        <w:t xml:space="preserve"> </w:t>
      </w:r>
      <w:r w:rsidRPr="00511DA4">
        <w:rPr>
          <w:b/>
          <w:bCs/>
          <w:rtl/>
        </w:rPr>
        <w:t>מדינת ישראל נ' גרצ'יה איסקיאן</w:t>
      </w:r>
      <w:r>
        <w:rPr>
          <w:rFonts w:hint="cs"/>
          <w:b/>
          <w:bCs/>
          <w:rtl/>
        </w:rPr>
        <w:t xml:space="preserve"> </w:t>
      </w:r>
      <w:r>
        <w:rPr>
          <w:rFonts w:hint="cs"/>
          <w:rtl/>
        </w:rPr>
        <w:t>(12.9.21) ול</w:t>
      </w:r>
      <w:hyperlink r:id="rId36" w:history="1">
        <w:r w:rsidR="008A1D03" w:rsidRPr="008A1D03">
          <w:rPr>
            <w:color w:val="0000FF"/>
            <w:u w:val="single"/>
            <w:rtl/>
          </w:rPr>
          <w:t>ת"פ 6883-11-16</w:t>
        </w:r>
      </w:hyperlink>
      <w:r>
        <w:rPr>
          <w:rFonts w:hint="cs"/>
          <w:rtl/>
        </w:rPr>
        <w:t xml:space="preserve"> </w:t>
      </w:r>
      <w:r w:rsidRPr="00A23972">
        <w:rPr>
          <w:rFonts w:hint="cs"/>
          <w:b/>
          <w:bCs/>
          <w:rtl/>
        </w:rPr>
        <w:t>מדינת ישראל נ' אדאווי</w:t>
      </w:r>
      <w:r>
        <w:rPr>
          <w:rFonts w:hint="cs"/>
          <w:rtl/>
        </w:rPr>
        <w:t xml:space="preserve"> (21.12.20).</w:t>
      </w:r>
    </w:p>
    <w:p w14:paraId="5B484954" w14:textId="77777777" w:rsidR="008717BB" w:rsidRDefault="008717BB" w:rsidP="008717BB">
      <w:pPr>
        <w:spacing w:line="360" w:lineRule="auto"/>
        <w:ind w:left="425"/>
        <w:contextualSpacing/>
        <w:jc w:val="both"/>
        <w:rPr>
          <w:b/>
          <w:bCs/>
          <w:rtl/>
        </w:rPr>
      </w:pPr>
    </w:p>
    <w:p w14:paraId="7F320C21" w14:textId="77777777" w:rsidR="008717BB" w:rsidRDefault="008717BB" w:rsidP="008717BB">
      <w:pPr>
        <w:spacing w:line="360" w:lineRule="auto"/>
        <w:ind w:left="425"/>
        <w:contextualSpacing/>
        <w:jc w:val="both"/>
      </w:pPr>
      <w:r>
        <w:rPr>
          <w:rFonts w:hint="cs"/>
          <w:b/>
          <w:bCs/>
          <w:rtl/>
        </w:rPr>
        <w:t>איסקיאן</w:t>
      </w:r>
      <w:r>
        <w:rPr>
          <w:rFonts w:hint="cs"/>
          <w:rtl/>
        </w:rPr>
        <w:t>, מכור לסמים שהשתקם,</w:t>
      </w:r>
      <w:r>
        <w:rPr>
          <w:rtl/>
        </w:rPr>
        <w:t xml:space="preserve"> הורשע בעבירות סמים</w:t>
      </w:r>
      <w:r>
        <w:rPr>
          <w:rFonts w:hint="cs"/>
          <w:rtl/>
        </w:rPr>
        <w:t xml:space="preserve"> והופעל בעניינו מודל ענישה שיקומי, בשים לב לפוסט טראומה לא מטופלת אותה הוא נושא על רקע שירות צבאי, תוך חריגה משמעותית ממתחם העונש בעניינו. בית המשפט קבע שיש לחרוג ממתחם העונש לנוכח "</w:t>
      </w:r>
      <w:r w:rsidRPr="003A5B71">
        <w:rPr>
          <w:rFonts w:hint="cs"/>
          <w:b/>
          <w:bCs/>
          <w:rtl/>
        </w:rPr>
        <w:t>רקעו הנפשי, עברו הנקי, הזמן שחלף ממועד ביצוע העבירות והדרך השיקומית יוצאת הדופן שאותה עבר כמו גם החשש שמא הסטתו מדרך זו תשיבנו לדרך הפשע</w:t>
      </w:r>
      <w:r>
        <w:rPr>
          <w:rFonts w:hint="cs"/>
          <w:rtl/>
        </w:rPr>
        <w:t xml:space="preserve">" (עמ' 17). </w:t>
      </w:r>
    </w:p>
    <w:p w14:paraId="3E084E6A" w14:textId="77777777" w:rsidR="008717BB" w:rsidRDefault="008717BB" w:rsidP="008717BB">
      <w:pPr>
        <w:spacing w:line="360" w:lineRule="auto"/>
        <w:ind w:left="425"/>
        <w:jc w:val="both"/>
        <w:rPr>
          <w:b/>
          <w:bCs/>
          <w:rtl/>
        </w:rPr>
      </w:pPr>
    </w:p>
    <w:p w14:paraId="5FB51F3C" w14:textId="77777777" w:rsidR="008717BB" w:rsidRDefault="008717BB" w:rsidP="008717BB">
      <w:pPr>
        <w:spacing w:line="360" w:lineRule="auto"/>
        <w:ind w:left="425"/>
        <w:jc w:val="both"/>
      </w:pPr>
      <w:r w:rsidRPr="004F4ABF">
        <w:rPr>
          <w:rFonts w:hint="cs"/>
          <w:b/>
          <w:bCs/>
          <w:rtl/>
        </w:rPr>
        <w:t xml:space="preserve">אדאווי </w:t>
      </w:r>
      <w:r>
        <w:rPr>
          <w:rFonts w:hint="cs"/>
          <w:rtl/>
        </w:rPr>
        <w:t xml:space="preserve">הורשע בשתי עבירות איומים, היזק לרכוש במזיד ובשתי עבירות של תקיפת בת זוג. נקבע מתחם עונשי כולל שנע בין 6 חודשי מאסר, שיכול וירוצו בדרך של עבודות שירות, ועד ל- 12 חודשי מאסר לצד ענישה נלווית. נוכח חלוף הזמן, היעדר פתיחת תיקים חדשים בתחום האלימות, עמדת המתלוננת והטיפול שעבר ועובר הנאשם בתחום האלימות במשפחה, סטה בית המשפט ממתחם העונש ההולם והשית עליו 120 ימי מאסר שירוצו בעבודות שירות, לצד מאסר על תנאי, צו מבחן למשך שנה ופיצוי למתלוננת. </w:t>
      </w:r>
    </w:p>
    <w:p w14:paraId="427C1BC3" w14:textId="77777777" w:rsidR="008717BB" w:rsidRDefault="008717BB" w:rsidP="008717BB">
      <w:pPr>
        <w:spacing w:line="360" w:lineRule="auto"/>
        <w:ind w:left="425"/>
        <w:contextualSpacing/>
        <w:jc w:val="both"/>
        <w:rPr>
          <w:rtl/>
        </w:rPr>
      </w:pPr>
    </w:p>
    <w:p w14:paraId="2E41CEF3" w14:textId="77777777" w:rsidR="008717BB" w:rsidRDefault="008717BB" w:rsidP="008717BB">
      <w:pPr>
        <w:spacing w:line="360" w:lineRule="auto"/>
        <w:ind w:left="425"/>
        <w:contextualSpacing/>
        <w:jc w:val="both"/>
        <w:rPr>
          <w:rtl/>
        </w:rPr>
      </w:pPr>
      <w:r>
        <w:rPr>
          <w:rFonts w:hint="cs"/>
          <w:rtl/>
        </w:rPr>
        <w:t xml:space="preserve">לא מצאתי לגזור משני פסקי הדין לעיל לעניינו של הנאשם שבפניי, מאחר שבעניינו של הנאשם לא מתקיימים שיקולי שיקום, שכן הנאשם לא עבר כל הליך שיקומי ולא הוכח שמתקיימים סיכוי שיקום בעניינו. לא נעלמה מעיני טענת הסנגורית, כי אין בשב"ס מסגרת מתאימה לנפגעי פוסט טראומה וההצעה הטיפולית של ד"ר תמיר לא נבחנה עד תום בהליך המעצר. </w:t>
      </w:r>
    </w:p>
    <w:p w14:paraId="2DAD0237" w14:textId="77777777" w:rsidR="008717BB" w:rsidRPr="00705398" w:rsidRDefault="008717BB" w:rsidP="008717BB">
      <w:pPr>
        <w:ind w:left="425"/>
        <w:contextualSpacing/>
        <w:jc w:val="both"/>
      </w:pPr>
    </w:p>
    <w:p w14:paraId="613ACBD3" w14:textId="77777777" w:rsidR="008717BB" w:rsidRPr="000F776B" w:rsidRDefault="008717BB" w:rsidP="008717BB">
      <w:pPr>
        <w:numPr>
          <w:ilvl w:val="0"/>
          <w:numId w:val="1"/>
        </w:numPr>
        <w:spacing w:line="360" w:lineRule="auto"/>
        <w:ind w:left="425" w:hanging="425"/>
        <w:contextualSpacing/>
        <w:jc w:val="both"/>
      </w:pPr>
      <w:r w:rsidRPr="000F776B">
        <w:rPr>
          <w:rFonts w:hint="cs"/>
          <w:rtl/>
        </w:rPr>
        <w:t xml:space="preserve">נוכח כל המפורט לעיל, </w:t>
      </w:r>
      <w:r w:rsidRPr="000F776B">
        <w:rPr>
          <w:rtl/>
        </w:rPr>
        <w:t>לא קיימים שיקולים המצדיקים סטיה ממתחם העונש לחומרא או לקולא.</w:t>
      </w:r>
    </w:p>
    <w:p w14:paraId="27AA414F" w14:textId="77777777" w:rsidR="008717BB" w:rsidRDefault="008717BB" w:rsidP="008717BB">
      <w:pPr>
        <w:spacing w:line="360" w:lineRule="auto"/>
        <w:jc w:val="both"/>
        <w:rPr>
          <w:rFonts w:ascii="David" w:hAnsi="David"/>
          <w:b/>
          <w:bCs/>
          <w:u w:val="single"/>
          <w:rtl/>
        </w:rPr>
      </w:pPr>
    </w:p>
    <w:p w14:paraId="49983D81" w14:textId="77777777" w:rsidR="008717BB" w:rsidRPr="000F776B" w:rsidRDefault="008717BB" w:rsidP="008717BB">
      <w:pPr>
        <w:spacing w:line="360" w:lineRule="auto"/>
        <w:jc w:val="both"/>
        <w:rPr>
          <w:b/>
          <w:bCs/>
          <w:u w:val="single"/>
        </w:rPr>
      </w:pPr>
      <w:r w:rsidRPr="000F776B">
        <w:rPr>
          <w:rFonts w:ascii="David" w:hAnsi="David" w:hint="cs"/>
          <w:b/>
          <w:bCs/>
          <w:u w:val="single"/>
          <w:rtl/>
        </w:rPr>
        <w:t>מתחם העונש בעבירת הסמים</w:t>
      </w:r>
    </w:p>
    <w:p w14:paraId="707C547A" w14:textId="77777777" w:rsidR="008717BB" w:rsidRDefault="008717BB" w:rsidP="008717BB">
      <w:pPr>
        <w:numPr>
          <w:ilvl w:val="0"/>
          <w:numId w:val="1"/>
        </w:numPr>
        <w:spacing w:line="360" w:lineRule="auto"/>
        <w:ind w:left="425" w:hanging="425"/>
        <w:contextualSpacing/>
        <w:jc w:val="both"/>
      </w:pPr>
      <w:r>
        <w:rPr>
          <w:rFonts w:hint="cs"/>
          <w:rtl/>
        </w:rPr>
        <w:t>הנאשם החזיק במרפסת ביתו שלושה שתילים של סם מסוכן מסוג קנבוס במשקל 23 גרם נטו.</w:t>
      </w:r>
    </w:p>
    <w:p w14:paraId="6CC1CB9F" w14:textId="77777777" w:rsidR="008717BB" w:rsidRDefault="008717BB" w:rsidP="008717BB">
      <w:pPr>
        <w:ind w:left="425"/>
        <w:contextualSpacing/>
        <w:jc w:val="both"/>
      </w:pPr>
    </w:p>
    <w:p w14:paraId="61AD83FA" w14:textId="77777777" w:rsidR="008717BB" w:rsidRDefault="008717BB" w:rsidP="008717BB">
      <w:pPr>
        <w:numPr>
          <w:ilvl w:val="0"/>
          <w:numId w:val="1"/>
        </w:numPr>
        <w:spacing w:line="360" w:lineRule="auto"/>
        <w:ind w:left="425" w:hanging="425"/>
        <w:contextualSpacing/>
        <w:jc w:val="both"/>
      </w:pPr>
      <w:r w:rsidRPr="00C41A61">
        <w:rPr>
          <w:rtl/>
        </w:rPr>
        <w:t xml:space="preserve">בחינת מדיניות הענישה הנוהגת מעלה, כי במקרים דומים הוטלו על נאשמים מנעד עונשים רחב החל ממאסר לתקופה קצרה, שיכול וירוצה בדרך של עבודות שירות ועד מאסר בפועל </w:t>
      </w:r>
      <w:r>
        <w:rPr>
          <w:rFonts w:hint="cs"/>
          <w:rtl/>
        </w:rPr>
        <w:t>(</w:t>
      </w:r>
      <w:r w:rsidRPr="00C41A61">
        <w:rPr>
          <w:rtl/>
        </w:rPr>
        <w:t xml:space="preserve">ראו למשל </w:t>
      </w:r>
      <w:hyperlink r:id="rId37" w:history="1">
        <w:r w:rsidR="008A1D03" w:rsidRPr="008A1D03">
          <w:rPr>
            <w:color w:val="0000FF"/>
            <w:u w:val="single"/>
            <w:rtl/>
          </w:rPr>
          <w:t>עפ"ג (ב"ש) 13427-04-13</w:t>
        </w:r>
      </w:hyperlink>
      <w:r w:rsidRPr="001D6A93">
        <w:rPr>
          <w:rtl/>
        </w:rPr>
        <w:t xml:space="preserve"> </w:t>
      </w:r>
      <w:r w:rsidRPr="001D6A93">
        <w:rPr>
          <w:rFonts w:hint="cs"/>
          <w:b/>
          <w:bCs/>
          <w:rtl/>
        </w:rPr>
        <w:t>דוד קדוש נ' מדינת ישראל</w:t>
      </w:r>
      <w:r>
        <w:rPr>
          <w:rFonts w:hint="cs"/>
          <w:rtl/>
        </w:rPr>
        <w:t xml:space="preserve"> (2.9.13), </w:t>
      </w:r>
      <w:hyperlink r:id="rId38" w:history="1">
        <w:r w:rsidR="008A1D03" w:rsidRPr="008A1D03">
          <w:rPr>
            <w:color w:val="0000FF"/>
            <w:u w:val="single"/>
            <w:rtl/>
          </w:rPr>
          <w:t>ת"פ 44977-10-15</w:t>
        </w:r>
      </w:hyperlink>
      <w:r w:rsidRPr="001D6A93">
        <w:rPr>
          <w:rtl/>
        </w:rPr>
        <w:t xml:space="preserve"> </w:t>
      </w:r>
      <w:r w:rsidRPr="001D6A93">
        <w:rPr>
          <w:b/>
          <w:bCs/>
          <w:rtl/>
        </w:rPr>
        <w:t>מדינת ישראל נ' חטואל</w:t>
      </w:r>
      <w:r w:rsidRPr="001D6A93">
        <w:rPr>
          <w:rtl/>
        </w:rPr>
        <w:t xml:space="preserve"> (7.9.16), </w:t>
      </w:r>
      <w:hyperlink r:id="rId39" w:history="1">
        <w:r w:rsidR="008A1D03" w:rsidRPr="008A1D03">
          <w:rPr>
            <w:color w:val="0000FF"/>
            <w:u w:val="single"/>
            <w:rtl/>
          </w:rPr>
          <w:t>ת"פ 59602-07-15</w:t>
        </w:r>
      </w:hyperlink>
      <w:r w:rsidRPr="001D6A93">
        <w:rPr>
          <w:rtl/>
        </w:rPr>
        <w:t xml:space="preserve"> </w:t>
      </w:r>
      <w:r w:rsidRPr="001D6A93">
        <w:rPr>
          <w:b/>
          <w:bCs/>
          <w:rtl/>
        </w:rPr>
        <w:t>משטרת ישראל נ' חטאב</w:t>
      </w:r>
      <w:r w:rsidRPr="001D6A93">
        <w:rPr>
          <w:rtl/>
        </w:rPr>
        <w:t xml:space="preserve"> (13.12.16), 30494-12-13 </w:t>
      </w:r>
      <w:hyperlink r:id="rId40" w:history="1">
        <w:r w:rsidR="008A1D03" w:rsidRPr="008A1D03">
          <w:rPr>
            <w:color w:val="0000FF"/>
            <w:u w:val="single"/>
            <w:rtl/>
          </w:rPr>
          <w:t>ת"פ 44601-05-14</w:t>
        </w:r>
      </w:hyperlink>
      <w:r w:rsidRPr="001D6A93">
        <w:rPr>
          <w:rtl/>
        </w:rPr>
        <w:t xml:space="preserve"> </w:t>
      </w:r>
      <w:r w:rsidRPr="001D6A93">
        <w:rPr>
          <w:b/>
          <w:bCs/>
          <w:rtl/>
        </w:rPr>
        <w:t>משטרת ישראל נ' הלוי</w:t>
      </w:r>
      <w:r>
        <w:rPr>
          <w:rtl/>
        </w:rPr>
        <w:t xml:space="preserve"> (28.6.15)</w:t>
      </w:r>
      <w:r w:rsidRPr="001D6A93">
        <w:rPr>
          <w:rtl/>
        </w:rPr>
        <w:t xml:space="preserve"> </w:t>
      </w:r>
      <w:r>
        <w:rPr>
          <w:rFonts w:hint="cs"/>
          <w:rtl/>
        </w:rPr>
        <w:t>ו</w:t>
      </w:r>
      <w:hyperlink r:id="rId41" w:history="1">
        <w:r w:rsidR="008A1D03" w:rsidRPr="008A1D03">
          <w:rPr>
            <w:color w:val="0000FF"/>
            <w:u w:val="single"/>
            <w:rtl/>
          </w:rPr>
          <w:t>ת"פ 45518-09-16</w:t>
        </w:r>
      </w:hyperlink>
      <w:r w:rsidRPr="001D6A93">
        <w:rPr>
          <w:rtl/>
        </w:rPr>
        <w:t xml:space="preserve"> </w:t>
      </w:r>
      <w:r w:rsidRPr="001D6A93">
        <w:rPr>
          <w:b/>
          <w:bCs/>
          <w:rtl/>
        </w:rPr>
        <w:t>מדינת ישראל נ' אהרונוב</w:t>
      </w:r>
      <w:r w:rsidRPr="001D6A93">
        <w:rPr>
          <w:rtl/>
        </w:rPr>
        <w:t xml:space="preserve"> (28.2.18)</w:t>
      </w:r>
      <w:r>
        <w:rPr>
          <w:rFonts w:hint="cs"/>
          <w:rtl/>
        </w:rPr>
        <w:t>)</w:t>
      </w:r>
      <w:r w:rsidRPr="001D6A93">
        <w:rPr>
          <w:rtl/>
        </w:rPr>
        <w:t>.</w:t>
      </w:r>
    </w:p>
    <w:p w14:paraId="58ACF957" w14:textId="77777777" w:rsidR="008717BB" w:rsidRDefault="008717BB" w:rsidP="008717BB">
      <w:pPr>
        <w:spacing w:line="360" w:lineRule="auto"/>
        <w:ind w:left="425"/>
        <w:contextualSpacing/>
        <w:jc w:val="both"/>
      </w:pPr>
    </w:p>
    <w:p w14:paraId="7EE6718B" w14:textId="77777777" w:rsidR="008717BB" w:rsidRDefault="008717BB" w:rsidP="008717BB">
      <w:pPr>
        <w:numPr>
          <w:ilvl w:val="0"/>
          <w:numId w:val="1"/>
        </w:numPr>
        <w:spacing w:line="360" w:lineRule="auto"/>
        <w:ind w:left="425" w:hanging="425"/>
        <w:contextualSpacing/>
        <w:jc w:val="both"/>
      </w:pPr>
      <w:r>
        <w:rPr>
          <w:rFonts w:hint="cs"/>
          <w:rtl/>
        </w:rPr>
        <w:t>בשים לב ל</w:t>
      </w:r>
      <w:r w:rsidRPr="00C41A61">
        <w:rPr>
          <w:rtl/>
        </w:rPr>
        <w:t>מדיניות הענישה הנוהגת</w:t>
      </w:r>
      <w:r>
        <w:rPr>
          <w:rFonts w:hint="cs"/>
          <w:rtl/>
        </w:rPr>
        <w:t xml:space="preserve">, </w:t>
      </w:r>
      <w:r w:rsidRPr="00C41A61">
        <w:rPr>
          <w:rtl/>
        </w:rPr>
        <w:t xml:space="preserve">נסיבות ביצוע העבירה, </w:t>
      </w:r>
      <w:r>
        <w:rPr>
          <w:rFonts w:hint="cs"/>
          <w:rtl/>
        </w:rPr>
        <w:t xml:space="preserve">ובהתחשב במצבו של הנאשם כעולה מהמסכים שהוגשו על ידי ההגנה, </w:t>
      </w:r>
      <w:r w:rsidRPr="00C41A61">
        <w:rPr>
          <w:rtl/>
        </w:rPr>
        <w:t>אני סבורה כי מתחם העונש ההולם לעביר</w:t>
      </w:r>
      <w:r>
        <w:rPr>
          <w:rFonts w:hint="cs"/>
          <w:rtl/>
        </w:rPr>
        <w:t>ה</w:t>
      </w:r>
      <w:r w:rsidRPr="00C41A61">
        <w:rPr>
          <w:rtl/>
        </w:rPr>
        <w:t xml:space="preserve"> בה הורשע הנאשם הוא בין </w:t>
      </w:r>
      <w:r>
        <w:rPr>
          <w:rFonts w:hint="cs"/>
          <w:rtl/>
        </w:rPr>
        <w:t xml:space="preserve">מספר </w:t>
      </w:r>
      <w:r w:rsidRPr="00C41A61">
        <w:rPr>
          <w:rtl/>
        </w:rPr>
        <w:t>חודשי מאסר, שיכול וירוצו בעבודות שירות</w:t>
      </w:r>
      <w:r>
        <w:rPr>
          <w:rFonts w:hint="cs"/>
          <w:rtl/>
        </w:rPr>
        <w:t>,</w:t>
      </w:r>
      <w:r w:rsidRPr="00C41A61">
        <w:rPr>
          <w:rtl/>
        </w:rPr>
        <w:t xml:space="preserve"> </w:t>
      </w:r>
      <w:r>
        <w:rPr>
          <w:rFonts w:hint="cs"/>
          <w:rtl/>
        </w:rPr>
        <w:t xml:space="preserve">ועד 12 </w:t>
      </w:r>
      <w:r w:rsidRPr="00C41A61">
        <w:rPr>
          <w:rtl/>
        </w:rPr>
        <w:t xml:space="preserve">חודשי מאסר </w:t>
      </w:r>
      <w:r>
        <w:rPr>
          <w:rFonts w:hint="cs"/>
          <w:rtl/>
        </w:rPr>
        <w:t xml:space="preserve">בפועל </w:t>
      </w:r>
      <w:r w:rsidRPr="00C41A61">
        <w:rPr>
          <w:rtl/>
        </w:rPr>
        <w:t xml:space="preserve">לצד </w:t>
      </w:r>
      <w:r>
        <w:rPr>
          <w:rFonts w:hint="cs"/>
          <w:rtl/>
        </w:rPr>
        <w:t>רכיבי ענישה נלווים</w:t>
      </w:r>
      <w:r w:rsidRPr="00C41A61">
        <w:rPr>
          <w:rtl/>
        </w:rPr>
        <w:t xml:space="preserve">. </w:t>
      </w:r>
    </w:p>
    <w:p w14:paraId="699ED3C2" w14:textId="77777777" w:rsidR="008717BB" w:rsidRDefault="008717BB" w:rsidP="008717BB">
      <w:pPr>
        <w:ind w:left="425"/>
        <w:contextualSpacing/>
        <w:jc w:val="both"/>
      </w:pPr>
    </w:p>
    <w:p w14:paraId="0D2EB9D5" w14:textId="77777777" w:rsidR="008717BB" w:rsidRPr="000F776B" w:rsidRDefault="008717BB" w:rsidP="008717BB">
      <w:pPr>
        <w:numPr>
          <w:ilvl w:val="0"/>
          <w:numId w:val="1"/>
        </w:numPr>
        <w:spacing w:line="360" w:lineRule="auto"/>
        <w:ind w:left="425" w:hanging="425"/>
        <w:contextualSpacing/>
        <w:jc w:val="both"/>
      </w:pPr>
      <w:r w:rsidRPr="000F776B">
        <w:rPr>
          <w:rtl/>
        </w:rPr>
        <w:t xml:space="preserve">במקרה דנן, </w:t>
      </w:r>
      <w:r>
        <w:rPr>
          <w:rFonts w:hint="cs"/>
          <w:rtl/>
        </w:rPr>
        <w:t xml:space="preserve">כאמור, </w:t>
      </w:r>
      <w:r w:rsidRPr="000F776B">
        <w:rPr>
          <w:rtl/>
        </w:rPr>
        <w:t>לא קיימים שיקולים המצדיקים סטיה ממתחם העונש לחומרא או לקולא.</w:t>
      </w:r>
    </w:p>
    <w:p w14:paraId="549BD9A0" w14:textId="77777777" w:rsidR="008717BB" w:rsidRDefault="008717BB" w:rsidP="008717BB">
      <w:pPr>
        <w:spacing w:line="360" w:lineRule="auto"/>
        <w:contextualSpacing/>
        <w:jc w:val="both"/>
        <w:rPr>
          <w:b/>
          <w:bCs/>
          <w:u w:val="single"/>
          <w:rtl/>
        </w:rPr>
      </w:pPr>
    </w:p>
    <w:p w14:paraId="79F8A045" w14:textId="77777777" w:rsidR="008717BB" w:rsidRDefault="008717BB" w:rsidP="008717BB">
      <w:pPr>
        <w:spacing w:line="360" w:lineRule="auto"/>
        <w:contextualSpacing/>
        <w:jc w:val="both"/>
      </w:pPr>
      <w:r w:rsidRPr="003B0C32">
        <w:rPr>
          <w:b/>
          <w:bCs/>
          <w:u w:val="single"/>
          <w:rtl/>
        </w:rPr>
        <w:t xml:space="preserve">מתחם הקנס והפיצוי </w:t>
      </w:r>
    </w:p>
    <w:p w14:paraId="52296C67" w14:textId="77777777" w:rsidR="008717BB" w:rsidRDefault="008717BB" w:rsidP="008717BB">
      <w:pPr>
        <w:numPr>
          <w:ilvl w:val="0"/>
          <w:numId w:val="1"/>
        </w:numPr>
        <w:spacing w:line="360" w:lineRule="auto"/>
        <w:ind w:left="425" w:hanging="425"/>
        <w:contextualSpacing/>
        <w:jc w:val="both"/>
      </w:pPr>
      <w:r w:rsidRPr="003B0C32">
        <w:rPr>
          <w:rFonts w:ascii="David" w:hAnsi="David"/>
          <w:color w:val="000000"/>
          <w:rtl/>
        </w:rPr>
        <w:t xml:space="preserve">בהתאם </w:t>
      </w:r>
      <w:hyperlink r:id="rId42" w:history="1">
        <w:r w:rsidR="00567A98" w:rsidRPr="00567A98">
          <w:rPr>
            <w:rStyle w:val="Hyperlink"/>
            <w:rFonts w:ascii="David" w:hAnsi="David"/>
            <w:rtl/>
          </w:rPr>
          <w:t>לסעיף 40ח'</w:t>
        </w:r>
      </w:hyperlink>
      <w:r w:rsidRPr="003B0C32">
        <w:rPr>
          <w:rFonts w:ascii="David" w:hAnsi="David"/>
          <w:color w:val="000000"/>
          <w:rtl/>
        </w:rPr>
        <w:t xml:space="preserve"> ל</w:t>
      </w:r>
      <w:hyperlink r:id="rId43" w:history="1">
        <w:r w:rsidR="008A1D03" w:rsidRPr="008A1D03">
          <w:rPr>
            <w:rFonts w:ascii="David" w:hAnsi="David"/>
            <w:color w:val="0000FF"/>
            <w:u w:val="single"/>
            <w:rtl/>
          </w:rPr>
          <w:t>חוק העונשין</w:t>
        </w:r>
      </w:hyperlink>
      <w:r w:rsidRPr="003B0C32">
        <w:rPr>
          <w:rFonts w:ascii="David" w:hAnsi="David"/>
          <w:color w:val="000000"/>
          <w:rtl/>
        </w:rPr>
        <w:t xml:space="preserve"> "</w:t>
      </w:r>
      <w:r w:rsidRPr="003B0C32">
        <w:rPr>
          <w:rFonts w:ascii="David" w:hAnsi="David"/>
          <w:b/>
          <w:bCs/>
          <w:color w:val="000000"/>
          <w:rtl/>
        </w:rPr>
        <w:t>קבע בית משפט כי מתחם העונש ההולם כולל עונש קנס, יתחשב, נוסף על האמור בסעיף 40ג(א) במצבו הכלכלי של הנאשם, לצורך קביעת מתחם הקנס ההולם</w:t>
      </w:r>
      <w:r w:rsidRPr="003B0C32">
        <w:rPr>
          <w:rFonts w:ascii="David" w:hAnsi="David"/>
          <w:color w:val="000000"/>
          <w:rtl/>
        </w:rPr>
        <w:t>".</w:t>
      </w:r>
    </w:p>
    <w:p w14:paraId="1A3096A5" w14:textId="77777777" w:rsidR="008717BB" w:rsidRDefault="008717BB" w:rsidP="008717BB">
      <w:pPr>
        <w:spacing w:line="360" w:lineRule="auto"/>
        <w:ind w:left="425"/>
        <w:contextualSpacing/>
        <w:jc w:val="both"/>
      </w:pPr>
      <w:r w:rsidRPr="003B0C32">
        <w:rPr>
          <w:rFonts w:ascii="David" w:hAnsi="David"/>
          <w:color w:val="000000"/>
          <w:rtl/>
        </w:rPr>
        <w:t>משכך, בקביעת מתחם הקנס על בית המשפט להתחשב בחומרת העבירות ובמצבו הכלכלי האישי של הנאשם. בתוך כך, על בית המשפט לתת דעתו לכך שלנאשם זכות לקיום אנושי בסיסי שיבטיח תנאי מחיה מנימאליים בכבוד לו ולמשפחתו (</w:t>
      </w:r>
      <w:hyperlink r:id="rId44" w:history="1">
        <w:r w:rsidR="008A1D03" w:rsidRPr="008A1D03">
          <w:rPr>
            <w:rFonts w:ascii="David" w:hAnsi="David"/>
            <w:color w:val="0000FF"/>
            <w:u w:val="single"/>
            <w:rtl/>
          </w:rPr>
          <w:t>בג"צ 10662/04</w:t>
        </w:r>
      </w:hyperlink>
      <w:r w:rsidRPr="003B0C32">
        <w:rPr>
          <w:rFonts w:ascii="David" w:hAnsi="David"/>
          <w:b/>
          <w:bCs/>
          <w:color w:val="000000"/>
          <w:rtl/>
        </w:rPr>
        <w:t xml:space="preserve"> חסן נ' המוסד לביטוח לאומי</w:t>
      </w:r>
      <w:r w:rsidRPr="003B0C32">
        <w:rPr>
          <w:rFonts w:ascii="David" w:hAnsi="David"/>
          <w:color w:val="000000"/>
          <w:rtl/>
        </w:rPr>
        <w:t xml:space="preserve"> (28.2.12)). </w:t>
      </w:r>
    </w:p>
    <w:p w14:paraId="550FE8A5" w14:textId="77777777" w:rsidR="008717BB" w:rsidRDefault="008717BB" w:rsidP="008717BB">
      <w:pPr>
        <w:ind w:left="425"/>
        <w:contextualSpacing/>
        <w:jc w:val="both"/>
      </w:pPr>
    </w:p>
    <w:p w14:paraId="5E5CDE54" w14:textId="77777777" w:rsidR="008717BB" w:rsidRDefault="008717BB" w:rsidP="008717BB">
      <w:pPr>
        <w:numPr>
          <w:ilvl w:val="0"/>
          <w:numId w:val="1"/>
        </w:numPr>
        <w:spacing w:line="360" w:lineRule="auto"/>
        <w:ind w:left="425" w:hanging="425"/>
        <w:contextualSpacing/>
        <w:jc w:val="both"/>
      </w:pPr>
      <w:r>
        <w:rPr>
          <w:rFonts w:hint="cs"/>
          <w:rtl/>
        </w:rPr>
        <w:t xml:space="preserve">הצדדים לא טענו לעניין מתחם הקנס. </w:t>
      </w:r>
      <w:r>
        <w:rPr>
          <w:rtl/>
        </w:rPr>
        <w:t>לא הוצגו בפניי ראיות אודות מצבו הכלכלי של הנאשם מעבר ל</w:t>
      </w:r>
      <w:r>
        <w:rPr>
          <w:rFonts w:hint="cs"/>
          <w:rtl/>
        </w:rPr>
        <w:t>עובדה שמזה מספר חודשים הוא נתון במעצר.</w:t>
      </w:r>
    </w:p>
    <w:p w14:paraId="2BCA14EF" w14:textId="77777777" w:rsidR="008717BB" w:rsidRDefault="008717BB" w:rsidP="008717BB">
      <w:pPr>
        <w:spacing w:line="360" w:lineRule="auto"/>
        <w:ind w:left="425"/>
        <w:contextualSpacing/>
        <w:jc w:val="both"/>
      </w:pPr>
    </w:p>
    <w:p w14:paraId="0291D531" w14:textId="77777777" w:rsidR="008717BB" w:rsidRDefault="008717BB" w:rsidP="008717BB">
      <w:pPr>
        <w:numPr>
          <w:ilvl w:val="0"/>
          <w:numId w:val="1"/>
        </w:numPr>
        <w:spacing w:line="360" w:lineRule="auto"/>
        <w:ind w:left="425" w:hanging="425"/>
        <w:contextualSpacing/>
        <w:jc w:val="both"/>
      </w:pPr>
      <w:r>
        <w:rPr>
          <w:rFonts w:hint="cs"/>
          <w:rtl/>
        </w:rPr>
        <w:t>בהתחשב בטיב העבירות, אלימות כלפי בת סוג וסמים, ובהעדר נתונים אודות מצבו הכלכלי של הנאשם, אני קובעת כי מתחם הקנס הוא בסך אלפי שקלים.</w:t>
      </w:r>
    </w:p>
    <w:p w14:paraId="2FAC6D67" w14:textId="77777777" w:rsidR="008717BB" w:rsidRPr="003B0C32" w:rsidRDefault="008717BB" w:rsidP="008717BB">
      <w:pPr>
        <w:spacing w:line="360" w:lineRule="auto"/>
        <w:ind w:left="425"/>
        <w:contextualSpacing/>
        <w:jc w:val="both"/>
        <w:rPr>
          <w:rtl/>
        </w:rPr>
      </w:pPr>
    </w:p>
    <w:p w14:paraId="04EDCF88" w14:textId="77777777" w:rsidR="008717BB" w:rsidRPr="0054140B" w:rsidRDefault="008717BB" w:rsidP="008717BB">
      <w:pPr>
        <w:spacing w:line="360" w:lineRule="auto"/>
        <w:contextualSpacing/>
        <w:jc w:val="both"/>
      </w:pPr>
      <w:r w:rsidRPr="00973F04">
        <w:rPr>
          <w:rFonts w:hint="cs"/>
          <w:b/>
          <w:bCs/>
          <w:u w:val="single"/>
          <w:rtl/>
        </w:rPr>
        <w:t>גזירת העונש המתאים לנאשם</w:t>
      </w:r>
    </w:p>
    <w:p w14:paraId="323F46FC" w14:textId="77777777" w:rsidR="008717BB" w:rsidRDefault="008717BB" w:rsidP="008717BB">
      <w:pPr>
        <w:numPr>
          <w:ilvl w:val="0"/>
          <w:numId w:val="1"/>
        </w:numPr>
        <w:spacing w:line="360" w:lineRule="auto"/>
        <w:ind w:left="425" w:hanging="425"/>
        <w:contextualSpacing/>
        <w:jc w:val="both"/>
      </w:pPr>
      <w:r w:rsidRPr="00055EDB">
        <w:rPr>
          <w:rFonts w:ascii="David" w:hAnsi="David"/>
          <w:color w:val="000000"/>
          <w:rtl/>
        </w:rPr>
        <w:t xml:space="preserve">בגזירת העונש המתאים לנאשם, בגדרי מתחם העונש ההולם, יש להתחשב </w:t>
      </w:r>
      <w:r w:rsidRPr="00055EDB">
        <w:rPr>
          <w:rFonts w:ascii="David" w:hAnsi="David"/>
          <w:b/>
          <w:bCs/>
          <w:color w:val="000000"/>
          <w:rtl/>
        </w:rPr>
        <w:t>בנסיבות שאינן קשורות בביצוע העבירה</w:t>
      </w:r>
      <w:r w:rsidRPr="00055EDB">
        <w:rPr>
          <w:rFonts w:ascii="David" w:hAnsi="David"/>
          <w:color w:val="000000"/>
          <w:rtl/>
        </w:rPr>
        <w:t>. במסגרת זו מן הראוי ליתן את הדעת לנסיבות הבאות</w:t>
      </w:r>
      <w:r w:rsidRPr="00055EDB">
        <w:rPr>
          <w:rtl/>
        </w:rPr>
        <w:t>.</w:t>
      </w:r>
    </w:p>
    <w:p w14:paraId="4092FC53" w14:textId="77777777" w:rsidR="008717BB" w:rsidRDefault="008717BB" w:rsidP="008717BB">
      <w:pPr>
        <w:spacing w:line="360" w:lineRule="auto"/>
        <w:ind w:left="425"/>
        <w:contextualSpacing/>
        <w:jc w:val="both"/>
        <w:rPr>
          <w:rtl/>
        </w:rPr>
      </w:pPr>
    </w:p>
    <w:p w14:paraId="61E6E0A1" w14:textId="77777777" w:rsidR="008717BB" w:rsidRDefault="008717BB" w:rsidP="008717BB">
      <w:pPr>
        <w:spacing w:line="360" w:lineRule="auto"/>
        <w:ind w:left="425"/>
        <w:contextualSpacing/>
        <w:jc w:val="both"/>
        <w:rPr>
          <w:rtl/>
        </w:rPr>
      </w:pPr>
      <w:r>
        <w:rPr>
          <w:rFonts w:hint="cs"/>
          <w:rtl/>
        </w:rPr>
        <w:t xml:space="preserve">הנאשם כבן 40, גרוש, אב לשלושה ובעל עבר פלילי ישן. כעולה מחוות דעת שהוגשו בעניינו נסיבות חייו מורכבות. הוא עלה ארצה בשנת 1995 עם אמו. אחותו למחצה נפטרה בגיל 14 ממחלה קשה. הוא שירת כלוחם, נפצע ואיבד את חברו שלחם לצידו במהלך מארב. הנאשם התקשה להתאושש ממות חברו ועולים סימני פוסט טראומה. עם שחרורו מהצבא, כהתמודדות עם פוסט טראומה, החל הנאשם להשתמש בסמים, לרבות סמים קשים, ובשל כך הסתבך בעבירות רכוש בגינן ריצה שנת מאסר ולאחריה חזר להשתמש בסמים. על רקע טיפול שקיבל הפסיק להשתמש בסמים, למעט מריחואנה, שמסייעת לו לשינה. </w:t>
      </w:r>
    </w:p>
    <w:p w14:paraId="71447094" w14:textId="77777777" w:rsidR="008717BB" w:rsidRDefault="008717BB" w:rsidP="008717BB">
      <w:pPr>
        <w:spacing w:line="360" w:lineRule="auto"/>
        <w:ind w:left="425"/>
        <w:contextualSpacing/>
        <w:jc w:val="both"/>
        <w:rPr>
          <w:rtl/>
        </w:rPr>
      </w:pPr>
      <w:r>
        <w:rPr>
          <w:rFonts w:hint="cs"/>
          <w:rtl/>
        </w:rPr>
        <w:t xml:space="preserve">הנאשם מוכר למערכת הפסיכיאטרית מאשפוז לצורך גמילה מסמים ואלכוהול במחלקה לתחלואה כפולה בשנת 2006 וללא אשפוזים פסיכיאטריים נוספים. </w:t>
      </w:r>
    </w:p>
    <w:p w14:paraId="699FD3C7" w14:textId="77777777" w:rsidR="008717BB" w:rsidRDefault="008717BB" w:rsidP="008717BB">
      <w:pPr>
        <w:spacing w:line="360" w:lineRule="auto"/>
        <w:ind w:left="425"/>
        <w:contextualSpacing/>
        <w:jc w:val="both"/>
        <w:rPr>
          <w:rtl/>
        </w:rPr>
      </w:pPr>
      <w:r>
        <w:rPr>
          <w:rFonts w:hint="cs"/>
          <w:rtl/>
        </w:rPr>
        <w:t>הנאשם נטל אחריות על מעשיו, הביע צער וביקש הזדמנות לשוב ולחיות חיים נורמטיביים.</w:t>
      </w:r>
    </w:p>
    <w:p w14:paraId="338C566E" w14:textId="77777777" w:rsidR="008717BB" w:rsidRPr="00055EDB" w:rsidRDefault="008717BB" w:rsidP="008717BB">
      <w:pPr>
        <w:contextualSpacing/>
        <w:jc w:val="both"/>
        <w:rPr>
          <w:rtl/>
        </w:rPr>
      </w:pPr>
    </w:p>
    <w:p w14:paraId="29DC8B56" w14:textId="77777777" w:rsidR="008717BB" w:rsidRDefault="008717BB" w:rsidP="008717BB">
      <w:pPr>
        <w:numPr>
          <w:ilvl w:val="0"/>
          <w:numId w:val="1"/>
        </w:numPr>
        <w:spacing w:line="360" w:lineRule="auto"/>
        <w:ind w:left="425" w:hanging="425"/>
        <w:contextualSpacing/>
        <w:jc w:val="both"/>
      </w:pPr>
      <w:r>
        <w:rPr>
          <w:rFonts w:hint="cs"/>
          <w:rtl/>
        </w:rPr>
        <w:t xml:space="preserve">המתלוננת העידה בפניי בשלב הטיעונים לעונש. אישה משכילה, אסרטיבית ונחושה שביקשה להשמיע את עמדתה בטרם גזירת דינו של הנאשם. לא אתעלם מדבריה, אך לא מצאתי לתת להם משקל של ממש. המתלוננת מסרה, כי אינה חוששת מהנאשם, והביעה תרעומת על כך שהמאשימה וגורמים נוספים פונים אליה כאל "אישה מוכה" ומציעים לה עזרה שאינה נחוצה לה. יש לקוות, כי המתלוננת תדע לעמוד על שלה אם חלילה ינקוט הנאשם באלימות חוזרת כלפיה, אך הרושם היה, כי לא תבחר לעשות זאת על מנת להגן על הנאשם מהשלכות הגשת התלונה, מעצר/מאסר. בנסיבות אלה, עם כל ההבנה לעמדתה של המתלוננת החפצה בשחרורו של הנאשם ובשיקום מערכת היחסים הזוגית, הרושם שהותירה עלי הוא שהיא מבקשת את טובת הנאשם אף על חשבון טובתה ושלומה שלה. בית המשפט אמון על האינטרסים השונים, ובכלל זה דאגה לשלומה של המתלוננת, אף אם היא מתקשה לראות את הדברים, לא מתוך תפיסה פטרנליסטית אלא כדי להעביר מסר לנאשם ושכמותו, כי העובדה שהמתלוננת נמלכה בדעתה ורוצה בטובתו גם על חשבון בטחונה האישי, אין די בו לחלצו מענישה. </w:t>
      </w:r>
    </w:p>
    <w:p w14:paraId="0CDA1FC3" w14:textId="77777777" w:rsidR="008717BB" w:rsidRDefault="008717BB" w:rsidP="008717BB">
      <w:pPr>
        <w:spacing w:line="360" w:lineRule="auto"/>
        <w:ind w:left="425"/>
        <w:contextualSpacing/>
        <w:jc w:val="both"/>
        <w:rPr>
          <w:rtl/>
        </w:rPr>
      </w:pPr>
      <w:r>
        <w:rPr>
          <w:rFonts w:hint="cs"/>
          <w:rtl/>
        </w:rPr>
        <w:t>המתלוננת מסרה שהיא יודעת מה טוב עבורה ואני מכבדת את רצונה שלא להסתייע בגורמים השונים שהציעו את עזרתם, אך לא אוכל להיעתר למבוקשה, שלא להשית על הנאשם ענישה מאחורי סורג ובריח מעבר לימי מעצרו, כפי שביקשה גם ב"כ הנאשם.</w:t>
      </w:r>
    </w:p>
    <w:p w14:paraId="27013430" w14:textId="77777777" w:rsidR="008717BB" w:rsidRPr="000066BC" w:rsidRDefault="008717BB" w:rsidP="008717BB">
      <w:pPr>
        <w:ind w:left="425"/>
        <w:contextualSpacing/>
        <w:jc w:val="both"/>
      </w:pPr>
      <w:r>
        <w:rPr>
          <w:rFonts w:hint="cs"/>
          <w:rtl/>
        </w:rPr>
        <w:t xml:space="preserve"> </w:t>
      </w:r>
    </w:p>
    <w:p w14:paraId="743BDFB0" w14:textId="77777777" w:rsidR="008717BB" w:rsidRDefault="008717BB" w:rsidP="008717BB">
      <w:pPr>
        <w:numPr>
          <w:ilvl w:val="0"/>
          <w:numId w:val="1"/>
        </w:numPr>
        <w:spacing w:line="360" w:lineRule="auto"/>
        <w:ind w:left="425" w:hanging="425"/>
        <w:contextualSpacing/>
        <w:jc w:val="both"/>
      </w:pPr>
      <w:r>
        <w:rPr>
          <w:rFonts w:hint="cs"/>
          <w:rtl/>
        </w:rPr>
        <w:t xml:space="preserve">לאחר שנתתי דעתי לנסיבות חייו המורכבות של הנאשם, לרבות האמור בחוות הדעת, </w:t>
      </w:r>
      <w:r w:rsidRPr="00055EDB">
        <w:rPr>
          <w:rtl/>
        </w:rPr>
        <w:t>בשים לב לנטילת האחריות</w:t>
      </w:r>
      <w:r>
        <w:rPr>
          <w:rFonts w:hint="cs"/>
          <w:rtl/>
        </w:rPr>
        <w:t xml:space="preserve"> ולהודאתו ותוך שאיני מתעלמת מעמדת המתלוננת, </w:t>
      </w:r>
      <w:r w:rsidRPr="00055EDB">
        <w:rPr>
          <w:rtl/>
        </w:rPr>
        <w:t xml:space="preserve">אני סבורה שיש למקם את עונשו של הנאשם </w:t>
      </w:r>
      <w:r>
        <w:rPr>
          <w:rFonts w:hint="cs"/>
          <w:rtl/>
        </w:rPr>
        <w:t xml:space="preserve">קרוב לחלקו העליון של השליש התחתון של </w:t>
      </w:r>
      <w:r w:rsidRPr="00055EDB">
        <w:rPr>
          <w:rtl/>
        </w:rPr>
        <w:t>מתח</w:t>
      </w:r>
      <w:r>
        <w:rPr>
          <w:rFonts w:hint="cs"/>
          <w:rtl/>
        </w:rPr>
        <w:t>מי</w:t>
      </w:r>
      <w:r w:rsidRPr="00055EDB">
        <w:rPr>
          <w:rtl/>
        </w:rPr>
        <w:t xml:space="preserve"> </w:t>
      </w:r>
      <w:r>
        <w:rPr>
          <w:rFonts w:hint="cs"/>
          <w:rtl/>
        </w:rPr>
        <w:t>הענישה.</w:t>
      </w:r>
    </w:p>
    <w:p w14:paraId="3801635E" w14:textId="77777777" w:rsidR="008717BB" w:rsidRPr="00505E3B" w:rsidRDefault="008717BB" w:rsidP="008717BB">
      <w:pPr>
        <w:jc w:val="both"/>
        <w:rPr>
          <w:rFonts w:ascii="David" w:hAnsi="David"/>
          <w:b/>
          <w:bCs/>
          <w:u w:val="single"/>
        </w:rPr>
      </w:pPr>
    </w:p>
    <w:p w14:paraId="284DCD83" w14:textId="77777777" w:rsidR="008717BB" w:rsidRPr="00055EDB" w:rsidRDefault="008717BB" w:rsidP="008717BB">
      <w:pPr>
        <w:spacing w:line="360" w:lineRule="auto"/>
        <w:jc w:val="both"/>
      </w:pPr>
      <w:r w:rsidRPr="00055EDB">
        <w:rPr>
          <w:rFonts w:ascii="David" w:hAnsi="David"/>
          <w:b/>
          <w:bCs/>
          <w:u w:val="single"/>
          <w:rtl/>
        </w:rPr>
        <w:t>סוף דבר</w:t>
      </w:r>
    </w:p>
    <w:p w14:paraId="4BD1F58D" w14:textId="77777777" w:rsidR="008717BB" w:rsidRPr="00055EDB" w:rsidRDefault="008717BB" w:rsidP="008717BB">
      <w:pPr>
        <w:numPr>
          <w:ilvl w:val="0"/>
          <w:numId w:val="1"/>
        </w:numPr>
        <w:spacing w:line="360" w:lineRule="auto"/>
        <w:ind w:left="425" w:hanging="425"/>
        <w:contextualSpacing/>
        <w:jc w:val="both"/>
      </w:pPr>
      <w:r w:rsidRPr="00055EDB">
        <w:rPr>
          <w:rFonts w:ascii="David" w:hAnsi="David"/>
          <w:rtl/>
        </w:rPr>
        <w:t>נוכח כל האמור לעיל אני גוזרת על הנאשם את העונשים הבאים</w:t>
      </w:r>
      <w:r w:rsidRPr="00055EDB">
        <w:rPr>
          <w:rFonts w:ascii="David" w:hAnsi="David"/>
        </w:rPr>
        <w:t>:</w:t>
      </w:r>
    </w:p>
    <w:p w14:paraId="50C60FB1" w14:textId="77777777" w:rsidR="008717BB" w:rsidRDefault="008717BB" w:rsidP="008717BB">
      <w:pPr>
        <w:numPr>
          <w:ilvl w:val="1"/>
          <w:numId w:val="2"/>
        </w:numPr>
        <w:spacing w:after="120" w:line="360" w:lineRule="auto"/>
        <w:ind w:left="662" w:hanging="567"/>
        <w:jc w:val="both"/>
        <w:rPr>
          <w:rFonts w:ascii="David" w:hAnsi="David"/>
        </w:rPr>
      </w:pPr>
      <w:r>
        <w:rPr>
          <w:rFonts w:ascii="David" w:hAnsi="David" w:hint="cs"/>
          <w:rtl/>
        </w:rPr>
        <w:t>20 חודשי מאסר בפועל בגין עבירות האלימות.</w:t>
      </w:r>
    </w:p>
    <w:p w14:paraId="5954E19A" w14:textId="77777777" w:rsidR="008717BB" w:rsidRPr="00527204" w:rsidRDefault="008717BB" w:rsidP="008717BB">
      <w:pPr>
        <w:spacing w:after="120" w:line="360" w:lineRule="auto"/>
        <w:ind w:left="708"/>
        <w:jc w:val="both"/>
        <w:rPr>
          <w:rFonts w:ascii="David" w:hAnsi="David"/>
        </w:rPr>
      </w:pPr>
      <w:r>
        <w:rPr>
          <w:rFonts w:ascii="David" w:hAnsi="David" w:hint="cs"/>
          <w:rtl/>
        </w:rPr>
        <w:t xml:space="preserve">4 </w:t>
      </w:r>
      <w:r w:rsidRPr="00527204">
        <w:rPr>
          <w:rFonts w:ascii="David" w:hAnsi="David" w:hint="cs"/>
          <w:rtl/>
        </w:rPr>
        <w:t>חודשי מאסר בפועל</w:t>
      </w:r>
      <w:r>
        <w:rPr>
          <w:rFonts w:ascii="David" w:hAnsi="David" w:hint="cs"/>
          <w:rtl/>
        </w:rPr>
        <w:t xml:space="preserve"> בגין עבירת הסמים מחציתו בחופף ומחציתו במצטבר לעונש המאסר לעיל, כך ש</w:t>
      </w:r>
      <w:r w:rsidRPr="008366B0">
        <w:rPr>
          <w:rFonts w:ascii="David" w:hAnsi="David" w:hint="cs"/>
          <w:b/>
          <w:bCs/>
          <w:rtl/>
        </w:rPr>
        <w:t>סך הכל ירצה הנאשם 22 חודשי מאסר בפועל</w:t>
      </w:r>
      <w:r w:rsidRPr="00527204">
        <w:rPr>
          <w:rFonts w:ascii="David" w:hAnsi="David" w:hint="cs"/>
          <w:rtl/>
        </w:rPr>
        <w:t xml:space="preserve">, בניכוי </w:t>
      </w:r>
      <w:r>
        <w:rPr>
          <w:rFonts w:ascii="David" w:hAnsi="David" w:hint="cs"/>
          <w:rtl/>
        </w:rPr>
        <w:t xml:space="preserve">ימי </w:t>
      </w:r>
      <w:r w:rsidRPr="00527204">
        <w:rPr>
          <w:rFonts w:ascii="David" w:hAnsi="David" w:hint="cs"/>
          <w:rtl/>
        </w:rPr>
        <w:t>מעצרו</w:t>
      </w:r>
      <w:r>
        <w:rPr>
          <w:rFonts w:ascii="David" w:hAnsi="David" w:hint="cs"/>
          <w:rtl/>
        </w:rPr>
        <w:t xml:space="preserve"> מיום 31.1.21 ב</w:t>
      </w:r>
      <w:hyperlink r:id="rId45" w:history="1">
        <w:r w:rsidR="008A1D03" w:rsidRPr="008A1D03">
          <w:rPr>
            <w:rFonts w:ascii="David" w:hAnsi="David"/>
            <w:color w:val="0000FF"/>
            <w:u w:val="single"/>
            <w:rtl/>
          </w:rPr>
          <w:t>ת"פ 4822-02-21</w:t>
        </w:r>
      </w:hyperlink>
      <w:r>
        <w:rPr>
          <w:rFonts w:ascii="David" w:hAnsi="David" w:hint="cs"/>
          <w:rtl/>
        </w:rPr>
        <w:t>.</w:t>
      </w:r>
    </w:p>
    <w:p w14:paraId="285FA4CB" w14:textId="77777777" w:rsidR="008717BB" w:rsidRPr="00D50CE3" w:rsidRDefault="008717BB" w:rsidP="008717BB">
      <w:pPr>
        <w:numPr>
          <w:ilvl w:val="1"/>
          <w:numId w:val="2"/>
        </w:numPr>
        <w:spacing w:after="120" w:line="360" w:lineRule="auto"/>
        <w:ind w:left="662" w:hanging="567"/>
        <w:jc w:val="both"/>
        <w:rPr>
          <w:rFonts w:ascii="David" w:hAnsi="David"/>
        </w:rPr>
      </w:pPr>
      <w:r>
        <w:rPr>
          <w:rFonts w:ascii="David" w:hAnsi="David" w:hint="cs"/>
          <w:rtl/>
        </w:rPr>
        <w:t xml:space="preserve">7 </w:t>
      </w:r>
      <w:r w:rsidRPr="00055EDB">
        <w:rPr>
          <w:rFonts w:ascii="David" w:hAnsi="David"/>
          <w:rtl/>
        </w:rPr>
        <w:t xml:space="preserve">חודשי מאסר על תנאי, </w:t>
      </w:r>
      <w:r>
        <w:rPr>
          <w:rFonts w:ascii="David" w:hAnsi="David" w:hint="cs"/>
          <w:rtl/>
        </w:rPr>
        <w:t xml:space="preserve">והתנאי הוא שהנאשם לא יעבור </w:t>
      </w:r>
      <w:r w:rsidRPr="00055EDB">
        <w:rPr>
          <w:rFonts w:ascii="David" w:hAnsi="David"/>
          <w:rtl/>
        </w:rPr>
        <w:t>במשך 3 שנים</w:t>
      </w:r>
      <w:r>
        <w:rPr>
          <w:rFonts w:ascii="David" w:hAnsi="David" w:hint="cs"/>
          <w:rtl/>
        </w:rPr>
        <w:t xml:space="preserve"> מיום שחרורו,</w:t>
      </w:r>
      <w:r w:rsidRPr="00055EDB">
        <w:rPr>
          <w:rFonts w:ascii="David" w:hAnsi="David"/>
          <w:rtl/>
        </w:rPr>
        <w:t xml:space="preserve"> כל עבירת אלימות</w:t>
      </w:r>
      <w:r>
        <w:rPr>
          <w:rFonts w:ascii="David" w:hAnsi="David" w:hint="cs"/>
          <w:rtl/>
        </w:rPr>
        <w:t xml:space="preserve"> </w:t>
      </w:r>
      <w:r w:rsidRPr="008717BB">
        <w:rPr>
          <w:rFonts w:ascii="Calibri" w:hAnsi="Calibri"/>
          <w:rtl/>
        </w:rPr>
        <w:t xml:space="preserve">או עבירה על </w:t>
      </w:r>
      <w:hyperlink r:id="rId46" w:history="1">
        <w:r w:rsidR="008A1D03" w:rsidRPr="008A1D03">
          <w:rPr>
            <w:rFonts w:ascii="Calibri" w:hAnsi="Calibri" w:hint="eastAsia"/>
            <w:color w:val="0000FF"/>
            <w:u w:val="single"/>
            <w:rtl/>
          </w:rPr>
          <w:t>פקודת</w:t>
        </w:r>
        <w:r w:rsidR="008A1D03" w:rsidRPr="008A1D03">
          <w:rPr>
            <w:rFonts w:ascii="Calibri" w:hAnsi="Calibri"/>
            <w:color w:val="0000FF"/>
            <w:u w:val="single"/>
            <w:rtl/>
          </w:rPr>
          <w:t xml:space="preserve"> </w:t>
        </w:r>
        <w:r w:rsidR="008A1D03" w:rsidRPr="008A1D03">
          <w:rPr>
            <w:rFonts w:ascii="Calibri" w:hAnsi="Calibri" w:hint="eastAsia"/>
            <w:color w:val="0000FF"/>
            <w:u w:val="single"/>
            <w:rtl/>
          </w:rPr>
          <w:t>הסמים</w:t>
        </w:r>
        <w:r w:rsidR="008A1D03" w:rsidRPr="008A1D03">
          <w:rPr>
            <w:rFonts w:ascii="Calibri" w:hAnsi="Calibri"/>
            <w:color w:val="0000FF"/>
            <w:u w:val="single"/>
            <w:rtl/>
          </w:rPr>
          <w:t xml:space="preserve"> </w:t>
        </w:r>
        <w:r w:rsidR="008A1D03" w:rsidRPr="008A1D03">
          <w:rPr>
            <w:rFonts w:ascii="Calibri" w:hAnsi="Calibri" w:hint="eastAsia"/>
            <w:color w:val="0000FF"/>
            <w:u w:val="single"/>
            <w:rtl/>
          </w:rPr>
          <w:t>המסוכנים</w:t>
        </w:r>
      </w:hyperlink>
      <w:r w:rsidRPr="008717BB">
        <w:rPr>
          <w:rFonts w:ascii="Calibri" w:hAnsi="Calibri"/>
          <w:rtl/>
        </w:rPr>
        <w:t>.</w:t>
      </w:r>
    </w:p>
    <w:p w14:paraId="7841BD09" w14:textId="77777777" w:rsidR="008717BB" w:rsidRDefault="008717BB" w:rsidP="008717BB">
      <w:pPr>
        <w:numPr>
          <w:ilvl w:val="1"/>
          <w:numId w:val="2"/>
        </w:numPr>
        <w:spacing w:after="120" w:line="360" w:lineRule="auto"/>
        <w:ind w:left="662" w:hanging="567"/>
        <w:jc w:val="both"/>
        <w:rPr>
          <w:rFonts w:ascii="David" w:hAnsi="David"/>
        </w:rPr>
      </w:pPr>
      <w:r>
        <w:rPr>
          <w:rFonts w:ascii="David" w:hAnsi="David" w:hint="cs"/>
          <w:rtl/>
        </w:rPr>
        <w:t xml:space="preserve">קנס בסך 2,000 ₪ או 20 ימי מאסר תמורתו. הקנס ישולם בתוך 90 ימים מהיום. </w:t>
      </w:r>
    </w:p>
    <w:p w14:paraId="0CFDF271" w14:textId="77777777" w:rsidR="008717BB" w:rsidRDefault="008717BB" w:rsidP="008717BB">
      <w:pPr>
        <w:spacing w:line="360" w:lineRule="auto"/>
        <w:jc w:val="both"/>
        <w:rPr>
          <w:rFonts w:ascii="Arial" w:hAnsi="Arial"/>
          <w:rtl/>
        </w:rPr>
      </w:pPr>
    </w:p>
    <w:p w14:paraId="054A8962" w14:textId="77777777" w:rsidR="008717BB" w:rsidRPr="00055EDB" w:rsidRDefault="008717BB" w:rsidP="008717BB">
      <w:pPr>
        <w:spacing w:line="360" w:lineRule="auto"/>
        <w:jc w:val="both"/>
        <w:rPr>
          <w:rFonts w:ascii="Arial" w:hAnsi="Arial"/>
          <w:rtl/>
        </w:rPr>
      </w:pPr>
      <w:r>
        <w:rPr>
          <w:rFonts w:ascii="Arial" w:hAnsi="Arial" w:hint="cs"/>
          <w:rtl/>
        </w:rPr>
        <w:t xml:space="preserve">ניתן בזאת צו כללי למוצגים. </w:t>
      </w:r>
    </w:p>
    <w:p w14:paraId="17852E26" w14:textId="77777777" w:rsidR="008717BB" w:rsidRDefault="008717BB" w:rsidP="008717BB">
      <w:pPr>
        <w:spacing w:line="360" w:lineRule="auto"/>
        <w:jc w:val="both"/>
        <w:rPr>
          <w:rFonts w:ascii="Arial" w:hAnsi="Arial"/>
          <w:rtl/>
        </w:rPr>
      </w:pPr>
    </w:p>
    <w:p w14:paraId="6B482E76" w14:textId="77777777" w:rsidR="008717BB" w:rsidRPr="00AE66AE" w:rsidRDefault="008717BB" w:rsidP="008717BB">
      <w:pPr>
        <w:spacing w:line="360" w:lineRule="auto"/>
        <w:jc w:val="both"/>
        <w:rPr>
          <w:rFonts w:ascii="Arial" w:hAnsi="Arial"/>
        </w:rPr>
      </w:pPr>
      <w:r w:rsidRPr="00055EDB">
        <w:rPr>
          <w:rFonts w:ascii="Arial" w:hAnsi="Arial"/>
          <w:rtl/>
        </w:rPr>
        <w:t xml:space="preserve">זכות ערעור תוך 45 ימים לבית המשפט המחוזי מרכז – לוד. </w:t>
      </w:r>
    </w:p>
    <w:p w14:paraId="4B2B49B8" w14:textId="77777777" w:rsidR="008717BB" w:rsidRPr="001D6A93" w:rsidRDefault="008717BB" w:rsidP="008717BB">
      <w:pPr>
        <w:rPr>
          <w:rFonts w:ascii="David" w:hAnsi="David"/>
          <w:sz w:val="26"/>
          <w:szCs w:val="26"/>
          <w:rtl/>
        </w:rPr>
      </w:pPr>
    </w:p>
    <w:p w14:paraId="56B80490" w14:textId="77777777" w:rsidR="008717BB" w:rsidRPr="008A1D03" w:rsidRDefault="008A1D03" w:rsidP="008717BB">
      <w:pPr>
        <w:rPr>
          <w:rFonts w:ascii="David" w:hAnsi="David"/>
          <w:color w:val="FFFFFF"/>
          <w:sz w:val="2"/>
          <w:szCs w:val="2"/>
          <w:rtl/>
        </w:rPr>
      </w:pPr>
      <w:r w:rsidRPr="008A1D03">
        <w:rPr>
          <w:rFonts w:ascii="David" w:hAnsi="David"/>
          <w:color w:val="FFFFFF"/>
          <w:sz w:val="2"/>
          <w:szCs w:val="2"/>
          <w:rtl/>
        </w:rPr>
        <w:t>5129371</w:t>
      </w:r>
    </w:p>
    <w:p w14:paraId="6C93F7A7" w14:textId="77777777" w:rsidR="008717BB" w:rsidRPr="008A1D03" w:rsidRDefault="008A1D03" w:rsidP="008717BB">
      <w:pPr>
        <w:rPr>
          <w:rFonts w:ascii="David" w:hAnsi="David"/>
          <w:color w:val="FFFFFF"/>
          <w:sz w:val="2"/>
          <w:szCs w:val="2"/>
          <w:rtl/>
        </w:rPr>
      </w:pPr>
      <w:r w:rsidRPr="008A1D03">
        <w:rPr>
          <w:rFonts w:ascii="David" w:hAnsi="David"/>
          <w:color w:val="FFFFFF"/>
          <w:sz w:val="2"/>
          <w:szCs w:val="2"/>
          <w:rtl/>
        </w:rPr>
        <w:t>54678313</w:t>
      </w:r>
    </w:p>
    <w:p w14:paraId="0390BEBA" w14:textId="77777777" w:rsidR="008717BB" w:rsidRPr="002B7D23" w:rsidRDefault="008717BB" w:rsidP="008717BB">
      <w:pPr>
        <w:rPr>
          <w:rFonts w:ascii="David" w:hAnsi="David"/>
          <w:sz w:val="26"/>
          <w:szCs w:val="26"/>
          <w:rtl/>
        </w:rPr>
      </w:pPr>
    </w:p>
    <w:p w14:paraId="62F19F30" w14:textId="77777777" w:rsidR="008717BB" w:rsidRPr="002B7D23" w:rsidRDefault="008A1D03" w:rsidP="008717BB">
      <w:pPr>
        <w:rPr>
          <w:rFonts w:ascii="David" w:hAnsi="David"/>
          <w:sz w:val="26"/>
          <w:szCs w:val="26"/>
          <w:rtl/>
        </w:rPr>
      </w:pPr>
      <w:bookmarkStart w:id="9" w:name="Nitan"/>
      <w:r>
        <w:rPr>
          <w:rFonts w:ascii="David" w:hAnsi="David"/>
          <w:sz w:val="26"/>
          <w:szCs w:val="26"/>
          <w:rtl/>
        </w:rPr>
        <w:t xml:space="preserve">ניתן היום,  י"ב חשוון תשפ"ב, 18 אוקטובר 2021, במעמד הצדדים. </w:t>
      </w:r>
      <w:bookmarkEnd w:id="9"/>
    </w:p>
    <w:p w14:paraId="6A74E86D" w14:textId="77777777" w:rsidR="008A1D03" w:rsidRDefault="008A1D03" w:rsidP="008A1D03">
      <w:pPr>
        <w:rPr>
          <w:rtl/>
        </w:rPr>
      </w:pPr>
    </w:p>
    <w:p w14:paraId="22057E55" w14:textId="77777777" w:rsidR="008A1D03" w:rsidRDefault="008A1D03" w:rsidP="008A1D03">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47CC4976" w14:textId="77777777" w:rsidR="00567A98" w:rsidRPr="00567A98" w:rsidRDefault="00567A98" w:rsidP="00567A98">
      <w:pPr>
        <w:keepNext/>
        <w:rPr>
          <w:rFonts w:ascii="David" w:hAnsi="David"/>
          <w:color w:val="000000"/>
          <w:sz w:val="22"/>
          <w:szCs w:val="22"/>
          <w:rtl/>
        </w:rPr>
      </w:pPr>
    </w:p>
    <w:p w14:paraId="032B11C2" w14:textId="77777777" w:rsidR="00567A98" w:rsidRPr="00567A98" w:rsidRDefault="00567A98" w:rsidP="00567A98">
      <w:pPr>
        <w:keepNext/>
        <w:rPr>
          <w:rFonts w:ascii="David" w:hAnsi="David"/>
          <w:color w:val="000000"/>
          <w:sz w:val="22"/>
          <w:szCs w:val="22"/>
          <w:rtl/>
        </w:rPr>
      </w:pPr>
      <w:r w:rsidRPr="00567A98">
        <w:rPr>
          <w:rFonts w:ascii="David" w:hAnsi="David"/>
          <w:color w:val="000000"/>
          <w:sz w:val="22"/>
          <w:szCs w:val="22"/>
          <w:rtl/>
        </w:rPr>
        <w:t>אדנקו סבחת  חיימוביץ 54678313-/</w:t>
      </w:r>
    </w:p>
    <w:p w14:paraId="2654E372" w14:textId="77777777" w:rsidR="008A1D03" w:rsidRPr="008A1D03" w:rsidRDefault="00567A98" w:rsidP="00567A98">
      <w:pPr>
        <w:rPr>
          <w:color w:val="0000FF"/>
          <w:u w:val="single"/>
        </w:rPr>
      </w:pPr>
      <w:r w:rsidRPr="00567A98">
        <w:rPr>
          <w:color w:val="000000"/>
          <w:u w:val="single"/>
          <w:rtl/>
        </w:rPr>
        <w:t>נוסח מסמך זה כפוף לשינויי ניסוח ועריכה</w:t>
      </w:r>
    </w:p>
    <w:sectPr w:rsidR="008A1D03" w:rsidRPr="008A1D03" w:rsidSect="00567A98">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660AF" w14:textId="77777777" w:rsidR="009F49CC" w:rsidRDefault="009F49CC" w:rsidP="00BE5EE8">
      <w:r>
        <w:separator/>
      </w:r>
    </w:p>
  </w:endnote>
  <w:endnote w:type="continuationSeparator" w:id="0">
    <w:p w14:paraId="14923D66" w14:textId="77777777" w:rsidR="009F49CC" w:rsidRDefault="009F49CC" w:rsidP="00BE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B028D" w14:textId="77777777" w:rsidR="00567A98" w:rsidRDefault="00567A98" w:rsidP="00567A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FBD9179" w14:textId="77777777" w:rsidR="00CF2F2E" w:rsidRPr="00567A98" w:rsidRDefault="00567A98" w:rsidP="00567A98">
    <w:pPr>
      <w:pStyle w:val="a5"/>
      <w:pBdr>
        <w:top w:val="single" w:sz="4" w:space="1" w:color="auto"/>
        <w:between w:val="single" w:sz="4" w:space="0" w:color="auto"/>
      </w:pBdr>
      <w:spacing w:after="60"/>
      <w:jc w:val="center"/>
      <w:rPr>
        <w:rFonts w:ascii="FrankRuehl" w:hAnsi="FrankRuehl" w:cs="FrankRuehl"/>
        <w:color w:val="000000"/>
      </w:rPr>
    </w:pPr>
    <w:r w:rsidRPr="00567A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E2361" w14:textId="77777777" w:rsidR="00567A98" w:rsidRDefault="00567A98" w:rsidP="00567A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4FD2">
      <w:rPr>
        <w:rFonts w:ascii="FrankRuehl" w:hAnsi="FrankRuehl" w:cs="FrankRuehl"/>
        <w:noProof/>
        <w:rtl/>
      </w:rPr>
      <w:t>1</w:t>
    </w:r>
    <w:r>
      <w:rPr>
        <w:rFonts w:ascii="FrankRuehl" w:hAnsi="FrankRuehl" w:cs="FrankRuehl"/>
        <w:rtl/>
      </w:rPr>
      <w:fldChar w:fldCharType="end"/>
    </w:r>
  </w:p>
  <w:p w14:paraId="3B5FECF9" w14:textId="77777777" w:rsidR="00CF2F2E" w:rsidRPr="00567A98" w:rsidRDefault="00567A98" w:rsidP="00567A98">
    <w:pPr>
      <w:pStyle w:val="a5"/>
      <w:pBdr>
        <w:top w:val="single" w:sz="4" w:space="1" w:color="auto"/>
        <w:between w:val="single" w:sz="4" w:space="0" w:color="auto"/>
      </w:pBdr>
      <w:spacing w:after="60"/>
      <w:jc w:val="center"/>
      <w:rPr>
        <w:rFonts w:ascii="FrankRuehl" w:hAnsi="FrankRuehl" w:cs="FrankRuehl"/>
        <w:color w:val="000000"/>
      </w:rPr>
    </w:pPr>
    <w:r w:rsidRPr="00567A98">
      <w:rPr>
        <w:rFonts w:ascii="FrankRuehl" w:hAnsi="FrankRuehl" w:cs="FrankRuehl"/>
        <w:color w:val="000000"/>
      </w:rPr>
      <w:pict w14:anchorId="4074C3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1EA17" w14:textId="77777777" w:rsidR="009F49CC" w:rsidRDefault="009F49CC" w:rsidP="00BE5EE8">
      <w:r>
        <w:separator/>
      </w:r>
    </w:p>
  </w:footnote>
  <w:footnote w:type="continuationSeparator" w:id="0">
    <w:p w14:paraId="3451AAF5" w14:textId="77777777" w:rsidR="009F49CC" w:rsidRDefault="009F49CC" w:rsidP="00BE5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D64DB" w14:textId="77777777" w:rsidR="008A1D03" w:rsidRPr="00567A98" w:rsidRDefault="00567A98" w:rsidP="00567A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60606-10-20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0560A" w14:textId="77777777" w:rsidR="008A1D03" w:rsidRPr="00567A98" w:rsidRDefault="00567A98" w:rsidP="00567A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60606-10-20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5E71C1"/>
    <w:multiLevelType w:val="hybridMultilevel"/>
    <w:tmpl w:val="5504FCD2"/>
    <w:lvl w:ilvl="0" w:tplc="6B4808A8">
      <w:start w:val="1"/>
      <w:numFmt w:val="decimal"/>
      <w:lvlText w:val="%1."/>
      <w:lvlJc w:val="left"/>
      <w:pPr>
        <w:ind w:left="720" w:hanging="360"/>
      </w:pPr>
      <w:rPr>
        <w:rFonts w:cs="Times New Roman"/>
      </w:rPr>
    </w:lvl>
    <w:lvl w:ilvl="1" w:tplc="CDCA61DA">
      <w:start w:val="1"/>
      <w:numFmt w:val="hebrew1"/>
      <w:lvlText w:val="%2."/>
      <w:lvlJc w:val="left"/>
      <w:pPr>
        <w:ind w:left="1440" w:hanging="360"/>
      </w:pPr>
      <w:rPr>
        <w:rFonts w:cs="David"/>
        <w:lang w:val="en-US"/>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D47687B"/>
    <w:multiLevelType w:val="hybridMultilevel"/>
    <w:tmpl w:val="89A87FCE"/>
    <w:lvl w:ilvl="0" w:tplc="6B86900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759414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205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17BB"/>
    <w:rsid w:val="00354FD2"/>
    <w:rsid w:val="003D19D2"/>
    <w:rsid w:val="00567A98"/>
    <w:rsid w:val="008645A2"/>
    <w:rsid w:val="008717BB"/>
    <w:rsid w:val="008A1D03"/>
    <w:rsid w:val="00946B42"/>
    <w:rsid w:val="009A4E4C"/>
    <w:rsid w:val="009F49CC"/>
    <w:rsid w:val="00A93B6A"/>
    <w:rsid w:val="00B96D0B"/>
    <w:rsid w:val="00BE5EE8"/>
    <w:rsid w:val="00CF2F2E"/>
    <w:rsid w:val="00D4531C"/>
    <w:rsid w:val="00D7358A"/>
    <w:rsid w:val="00F57F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9F3395"/>
  <w15:chartTrackingRefBased/>
  <w15:docId w15:val="{6E49CFFA-1B5C-4139-8BEA-F395B8AF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17B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17BB"/>
    <w:pPr>
      <w:tabs>
        <w:tab w:val="center" w:pos="4153"/>
        <w:tab w:val="right" w:pos="8306"/>
      </w:tabs>
    </w:pPr>
  </w:style>
  <w:style w:type="character" w:customStyle="1" w:styleId="a4">
    <w:name w:val="כותרת עליונה תו"/>
    <w:link w:val="a3"/>
    <w:rsid w:val="008717BB"/>
    <w:rPr>
      <w:rFonts w:ascii="Times New Roman" w:eastAsia="Times New Roman" w:hAnsi="Times New Roman" w:cs="David"/>
      <w:sz w:val="24"/>
      <w:szCs w:val="24"/>
    </w:rPr>
  </w:style>
  <w:style w:type="paragraph" w:styleId="a5">
    <w:name w:val="footer"/>
    <w:basedOn w:val="a"/>
    <w:link w:val="a6"/>
    <w:rsid w:val="008717BB"/>
    <w:pPr>
      <w:tabs>
        <w:tab w:val="center" w:pos="4153"/>
        <w:tab w:val="right" w:pos="8306"/>
      </w:tabs>
    </w:pPr>
  </w:style>
  <w:style w:type="character" w:customStyle="1" w:styleId="a6">
    <w:name w:val="כותרת תחתונה תו"/>
    <w:link w:val="a5"/>
    <w:rsid w:val="008717BB"/>
    <w:rPr>
      <w:rFonts w:ascii="Times New Roman" w:eastAsia="Times New Roman" w:hAnsi="Times New Roman" w:cs="David"/>
      <w:sz w:val="24"/>
      <w:szCs w:val="24"/>
    </w:rPr>
  </w:style>
  <w:style w:type="table" w:styleId="a7">
    <w:name w:val="Table Grid"/>
    <w:basedOn w:val="a1"/>
    <w:rsid w:val="008717B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17BB"/>
  </w:style>
  <w:style w:type="table" w:customStyle="1" w:styleId="1">
    <w:name w:val="רשת טבלה1"/>
    <w:basedOn w:val="a1"/>
    <w:next w:val="a7"/>
    <w:rsid w:val="008717BB"/>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link w:val="aa"/>
    <w:qFormat/>
    <w:rsid w:val="008717BB"/>
    <w:pPr>
      <w:ind w:left="720"/>
      <w:contextualSpacing/>
    </w:pPr>
  </w:style>
  <w:style w:type="character" w:styleId="Hyperlink">
    <w:name w:val="Hyperlink"/>
    <w:rsid w:val="008717BB"/>
    <w:rPr>
      <w:color w:val="0000FF"/>
      <w:u w:val="single"/>
    </w:rPr>
  </w:style>
  <w:style w:type="character" w:customStyle="1" w:styleId="aa">
    <w:name w:val="פיסקת רשימה תו"/>
    <w:link w:val="a9"/>
    <w:locked/>
    <w:rsid w:val="008717BB"/>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2.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568571" TargetMode="External"/><Relationship Id="rId39" Type="http://schemas.openxmlformats.org/officeDocument/2006/relationships/hyperlink" Target="http://www.nevo.co.il/case/20476080" TargetMode="External"/><Relationship Id="rId21" Type="http://schemas.openxmlformats.org/officeDocument/2006/relationships/hyperlink" Target="http://www.nevo.co.il/law/70301/333" TargetMode="External"/><Relationship Id="rId34" Type="http://schemas.openxmlformats.org/officeDocument/2006/relationships/hyperlink" Target="http://www.nevo.co.il/case/18193741" TargetMode="External"/><Relationship Id="rId42" Type="http://schemas.openxmlformats.org/officeDocument/2006/relationships/hyperlink" Target="http://www.nevo.co.il/law/70301/40h"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7371425" TargetMode="External"/><Relationship Id="rId29" Type="http://schemas.openxmlformats.org/officeDocument/2006/relationships/hyperlink" Target="http://www.nevo.co.il/case/13107327" TargetMode="External"/><Relationship Id="rId11" Type="http://schemas.openxmlformats.org/officeDocument/2006/relationships/hyperlink" Target="http://www.nevo.co.il/law/70301/333"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7042523" TargetMode="External"/><Relationship Id="rId37" Type="http://schemas.openxmlformats.org/officeDocument/2006/relationships/hyperlink" Target="http://www.nevo.co.il/case/6875181" TargetMode="External"/><Relationship Id="rId40" Type="http://schemas.openxmlformats.org/officeDocument/2006/relationships/hyperlink" Target="http://www.nevo.co.il/case/16953967" TargetMode="External"/><Relationship Id="rId45" Type="http://schemas.openxmlformats.org/officeDocument/2006/relationships/hyperlink" Target="http://www.nevo.co.il/case/27371425"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192" TargetMode="External"/><Relationship Id="rId19" Type="http://schemas.openxmlformats.org/officeDocument/2006/relationships/hyperlink" Target="http://www.nevo.co.il/law/70301/382.b" TargetMode="External"/><Relationship Id="rId31" Type="http://schemas.openxmlformats.org/officeDocument/2006/relationships/hyperlink" Target="http://www.nevo.co.il/case/26529778" TargetMode="External"/><Relationship Id="rId44" Type="http://schemas.openxmlformats.org/officeDocument/2006/relationships/hyperlink" Target="http://www.nevo.co.il/case/577914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7111003"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3930903" TargetMode="External"/><Relationship Id="rId35" Type="http://schemas.openxmlformats.org/officeDocument/2006/relationships/hyperlink" Target="http://www.nevo.co.il/case/23226796"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70301/40h"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82.b" TargetMode="External"/><Relationship Id="rId17" Type="http://schemas.openxmlformats.org/officeDocument/2006/relationships/hyperlink" Target="http://www.nevo.co.il/law/70301/192" TargetMode="External"/><Relationship Id="rId25" Type="http://schemas.openxmlformats.org/officeDocument/2006/relationships/hyperlink" Target="http://www.nevo.co.il/case/6248129" TargetMode="External"/><Relationship Id="rId33" Type="http://schemas.openxmlformats.org/officeDocument/2006/relationships/hyperlink" Target="http://www.nevo.co.il/case/4162229" TargetMode="External"/><Relationship Id="rId38" Type="http://schemas.openxmlformats.org/officeDocument/2006/relationships/hyperlink" Target="http://www.nevo.co.il/case/20651811"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382.c" TargetMode="External"/><Relationship Id="rId41" Type="http://schemas.openxmlformats.org/officeDocument/2006/relationships/hyperlink" Target="http://www.nevo.co.il/case/218671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law/4216/6" TargetMode="External"/><Relationship Id="rId28" Type="http://schemas.openxmlformats.org/officeDocument/2006/relationships/hyperlink" Target="http://www.nevo.co.il/case/26733645" TargetMode="External"/><Relationship Id="rId36" Type="http://schemas.openxmlformats.org/officeDocument/2006/relationships/hyperlink" Target="http://www.nevo.co.il/case/22063599"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3832</Words>
  <Characters>19165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22952</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3276912</vt:i4>
      </vt:variant>
      <vt:variant>
        <vt:i4>114</vt:i4>
      </vt:variant>
      <vt:variant>
        <vt:i4>0</vt:i4>
      </vt:variant>
      <vt:variant>
        <vt:i4>5</vt:i4>
      </vt:variant>
      <vt:variant>
        <vt:lpwstr>http://www.nevo.co.il/case/27371425</vt:lpwstr>
      </vt:variant>
      <vt:variant>
        <vt:lpwstr/>
      </vt:variant>
      <vt:variant>
        <vt:i4>3407998</vt:i4>
      </vt:variant>
      <vt:variant>
        <vt:i4>111</vt:i4>
      </vt:variant>
      <vt:variant>
        <vt:i4>0</vt:i4>
      </vt:variant>
      <vt:variant>
        <vt:i4>5</vt:i4>
      </vt:variant>
      <vt:variant>
        <vt:lpwstr>http://www.nevo.co.il/case/5779147</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http://www.nevo.co.il/law/70301/40h</vt:lpwstr>
      </vt:variant>
      <vt:variant>
        <vt:lpwstr/>
      </vt:variant>
      <vt:variant>
        <vt:i4>3473522</vt:i4>
      </vt:variant>
      <vt:variant>
        <vt:i4>102</vt:i4>
      </vt:variant>
      <vt:variant>
        <vt:i4>0</vt:i4>
      </vt:variant>
      <vt:variant>
        <vt:i4>5</vt:i4>
      </vt:variant>
      <vt:variant>
        <vt:lpwstr>http://www.nevo.co.il/case/21867187</vt:lpwstr>
      </vt:variant>
      <vt:variant>
        <vt:lpwstr/>
      </vt:variant>
      <vt:variant>
        <vt:i4>3997822</vt:i4>
      </vt:variant>
      <vt:variant>
        <vt:i4>99</vt:i4>
      </vt:variant>
      <vt:variant>
        <vt:i4>0</vt:i4>
      </vt:variant>
      <vt:variant>
        <vt:i4>5</vt:i4>
      </vt:variant>
      <vt:variant>
        <vt:lpwstr>http://www.nevo.co.il/case/16953967</vt:lpwstr>
      </vt:variant>
      <vt:variant>
        <vt:lpwstr/>
      </vt:variant>
      <vt:variant>
        <vt:i4>3670131</vt:i4>
      </vt:variant>
      <vt:variant>
        <vt:i4>96</vt:i4>
      </vt:variant>
      <vt:variant>
        <vt:i4>0</vt:i4>
      </vt:variant>
      <vt:variant>
        <vt:i4>5</vt:i4>
      </vt:variant>
      <vt:variant>
        <vt:lpwstr>http://www.nevo.co.il/case/20476080</vt:lpwstr>
      </vt:variant>
      <vt:variant>
        <vt:lpwstr/>
      </vt:variant>
      <vt:variant>
        <vt:i4>3407993</vt:i4>
      </vt:variant>
      <vt:variant>
        <vt:i4>93</vt:i4>
      </vt:variant>
      <vt:variant>
        <vt:i4>0</vt:i4>
      </vt:variant>
      <vt:variant>
        <vt:i4>5</vt:i4>
      </vt:variant>
      <vt:variant>
        <vt:lpwstr>http://www.nevo.co.il/case/20651811</vt:lpwstr>
      </vt:variant>
      <vt:variant>
        <vt:lpwstr/>
      </vt:variant>
      <vt:variant>
        <vt:i4>3211377</vt:i4>
      </vt:variant>
      <vt:variant>
        <vt:i4>90</vt:i4>
      </vt:variant>
      <vt:variant>
        <vt:i4>0</vt:i4>
      </vt:variant>
      <vt:variant>
        <vt:i4>5</vt:i4>
      </vt:variant>
      <vt:variant>
        <vt:lpwstr>http://www.nevo.co.il/case/6875181</vt:lpwstr>
      </vt:variant>
      <vt:variant>
        <vt:lpwstr/>
      </vt:variant>
      <vt:variant>
        <vt:i4>3670133</vt:i4>
      </vt:variant>
      <vt:variant>
        <vt:i4>87</vt:i4>
      </vt:variant>
      <vt:variant>
        <vt:i4>0</vt:i4>
      </vt:variant>
      <vt:variant>
        <vt:i4>5</vt:i4>
      </vt:variant>
      <vt:variant>
        <vt:lpwstr>http://www.nevo.co.il/case/22063599</vt:lpwstr>
      </vt:variant>
      <vt:variant>
        <vt:lpwstr/>
      </vt:variant>
      <vt:variant>
        <vt:i4>4128882</vt:i4>
      </vt:variant>
      <vt:variant>
        <vt:i4>84</vt:i4>
      </vt:variant>
      <vt:variant>
        <vt:i4>0</vt:i4>
      </vt:variant>
      <vt:variant>
        <vt:i4>5</vt:i4>
      </vt:variant>
      <vt:variant>
        <vt:lpwstr>http://www.nevo.co.il/case/23226796</vt:lpwstr>
      </vt:variant>
      <vt:variant>
        <vt:lpwstr/>
      </vt:variant>
      <vt:variant>
        <vt:i4>3604594</vt:i4>
      </vt:variant>
      <vt:variant>
        <vt:i4>81</vt:i4>
      </vt:variant>
      <vt:variant>
        <vt:i4>0</vt:i4>
      </vt:variant>
      <vt:variant>
        <vt:i4>5</vt:i4>
      </vt:variant>
      <vt:variant>
        <vt:lpwstr>http://www.nevo.co.il/case/18193741</vt:lpwstr>
      </vt:variant>
      <vt:variant>
        <vt:lpwstr/>
      </vt:variant>
      <vt:variant>
        <vt:i4>3735669</vt:i4>
      </vt:variant>
      <vt:variant>
        <vt:i4>78</vt:i4>
      </vt:variant>
      <vt:variant>
        <vt:i4>0</vt:i4>
      </vt:variant>
      <vt:variant>
        <vt:i4>5</vt:i4>
      </vt:variant>
      <vt:variant>
        <vt:lpwstr>http://www.nevo.co.il/case/4162229</vt:lpwstr>
      </vt:variant>
      <vt:variant>
        <vt:lpwstr/>
      </vt:variant>
      <vt:variant>
        <vt:i4>3276914</vt:i4>
      </vt:variant>
      <vt:variant>
        <vt:i4>75</vt:i4>
      </vt:variant>
      <vt:variant>
        <vt:i4>0</vt:i4>
      </vt:variant>
      <vt:variant>
        <vt:i4>5</vt:i4>
      </vt:variant>
      <vt:variant>
        <vt:lpwstr>http://www.nevo.co.il/case/27042523</vt:lpwstr>
      </vt:variant>
      <vt:variant>
        <vt:lpwstr/>
      </vt:variant>
      <vt:variant>
        <vt:i4>3735671</vt:i4>
      </vt:variant>
      <vt:variant>
        <vt:i4>72</vt:i4>
      </vt:variant>
      <vt:variant>
        <vt:i4>0</vt:i4>
      </vt:variant>
      <vt:variant>
        <vt:i4>5</vt:i4>
      </vt:variant>
      <vt:variant>
        <vt:lpwstr>http://www.nevo.co.il/case/26529778</vt:lpwstr>
      </vt:variant>
      <vt:variant>
        <vt:lpwstr/>
      </vt:variant>
      <vt:variant>
        <vt:i4>3801213</vt:i4>
      </vt:variant>
      <vt:variant>
        <vt:i4>69</vt:i4>
      </vt:variant>
      <vt:variant>
        <vt:i4>0</vt:i4>
      </vt:variant>
      <vt:variant>
        <vt:i4>5</vt:i4>
      </vt:variant>
      <vt:variant>
        <vt:lpwstr>http://www.nevo.co.il/case/3930903</vt:lpwstr>
      </vt:variant>
      <vt:variant>
        <vt:lpwstr/>
      </vt:variant>
      <vt:variant>
        <vt:i4>3473524</vt:i4>
      </vt:variant>
      <vt:variant>
        <vt:i4>66</vt:i4>
      </vt:variant>
      <vt:variant>
        <vt:i4>0</vt:i4>
      </vt:variant>
      <vt:variant>
        <vt:i4>5</vt:i4>
      </vt:variant>
      <vt:variant>
        <vt:lpwstr>http://www.nevo.co.il/case/13107327</vt:lpwstr>
      </vt:variant>
      <vt:variant>
        <vt:lpwstr/>
      </vt:variant>
      <vt:variant>
        <vt:i4>3276919</vt:i4>
      </vt:variant>
      <vt:variant>
        <vt:i4>63</vt:i4>
      </vt:variant>
      <vt:variant>
        <vt:i4>0</vt:i4>
      </vt:variant>
      <vt:variant>
        <vt:i4>5</vt:i4>
      </vt:variant>
      <vt:variant>
        <vt:lpwstr>http://www.nevo.co.il/case/26733645</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3604606</vt:i4>
      </vt:variant>
      <vt:variant>
        <vt:i4>57</vt:i4>
      </vt:variant>
      <vt:variant>
        <vt:i4>0</vt:i4>
      </vt:variant>
      <vt:variant>
        <vt:i4>5</vt:i4>
      </vt:variant>
      <vt:variant>
        <vt:lpwstr>http://www.nevo.co.il/case/5568571</vt:lpwstr>
      </vt:variant>
      <vt:variant>
        <vt:lpwstr/>
      </vt:variant>
      <vt:variant>
        <vt:i4>3801212</vt:i4>
      </vt:variant>
      <vt:variant>
        <vt:i4>54</vt:i4>
      </vt:variant>
      <vt:variant>
        <vt:i4>0</vt:i4>
      </vt:variant>
      <vt:variant>
        <vt:i4>5</vt:i4>
      </vt:variant>
      <vt:variant>
        <vt:lpwstr>http://www.nevo.co.il/case/6248129</vt:lpwstr>
      </vt:variant>
      <vt:variant>
        <vt:lpwstr/>
      </vt:variant>
      <vt:variant>
        <vt:i4>8257637</vt:i4>
      </vt:variant>
      <vt:variant>
        <vt:i4>51</vt:i4>
      </vt:variant>
      <vt:variant>
        <vt:i4>0</vt:i4>
      </vt:variant>
      <vt:variant>
        <vt:i4>5</vt:i4>
      </vt:variant>
      <vt:variant>
        <vt:lpwstr>http://www.nevo.co.il/law/4216</vt:lpwstr>
      </vt:variant>
      <vt:variant>
        <vt:lpwstr/>
      </vt:variant>
      <vt:variant>
        <vt:i4>4718666</vt:i4>
      </vt:variant>
      <vt:variant>
        <vt:i4>48</vt:i4>
      </vt:variant>
      <vt:variant>
        <vt:i4>0</vt:i4>
      </vt:variant>
      <vt:variant>
        <vt:i4>5</vt:i4>
      </vt:variant>
      <vt:variant>
        <vt:lpwstr>http://www.nevo.co.il/law/4216/6</vt:lpwstr>
      </vt:variant>
      <vt:variant>
        <vt:lpwstr/>
      </vt:variant>
      <vt:variant>
        <vt:i4>3276914</vt:i4>
      </vt:variant>
      <vt:variant>
        <vt:i4>45</vt:i4>
      </vt:variant>
      <vt:variant>
        <vt:i4>0</vt:i4>
      </vt:variant>
      <vt:variant>
        <vt:i4>5</vt:i4>
      </vt:variant>
      <vt:variant>
        <vt:lpwstr>http://www.nevo.co.il/case/27111003</vt:lpwstr>
      </vt:variant>
      <vt:variant>
        <vt:lpwstr/>
      </vt:variant>
      <vt:variant>
        <vt:i4>6684774</vt:i4>
      </vt:variant>
      <vt:variant>
        <vt:i4>42</vt:i4>
      </vt:variant>
      <vt:variant>
        <vt:i4>0</vt:i4>
      </vt:variant>
      <vt:variant>
        <vt:i4>5</vt:i4>
      </vt:variant>
      <vt:variant>
        <vt:lpwstr>http://www.nevo.co.il/law/70301/333</vt:lpwstr>
      </vt:variant>
      <vt:variant>
        <vt:lpwstr/>
      </vt:variant>
      <vt:variant>
        <vt:i4>4390996</vt:i4>
      </vt:variant>
      <vt:variant>
        <vt:i4>39</vt:i4>
      </vt:variant>
      <vt:variant>
        <vt:i4>0</vt:i4>
      </vt:variant>
      <vt:variant>
        <vt:i4>5</vt:i4>
      </vt:variant>
      <vt:variant>
        <vt:lpwstr>http://www.nevo.co.il/law/70301/382.c</vt:lpwstr>
      </vt:variant>
      <vt:variant>
        <vt:lpwstr/>
      </vt:variant>
      <vt:variant>
        <vt:i4>4390996</vt:i4>
      </vt:variant>
      <vt:variant>
        <vt:i4>36</vt:i4>
      </vt:variant>
      <vt:variant>
        <vt:i4>0</vt:i4>
      </vt:variant>
      <vt:variant>
        <vt:i4>5</vt:i4>
      </vt:variant>
      <vt:variant>
        <vt:lpwstr>http://www.nevo.co.il/law/70301/382.b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3276912</vt:i4>
      </vt:variant>
      <vt:variant>
        <vt:i4>27</vt:i4>
      </vt:variant>
      <vt:variant>
        <vt:i4>0</vt:i4>
      </vt:variant>
      <vt:variant>
        <vt:i4>5</vt:i4>
      </vt:variant>
      <vt:variant>
        <vt:lpwstr>http://www.nevo.co.il/case/27371425</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4390996</vt:i4>
      </vt:variant>
      <vt:variant>
        <vt:i4>18</vt:i4>
      </vt:variant>
      <vt:variant>
        <vt:i4>0</vt:i4>
      </vt:variant>
      <vt:variant>
        <vt:i4>5</vt:i4>
      </vt:variant>
      <vt:variant>
        <vt:lpwstr>http://www.nevo.co.il/law/70301/382.c</vt:lpwstr>
      </vt:variant>
      <vt:variant>
        <vt:lpwstr/>
      </vt:variant>
      <vt:variant>
        <vt:i4>4390996</vt:i4>
      </vt:variant>
      <vt:variant>
        <vt:i4>15</vt:i4>
      </vt:variant>
      <vt:variant>
        <vt:i4>0</vt:i4>
      </vt:variant>
      <vt:variant>
        <vt:i4>5</vt:i4>
      </vt:variant>
      <vt:variant>
        <vt:lpwstr>http://www.nevo.co.il/law/70301/382.b</vt:lpwstr>
      </vt:variant>
      <vt:variant>
        <vt:lpwstr/>
      </vt:variant>
      <vt:variant>
        <vt:i4>6684774</vt:i4>
      </vt:variant>
      <vt:variant>
        <vt:i4>12</vt:i4>
      </vt:variant>
      <vt:variant>
        <vt:i4>0</vt:i4>
      </vt:variant>
      <vt:variant>
        <vt:i4>5</vt:i4>
      </vt:variant>
      <vt:variant>
        <vt:lpwstr>http://www.nevo.co.il/law/70301/333</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http://www.nevo.co.il/law/70301/40h</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2025-04-23T00:47:00Z</dcterms:created>
  <dcterms:modified xsi:type="dcterms:W3CDTF">2025-04-23T00:47:00Z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60606;4822</vt:lpwstr>
  </property>
  <property fmtid="{D5CDD505-2E9C-101B-9397-08002B2CF9AE}" pid="6" name="NEWPARTB">
    <vt:lpwstr>10;02</vt:lpwstr>
  </property>
  <property fmtid="{D5CDD505-2E9C-101B-9397-08002B2CF9AE}" pid="7" name="NEWPARTC">
    <vt:lpwstr>20;21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רותם פלג;מירי פרידמן</vt:lpwstr>
  </property>
  <property fmtid="{D5CDD505-2E9C-101B-9397-08002B2CF9AE}" pid="11" name="JUDGE">
    <vt:lpwstr>אדנקו סבחת  חיימוביץ</vt:lpwstr>
  </property>
  <property fmtid="{D5CDD505-2E9C-101B-9397-08002B2CF9AE}" pid="12" name="CITY">
    <vt:lpwstr>רח'</vt:lpwstr>
  </property>
  <property fmtid="{D5CDD505-2E9C-101B-9397-08002B2CF9AE}" pid="13" name="DATE">
    <vt:lpwstr>20211018</vt:lpwstr>
  </property>
  <property fmtid="{D5CDD505-2E9C-101B-9397-08002B2CF9AE}" pid="14" name="TYPE_N_DATE">
    <vt:lpwstr>38020211018</vt:lpwstr>
  </property>
  <property fmtid="{D5CDD505-2E9C-101B-9397-08002B2CF9AE}" pid="15" name="WORDNUMPAGES">
    <vt:lpwstr>12</vt:lpwstr>
  </property>
  <property fmtid="{D5CDD505-2E9C-101B-9397-08002B2CF9AE}" pid="16" name="TYPE_ABS_DATE">
    <vt:lpwstr>380020211018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27371425:2;27111003;6248129;5568571;26733645;13107327;3930903;26529778;27042523;4162229;18193741;23226796;22063599;6875181;20651811;20476080;16953967;21867187;5779147</vt:lpwstr>
  </property>
  <property fmtid="{D5CDD505-2E9C-101B-9397-08002B2CF9AE}" pid="36" name="LAWLISTTMP1">
    <vt:lpwstr>70301/192;382.b;382.c;333;040i;040h</vt:lpwstr>
  </property>
  <property fmtid="{D5CDD505-2E9C-101B-9397-08002B2CF9AE}" pid="37" name="LAWLISTTMP2">
    <vt:lpwstr>4216/006</vt:lpwstr>
  </property>
</Properties>
</file>