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A47EF8" w:rsidRPr="00547358" w14:paraId="2E274764" w14:textId="77777777" w:rsidTr="00844DA0">
        <w:trPr>
          <w:trHeight w:hRule="exact" w:val="418"/>
          <w:jc w:val="center"/>
        </w:trPr>
        <w:tc>
          <w:tcPr>
            <w:tcW w:w="8523" w:type="dxa"/>
            <w:gridSpan w:val="2"/>
          </w:tcPr>
          <w:p w14:paraId="0D6671C5" w14:textId="77777777" w:rsidR="00A47EF8" w:rsidRPr="00547358" w:rsidRDefault="000015A0" w:rsidP="00F908A9">
            <w:pPr>
              <w:pStyle w:val="a3"/>
              <w:jc w:val="center"/>
              <w:rPr>
                <w:rFonts w:ascii="Tahoma" w:hAnsi="Tahoma" w:cs="Tahoma"/>
                <w:color w:val="000080"/>
                <w:rtl/>
              </w:rPr>
            </w:pPr>
            <w:bookmarkStart w:id="0" w:name="LastJudge"/>
            <w:r>
              <w:rPr>
                <w:rFonts w:ascii="Tahoma" w:hAnsi="Tahoma" w:cs="Tahoma" w:hint="cs"/>
                <w:b/>
                <w:bCs/>
                <w:color w:val="000080"/>
                <w:rtl/>
              </w:rPr>
              <w:t>ס</w:t>
            </w:r>
            <w:r w:rsidR="00A47EF8" w:rsidRPr="00547358">
              <w:rPr>
                <w:rFonts w:ascii="Tahoma" w:hAnsi="Tahoma" w:cs="Tahoma"/>
                <w:b/>
                <w:bCs/>
                <w:color w:val="000080"/>
                <w:rtl/>
              </w:rPr>
              <w:t>בית משפט השלום ברחובות</w:t>
            </w:r>
          </w:p>
        </w:tc>
      </w:tr>
      <w:tr w:rsidR="00A47EF8" w:rsidRPr="00547358" w14:paraId="61C20F52" w14:textId="77777777" w:rsidTr="00844DA0">
        <w:trPr>
          <w:trHeight w:val="337"/>
          <w:jc w:val="center"/>
        </w:trPr>
        <w:tc>
          <w:tcPr>
            <w:tcW w:w="4946" w:type="dxa"/>
          </w:tcPr>
          <w:p w14:paraId="33EAA357" w14:textId="77777777" w:rsidR="00A47EF8" w:rsidRPr="00547358" w:rsidRDefault="00A47EF8" w:rsidP="00F908A9">
            <w:pPr>
              <w:rPr>
                <w:rFonts w:cs="FrankRuehl"/>
                <w:sz w:val="28"/>
                <w:szCs w:val="28"/>
                <w:rtl/>
              </w:rPr>
            </w:pPr>
            <w:r w:rsidRPr="00547358">
              <w:rPr>
                <w:rFonts w:cs="FrankRuehl"/>
                <w:sz w:val="28"/>
                <w:szCs w:val="28"/>
                <w:rtl/>
              </w:rPr>
              <w:t>ת"פ</w:t>
            </w:r>
            <w:r w:rsidRPr="00547358">
              <w:rPr>
                <w:rFonts w:cs="FrankRuehl" w:hint="cs"/>
                <w:sz w:val="28"/>
                <w:szCs w:val="28"/>
                <w:rtl/>
              </w:rPr>
              <w:t xml:space="preserve"> </w:t>
            </w:r>
            <w:r w:rsidRPr="00547358">
              <w:rPr>
                <w:rFonts w:cs="FrankRuehl"/>
                <w:sz w:val="28"/>
                <w:szCs w:val="28"/>
                <w:rtl/>
              </w:rPr>
              <w:t>61370-10-20</w:t>
            </w:r>
            <w:r w:rsidRPr="00547358">
              <w:rPr>
                <w:rFonts w:cs="FrankRuehl" w:hint="cs"/>
                <w:sz w:val="28"/>
                <w:szCs w:val="28"/>
                <w:rtl/>
              </w:rPr>
              <w:t xml:space="preserve"> </w:t>
            </w:r>
            <w:r w:rsidRPr="00547358">
              <w:rPr>
                <w:rFonts w:cs="FrankRuehl"/>
                <w:sz w:val="28"/>
                <w:szCs w:val="28"/>
                <w:rtl/>
              </w:rPr>
              <w:t>מדינת ישראל נ' בסט</w:t>
            </w:r>
          </w:p>
          <w:p w14:paraId="4B891C8B" w14:textId="77777777" w:rsidR="00A47EF8" w:rsidRPr="00547358" w:rsidRDefault="00A47EF8" w:rsidP="00F908A9">
            <w:pPr>
              <w:pStyle w:val="a3"/>
              <w:rPr>
                <w:rFonts w:cs="FrankRuehl"/>
                <w:sz w:val="28"/>
                <w:szCs w:val="28"/>
                <w:rtl/>
              </w:rPr>
            </w:pPr>
          </w:p>
        </w:tc>
        <w:tc>
          <w:tcPr>
            <w:tcW w:w="3577" w:type="dxa"/>
          </w:tcPr>
          <w:p w14:paraId="6618D576" w14:textId="77777777" w:rsidR="00A47EF8" w:rsidRPr="00547358" w:rsidRDefault="00A47EF8" w:rsidP="00F908A9">
            <w:pPr>
              <w:pStyle w:val="a3"/>
              <w:jc w:val="right"/>
              <w:rPr>
                <w:rFonts w:cs="FrankRuehl"/>
                <w:sz w:val="28"/>
                <w:szCs w:val="28"/>
                <w:rtl/>
              </w:rPr>
            </w:pPr>
          </w:p>
        </w:tc>
      </w:tr>
    </w:tbl>
    <w:p w14:paraId="6CD29580" w14:textId="77777777" w:rsidR="00A47EF8" w:rsidRPr="00547358" w:rsidRDefault="00A47EF8" w:rsidP="00A47EF8">
      <w:pPr>
        <w:pStyle w:val="a3"/>
        <w:rPr>
          <w:rtl/>
        </w:rPr>
      </w:pPr>
      <w:r w:rsidRPr="00547358">
        <w:rPr>
          <w:rFonts w:hint="cs"/>
          <w:rtl/>
        </w:rPr>
        <w:t xml:space="preserve"> </w:t>
      </w:r>
    </w:p>
    <w:p w14:paraId="65BE5219" w14:textId="77777777" w:rsidR="00A47EF8" w:rsidRPr="00547358" w:rsidRDefault="00A47EF8" w:rsidP="00A47EF8">
      <w:pPr>
        <w:rPr>
          <w:sz w:val="26"/>
          <w:szCs w:val="26"/>
          <w:rtl/>
        </w:rPr>
      </w:pPr>
    </w:p>
    <w:p w14:paraId="51607A00" w14:textId="77777777" w:rsidR="00A47EF8" w:rsidRPr="00547358" w:rsidRDefault="00A47EF8" w:rsidP="00A47EF8">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085"/>
        <w:gridCol w:w="4504"/>
      </w:tblGrid>
      <w:tr w:rsidR="00A47EF8" w:rsidRPr="00547358" w14:paraId="2DF6A26F" w14:textId="77777777" w:rsidTr="00A47EF8">
        <w:trPr>
          <w:trHeight w:val="295"/>
          <w:jc w:val="center"/>
        </w:trPr>
        <w:tc>
          <w:tcPr>
            <w:tcW w:w="1231" w:type="dxa"/>
            <w:tcBorders>
              <w:top w:val="nil"/>
              <w:left w:val="nil"/>
              <w:bottom w:val="nil"/>
              <w:right w:val="nil"/>
            </w:tcBorders>
            <w:shd w:val="clear" w:color="auto" w:fill="auto"/>
          </w:tcPr>
          <w:p w14:paraId="7D352192" w14:textId="77777777" w:rsidR="00A47EF8" w:rsidRPr="00547358" w:rsidRDefault="00A47EF8" w:rsidP="00A47EF8">
            <w:pPr>
              <w:jc w:val="both"/>
              <w:rPr>
                <w:rFonts w:ascii="David" w:hAnsi="David"/>
                <w:sz w:val="26"/>
                <w:szCs w:val="26"/>
              </w:rPr>
            </w:pPr>
            <w:r w:rsidRPr="00547358">
              <w:rPr>
                <w:rFonts w:ascii="David" w:hAnsi="David"/>
                <w:sz w:val="26"/>
                <w:szCs w:val="26"/>
                <w:rtl/>
              </w:rPr>
              <w:t xml:space="preserve">בפני </w:t>
            </w:r>
          </w:p>
        </w:tc>
        <w:tc>
          <w:tcPr>
            <w:tcW w:w="7589" w:type="dxa"/>
            <w:gridSpan w:val="2"/>
            <w:tcBorders>
              <w:top w:val="nil"/>
              <w:left w:val="nil"/>
              <w:bottom w:val="nil"/>
              <w:right w:val="nil"/>
            </w:tcBorders>
            <w:shd w:val="clear" w:color="auto" w:fill="auto"/>
          </w:tcPr>
          <w:p w14:paraId="7A55DA7E" w14:textId="77777777" w:rsidR="00A47EF8" w:rsidRPr="00547358" w:rsidRDefault="00A47EF8" w:rsidP="00F908A9">
            <w:pPr>
              <w:rPr>
                <w:rFonts w:ascii="David" w:hAnsi="David"/>
                <w:b/>
                <w:bCs/>
                <w:sz w:val="26"/>
                <w:szCs w:val="26"/>
                <w:rtl/>
              </w:rPr>
            </w:pPr>
            <w:r w:rsidRPr="00547358">
              <w:rPr>
                <w:rFonts w:ascii="David" w:hAnsi="David"/>
                <w:b/>
                <w:bCs/>
                <w:sz w:val="26"/>
                <w:szCs w:val="26"/>
                <w:rtl/>
              </w:rPr>
              <w:t>כבוד השופטת זהר דיבון סגל</w:t>
            </w:r>
          </w:p>
          <w:p w14:paraId="4AAC08BC" w14:textId="77777777" w:rsidR="00A47EF8" w:rsidRPr="00547358" w:rsidRDefault="00A47EF8" w:rsidP="00F908A9">
            <w:pPr>
              <w:rPr>
                <w:rFonts w:ascii="David" w:hAnsi="David"/>
                <w:sz w:val="26"/>
                <w:szCs w:val="26"/>
                <w:rtl/>
              </w:rPr>
            </w:pPr>
          </w:p>
          <w:p w14:paraId="44D802F7" w14:textId="77777777" w:rsidR="00A47EF8" w:rsidRPr="00547358" w:rsidRDefault="00A47EF8" w:rsidP="00A47EF8">
            <w:pPr>
              <w:jc w:val="both"/>
              <w:rPr>
                <w:rFonts w:ascii="David" w:hAnsi="David"/>
                <w:sz w:val="26"/>
                <w:szCs w:val="26"/>
              </w:rPr>
            </w:pPr>
          </w:p>
        </w:tc>
      </w:tr>
      <w:tr w:rsidR="00A47EF8" w:rsidRPr="00547358" w14:paraId="09FBC767" w14:textId="77777777" w:rsidTr="00A47EF8">
        <w:trPr>
          <w:trHeight w:val="355"/>
          <w:jc w:val="center"/>
        </w:trPr>
        <w:tc>
          <w:tcPr>
            <w:tcW w:w="1231" w:type="dxa"/>
            <w:tcBorders>
              <w:top w:val="nil"/>
              <w:left w:val="nil"/>
              <w:bottom w:val="nil"/>
              <w:right w:val="nil"/>
            </w:tcBorders>
            <w:shd w:val="clear" w:color="auto" w:fill="auto"/>
          </w:tcPr>
          <w:p w14:paraId="69C25AF5" w14:textId="77777777" w:rsidR="00A47EF8" w:rsidRPr="00547358" w:rsidRDefault="00A47EF8" w:rsidP="00A47EF8">
            <w:pPr>
              <w:jc w:val="both"/>
              <w:rPr>
                <w:rFonts w:ascii="David" w:hAnsi="David"/>
                <w:sz w:val="26"/>
                <w:szCs w:val="26"/>
              </w:rPr>
            </w:pPr>
            <w:bookmarkStart w:id="1" w:name="FirstAppellant" w:colFirst="0" w:colLast="1"/>
            <w:r w:rsidRPr="00547358">
              <w:rPr>
                <w:rFonts w:ascii="David" w:hAnsi="David"/>
                <w:sz w:val="26"/>
                <w:szCs w:val="26"/>
                <w:rtl/>
              </w:rPr>
              <w:t>בעניין:</w:t>
            </w:r>
          </w:p>
        </w:tc>
        <w:tc>
          <w:tcPr>
            <w:tcW w:w="3085" w:type="dxa"/>
            <w:tcBorders>
              <w:top w:val="nil"/>
              <w:left w:val="nil"/>
              <w:bottom w:val="nil"/>
              <w:right w:val="nil"/>
            </w:tcBorders>
            <w:shd w:val="clear" w:color="auto" w:fill="auto"/>
          </w:tcPr>
          <w:p w14:paraId="602852A7" w14:textId="77777777" w:rsidR="00A47EF8" w:rsidRPr="00547358" w:rsidRDefault="00A47EF8" w:rsidP="00A47EF8">
            <w:pPr>
              <w:suppressLineNumbers/>
              <w:rPr>
                <w:rFonts w:ascii="David" w:hAnsi="David"/>
                <w:sz w:val="26"/>
                <w:szCs w:val="26"/>
              </w:rPr>
            </w:pPr>
          </w:p>
        </w:tc>
        <w:tc>
          <w:tcPr>
            <w:tcW w:w="4504" w:type="dxa"/>
            <w:tcBorders>
              <w:top w:val="nil"/>
              <w:left w:val="nil"/>
              <w:bottom w:val="nil"/>
              <w:right w:val="nil"/>
            </w:tcBorders>
            <w:shd w:val="clear" w:color="auto" w:fill="auto"/>
            <w:vAlign w:val="center"/>
          </w:tcPr>
          <w:p w14:paraId="05F7AEDB" w14:textId="77777777" w:rsidR="00A47EF8" w:rsidRPr="00547358" w:rsidRDefault="00A47EF8" w:rsidP="00A47EF8">
            <w:pPr>
              <w:suppressLineNumbers/>
              <w:rPr>
                <w:rFonts w:ascii="David" w:hAnsi="David"/>
                <w:sz w:val="26"/>
                <w:szCs w:val="26"/>
              </w:rPr>
            </w:pPr>
          </w:p>
        </w:tc>
      </w:tr>
      <w:tr w:rsidR="00A47EF8" w:rsidRPr="00547358" w14:paraId="32F27FF2" w14:textId="77777777" w:rsidTr="00A47EF8">
        <w:trPr>
          <w:trHeight w:val="355"/>
          <w:jc w:val="center"/>
        </w:trPr>
        <w:tc>
          <w:tcPr>
            <w:tcW w:w="1231" w:type="dxa"/>
            <w:tcBorders>
              <w:top w:val="nil"/>
              <w:left w:val="nil"/>
              <w:bottom w:val="nil"/>
              <w:right w:val="nil"/>
            </w:tcBorders>
            <w:shd w:val="clear" w:color="auto" w:fill="auto"/>
          </w:tcPr>
          <w:p w14:paraId="1B1D649B" w14:textId="77777777" w:rsidR="00A47EF8" w:rsidRPr="00547358" w:rsidRDefault="00A47EF8" w:rsidP="00A47EF8">
            <w:pPr>
              <w:jc w:val="both"/>
              <w:rPr>
                <w:rFonts w:ascii="David" w:hAnsi="David"/>
                <w:sz w:val="26"/>
                <w:szCs w:val="26"/>
                <w:rtl/>
              </w:rPr>
            </w:pPr>
            <w:bookmarkStart w:id="2" w:name="FirstLawyer"/>
            <w:r w:rsidRPr="00547358">
              <w:rPr>
                <w:rFonts w:ascii="Arial" w:hAnsi="Arial" w:hint="cs"/>
                <w:b/>
                <w:bCs/>
                <w:sz w:val="26"/>
                <w:szCs w:val="26"/>
                <w:rtl/>
              </w:rPr>
              <w:t>ה</w:t>
            </w:r>
            <w:r w:rsidRPr="00547358">
              <w:rPr>
                <w:rFonts w:ascii="Arial" w:hAnsi="Arial"/>
                <w:b/>
                <w:bCs/>
                <w:sz w:val="26"/>
                <w:szCs w:val="26"/>
                <w:rtl/>
              </w:rPr>
              <w:t>מאשימה</w:t>
            </w:r>
          </w:p>
          <w:p w14:paraId="51A94BE6" w14:textId="77777777" w:rsidR="00A47EF8" w:rsidRPr="00547358" w:rsidRDefault="00A47EF8" w:rsidP="00A47EF8">
            <w:pPr>
              <w:jc w:val="both"/>
              <w:rPr>
                <w:rFonts w:ascii="David" w:hAnsi="David"/>
                <w:sz w:val="26"/>
                <w:szCs w:val="26"/>
                <w:rtl/>
              </w:rPr>
            </w:pPr>
            <w:r w:rsidRPr="00547358">
              <w:rPr>
                <w:rFonts w:ascii="David" w:hAnsi="David" w:hint="cs"/>
                <w:sz w:val="26"/>
                <w:szCs w:val="26"/>
                <w:rtl/>
              </w:rPr>
              <w:t xml:space="preserve"> </w:t>
            </w:r>
          </w:p>
          <w:p w14:paraId="66D19C3B" w14:textId="77777777" w:rsidR="00A47EF8" w:rsidRPr="00547358" w:rsidRDefault="00A47EF8" w:rsidP="00A47EF8">
            <w:pPr>
              <w:jc w:val="both"/>
              <w:rPr>
                <w:rFonts w:ascii="David" w:hAnsi="David"/>
                <w:sz w:val="26"/>
                <w:szCs w:val="26"/>
                <w:rtl/>
              </w:rPr>
            </w:pPr>
          </w:p>
          <w:p w14:paraId="12636FEF" w14:textId="77777777" w:rsidR="00A47EF8" w:rsidRPr="00547358" w:rsidRDefault="00A47EF8" w:rsidP="00A47EF8">
            <w:pPr>
              <w:jc w:val="both"/>
              <w:rPr>
                <w:rFonts w:ascii="David" w:hAnsi="David"/>
                <w:sz w:val="26"/>
                <w:szCs w:val="26"/>
                <w:rtl/>
              </w:rPr>
            </w:pPr>
          </w:p>
          <w:p w14:paraId="0BC9D7E7" w14:textId="77777777" w:rsidR="00A47EF8" w:rsidRPr="00547358" w:rsidRDefault="00A47EF8" w:rsidP="00A47EF8">
            <w:pPr>
              <w:jc w:val="both"/>
              <w:rPr>
                <w:rFonts w:ascii="David" w:hAnsi="David"/>
                <w:sz w:val="26"/>
                <w:szCs w:val="26"/>
                <w:rtl/>
              </w:rPr>
            </w:pPr>
          </w:p>
          <w:p w14:paraId="596C759C" w14:textId="77777777" w:rsidR="00A47EF8" w:rsidRPr="00547358" w:rsidRDefault="00A47EF8" w:rsidP="00A47EF8">
            <w:pPr>
              <w:jc w:val="both"/>
              <w:rPr>
                <w:rFonts w:ascii="David" w:hAnsi="David"/>
                <w:sz w:val="26"/>
                <w:szCs w:val="26"/>
                <w:rtl/>
              </w:rPr>
            </w:pPr>
          </w:p>
          <w:p w14:paraId="30E8C075" w14:textId="77777777" w:rsidR="00A47EF8" w:rsidRPr="00547358" w:rsidRDefault="00A47EF8" w:rsidP="00A47EF8">
            <w:pPr>
              <w:jc w:val="both"/>
              <w:rPr>
                <w:rFonts w:ascii="Arial" w:hAnsi="Arial"/>
                <w:b/>
                <w:bCs/>
                <w:sz w:val="26"/>
                <w:szCs w:val="26"/>
                <w:rtl/>
              </w:rPr>
            </w:pPr>
          </w:p>
          <w:p w14:paraId="6C2C19B9" w14:textId="77777777" w:rsidR="00A47EF8" w:rsidRPr="00547358" w:rsidRDefault="00A47EF8" w:rsidP="00A47EF8">
            <w:pPr>
              <w:jc w:val="both"/>
              <w:rPr>
                <w:rFonts w:ascii="David" w:hAnsi="David"/>
                <w:sz w:val="26"/>
                <w:szCs w:val="26"/>
                <w:rtl/>
              </w:rPr>
            </w:pPr>
            <w:r w:rsidRPr="00547358">
              <w:rPr>
                <w:rFonts w:ascii="Arial" w:hAnsi="Arial"/>
                <w:b/>
                <w:bCs/>
                <w:sz w:val="26"/>
                <w:szCs w:val="26"/>
                <w:rtl/>
              </w:rPr>
              <w:t>ה</w:t>
            </w:r>
            <w:r w:rsidRPr="00547358">
              <w:rPr>
                <w:rFonts w:ascii="Arial" w:hAnsi="Arial" w:hint="cs"/>
                <w:b/>
                <w:bCs/>
                <w:sz w:val="26"/>
                <w:szCs w:val="26"/>
                <w:rtl/>
              </w:rPr>
              <w:t xml:space="preserve">נאשם </w:t>
            </w:r>
          </w:p>
        </w:tc>
        <w:tc>
          <w:tcPr>
            <w:tcW w:w="7589" w:type="dxa"/>
            <w:gridSpan w:val="2"/>
            <w:tcBorders>
              <w:top w:val="nil"/>
              <w:left w:val="nil"/>
              <w:bottom w:val="nil"/>
              <w:right w:val="nil"/>
            </w:tcBorders>
            <w:shd w:val="clear" w:color="auto" w:fill="auto"/>
          </w:tcPr>
          <w:p w14:paraId="72E3CA83" w14:textId="77777777" w:rsidR="00A47EF8" w:rsidRPr="00547358" w:rsidRDefault="00A47EF8" w:rsidP="00A47EF8">
            <w:pPr>
              <w:suppressLineNumbers/>
              <w:rPr>
                <w:rFonts w:ascii="Arial" w:hAnsi="Arial"/>
                <w:b/>
                <w:bCs/>
                <w:sz w:val="26"/>
                <w:szCs w:val="26"/>
                <w:rtl/>
              </w:rPr>
            </w:pPr>
            <w:r w:rsidRPr="00547358">
              <w:rPr>
                <w:rFonts w:ascii="Arial" w:hAnsi="Arial"/>
                <w:b/>
                <w:bCs/>
                <w:sz w:val="26"/>
                <w:szCs w:val="26"/>
                <w:rtl/>
              </w:rPr>
              <w:t>מדינת ישראל</w:t>
            </w:r>
            <w:r w:rsidRPr="00547358">
              <w:rPr>
                <w:rFonts w:ascii="Arial" w:hAnsi="Arial" w:hint="cs"/>
                <w:b/>
                <w:bCs/>
                <w:sz w:val="26"/>
                <w:szCs w:val="26"/>
                <w:rtl/>
              </w:rPr>
              <w:t xml:space="preserve"> </w:t>
            </w:r>
          </w:p>
          <w:p w14:paraId="27DCEA9E" w14:textId="77777777" w:rsidR="00A47EF8" w:rsidRPr="00547358" w:rsidRDefault="00A47EF8" w:rsidP="00A47EF8">
            <w:pPr>
              <w:suppressLineNumbers/>
              <w:rPr>
                <w:rFonts w:ascii="Arial" w:hAnsi="Arial"/>
                <w:b/>
                <w:bCs/>
                <w:sz w:val="26"/>
                <w:szCs w:val="26"/>
                <w:rtl/>
              </w:rPr>
            </w:pPr>
            <w:r w:rsidRPr="00547358">
              <w:rPr>
                <w:rFonts w:ascii="Arial" w:hAnsi="Arial" w:hint="cs"/>
                <w:b/>
                <w:bCs/>
                <w:sz w:val="26"/>
                <w:szCs w:val="26"/>
                <w:rtl/>
              </w:rPr>
              <w:t xml:space="preserve">יחידת תביעות שלוחת רחובות </w:t>
            </w:r>
          </w:p>
          <w:p w14:paraId="61217FF2" w14:textId="77777777" w:rsidR="00A47EF8" w:rsidRPr="00547358" w:rsidRDefault="00A47EF8" w:rsidP="00A47EF8">
            <w:pPr>
              <w:suppressLineNumbers/>
            </w:pPr>
            <w:r w:rsidRPr="00547358">
              <w:rPr>
                <w:rFonts w:ascii="Arial" w:hAnsi="Arial"/>
                <w:b/>
                <w:bCs/>
                <w:sz w:val="26"/>
                <w:szCs w:val="26"/>
                <w:rtl/>
              </w:rPr>
              <w:t>ע"י ב"כ עוה"</w:t>
            </w:r>
            <w:r w:rsidRPr="00547358">
              <w:rPr>
                <w:rFonts w:ascii="Arial" w:hAnsi="Arial" w:hint="cs"/>
                <w:b/>
                <w:bCs/>
                <w:sz w:val="26"/>
                <w:szCs w:val="26"/>
                <w:rtl/>
              </w:rPr>
              <w:t>ד רותם נבון פסחה</w:t>
            </w:r>
          </w:p>
          <w:p w14:paraId="5D364ADE" w14:textId="77777777" w:rsidR="00A47EF8" w:rsidRPr="00547358" w:rsidRDefault="00A47EF8" w:rsidP="00A47EF8">
            <w:pPr>
              <w:jc w:val="center"/>
              <w:rPr>
                <w:rFonts w:ascii="David" w:hAnsi="David"/>
                <w:b/>
                <w:bCs/>
                <w:sz w:val="26"/>
                <w:szCs w:val="26"/>
                <w:rtl/>
              </w:rPr>
            </w:pPr>
          </w:p>
          <w:p w14:paraId="06E30C54" w14:textId="77777777" w:rsidR="00A47EF8" w:rsidRPr="00547358" w:rsidRDefault="00A47EF8" w:rsidP="00A47EF8">
            <w:pPr>
              <w:jc w:val="center"/>
              <w:rPr>
                <w:rFonts w:ascii="David" w:hAnsi="David"/>
                <w:b/>
                <w:bCs/>
                <w:sz w:val="26"/>
                <w:szCs w:val="26"/>
                <w:rtl/>
              </w:rPr>
            </w:pPr>
          </w:p>
          <w:p w14:paraId="4F5CB8A6" w14:textId="77777777" w:rsidR="00A47EF8" w:rsidRPr="00547358" w:rsidRDefault="00A47EF8" w:rsidP="00F908A9">
            <w:pPr>
              <w:rPr>
                <w:rFonts w:ascii="David" w:hAnsi="David"/>
                <w:b/>
                <w:bCs/>
                <w:sz w:val="26"/>
                <w:szCs w:val="26"/>
                <w:rtl/>
              </w:rPr>
            </w:pPr>
            <w:r w:rsidRPr="00547358">
              <w:rPr>
                <w:rFonts w:ascii="David" w:hAnsi="David" w:hint="cs"/>
                <w:b/>
                <w:bCs/>
                <w:sz w:val="26"/>
                <w:szCs w:val="26"/>
                <w:rtl/>
              </w:rPr>
              <w:t xml:space="preserve"> </w:t>
            </w:r>
            <w:r w:rsidRPr="00547358">
              <w:rPr>
                <w:rFonts w:ascii="David" w:hAnsi="David"/>
                <w:b/>
                <w:bCs/>
                <w:sz w:val="26"/>
                <w:szCs w:val="26"/>
                <w:rtl/>
              </w:rPr>
              <w:t>נגד</w:t>
            </w:r>
          </w:p>
          <w:p w14:paraId="332492BF" w14:textId="77777777" w:rsidR="00A47EF8" w:rsidRPr="00547358" w:rsidRDefault="00A47EF8" w:rsidP="00F908A9">
            <w:pPr>
              <w:rPr>
                <w:rFonts w:ascii="David" w:hAnsi="David"/>
                <w:b/>
                <w:bCs/>
                <w:sz w:val="26"/>
                <w:szCs w:val="26"/>
                <w:rtl/>
              </w:rPr>
            </w:pPr>
          </w:p>
          <w:p w14:paraId="1D1E6615" w14:textId="77777777" w:rsidR="00A47EF8" w:rsidRPr="00547358" w:rsidRDefault="00A47EF8" w:rsidP="00A47EF8">
            <w:pPr>
              <w:jc w:val="both"/>
              <w:rPr>
                <w:rFonts w:ascii="Arial" w:hAnsi="Arial"/>
                <w:b/>
                <w:bCs/>
                <w:sz w:val="26"/>
                <w:szCs w:val="26"/>
                <w:rtl/>
              </w:rPr>
            </w:pPr>
            <w:r w:rsidRPr="00547358">
              <w:rPr>
                <w:rFonts w:ascii="Arial" w:hAnsi="Arial"/>
                <w:b/>
                <w:bCs/>
                <w:sz w:val="26"/>
                <w:szCs w:val="26"/>
                <w:rtl/>
              </w:rPr>
              <w:t>אלירן בסט</w:t>
            </w:r>
            <w:r w:rsidRPr="00547358">
              <w:rPr>
                <w:rFonts w:ascii="Arial" w:hAnsi="Arial" w:hint="cs"/>
                <w:b/>
                <w:bCs/>
                <w:sz w:val="26"/>
                <w:szCs w:val="26"/>
                <w:rtl/>
              </w:rPr>
              <w:t xml:space="preserve"> </w:t>
            </w:r>
          </w:p>
          <w:p w14:paraId="323EEC0D" w14:textId="77777777" w:rsidR="00A47EF8" w:rsidRPr="00547358" w:rsidRDefault="00A47EF8" w:rsidP="00A47EF8">
            <w:pPr>
              <w:jc w:val="both"/>
              <w:rPr>
                <w:rFonts w:ascii="David" w:hAnsi="David"/>
                <w:sz w:val="26"/>
                <w:szCs w:val="26"/>
              </w:rPr>
            </w:pPr>
            <w:r w:rsidRPr="00547358">
              <w:rPr>
                <w:rFonts w:ascii="Arial" w:hAnsi="Arial"/>
                <w:b/>
                <w:bCs/>
                <w:sz w:val="26"/>
                <w:szCs w:val="26"/>
                <w:rtl/>
              </w:rPr>
              <w:t>ע"י ב"כ עוה"ד</w:t>
            </w:r>
            <w:r w:rsidRPr="00547358">
              <w:rPr>
                <w:rFonts w:ascii="Arial" w:hAnsi="Arial" w:hint="cs"/>
                <w:b/>
                <w:bCs/>
                <w:sz w:val="26"/>
                <w:szCs w:val="26"/>
                <w:rtl/>
              </w:rPr>
              <w:t xml:space="preserve"> קריטי </w:t>
            </w:r>
          </w:p>
        </w:tc>
      </w:tr>
      <w:bookmarkEnd w:id="1"/>
      <w:bookmarkEnd w:id="2"/>
    </w:tbl>
    <w:p w14:paraId="1C233CDC" w14:textId="77777777" w:rsidR="00A47EF8" w:rsidRPr="00547358" w:rsidRDefault="00A47EF8" w:rsidP="00A47EF8">
      <w:pPr>
        <w:rPr>
          <w:sz w:val="26"/>
          <w:szCs w:val="26"/>
        </w:rPr>
      </w:pPr>
    </w:p>
    <w:p w14:paraId="0EE28483" w14:textId="77777777" w:rsidR="000015A0" w:rsidRPr="000015A0" w:rsidRDefault="000015A0" w:rsidP="000015A0">
      <w:pPr>
        <w:spacing w:before="120" w:after="120" w:line="240" w:lineRule="exact"/>
        <w:ind w:left="283" w:hanging="283"/>
        <w:jc w:val="both"/>
        <w:rPr>
          <w:rFonts w:ascii="FrankRuehl" w:hAnsi="FrankRuehl" w:cs="FrankRuehl"/>
          <w:rtl/>
        </w:rPr>
      </w:pPr>
    </w:p>
    <w:p w14:paraId="23025F19" w14:textId="77777777" w:rsidR="00507E52" w:rsidRDefault="00507E52" w:rsidP="00507E52">
      <w:pPr>
        <w:rPr>
          <w:rFonts w:ascii="Arial" w:hAnsi="Arial"/>
          <w:sz w:val="26"/>
          <w:szCs w:val="26"/>
          <w:rtl/>
        </w:rPr>
      </w:pPr>
      <w:bookmarkStart w:id="3" w:name="LawTable"/>
      <w:bookmarkEnd w:id="3"/>
    </w:p>
    <w:p w14:paraId="2D06FCD4" w14:textId="77777777" w:rsidR="00507E52" w:rsidRPr="00507E52" w:rsidRDefault="00507E52" w:rsidP="00507E52">
      <w:pPr>
        <w:spacing w:before="120" w:after="120" w:line="240" w:lineRule="exact"/>
        <w:ind w:left="283" w:hanging="283"/>
        <w:jc w:val="both"/>
        <w:rPr>
          <w:rFonts w:ascii="FrankRuehl" w:hAnsi="FrankRuehl" w:cs="FrankRuehl"/>
          <w:rtl/>
        </w:rPr>
      </w:pPr>
    </w:p>
    <w:p w14:paraId="001E1415" w14:textId="77777777" w:rsidR="00507E52" w:rsidRPr="00507E52" w:rsidRDefault="00507E52" w:rsidP="00507E52">
      <w:pPr>
        <w:spacing w:before="120" w:after="120" w:line="240" w:lineRule="exact"/>
        <w:ind w:left="283" w:hanging="283"/>
        <w:jc w:val="both"/>
        <w:rPr>
          <w:rFonts w:ascii="FrankRuehl" w:hAnsi="FrankRuehl" w:cs="FrankRuehl"/>
          <w:rtl/>
        </w:rPr>
      </w:pPr>
    </w:p>
    <w:p w14:paraId="1CF50C8C" w14:textId="77777777" w:rsidR="00507E52" w:rsidRPr="00507E52" w:rsidRDefault="00507E52" w:rsidP="00507E52">
      <w:pPr>
        <w:spacing w:before="120" w:after="120" w:line="240" w:lineRule="exact"/>
        <w:ind w:left="283" w:hanging="283"/>
        <w:jc w:val="both"/>
        <w:rPr>
          <w:rFonts w:ascii="FrankRuehl" w:hAnsi="FrankRuehl" w:cs="FrankRuehl"/>
          <w:rtl/>
        </w:rPr>
      </w:pPr>
      <w:r w:rsidRPr="00507E52">
        <w:rPr>
          <w:rFonts w:ascii="FrankRuehl" w:hAnsi="FrankRuehl" w:cs="FrankRuehl"/>
          <w:rtl/>
        </w:rPr>
        <w:t xml:space="preserve">חקיקה שאוזכרה: </w:t>
      </w:r>
    </w:p>
    <w:p w14:paraId="7FEF230F" w14:textId="77777777" w:rsidR="00507E52" w:rsidRPr="00507E52" w:rsidRDefault="00507E52" w:rsidP="00507E52">
      <w:pPr>
        <w:spacing w:before="120" w:after="120" w:line="240" w:lineRule="exact"/>
        <w:ind w:left="283" w:hanging="283"/>
        <w:jc w:val="both"/>
        <w:rPr>
          <w:rFonts w:ascii="FrankRuehl" w:hAnsi="FrankRuehl" w:cs="FrankRuehl"/>
          <w:rtl/>
        </w:rPr>
      </w:pPr>
      <w:hyperlink r:id="rId7" w:history="1">
        <w:r w:rsidRPr="00507E52">
          <w:rPr>
            <w:rFonts w:ascii="FrankRuehl" w:hAnsi="FrankRuehl" w:cs="FrankRuehl"/>
            <w:color w:val="0000FF"/>
            <w:rtl/>
          </w:rPr>
          <w:t>פקודת הסמים המסוכנים [נוסח חדש], תשל"ג-1973</w:t>
        </w:r>
      </w:hyperlink>
      <w:r w:rsidRPr="00507E52">
        <w:rPr>
          <w:rFonts w:ascii="FrankRuehl" w:hAnsi="FrankRuehl" w:cs="FrankRuehl"/>
          <w:rtl/>
        </w:rPr>
        <w:t xml:space="preserve">: סע'  </w:t>
      </w:r>
      <w:hyperlink r:id="rId8" w:history="1">
        <w:r w:rsidRPr="00507E52">
          <w:rPr>
            <w:rFonts w:ascii="FrankRuehl" w:hAnsi="FrankRuehl" w:cs="FrankRuehl"/>
            <w:color w:val="0000FF"/>
            <w:rtl/>
          </w:rPr>
          <w:t>7.א.</w:t>
        </w:r>
      </w:hyperlink>
      <w:r w:rsidRPr="00507E52">
        <w:rPr>
          <w:rFonts w:ascii="FrankRuehl" w:hAnsi="FrankRuehl" w:cs="FrankRuehl"/>
          <w:rtl/>
        </w:rPr>
        <w:t xml:space="preserve">, </w:t>
      </w:r>
      <w:hyperlink r:id="rId9" w:history="1">
        <w:r w:rsidRPr="00507E52">
          <w:rPr>
            <w:rFonts w:ascii="FrankRuehl" w:hAnsi="FrankRuehl" w:cs="FrankRuehl"/>
            <w:color w:val="0000FF"/>
            <w:rtl/>
          </w:rPr>
          <w:t>7.ג</w:t>
        </w:r>
      </w:hyperlink>
      <w:r w:rsidRPr="00507E52">
        <w:rPr>
          <w:rFonts w:ascii="FrankRuehl" w:hAnsi="FrankRuehl" w:cs="FrankRuehl"/>
          <w:rtl/>
        </w:rPr>
        <w:t xml:space="preserve">, </w:t>
      </w:r>
      <w:hyperlink r:id="rId10" w:history="1">
        <w:r w:rsidRPr="00507E52">
          <w:rPr>
            <w:rFonts w:ascii="FrankRuehl" w:hAnsi="FrankRuehl" w:cs="FrankRuehl"/>
            <w:color w:val="0000FF"/>
            <w:rtl/>
          </w:rPr>
          <w:t>10</w:t>
        </w:r>
      </w:hyperlink>
    </w:p>
    <w:p w14:paraId="1420FAA0" w14:textId="77777777" w:rsidR="00507E52" w:rsidRPr="00507E52" w:rsidRDefault="00507E52" w:rsidP="00507E52">
      <w:pPr>
        <w:spacing w:before="120" w:after="120" w:line="240" w:lineRule="exact"/>
        <w:ind w:left="283" w:hanging="283"/>
        <w:jc w:val="both"/>
        <w:rPr>
          <w:rFonts w:ascii="FrankRuehl" w:hAnsi="FrankRuehl" w:cs="FrankRuehl"/>
          <w:rtl/>
        </w:rPr>
      </w:pPr>
      <w:hyperlink r:id="rId11" w:history="1">
        <w:r w:rsidRPr="00507E52">
          <w:rPr>
            <w:rFonts w:ascii="FrankRuehl" w:hAnsi="FrankRuehl" w:cs="FrankRuehl"/>
            <w:color w:val="0000FF"/>
            <w:rtl/>
          </w:rPr>
          <w:t>חוק העונשין, תשל"ז-1977</w:t>
        </w:r>
      </w:hyperlink>
      <w:r w:rsidRPr="00507E52">
        <w:rPr>
          <w:rFonts w:ascii="FrankRuehl" w:hAnsi="FrankRuehl" w:cs="FrankRuehl"/>
          <w:rtl/>
        </w:rPr>
        <w:t xml:space="preserve">: סע'  </w:t>
      </w:r>
      <w:hyperlink r:id="rId12" w:history="1">
        <w:r w:rsidRPr="00507E52">
          <w:rPr>
            <w:rFonts w:ascii="FrankRuehl" w:hAnsi="FrankRuehl" w:cs="FrankRuehl"/>
            <w:color w:val="0000FF"/>
            <w:rtl/>
          </w:rPr>
          <w:t>55</w:t>
        </w:r>
      </w:hyperlink>
      <w:r w:rsidRPr="00507E52">
        <w:rPr>
          <w:rFonts w:ascii="FrankRuehl" w:hAnsi="FrankRuehl" w:cs="FrankRuehl"/>
          <w:rtl/>
        </w:rPr>
        <w:t xml:space="preserve">, </w:t>
      </w:r>
      <w:hyperlink r:id="rId13" w:history="1">
        <w:r w:rsidRPr="00507E52">
          <w:rPr>
            <w:rFonts w:ascii="FrankRuehl" w:hAnsi="FrankRuehl" w:cs="FrankRuehl"/>
            <w:color w:val="0000FF"/>
            <w:rtl/>
          </w:rPr>
          <w:t>56</w:t>
        </w:r>
      </w:hyperlink>
      <w:r w:rsidRPr="00507E52">
        <w:rPr>
          <w:rFonts w:ascii="FrankRuehl" w:hAnsi="FrankRuehl" w:cs="FrankRuehl"/>
          <w:rtl/>
        </w:rPr>
        <w:t xml:space="preserve">, </w:t>
      </w:r>
      <w:hyperlink r:id="rId14" w:history="1">
        <w:r w:rsidRPr="00507E52">
          <w:rPr>
            <w:rFonts w:ascii="FrankRuehl" w:hAnsi="FrankRuehl" w:cs="FrankRuehl"/>
            <w:color w:val="0000FF"/>
            <w:rtl/>
          </w:rPr>
          <w:t>82</w:t>
        </w:r>
      </w:hyperlink>
      <w:r w:rsidRPr="00507E52">
        <w:rPr>
          <w:rFonts w:ascii="FrankRuehl" w:hAnsi="FrankRuehl" w:cs="FrankRuehl"/>
          <w:rtl/>
        </w:rPr>
        <w:t xml:space="preserve">, </w:t>
      </w:r>
      <w:hyperlink r:id="rId15" w:history="1">
        <w:r w:rsidRPr="00507E52">
          <w:rPr>
            <w:rFonts w:ascii="FrankRuehl" w:hAnsi="FrankRuehl" w:cs="FrankRuehl"/>
            <w:color w:val="0000FF"/>
            <w:rtl/>
          </w:rPr>
          <w:t>85</w:t>
        </w:r>
      </w:hyperlink>
    </w:p>
    <w:p w14:paraId="503B8F7C" w14:textId="77777777" w:rsidR="00507E52" w:rsidRPr="00507E52" w:rsidRDefault="00507E52" w:rsidP="00507E52">
      <w:pPr>
        <w:rPr>
          <w:rFonts w:ascii="Arial" w:hAnsi="Arial"/>
          <w:sz w:val="26"/>
          <w:szCs w:val="26"/>
          <w:rtl/>
        </w:rPr>
      </w:pPr>
      <w:bookmarkStart w:id="4" w:name="LawTable_End"/>
      <w:bookmarkEnd w:id="4"/>
    </w:p>
    <w:p w14:paraId="17FC6D34" w14:textId="77777777" w:rsidR="00A47EF8" w:rsidRPr="000015A0" w:rsidRDefault="00A47EF8" w:rsidP="000015A0">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7EF8" w14:paraId="3EB0CBA7" w14:textId="77777777" w:rsidTr="00A47EF8">
        <w:trPr>
          <w:trHeight w:val="355"/>
          <w:jc w:val="center"/>
        </w:trPr>
        <w:tc>
          <w:tcPr>
            <w:tcW w:w="8820" w:type="dxa"/>
            <w:tcBorders>
              <w:top w:val="nil"/>
              <w:left w:val="nil"/>
              <w:bottom w:val="nil"/>
              <w:right w:val="nil"/>
            </w:tcBorders>
            <w:shd w:val="clear" w:color="auto" w:fill="auto"/>
          </w:tcPr>
          <w:p w14:paraId="49F61F9C" w14:textId="77777777" w:rsidR="00547358" w:rsidRPr="00547358" w:rsidRDefault="00547358" w:rsidP="00547358">
            <w:pPr>
              <w:jc w:val="center"/>
              <w:rPr>
                <w:rFonts w:ascii="David" w:hAnsi="David"/>
                <w:b/>
                <w:bCs/>
                <w:sz w:val="32"/>
                <w:szCs w:val="32"/>
                <w:u w:val="single"/>
                <w:rtl/>
              </w:rPr>
            </w:pPr>
            <w:bookmarkStart w:id="5" w:name="PsakDin" w:colFirst="0" w:colLast="0"/>
            <w:bookmarkEnd w:id="0"/>
            <w:r w:rsidRPr="00547358">
              <w:rPr>
                <w:rFonts w:ascii="David" w:hAnsi="David"/>
                <w:b/>
                <w:bCs/>
                <w:sz w:val="32"/>
                <w:szCs w:val="32"/>
                <w:u w:val="single"/>
                <w:rtl/>
              </w:rPr>
              <w:t>גזר דין</w:t>
            </w:r>
          </w:p>
          <w:p w14:paraId="02277499" w14:textId="77777777" w:rsidR="00A47EF8" w:rsidRPr="00547358" w:rsidRDefault="00A47EF8" w:rsidP="00547358">
            <w:pPr>
              <w:jc w:val="center"/>
              <w:rPr>
                <w:rFonts w:ascii="David" w:hAnsi="David"/>
                <w:bCs/>
                <w:sz w:val="32"/>
                <w:szCs w:val="32"/>
                <w:u w:val="single"/>
                <w:rtl/>
              </w:rPr>
            </w:pPr>
          </w:p>
        </w:tc>
      </w:tr>
      <w:bookmarkEnd w:id="5"/>
    </w:tbl>
    <w:p w14:paraId="1F8196BF" w14:textId="77777777" w:rsidR="00A47EF8" w:rsidRPr="000F2247" w:rsidRDefault="00A47EF8" w:rsidP="00A47EF8">
      <w:pPr>
        <w:rPr>
          <w:rFonts w:ascii="Arial" w:hAnsi="Arial"/>
          <w:b/>
          <w:bCs/>
          <w:sz w:val="26"/>
          <w:szCs w:val="26"/>
          <w:rtl/>
        </w:rPr>
      </w:pPr>
    </w:p>
    <w:p w14:paraId="4980D608"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bookmarkStart w:id="6" w:name="ABSTRACT_START"/>
      <w:bookmarkEnd w:id="6"/>
      <w:r>
        <w:rPr>
          <w:rFonts w:cs="FrankRuehl"/>
          <w:sz w:val="28"/>
          <w:szCs w:val="28"/>
          <w:rtl/>
        </w:rPr>
        <w:t xml:space="preserve">הנאשם הורשע על יסוד הודאתו בהתאם להסדר טיעון בכתב אישום מתוקן בהחזקת </w:t>
      </w:r>
      <w:r>
        <w:rPr>
          <w:rFonts w:ascii="Miriam" w:hAnsi="Miriam" w:cs="Miriam"/>
          <w:rtl/>
        </w:rPr>
        <w:t>סמים שלא לצריכה עצמית</w:t>
      </w:r>
      <w:r>
        <w:rPr>
          <w:rFonts w:ascii="Corbel" w:hAnsi="Corbel" w:cs="FrankRuehl"/>
          <w:sz w:val="28"/>
          <w:szCs w:val="28"/>
          <w:rtl/>
        </w:rPr>
        <w:t xml:space="preserve">, עבירה לפי </w:t>
      </w:r>
      <w:hyperlink r:id="rId16" w:history="1">
        <w:r w:rsidR="00844DA0" w:rsidRPr="00844DA0">
          <w:rPr>
            <w:rStyle w:val="Hyperlink"/>
            <w:rFonts w:ascii="Corbel" w:hAnsi="Corbel" w:cs="FrankRuehl" w:hint="cs"/>
            <w:sz w:val="28"/>
            <w:szCs w:val="28"/>
            <w:rtl/>
          </w:rPr>
          <w:t>סעיף</w:t>
        </w:r>
        <w:r w:rsidR="00844DA0" w:rsidRPr="00844DA0">
          <w:rPr>
            <w:rStyle w:val="Hyperlink"/>
            <w:rFonts w:ascii="Corbel" w:hAnsi="Corbel" w:cs="FrankRuehl"/>
            <w:sz w:val="28"/>
            <w:szCs w:val="28"/>
            <w:rtl/>
          </w:rPr>
          <w:t xml:space="preserve"> 7(</w:t>
        </w:r>
        <w:r w:rsidR="00844DA0" w:rsidRPr="00844DA0">
          <w:rPr>
            <w:rStyle w:val="Hyperlink"/>
            <w:rFonts w:ascii="Corbel" w:hAnsi="Corbel" w:cs="FrankRuehl" w:hint="cs"/>
            <w:sz w:val="28"/>
            <w:szCs w:val="28"/>
            <w:rtl/>
          </w:rPr>
          <w:t>א</w:t>
        </w:r>
        <w:r w:rsidR="00844DA0" w:rsidRPr="00844DA0">
          <w:rPr>
            <w:rStyle w:val="Hyperlink"/>
            <w:rFonts w:ascii="Corbel" w:hAnsi="Corbel" w:cs="FrankRuehl"/>
            <w:sz w:val="28"/>
            <w:szCs w:val="28"/>
            <w:rtl/>
          </w:rPr>
          <w:t>)+7(</w:t>
        </w:r>
        <w:r w:rsidR="00844DA0" w:rsidRPr="00844DA0">
          <w:rPr>
            <w:rStyle w:val="Hyperlink"/>
            <w:rFonts w:ascii="Corbel" w:hAnsi="Corbel" w:cs="FrankRuehl" w:hint="cs"/>
            <w:sz w:val="28"/>
            <w:szCs w:val="28"/>
            <w:rtl/>
          </w:rPr>
          <w:t>ג</w:t>
        </w:r>
        <w:r w:rsidR="00844DA0" w:rsidRPr="00844DA0">
          <w:rPr>
            <w:rStyle w:val="Hyperlink"/>
            <w:rFonts w:ascii="Corbel" w:hAnsi="Corbel" w:cs="FrankRuehl"/>
            <w:sz w:val="28"/>
            <w:szCs w:val="28"/>
            <w:rtl/>
          </w:rPr>
          <w:t>)</w:t>
        </w:r>
      </w:hyperlink>
      <w:r>
        <w:rPr>
          <w:rFonts w:ascii="Corbel" w:hAnsi="Corbel" w:cs="FrankRuehl"/>
          <w:sz w:val="28"/>
          <w:szCs w:val="28"/>
          <w:rtl/>
        </w:rPr>
        <w:t xml:space="preserve"> רישא ל</w:t>
      </w:r>
      <w:hyperlink r:id="rId17" w:history="1">
        <w:r w:rsidR="00547358" w:rsidRPr="00547358">
          <w:rPr>
            <w:rFonts w:ascii="Corbel" w:hAnsi="Corbel" w:cs="FrankRuehl" w:hint="cs"/>
            <w:color w:val="0000FF"/>
            <w:sz w:val="28"/>
            <w:szCs w:val="28"/>
            <w:u w:val="single"/>
            <w:rtl/>
          </w:rPr>
          <w:t>פקודת</w:t>
        </w:r>
        <w:r w:rsidR="00547358" w:rsidRPr="00547358">
          <w:rPr>
            <w:rFonts w:ascii="Corbel" w:hAnsi="Corbel" w:cs="FrankRuehl"/>
            <w:color w:val="0000FF"/>
            <w:sz w:val="28"/>
            <w:szCs w:val="28"/>
            <w:u w:val="single"/>
            <w:rtl/>
          </w:rPr>
          <w:t xml:space="preserve"> </w:t>
        </w:r>
        <w:r w:rsidR="00547358" w:rsidRPr="00547358">
          <w:rPr>
            <w:rFonts w:ascii="Corbel" w:hAnsi="Corbel" w:cs="FrankRuehl" w:hint="cs"/>
            <w:color w:val="0000FF"/>
            <w:sz w:val="28"/>
            <w:szCs w:val="28"/>
            <w:u w:val="single"/>
            <w:rtl/>
          </w:rPr>
          <w:t>הסמים</w:t>
        </w:r>
        <w:r w:rsidR="00547358" w:rsidRPr="00547358">
          <w:rPr>
            <w:rFonts w:ascii="Corbel" w:hAnsi="Corbel" w:cs="FrankRuehl"/>
            <w:color w:val="0000FF"/>
            <w:sz w:val="28"/>
            <w:szCs w:val="28"/>
            <w:u w:val="single"/>
            <w:rtl/>
          </w:rPr>
          <w:t xml:space="preserve"> </w:t>
        </w:r>
        <w:r w:rsidR="00547358" w:rsidRPr="00547358">
          <w:rPr>
            <w:rFonts w:ascii="Corbel" w:hAnsi="Corbel" w:cs="FrankRuehl" w:hint="cs"/>
            <w:color w:val="0000FF"/>
            <w:sz w:val="28"/>
            <w:szCs w:val="28"/>
            <w:u w:val="single"/>
            <w:rtl/>
          </w:rPr>
          <w:t>המסוכנים</w:t>
        </w:r>
      </w:hyperlink>
      <w:r>
        <w:rPr>
          <w:rFonts w:ascii="Corbel" w:hAnsi="Corbel" w:cs="FrankRuehl"/>
          <w:sz w:val="28"/>
          <w:szCs w:val="28"/>
          <w:rtl/>
        </w:rPr>
        <w:t xml:space="preserve"> [נוסח חדש], התשל"ג–1973 (להלן: </w:t>
      </w:r>
      <w:r>
        <w:rPr>
          <w:rFonts w:ascii="Miriam" w:hAnsi="Miriam" w:cs="Miriam"/>
          <w:rtl/>
        </w:rPr>
        <w:t>הפקודה</w:t>
      </w:r>
      <w:r>
        <w:rPr>
          <w:rFonts w:ascii="Corbel" w:hAnsi="Corbel" w:cs="FrankRuehl"/>
          <w:sz w:val="28"/>
          <w:szCs w:val="28"/>
          <w:rtl/>
        </w:rPr>
        <w:t>), וב</w:t>
      </w:r>
      <w:r>
        <w:rPr>
          <w:rFonts w:ascii="Miriam" w:hAnsi="Miriam" w:cs="Miriam"/>
          <w:rtl/>
        </w:rPr>
        <w:t>החזקה כלים להכנת סם שלא לצריכה עצמית</w:t>
      </w:r>
      <w:r>
        <w:rPr>
          <w:rFonts w:ascii="Corbel" w:hAnsi="Corbel" w:cs="FrankRuehl"/>
          <w:sz w:val="28"/>
          <w:szCs w:val="28"/>
          <w:rtl/>
        </w:rPr>
        <w:t xml:space="preserve">, עבירה לפי </w:t>
      </w:r>
      <w:hyperlink r:id="rId18" w:history="1">
        <w:r w:rsidR="00844DA0" w:rsidRPr="00844DA0">
          <w:rPr>
            <w:rStyle w:val="Hyperlink"/>
            <w:rFonts w:ascii="Corbel" w:hAnsi="Corbel" w:cs="FrankRuehl" w:hint="cs"/>
            <w:sz w:val="28"/>
            <w:szCs w:val="28"/>
            <w:rtl/>
          </w:rPr>
          <w:t>סעיף</w:t>
        </w:r>
        <w:r w:rsidR="00844DA0" w:rsidRPr="00844DA0">
          <w:rPr>
            <w:rStyle w:val="Hyperlink"/>
            <w:rFonts w:ascii="Corbel" w:hAnsi="Corbel" w:cs="FrankRuehl"/>
            <w:sz w:val="28"/>
            <w:szCs w:val="28"/>
            <w:rtl/>
          </w:rPr>
          <w:t xml:space="preserve"> 10</w:t>
        </w:r>
      </w:hyperlink>
      <w:r>
        <w:rPr>
          <w:rFonts w:ascii="Corbel" w:hAnsi="Corbel" w:cs="FrankRuehl"/>
          <w:sz w:val="28"/>
          <w:szCs w:val="28"/>
          <w:rtl/>
        </w:rPr>
        <w:t xml:space="preserve"> רישא לפקודה</w:t>
      </w:r>
      <w:bookmarkStart w:id="7" w:name="ABSTRACT_END"/>
      <w:bookmarkEnd w:id="7"/>
      <w:r>
        <w:rPr>
          <w:rFonts w:ascii="Corbel" w:hAnsi="Corbel" w:cs="FrankRuehl"/>
          <w:sz w:val="28"/>
          <w:szCs w:val="28"/>
          <w:rtl/>
        </w:rPr>
        <w:t xml:space="preserve">. </w:t>
      </w:r>
    </w:p>
    <w:p w14:paraId="6E9FD708" w14:textId="77777777" w:rsidR="00A47EF8" w:rsidRDefault="00A47EF8" w:rsidP="00A47EF8">
      <w:pPr>
        <w:pStyle w:val="aa"/>
        <w:spacing w:before="100" w:beforeAutospacing="1" w:after="120"/>
        <w:ind w:left="0"/>
        <w:jc w:val="both"/>
        <w:rPr>
          <w:rFonts w:ascii="Corbel" w:hAnsi="Corbel" w:cs="FrankRuehl"/>
          <w:sz w:val="28"/>
          <w:szCs w:val="28"/>
        </w:rPr>
      </w:pPr>
    </w:p>
    <w:p w14:paraId="05093DDA"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כחלק מהסדר הטיעון אשר לא כלל הסכמה לעניין העונש, התבקש שירות המבחן להגיש תסקיר שיבחן את נסיבות ביצוע העביר</w:t>
      </w:r>
      <w:r>
        <w:rPr>
          <w:rFonts w:ascii="Corbel" w:hAnsi="Corbel" w:cs="FrankRuehl" w:hint="cs"/>
          <w:sz w:val="28"/>
          <w:szCs w:val="28"/>
          <w:rtl/>
        </w:rPr>
        <w:t>ות</w:t>
      </w:r>
      <w:r>
        <w:rPr>
          <w:rFonts w:ascii="Corbel" w:hAnsi="Corbel" w:cs="FrankRuehl"/>
          <w:sz w:val="28"/>
          <w:szCs w:val="28"/>
          <w:rtl/>
        </w:rPr>
        <w:t xml:space="preserve"> ונסיבותיו האישיות של הנאשם ויעביר המלצותיו לבית המשפט. כמו כן ולבקשת ההגנה, התבקש שירות המבחן להתייחס לסוגיית הארכת מאסר מותנה חב הפעלה שעומד ותלוי נגד הנאשם.</w:t>
      </w:r>
      <w:r>
        <w:rPr>
          <w:rFonts w:ascii="Calibri" w:hAnsi="Calibri" w:cs="FrankRuehl"/>
          <w:sz w:val="28"/>
          <w:szCs w:val="28"/>
          <w:rtl/>
        </w:rPr>
        <w:t xml:space="preserve"> </w:t>
      </w:r>
    </w:p>
    <w:p w14:paraId="4E96960F" w14:textId="77777777" w:rsidR="00A47EF8" w:rsidRPr="004370BA" w:rsidRDefault="00A47EF8" w:rsidP="00A47EF8">
      <w:pPr>
        <w:pStyle w:val="aa"/>
        <w:rPr>
          <w:rFonts w:ascii="Corbel" w:hAnsi="Corbel" w:cs="FrankRuehl"/>
          <w:sz w:val="28"/>
          <w:szCs w:val="28"/>
          <w:rtl/>
        </w:rPr>
      </w:pPr>
    </w:p>
    <w:p w14:paraId="02078A54"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שני תסקירי מבחן מונחים בפני בית המשפט</w:t>
      </w:r>
      <w:r>
        <w:rPr>
          <w:rFonts w:ascii="Corbel" w:hAnsi="Corbel" w:cs="FrankRuehl" w:hint="cs"/>
          <w:sz w:val="28"/>
          <w:szCs w:val="28"/>
          <w:rtl/>
        </w:rPr>
        <w:t>.</w:t>
      </w:r>
      <w:r>
        <w:rPr>
          <w:rFonts w:ascii="Corbel" w:hAnsi="Corbel" w:cs="FrankRuehl"/>
          <w:sz w:val="28"/>
          <w:szCs w:val="28"/>
          <w:rtl/>
        </w:rPr>
        <w:t xml:space="preserve"> ובסופו של תהליך אבחון וטיפול ה</w:t>
      </w:r>
      <w:r>
        <w:rPr>
          <w:rFonts w:ascii="Corbel" w:hAnsi="Corbel" w:cs="FrankRuehl" w:hint="cs"/>
          <w:sz w:val="28"/>
          <w:szCs w:val="28"/>
          <w:rtl/>
        </w:rPr>
        <w:t xml:space="preserve">ומלץ </w:t>
      </w:r>
      <w:r>
        <w:rPr>
          <w:rFonts w:ascii="Corbel" w:hAnsi="Corbel" w:cs="FrankRuehl"/>
          <w:sz w:val="28"/>
          <w:szCs w:val="28"/>
          <w:rtl/>
        </w:rPr>
        <w:t xml:space="preserve">על הטלת צו מבחן למשך שנה והארכת המאסר המותנה העומד והתלוי כנגדו, זאת כענישה מרתיעה ומוחשית, המאפשרת פניות לשילוב בתהליכי טיפול ובתעסוקה יציבה. חרף זאת, נותרו הצדדים חלוקים בעניין העונש שראוי שיוטל על הנאשם וכל צד טען בעניין זה כראות עיניו וכמיטב שיקול דעתו המקצועי. </w:t>
      </w:r>
    </w:p>
    <w:p w14:paraId="765279ED" w14:textId="77777777" w:rsidR="00A47EF8" w:rsidRPr="004370BA" w:rsidRDefault="00A47EF8" w:rsidP="00A47EF8">
      <w:pPr>
        <w:pStyle w:val="aa"/>
        <w:rPr>
          <w:rFonts w:ascii="Corbel" w:hAnsi="Corbel" w:cs="FrankRuehl"/>
          <w:sz w:val="28"/>
          <w:szCs w:val="28"/>
          <w:rtl/>
        </w:rPr>
      </w:pPr>
    </w:p>
    <w:p w14:paraId="551C68E4" w14:textId="77777777" w:rsidR="00A47EF8" w:rsidRDefault="00A47EF8" w:rsidP="00A47EF8">
      <w:pPr>
        <w:pStyle w:val="aa"/>
        <w:spacing w:before="100" w:beforeAutospacing="1" w:after="120" w:line="360" w:lineRule="auto"/>
        <w:ind w:left="0"/>
        <w:jc w:val="both"/>
        <w:rPr>
          <w:rFonts w:ascii="Miriam" w:hAnsi="Miriam" w:cs="Miriam"/>
          <w:rtl/>
        </w:rPr>
      </w:pPr>
      <w:r>
        <w:rPr>
          <w:rFonts w:ascii="Miriam" w:hAnsi="Miriam" w:cs="Miriam"/>
          <w:rtl/>
        </w:rPr>
        <w:t>כתב האישום המתוקן</w:t>
      </w:r>
    </w:p>
    <w:p w14:paraId="3DF0E40C" w14:textId="77777777" w:rsidR="00A47EF8" w:rsidRDefault="00A47EF8" w:rsidP="00A47EF8">
      <w:pPr>
        <w:pStyle w:val="aa"/>
        <w:spacing w:before="100" w:beforeAutospacing="1" w:after="120"/>
        <w:ind w:left="0"/>
        <w:jc w:val="both"/>
        <w:rPr>
          <w:rFonts w:ascii="Corbel" w:hAnsi="Corbel" w:cs="FrankRuehl"/>
          <w:sz w:val="28"/>
          <w:szCs w:val="28"/>
        </w:rPr>
      </w:pPr>
    </w:p>
    <w:p w14:paraId="5D696571"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ביום 3.9.2020 בשעה 23:20 או בסמוך לכך, נהג הנאשם ברכב מסוג מזדה בעל ל.ז 2301165 (להלן: </w:t>
      </w:r>
      <w:r>
        <w:rPr>
          <w:rFonts w:ascii="Miriam" w:hAnsi="Miriam" w:cs="Miriam"/>
          <w:rtl/>
        </w:rPr>
        <w:t>הרכב</w:t>
      </w:r>
      <w:r>
        <w:rPr>
          <w:rFonts w:ascii="Corbel" w:hAnsi="Corbel" w:cs="FrankRuehl"/>
          <w:sz w:val="28"/>
          <w:szCs w:val="28"/>
          <w:rtl/>
        </w:rPr>
        <w:t xml:space="preserve">), בחניון ברחוב גולדה מאיר בנס ציונה (להלן: </w:t>
      </w:r>
      <w:r>
        <w:rPr>
          <w:rFonts w:ascii="Miriam" w:hAnsi="Miriam" w:cs="Miriam"/>
          <w:rtl/>
        </w:rPr>
        <w:t>המקום</w:t>
      </w:r>
      <w:r>
        <w:rPr>
          <w:rFonts w:ascii="Corbel" w:hAnsi="Corbel" w:cs="FrankRuehl"/>
          <w:sz w:val="28"/>
          <w:szCs w:val="28"/>
          <w:rtl/>
        </w:rPr>
        <w:t xml:space="preserve">). בהמשך, במסגרת בדיקה שגרתית על ידי שוטרים שהגיעו למקום, עלה כי בעל הרכב נוהג ללא רישיון. בנסיבות אלו הגיעו שוטרים לרכב, והנאשם פנה לקראתם תוך שהוא משליך מידו סם מסוג קוקאין בתוך שקית שקופה במשקל של 9 גרם נטו. בהמשך, במהלך החיפוש ברכב, נתפס סכום כסף בסה"כ של 2,650 ₪, שקיות חלוקה ומשקל דיגיטלי. </w:t>
      </w:r>
    </w:p>
    <w:p w14:paraId="2F658C06" w14:textId="77777777" w:rsidR="00A47EF8" w:rsidRDefault="00A47EF8" w:rsidP="00A47EF8">
      <w:pPr>
        <w:pStyle w:val="aa"/>
        <w:spacing w:before="100" w:beforeAutospacing="1" w:after="120"/>
        <w:ind w:left="0"/>
        <w:jc w:val="both"/>
        <w:rPr>
          <w:rFonts w:ascii="Miriam" w:hAnsi="Miriam" w:cs="Miriam"/>
          <w:rtl/>
        </w:rPr>
      </w:pPr>
    </w:p>
    <w:p w14:paraId="65B99233" w14:textId="77777777" w:rsidR="00A47EF8" w:rsidRDefault="00A47EF8" w:rsidP="00A47EF8">
      <w:pPr>
        <w:pStyle w:val="aa"/>
        <w:spacing w:before="100" w:beforeAutospacing="1" w:after="120" w:line="360" w:lineRule="auto"/>
        <w:ind w:left="0"/>
        <w:jc w:val="both"/>
        <w:rPr>
          <w:rFonts w:ascii="Corbel" w:hAnsi="Corbel" w:cs="FrankRuehl"/>
          <w:sz w:val="28"/>
          <w:szCs w:val="28"/>
        </w:rPr>
      </w:pPr>
      <w:r>
        <w:rPr>
          <w:rFonts w:ascii="Miriam" w:hAnsi="Miriam" w:cs="Miriam"/>
          <w:rtl/>
        </w:rPr>
        <w:t xml:space="preserve">תסקירי מבחן </w:t>
      </w:r>
    </w:p>
    <w:p w14:paraId="1B2AAE6F" w14:textId="77777777" w:rsidR="00A47EF8" w:rsidRDefault="00A47EF8" w:rsidP="00A47EF8">
      <w:pPr>
        <w:pStyle w:val="aa"/>
        <w:spacing w:before="100" w:beforeAutospacing="1" w:after="120"/>
        <w:ind w:left="0"/>
        <w:jc w:val="both"/>
        <w:rPr>
          <w:rFonts w:ascii="Miriam" w:hAnsi="Miriam" w:cs="Miriam"/>
          <w:rtl/>
        </w:rPr>
      </w:pPr>
    </w:p>
    <w:p w14:paraId="4F728E1F" w14:textId="77777777" w:rsidR="00A47EF8" w:rsidRDefault="00A47EF8" w:rsidP="00A47EF8">
      <w:pPr>
        <w:pStyle w:val="aa"/>
        <w:spacing w:before="100" w:beforeAutospacing="1" w:after="120" w:line="360" w:lineRule="auto"/>
        <w:ind w:left="0"/>
        <w:jc w:val="both"/>
        <w:rPr>
          <w:rFonts w:ascii="Miriam" w:hAnsi="Miriam" w:cs="Miriam"/>
          <w:rtl/>
        </w:rPr>
      </w:pPr>
      <w:r>
        <w:rPr>
          <w:rFonts w:ascii="Miriam" w:hAnsi="Miriam" w:cs="Miriam"/>
          <w:rtl/>
        </w:rPr>
        <w:t>תסקיר מיום 3.11.2022 (להלן: התסקיר הראשון)</w:t>
      </w:r>
    </w:p>
    <w:p w14:paraId="78C32522" w14:textId="77777777" w:rsidR="00A47EF8" w:rsidRDefault="00A47EF8" w:rsidP="00A47EF8">
      <w:pPr>
        <w:pStyle w:val="aa"/>
        <w:spacing w:before="100" w:beforeAutospacing="1" w:after="120"/>
        <w:ind w:left="0"/>
        <w:jc w:val="both"/>
        <w:rPr>
          <w:rFonts w:ascii="Miriam" w:hAnsi="Miriam" w:cs="Miriam"/>
        </w:rPr>
      </w:pPr>
    </w:p>
    <w:p w14:paraId="71747C70"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התסקיר מבוסס על שיחה עם הנאשם, מסמך שהציג המעיד עליו כ"עוסק פטור", קשר עם גורמי הטיפול ביחידה להתמכרויות ברחובות, מידע הקיים מחקירות קודמות בעניינו בין השנים 2015-2012, כתב האישום המתוקן, פרוטוקול בית המשפט מיום 12.1.2022 והרישום הפלילי המעודכן ליום 3.11.2022.</w:t>
      </w:r>
    </w:p>
    <w:p w14:paraId="1CD6D4E4" w14:textId="77777777" w:rsidR="00A47EF8" w:rsidRDefault="00A47EF8" w:rsidP="00A47EF8">
      <w:pPr>
        <w:pStyle w:val="aa"/>
        <w:spacing w:before="100" w:beforeAutospacing="1" w:after="120"/>
        <w:ind w:left="0"/>
        <w:jc w:val="both"/>
        <w:rPr>
          <w:rFonts w:ascii="Corbel" w:hAnsi="Corbel" w:cs="FrankRuehl"/>
          <w:sz w:val="28"/>
          <w:szCs w:val="28"/>
        </w:rPr>
      </w:pPr>
    </w:p>
    <w:p w14:paraId="78B20092"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מהתסקיר עולה כי הנאשם בן 28, נשוי ואשתו עתידה הייתה ללדת אותה עת. השניים חזרו להתגורר בבית אמו של הנאשם בנס ציונה. הנאשם הוא הצעיר במשפחת מוצאו ולו אחות כבת 29, אביו נשוי ואב ל-2 ילדים קטנים, אינו בקשר עם הנאשם, אמו עובדת בתחום הניקיון וכסייעת בגן ילדים, נישאה בשנית ולה שני ילדים קטנים נוספים. הוריו התגרשו כשהיה בן 6 והנאשם תיאר תקופה זו כקשה ומורכבת אשר השפיעה על תפקודו לאורך השנים. כאשר היה בן 11, כך מסר, עבר להתגורר עם בן הזוג של אמו ותיאר תחושת של קיפוח והזנחה. בהמשך, עבר להתגורר עם סבתו ומסר כי במסגרת זו חש נוח ואף גילה קירבה לדודו שהתגורר באותו הבית. </w:t>
      </w:r>
    </w:p>
    <w:p w14:paraId="5FCCE7C2" w14:textId="77777777" w:rsidR="00A47EF8" w:rsidRPr="004370BA" w:rsidRDefault="00A47EF8" w:rsidP="00A47EF8">
      <w:pPr>
        <w:pStyle w:val="aa"/>
        <w:rPr>
          <w:rFonts w:ascii="Corbel" w:hAnsi="Corbel" w:cs="FrankRuehl"/>
          <w:sz w:val="28"/>
          <w:szCs w:val="28"/>
          <w:rtl/>
        </w:rPr>
      </w:pPr>
    </w:p>
    <w:p w14:paraId="52E3EE18"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hint="cs"/>
          <w:sz w:val="28"/>
          <w:szCs w:val="28"/>
          <w:rtl/>
        </w:rPr>
        <w:t>ה</w:t>
      </w:r>
      <w:r w:rsidRPr="004370BA">
        <w:rPr>
          <w:rFonts w:ascii="Corbel" w:hAnsi="Corbel" w:cs="FrankRuehl"/>
          <w:sz w:val="28"/>
          <w:szCs w:val="28"/>
          <w:rtl/>
        </w:rPr>
        <w:t xml:space="preserve">נאשם מנהל עסק בתחום השליחויות בשעות אחר הצהריים, ובשעות הבוקר עובד במחסן רשת גולברי. לדבריו סיים 10 שנות לימוד, עבר בין מספר מסגרות לימוד, גילה בעיות </w:t>
      </w:r>
      <w:r w:rsidRPr="004370BA">
        <w:rPr>
          <w:rFonts w:ascii="Corbel" w:hAnsi="Corbel" w:cs="FrankRuehl"/>
          <w:sz w:val="28"/>
          <w:szCs w:val="28"/>
          <w:rtl/>
        </w:rPr>
        <w:lastRenderedPageBreak/>
        <w:t>התנהגות ואלימות וסיים לימודיו בגיל 16 במסגרת פרויקט היל"ה. עוד לדבריו, בגיל 18 החל לעבוד במוסך בבעלות דודו במשך 3 שנים והתנתק מהחברה השולית עמה התרו</w:t>
      </w:r>
      <w:r>
        <w:rPr>
          <w:rFonts w:ascii="Corbel" w:hAnsi="Corbel" w:cs="FrankRuehl"/>
          <w:sz w:val="28"/>
          <w:szCs w:val="28"/>
          <w:rtl/>
        </w:rPr>
        <w:t xml:space="preserve">עע. בהמשך, חזר להתנהל באופן </w:t>
      </w:r>
      <w:r>
        <w:rPr>
          <w:rFonts w:ascii="Corbel" w:hAnsi="Corbel" w:cs="FrankRuehl" w:hint="cs"/>
          <w:sz w:val="28"/>
          <w:szCs w:val="28"/>
          <w:rtl/>
        </w:rPr>
        <w:t>נפסד</w:t>
      </w:r>
      <w:r w:rsidRPr="004370BA">
        <w:rPr>
          <w:rFonts w:ascii="Corbel" w:hAnsi="Corbel" w:cs="FrankRuehl"/>
          <w:sz w:val="28"/>
          <w:szCs w:val="28"/>
          <w:rtl/>
        </w:rPr>
        <w:t xml:space="preserve">, ריצה מאסר משך כ-5 חודשים וצבר חובות לגורמים שונים ושוליים. מבדיקה שערך שירות המבחן עלה כי הנאשם התגייס בגיל 18 לשירות באגף מקא"ם במהלכו גילה קשיי הסתגלות ובעיות משמעת. הנאשם מסר כי לאחר חצי שנה נפלט מהמערכת הצבאית בגין אי התאמה. </w:t>
      </w:r>
    </w:p>
    <w:p w14:paraId="0D31E8C9" w14:textId="77777777" w:rsidR="00A47EF8" w:rsidRPr="004370BA" w:rsidRDefault="00A47EF8" w:rsidP="00A47EF8">
      <w:pPr>
        <w:pStyle w:val="aa"/>
        <w:rPr>
          <w:rFonts w:ascii="Corbel" w:hAnsi="Corbel" w:cs="FrankRuehl"/>
          <w:sz w:val="28"/>
          <w:szCs w:val="28"/>
          <w:rtl/>
        </w:rPr>
      </w:pPr>
    </w:p>
    <w:p w14:paraId="4EBC273C"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מעיון ברישומו הפלילי עולה כי לנאשם שתי הרשעות קודמות מתחום הסמים. בהתייחסו לעברו הפלילי, שיתף הנאשם כי התנהל באופן שולי והיה עסוק בהשגת כסף זמין ומהיר, ובזמן שהתנהל כך הציב לעצמו גבולות לשמירה על עצמו מפני התדרדרות משמעותית ומסכנת חיים. בהתייחסותו לשימוש בסמים, מסר כי החל לצרוך סמים מסוג קנאביס בשנת 2018 וראה בעיסוק בסם כמקור להכנסה וסיוע בהפחתת חרדה והתמודדות עם מצוקות רגשיות. </w:t>
      </w:r>
    </w:p>
    <w:p w14:paraId="2339F5D3"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שירות המבחן פירט בתסקיר אודות היכרות קודמת עם הנאשם במסגרת </w:t>
      </w:r>
      <w:hyperlink r:id="rId19" w:history="1">
        <w:r w:rsidR="00547358" w:rsidRPr="00547358">
          <w:rPr>
            <w:rFonts w:ascii="Corbel" w:hAnsi="Corbel" w:cs="FrankRuehl" w:hint="cs"/>
            <w:color w:val="0000FF"/>
            <w:sz w:val="28"/>
            <w:szCs w:val="28"/>
            <w:u w:val="single"/>
            <w:rtl/>
          </w:rPr>
          <w:t>ת</w:t>
        </w:r>
        <w:r w:rsidR="00547358" w:rsidRPr="00547358">
          <w:rPr>
            <w:rFonts w:ascii="Corbel" w:hAnsi="Corbel" w:cs="FrankRuehl"/>
            <w:color w:val="0000FF"/>
            <w:sz w:val="28"/>
            <w:szCs w:val="28"/>
            <w:u w:val="single"/>
            <w:rtl/>
          </w:rPr>
          <w:t>.</w:t>
        </w:r>
        <w:r w:rsidR="00547358" w:rsidRPr="00547358">
          <w:rPr>
            <w:rFonts w:ascii="Corbel" w:hAnsi="Corbel" w:cs="FrankRuehl" w:hint="cs"/>
            <w:color w:val="0000FF"/>
            <w:sz w:val="28"/>
            <w:szCs w:val="28"/>
            <w:u w:val="single"/>
            <w:rtl/>
          </w:rPr>
          <w:t>פ</w:t>
        </w:r>
        <w:r w:rsidR="00547358" w:rsidRPr="00547358">
          <w:rPr>
            <w:rFonts w:ascii="Corbel" w:hAnsi="Corbel" w:cs="FrankRuehl"/>
            <w:color w:val="0000FF"/>
            <w:sz w:val="28"/>
            <w:szCs w:val="28"/>
            <w:u w:val="single"/>
            <w:rtl/>
          </w:rPr>
          <w:t xml:space="preserve"> 26685-11-18</w:t>
        </w:r>
      </w:hyperlink>
      <w:r>
        <w:rPr>
          <w:rFonts w:ascii="Corbel" w:hAnsi="Corbel" w:cs="FrankRuehl"/>
          <w:sz w:val="28"/>
          <w:szCs w:val="28"/>
          <w:rtl/>
        </w:rPr>
        <w:t xml:space="preserve"> שהסתיים בצו מבחן. שם התמיד להגיע באופן רציף ונעשתה עבודה שיקומית במספר תכנים. אולם בנובמבר 2020 הסתיים הטיפול נוכח צאתה של המטפלת לחופשת לידה, והנאשם סירב להשתלב בטיפול אצל מטפלת אחרת. עוד פורט כי הנאשם המשיך להגיע לבדיקות שתן כאשר ניכר כי מגיע מתוך מחויבות חיצונית בלבד. בחודש מרץ 2021 היחידה הפסיקה את בדיקות השתן שכן לאורך תקופת צו המבחן עלו קשיים בשיתוף הפעולה ופעמים התבטא הנאשם באופן לא מותאם ואף תוקפני, דיווח על מעורבות נוספת בפלילים וצמצם מעשיו ולא אפשר בחינה ביקורתית של בחירותיו. </w:t>
      </w:r>
    </w:p>
    <w:p w14:paraId="01986F01" w14:textId="77777777" w:rsidR="00A47EF8" w:rsidRDefault="00A47EF8" w:rsidP="00A47EF8">
      <w:pPr>
        <w:pStyle w:val="aa"/>
        <w:spacing w:before="100" w:beforeAutospacing="1" w:after="120"/>
        <w:ind w:left="0"/>
        <w:jc w:val="both"/>
        <w:rPr>
          <w:rFonts w:ascii="Corbel" w:hAnsi="Corbel" w:cs="FrankRuehl"/>
          <w:sz w:val="28"/>
          <w:szCs w:val="28"/>
        </w:rPr>
      </w:pPr>
    </w:p>
    <w:p w14:paraId="4FE73A8D"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באשר לעבירה בה הורשע מסר כי ברקע לה התמודד עם משבר בבית אמו והרגיש צורך בשימוש מתוך רצון לבריחה מהתמודדות עם הקושי המשפחתי. הנאשם הודה בהחזקה לצורך שימוש עצמי על אף שבפועל לא השתמש בסם בזכות מעצרו. כן מסר כי הכסף שנמצא ברכבו שייך לחברו. </w:t>
      </w:r>
    </w:p>
    <w:p w14:paraId="74BE0E1C" w14:textId="77777777" w:rsidR="00A47EF8" w:rsidRPr="00CA30A7" w:rsidRDefault="00A47EF8" w:rsidP="00A47EF8">
      <w:pPr>
        <w:pStyle w:val="aa"/>
        <w:spacing w:before="100" w:beforeAutospacing="1" w:after="120"/>
        <w:ind w:left="0"/>
        <w:jc w:val="both"/>
        <w:rPr>
          <w:rFonts w:ascii="Corbel" w:hAnsi="Corbel" w:cs="FrankRuehl"/>
          <w:sz w:val="28"/>
          <w:szCs w:val="28"/>
        </w:rPr>
      </w:pPr>
    </w:p>
    <w:p w14:paraId="3A303A23"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הנאשם מסר כי מאז הכיר את אשתו ומזה שנתיים, ערך שינוי משמעותי בחייו וניתק קשרים עם חברה שולית. לדבריו, אינו רואה צורך בשילוב בטיפול בתחום הסמים מאחר ונמנע משימוש. אולם מסר כי מעוניין בפגישות פרטניות על מנת לסייע לו להמשיך בתהליך שיקום חייו. מבדיקת שתן שערך עלה כי הבדיקה נקייה משרידי סם.</w:t>
      </w:r>
    </w:p>
    <w:p w14:paraId="67333531" w14:textId="77777777" w:rsidR="00A47EF8" w:rsidRDefault="00A47EF8" w:rsidP="00A47EF8">
      <w:pPr>
        <w:pStyle w:val="aa"/>
        <w:spacing w:before="100" w:beforeAutospacing="1" w:after="120"/>
        <w:ind w:left="0"/>
        <w:jc w:val="both"/>
        <w:rPr>
          <w:rFonts w:ascii="Corbel" w:hAnsi="Corbel" w:cs="FrankRuehl"/>
          <w:sz w:val="28"/>
          <w:szCs w:val="28"/>
        </w:rPr>
      </w:pPr>
    </w:p>
    <w:p w14:paraId="328C88E5"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בין גורמי הסיכוי, לקח שירות המבחן בחשבון את השינוי שערך הנאשם לאחרונה, ניתוק מקשרים שוליים, מאמציו להשתלב בתעסוקה, נישואיו ורצונו בהקמת משפחה נורמטיבית ולהוות דמות משמעותית חיובית לילדיו העתידיים, רצונו להשתקם, הבעת מוטיבציה לבחון קשייו ודפוסיו המכשילים, גילוי נכונות לשיתוף פעולה עם שירות המבחן, העובדה כי מחפש הכוונה ותמיכה בחייו, ההליך הטיפולי בו היה משולב לראשונה בחייו, ביטוי הצער והחרטה שמביע על התנהגותו בעבירה וההזדמנות שרואה בניהול ההליך הפלילי כנגדו כמונע ממנו הדרדרות נוספת. ובין גורמי הסיכון, העובדה כי מדובר בבחור צעיר בעל קווים שוליים, התקשה לגלות יציבות במסגרות שונות לאורך השנים, ללא גורם תמיכה מכוון, תחושת שייכותו בחברה שולית ועבריינית בעבר נוכח העדר דמויות הוריות משמעותיות ונוכחות, קושי בהיענות לסמכות ולעמוד בדרישות ושמירה על החוק, שימוש בסמים, נאשם נעדר כלים להתמודדות אדפטיבית ולו דפוס העלול להובילו לשימוש ולהתנהלות שולית. </w:t>
      </w:r>
    </w:p>
    <w:p w14:paraId="546C88D7"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לאחר שקלול כל אלו, המליץ שירות המבחן על חיזוק מאמצי שיקום הנאשם ולשלבו בטיפול. בהתאם לכך נמסר כי הנאשם הופנה לטיפול הכולל פגישות פרטניות ומעקב בדיקות שתן ביחידה ברחובות. נוכח זאת, המליץ שירות המבחן על דחייה של ארבעה חודשים. </w:t>
      </w:r>
    </w:p>
    <w:p w14:paraId="62CA7D2A" w14:textId="77777777" w:rsidR="00A47EF8" w:rsidRDefault="00A47EF8" w:rsidP="00A47EF8">
      <w:pPr>
        <w:spacing w:before="100" w:beforeAutospacing="1" w:after="120" w:line="360" w:lineRule="auto"/>
        <w:jc w:val="both"/>
        <w:rPr>
          <w:rFonts w:ascii="Miriam" w:hAnsi="Miriam" w:cs="Miriam"/>
        </w:rPr>
      </w:pPr>
      <w:r>
        <w:rPr>
          <w:rFonts w:ascii="Miriam" w:hAnsi="Miriam" w:cs="Miriam"/>
          <w:rtl/>
        </w:rPr>
        <w:t>תסקיר מיום 7.2.2023 (להלן: תסקיר משלים)</w:t>
      </w:r>
    </w:p>
    <w:p w14:paraId="0D30A507"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התסקיר המשלים מבוסס על שיחות עם הנאשם, מידע שהועבר לידי שירות המבחן מגורמי הטיפול ב"חוסן" – יחידה להתמכרויות ברחובות (להלן: </w:t>
      </w:r>
      <w:r>
        <w:rPr>
          <w:rFonts w:ascii="Miriam" w:hAnsi="Miriam" w:cs="Miriam"/>
          <w:rtl/>
        </w:rPr>
        <w:t>היחידה</w:t>
      </w:r>
      <w:r>
        <w:rPr>
          <w:rFonts w:ascii="Corbel" w:hAnsi="Corbel" w:cs="FrankRuehl"/>
          <w:sz w:val="28"/>
          <w:szCs w:val="28"/>
          <w:rtl/>
        </w:rPr>
        <w:t>), ועיון ברישום הפלילי המעודכן ליום 17.1.2023.</w:t>
      </w:r>
    </w:p>
    <w:p w14:paraId="1E37BF2F" w14:textId="77777777" w:rsidR="00A47EF8" w:rsidRDefault="00A47EF8" w:rsidP="00A47EF8">
      <w:pPr>
        <w:pStyle w:val="aa"/>
        <w:spacing w:before="100" w:beforeAutospacing="1" w:after="120"/>
        <w:ind w:left="0"/>
        <w:jc w:val="both"/>
        <w:rPr>
          <w:rFonts w:ascii="Corbel" w:hAnsi="Corbel" w:cs="FrankRuehl"/>
          <w:sz w:val="28"/>
          <w:szCs w:val="28"/>
        </w:rPr>
      </w:pPr>
    </w:p>
    <w:p w14:paraId="5BAE260B"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ממידע שהועבר מגורמי הטיפול ביחידה עולה כי הנאשם מגיע בקביעות למפגשים הטיפוליים, בדיקות שתן שמוסר נמצאות נקיות משרידי סם, הנאשם משתף פעולה ומביע עצמו בנושאים השונים ובייחוד כחלק מהסתגלותו למציאות חיים חדשה לאור הולדת בתו, וניכר כי פנייתו לטיפול הינה מתוך נכונות ורצון פנימי. זאת בשונה מהגעתו בעבר לטיפול. כמו כן, לא נפתחו נגד הנאשם תיקים פליליים נוספים. </w:t>
      </w:r>
    </w:p>
    <w:p w14:paraId="42F66823" w14:textId="77777777" w:rsidR="00A47EF8" w:rsidRDefault="00A47EF8" w:rsidP="00A47EF8">
      <w:pPr>
        <w:pStyle w:val="aa"/>
        <w:spacing w:before="100" w:beforeAutospacing="1" w:after="120"/>
        <w:ind w:left="0"/>
        <w:jc w:val="both"/>
        <w:rPr>
          <w:rFonts w:ascii="Corbel" w:hAnsi="Corbel" w:cs="FrankRuehl"/>
          <w:sz w:val="28"/>
          <w:szCs w:val="28"/>
        </w:rPr>
      </w:pPr>
    </w:p>
    <w:p w14:paraId="0205CF06"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שירות המבחן התרשם מהנאשם כבעל רצון לשינוי ושיקום, מוטיבציה להמשיך ולהשתלב בתהליך הטיפול בו מתמיד, בעל מודעות באשר לדפוסיו המכשילים, שומר על ניקיון משימוש בסמים וניכר כי חשיבתו כיום מאופיינת בחשיבה בוגרת והוא מגייס כוחות להתמודדות אדפטיבית עם קשיים בחייו. זאת בשונה מהתנהלותו בעבר. כן לקח שירות המבחן בחשבון את חלוף הזמן מביצוע העבירה והעובדה כי בפועל, הנאשם משולב בתעסוקה, מפרנס משפחתו ומשולב בטיפול. נוכח האמור, המליץ שירות המבחן על הטלת צו מבחן למשך שנה והארכת המאסר המותנה העומד והתלוי כנגדו, זאת כענישה מרתיעה ומוחשית, המאפשרת פניות לשילוב בתהליכי טיפול ובתעסוקה יציבה. </w:t>
      </w:r>
    </w:p>
    <w:p w14:paraId="33E3D785" w14:textId="77777777" w:rsidR="00A47EF8" w:rsidRDefault="00A47EF8" w:rsidP="00A47EF8">
      <w:pPr>
        <w:pStyle w:val="aa"/>
        <w:spacing w:before="100" w:beforeAutospacing="1" w:after="120"/>
        <w:ind w:left="0"/>
        <w:jc w:val="both"/>
        <w:rPr>
          <w:rFonts w:ascii="Miriam" w:hAnsi="Miriam" w:cs="Miriam"/>
          <w:rtl/>
        </w:rPr>
      </w:pPr>
    </w:p>
    <w:p w14:paraId="46CFE7F4" w14:textId="77777777" w:rsidR="00A47EF8" w:rsidRDefault="00A47EF8" w:rsidP="00A47EF8">
      <w:pPr>
        <w:pStyle w:val="aa"/>
        <w:spacing w:before="100" w:beforeAutospacing="1" w:after="120" w:line="360" w:lineRule="auto"/>
        <w:ind w:left="0"/>
        <w:jc w:val="both"/>
        <w:rPr>
          <w:rFonts w:ascii="Miriam" w:hAnsi="Miriam" w:cs="Miriam"/>
          <w:rtl/>
        </w:rPr>
      </w:pPr>
      <w:r>
        <w:rPr>
          <w:rFonts w:ascii="Miriam" w:hAnsi="Miriam" w:cs="Miriam"/>
          <w:rtl/>
        </w:rPr>
        <w:t>טיעוני הצדדים לעונש</w:t>
      </w:r>
    </w:p>
    <w:p w14:paraId="310255EE" w14:textId="77777777" w:rsidR="00A47EF8" w:rsidRDefault="00A47EF8" w:rsidP="00A47EF8">
      <w:pPr>
        <w:pStyle w:val="aa"/>
        <w:spacing w:before="100" w:beforeAutospacing="1" w:after="120"/>
        <w:ind w:left="0"/>
        <w:jc w:val="both"/>
        <w:rPr>
          <w:rFonts w:ascii="Corbel" w:hAnsi="Corbel" w:cs="FrankRuehl"/>
          <w:sz w:val="28"/>
          <w:szCs w:val="28"/>
        </w:rPr>
      </w:pPr>
    </w:p>
    <w:p w14:paraId="41A76094"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Miriam" w:hAnsi="Miriam" w:cs="Miriam"/>
          <w:rtl/>
        </w:rPr>
        <w:t>המאשימה</w:t>
      </w:r>
      <w:r>
        <w:rPr>
          <w:rFonts w:cs="FrankRuehl"/>
          <w:sz w:val="28"/>
          <w:szCs w:val="28"/>
          <w:rtl/>
        </w:rPr>
        <w:t xml:space="preserve"> בטיעוניה עמדה על הערכים החברתיים המוגנים שנפגעו כתוצאה מביצוע העבירות בהן הורשע הנאשם ובהם הגנה על הציבור מפני נגע הסמים. </w:t>
      </w:r>
      <w:r>
        <w:rPr>
          <w:rFonts w:ascii="Corbel" w:hAnsi="Corbel" w:cs="FrankRuehl"/>
          <w:sz w:val="28"/>
          <w:szCs w:val="28"/>
          <w:rtl/>
        </w:rPr>
        <w:t xml:space="preserve">המאשימה הפנתה למעשיו כפי שמתוארים בכתב האישום המתוקן, החזקת סמים בכמות נכבדה, לצד משקל אלקטרוני וסכום כסף במזומן, וטענה כי אלו מלמדים על רצון הנאשם למכור את הסמים ולהפיק רווח והדגישה את סוג הסמים ופוטנציאל הנזק הגלום בהם. בהתאם עתרה להכריז על הנאשם כסוחר סמים. בנסיבות העניין עתרה המאשימה להכריז על הנאשם כסוחר סמים וכן עתרה לקבוע מתחם ענישה בין 10 ועד ל- 20 חודשי מאסר וענישה נלווית. עמדתה תמכה בפסיקה.  </w:t>
      </w:r>
    </w:p>
    <w:p w14:paraId="4D30F4CB" w14:textId="77777777" w:rsidR="00A47EF8" w:rsidRDefault="00A47EF8" w:rsidP="00A47EF8">
      <w:pPr>
        <w:pStyle w:val="aa"/>
        <w:spacing w:before="100" w:beforeAutospacing="1" w:after="120"/>
        <w:ind w:left="0"/>
        <w:jc w:val="both"/>
        <w:rPr>
          <w:rFonts w:ascii="Corbel" w:hAnsi="Corbel" w:cs="FrankRuehl"/>
          <w:sz w:val="28"/>
          <w:szCs w:val="28"/>
        </w:rPr>
      </w:pPr>
    </w:p>
    <w:p w14:paraId="6A2BE038"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alibri" w:hAnsi="Calibri" w:cs="FrankRuehl"/>
          <w:sz w:val="22"/>
          <w:szCs w:val="28"/>
          <w:rtl/>
        </w:rPr>
        <w:t>באשר לנסיבות שאינן קשורות בביצוע העבירות</w:t>
      </w:r>
      <w:r>
        <w:rPr>
          <w:rFonts w:cs="FrankRuehl"/>
          <w:sz w:val="28"/>
          <w:szCs w:val="28"/>
          <w:rtl/>
        </w:rPr>
        <w:t xml:space="preserve"> הפנתה המאשימה לעברו הפלילי של הנאשם, שחרף גילו הצעיר</w:t>
      </w:r>
      <w:r>
        <w:rPr>
          <w:rFonts w:cs="FrankRuehl" w:hint="cs"/>
          <w:sz w:val="28"/>
          <w:szCs w:val="28"/>
          <w:rtl/>
        </w:rPr>
        <w:t>,</w:t>
      </w:r>
      <w:r>
        <w:rPr>
          <w:rFonts w:cs="FrankRuehl"/>
          <w:sz w:val="28"/>
          <w:szCs w:val="28"/>
          <w:rtl/>
        </w:rPr>
        <w:t xml:space="preserve"> צבר </w:t>
      </w:r>
      <w:r>
        <w:rPr>
          <w:rFonts w:ascii="Corbel" w:hAnsi="Corbel" w:cs="FrankRuehl" w:hint="cs"/>
          <w:sz w:val="28"/>
          <w:szCs w:val="28"/>
          <w:rtl/>
        </w:rPr>
        <w:t>שתי</w:t>
      </w:r>
      <w:r>
        <w:rPr>
          <w:rFonts w:ascii="Corbel" w:hAnsi="Corbel" w:cs="FrankRuehl"/>
          <w:sz w:val="28"/>
          <w:szCs w:val="28"/>
          <w:rtl/>
        </w:rPr>
        <w:t xml:space="preserve"> הרשעות קודמות בתחום הסמים וביצע את העבירות כאשר מאסר מותנה מרחף מעל ראשו וכן הפנתה להרשעותיו בתחום התעבורה (</w:t>
      </w:r>
      <w:r>
        <w:rPr>
          <w:rFonts w:ascii="Miriam" w:hAnsi="Miriam" w:cs="Miriam"/>
          <w:rtl/>
        </w:rPr>
        <w:t>טעת/1</w:t>
      </w:r>
      <w:r>
        <w:rPr>
          <w:rFonts w:ascii="Corbel" w:hAnsi="Corbel" w:cs="FrankRuehl"/>
          <w:sz w:val="28"/>
          <w:szCs w:val="28"/>
          <w:rtl/>
        </w:rPr>
        <w:t xml:space="preserve">, </w:t>
      </w:r>
      <w:r>
        <w:rPr>
          <w:rFonts w:ascii="Miriam" w:hAnsi="Miriam" w:cs="Miriam"/>
          <w:rtl/>
        </w:rPr>
        <w:t>טעת/2</w:t>
      </w:r>
      <w:r>
        <w:rPr>
          <w:rFonts w:ascii="Corbel" w:hAnsi="Corbel" w:cs="FrankRuehl"/>
          <w:sz w:val="28"/>
          <w:szCs w:val="28"/>
          <w:rtl/>
        </w:rPr>
        <w:t xml:space="preserve"> ו</w:t>
      </w:r>
      <w:r>
        <w:rPr>
          <w:rFonts w:ascii="Miriam" w:hAnsi="Miriam" w:cs="Miriam"/>
          <w:rtl/>
        </w:rPr>
        <w:t>טעת/3</w:t>
      </w:r>
      <w:r>
        <w:rPr>
          <w:rFonts w:ascii="Corbel" w:hAnsi="Corbel" w:cs="FrankRuehl"/>
          <w:sz w:val="28"/>
          <w:szCs w:val="28"/>
          <w:rtl/>
        </w:rPr>
        <w:t xml:space="preserve">). המאשימה אינה מתעלמת מהמלצת שירות המבחן אך לטעמה זו אינה הולמת את חומרת העבירות, עברו הפלילי של הנאשם, והשלב הטיפולי בו נמצא. הודגשו הזדמנויות קודמות שניתנו לנאשם לשקם חייו, אותן לא השכיל לנצל, לקיחת האחריות החלקית ולסירובו של הנאשם לקחת חלק בשיח קבוצתי. מכאן, סבורה המאשימה כי אין מקום לחרוג ממתחם הענישה ולבטל לא באופן כה קיצוני כטענת ההגנה. </w:t>
      </w:r>
    </w:p>
    <w:p w14:paraId="3045A155" w14:textId="77777777" w:rsidR="00A47EF8" w:rsidRPr="004370BA" w:rsidRDefault="00A47EF8" w:rsidP="00A47EF8">
      <w:pPr>
        <w:pStyle w:val="aa"/>
        <w:rPr>
          <w:rFonts w:ascii="Corbel" w:hAnsi="Corbel" w:cs="FrankRuehl"/>
          <w:sz w:val="28"/>
          <w:szCs w:val="28"/>
          <w:rtl/>
        </w:rPr>
      </w:pPr>
    </w:p>
    <w:p w14:paraId="7A4AFD50"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מטעמים אלו, העונש הראוי לנאשם, כך לדברי המאשימה הוא 12 חודשי מאסר וענישה נלווית. באשר להפעלת המאסר המותנה, סבורה המאשימה כי יש להפעילו בחופף ובמצטבר כך שהנאשם ירצה 14 חודשי מאסר בפועל. כן עתרה המאשימה לחילוט הרכוש שנתפס מהנאשם בעת מעצרו. </w:t>
      </w:r>
    </w:p>
    <w:p w14:paraId="29E4D230" w14:textId="77777777" w:rsidR="00A47EF8" w:rsidRPr="004370BA" w:rsidRDefault="00A47EF8" w:rsidP="00A47EF8">
      <w:pPr>
        <w:pStyle w:val="aa"/>
        <w:rPr>
          <w:rFonts w:ascii="Corbel" w:hAnsi="Corbel" w:cs="FrankRuehl"/>
          <w:sz w:val="28"/>
          <w:szCs w:val="28"/>
          <w:rtl/>
        </w:rPr>
      </w:pPr>
    </w:p>
    <w:p w14:paraId="4A60331C" w14:textId="77777777" w:rsidR="00A47EF8" w:rsidRPr="004370BA"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Miriam" w:hAnsi="Miriam" w:cs="Miriam"/>
          <w:rtl/>
        </w:rPr>
        <w:t>בא כוח הנאשם</w:t>
      </w:r>
      <w:r>
        <w:rPr>
          <w:rFonts w:ascii="Calibri" w:hAnsi="Calibri" w:cs="FrankRuehl"/>
          <w:sz w:val="22"/>
          <w:szCs w:val="28"/>
          <w:rtl/>
        </w:rPr>
        <w:t xml:space="preserve"> טענה כי המתחם אליו עותרת המאשימה מחמיר יתר על המידה, אינו תואם את נסיבות ביצוע העבירה ומדיניות הענישה הנהוגה</w:t>
      </w:r>
      <w:r>
        <w:rPr>
          <w:rFonts w:ascii="Corbel" w:hAnsi="Corbel" w:cs="FrankRuehl"/>
          <w:sz w:val="28"/>
          <w:szCs w:val="28"/>
          <w:rtl/>
        </w:rPr>
        <w:t>. בא כוח הנאשם לא הרחיב אודות נסיבות ביצוע העבירה ולא הציג פסיקה על אף שהיה מן הראוי לעשות כן אך ביקש להבחן את הפסיקה שהציגה המאשימה מעניינ</w:t>
      </w:r>
      <w:r>
        <w:rPr>
          <w:rFonts w:ascii="Corbel" w:hAnsi="Corbel" w:cs="FrankRuehl" w:hint="cs"/>
          <w:sz w:val="28"/>
          <w:szCs w:val="28"/>
          <w:rtl/>
        </w:rPr>
        <w:t>י</w:t>
      </w:r>
      <w:r>
        <w:rPr>
          <w:rFonts w:ascii="Corbel" w:hAnsi="Corbel" w:cs="FrankRuehl"/>
          <w:sz w:val="28"/>
          <w:szCs w:val="28"/>
          <w:rtl/>
        </w:rPr>
        <w:t>נו בהיותה עוסק</w:t>
      </w:r>
      <w:r>
        <w:rPr>
          <w:rFonts w:ascii="Corbel" w:hAnsi="Corbel" w:cs="FrankRuehl" w:hint="cs"/>
          <w:sz w:val="28"/>
          <w:szCs w:val="28"/>
          <w:rtl/>
        </w:rPr>
        <w:t>ת</w:t>
      </w:r>
      <w:r>
        <w:rPr>
          <w:rFonts w:ascii="Corbel" w:hAnsi="Corbel" w:cs="FrankRuehl"/>
          <w:sz w:val="28"/>
          <w:szCs w:val="28"/>
          <w:rtl/>
        </w:rPr>
        <w:t xml:space="preserve"> במקרים חמורים יותר. </w:t>
      </w:r>
      <w:r>
        <w:rPr>
          <w:rFonts w:cs="FrankRuehl"/>
          <w:sz w:val="28"/>
          <w:szCs w:val="28"/>
          <w:rtl/>
        </w:rPr>
        <w:t xml:space="preserve"> </w:t>
      </w:r>
    </w:p>
    <w:p w14:paraId="6795916F" w14:textId="77777777" w:rsidR="00A47EF8" w:rsidRPr="004370BA" w:rsidRDefault="00A47EF8" w:rsidP="00A47EF8">
      <w:pPr>
        <w:pStyle w:val="aa"/>
        <w:rPr>
          <w:rFonts w:ascii="Corbel" w:hAnsi="Corbel" w:cs="FrankRuehl"/>
          <w:sz w:val="28"/>
          <w:szCs w:val="28"/>
          <w:rtl/>
        </w:rPr>
      </w:pPr>
    </w:p>
    <w:p w14:paraId="6FF94E7A"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בא כוח הנאשם מיקד טיעוניו בהליך השיקומי שעבר ועובר הנאשם אשר מצדיק לשיטתו את הארכת המאסר המותנה. בתוך כך הפנה ללקיחת האחריות בהזדמנות הראשונה, ולעיקרי תסקיר שירות המבחן המדברים על השינוי שערך הנאשם תוך הבחנה מהליכים קודמים והדגיש את השינוי וההתבגרות של הנאשם לנוכח השינויים במצבו המשפחתי. בהתאם לכך, טען כי התנגדות המאשימה נובעת משיקולים זרים ואין טעם ענייני שלא לקבל את המלצות התסקיר, שכן ההליך השיקומי מצדיק חריגה משמעותית ממתחם הענישה הנהוג, עד כדי הזנחתו. </w:t>
      </w:r>
    </w:p>
    <w:p w14:paraId="4A448186" w14:textId="77777777" w:rsidR="00A47EF8" w:rsidRPr="00F40D71" w:rsidRDefault="00A47EF8" w:rsidP="00A47EF8">
      <w:pPr>
        <w:pStyle w:val="aa"/>
        <w:rPr>
          <w:rFonts w:ascii="Corbel" w:hAnsi="Corbel" w:cs="FrankRuehl"/>
          <w:sz w:val="28"/>
          <w:szCs w:val="28"/>
          <w:rtl/>
        </w:rPr>
      </w:pPr>
    </w:p>
    <w:p w14:paraId="4129DE67"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Miriam" w:hAnsi="Miriam" w:cs="Miriam"/>
          <w:rtl/>
        </w:rPr>
        <w:t>הנאשם בדברו האחרון</w:t>
      </w:r>
      <w:r>
        <w:rPr>
          <w:rFonts w:cs="FrankRuehl"/>
          <w:sz w:val="28"/>
          <w:szCs w:val="28"/>
          <w:rtl/>
        </w:rPr>
        <w:t xml:space="preserve"> אמר את הדברים הבאים: "אני מצטער על מה שעשיתי, לא הערכתי מספיק באותו זמן. היום אני בחיים שונים, יש לי אישה וילדה קטנה. עוד לפני ששלחו אותי מבית המשפט בחרתי לעשות את תהליך השיקום. אני אשמח שזאת תהיה הפעם האחרונה שניפגש." </w:t>
      </w:r>
    </w:p>
    <w:p w14:paraId="7E45DE65" w14:textId="77777777" w:rsidR="00A47EF8" w:rsidRDefault="00A47EF8" w:rsidP="00A47EF8">
      <w:pPr>
        <w:pStyle w:val="aa"/>
        <w:spacing w:before="100" w:beforeAutospacing="1" w:after="120" w:line="360" w:lineRule="auto"/>
        <w:ind w:left="0"/>
        <w:jc w:val="both"/>
        <w:rPr>
          <w:rFonts w:ascii="Calibri" w:hAnsi="Calibri" w:cs="Miriam"/>
          <w:b/>
          <w:rtl/>
        </w:rPr>
      </w:pPr>
      <w:r>
        <w:rPr>
          <w:rFonts w:ascii="Calibri" w:hAnsi="Calibri" w:cs="Miriam"/>
          <w:b/>
          <w:rtl/>
        </w:rPr>
        <w:t>דיון והכרעה</w:t>
      </w:r>
    </w:p>
    <w:p w14:paraId="5971C5BF" w14:textId="77777777" w:rsidR="00A47EF8" w:rsidRPr="00A47EF8" w:rsidRDefault="00A47EF8" w:rsidP="00A47EF8">
      <w:pPr>
        <w:pStyle w:val="aa"/>
        <w:spacing w:before="100" w:beforeAutospacing="1" w:after="120"/>
        <w:ind w:left="0"/>
        <w:jc w:val="both"/>
        <w:rPr>
          <w:rFonts w:ascii="FrankRuehl" w:hAnsi="FrankRuehl" w:cs="FrankRuehl"/>
          <w:sz w:val="28"/>
          <w:szCs w:val="28"/>
        </w:rPr>
      </w:pPr>
    </w:p>
    <w:p w14:paraId="7CBC105E" w14:textId="77777777" w:rsidR="00A47EF8" w:rsidRDefault="00A47EF8" w:rsidP="00A47EF8">
      <w:pPr>
        <w:pStyle w:val="aa"/>
        <w:spacing w:before="100" w:beforeAutospacing="1" w:after="120" w:line="360" w:lineRule="auto"/>
        <w:ind w:left="0"/>
        <w:jc w:val="both"/>
        <w:rPr>
          <w:rFonts w:ascii="Calibri" w:hAnsi="Calibri" w:cs="Miriam"/>
          <w:b/>
          <w:rtl/>
        </w:rPr>
      </w:pPr>
      <w:r>
        <w:rPr>
          <w:rFonts w:ascii="Miriam" w:hAnsi="Miriam" w:cs="Miriam"/>
          <w:rtl/>
        </w:rPr>
        <w:t>קביעת</w:t>
      </w:r>
      <w:r>
        <w:rPr>
          <w:rFonts w:ascii="Calibri" w:hAnsi="Calibri" w:cs="Miriam"/>
          <w:b/>
          <w:rtl/>
        </w:rPr>
        <w:t xml:space="preserve"> מתחם העונש ההולם</w:t>
      </w:r>
    </w:p>
    <w:p w14:paraId="55CCDA23" w14:textId="77777777" w:rsidR="00A47EF8" w:rsidRDefault="00A47EF8" w:rsidP="00A47EF8">
      <w:pPr>
        <w:pStyle w:val="aa"/>
        <w:spacing w:before="100" w:beforeAutospacing="1" w:after="120"/>
        <w:ind w:left="0"/>
        <w:jc w:val="both"/>
        <w:rPr>
          <w:rFonts w:ascii="FrankRuehl" w:hAnsi="FrankRuehl" w:cs="FrankRuehl"/>
          <w:sz w:val="28"/>
          <w:szCs w:val="28"/>
          <w:rtl/>
        </w:rPr>
      </w:pPr>
    </w:p>
    <w:p w14:paraId="2ED95173"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 xml:space="preserve">כידוע, מתחם העונש ההולם ייקבע בהתאם לעקרון ההלימה תוך מתן משקל לערכים החברתיים שנקבעו כתוצאה מביצוע העבירות, למידת הפגיעה בהם ולמדיניות הענישה הנהוגה והכל בנסיבות הקשורות בביצוע העבירה.  </w:t>
      </w:r>
    </w:p>
    <w:p w14:paraId="62166F5C" w14:textId="77777777" w:rsidR="00A47EF8" w:rsidRDefault="00A47EF8" w:rsidP="00A47EF8">
      <w:pPr>
        <w:pStyle w:val="aa"/>
        <w:spacing w:before="100" w:beforeAutospacing="1" w:after="120"/>
        <w:ind w:left="0"/>
        <w:jc w:val="both"/>
        <w:rPr>
          <w:rFonts w:ascii="FrankRuehl" w:hAnsi="FrankRuehl" w:cs="FrankRuehl"/>
          <w:sz w:val="28"/>
          <w:szCs w:val="28"/>
          <w:rtl/>
        </w:rPr>
      </w:pPr>
    </w:p>
    <w:p w14:paraId="11BAFA4F"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הערכים המוגנים בהם פגע הנאשם במעשיו הם הגנה על בריאות ושלום הציבור מפני נזקים אשר נגרמים כתוצאה משימוש בסמים, השפעתם ההרסנית והממכרת ומפני נזקים עקיפים הנגרמים כתוצאה מעבריינות נלווית לשימוש בסמים, ובתוך כך הגנה על הביטחון האישי ורכוש הציבור.</w:t>
      </w:r>
    </w:p>
    <w:p w14:paraId="4D217307" w14:textId="77777777" w:rsidR="00A47EF8" w:rsidRPr="00F40D71" w:rsidRDefault="00A47EF8" w:rsidP="00A47EF8">
      <w:pPr>
        <w:pStyle w:val="aa"/>
        <w:rPr>
          <w:rFonts w:ascii="FrankRuehl" w:hAnsi="FrankRuehl" w:cs="FrankRuehl"/>
          <w:sz w:val="28"/>
          <w:szCs w:val="28"/>
          <w:rtl/>
        </w:rPr>
      </w:pPr>
    </w:p>
    <w:p w14:paraId="1746B494"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 xml:space="preserve">כידוע, עוצמת הפגיעה בערכים המוגנים היא נגזרת של סוג הסם, הכמות הנתפסת ונסיבות ההחזקה. הרי שיש להבחין בין סם מסוכן מסוג הרואין, קוקאין ובין קנאביס, כאשר הראשונים נחשבים לסמים קשים במיוחד. זאת לנוכח השפעותיהם על גוף האדם ופוטנציאל ההתמכרות הגבוה. בית המשפט העליון עמד על הצורך במיגור תופעת הסמים באמצעות הטלת ענישה הולמת (ראו בהקשר זה: </w:t>
      </w:r>
      <w:hyperlink r:id="rId20" w:history="1">
        <w:r w:rsidR="00547358" w:rsidRPr="00547358">
          <w:rPr>
            <w:rFonts w:ascii="FrankRuehl" w:hAnsi="FrankRuehl" w:cs="FrankRuehl"/>
            <w:color w:val="0000FF"/>
            <w:sz w:val="28"/>
            <w:szCs w:val="28"/>
            <w:u w:val="single"/>
            <w:rtl/>
          </w:rPr>
          <w:t>ע"פ 7952/15</w:t>
        </w:r>
      </w:hyperlink>
      <w:r>
        <w:rPr>
          <w:rFonts w:ascii="FrankRuehl" w:hAnsi="FrankRuehl" w:cs="FrankRuehl"/>
          <w:sz w:val="28"/>
          <w:szCs w:val="28"/>
          <w:rtl/>
        </w:rPr>
        <w:t xml:space="preserve"> </w:t>
      </w:r>
      <w:r>
        <w:rPr>
          <w:rFonts w:ascii="Calibri" w:hAnsi="Calibri" w:cs="Miriam"/>
          <w:b/>
          <w:rtl/>
        </w:rPr>
        <w:t>מדינת ישראל נ' שץ</w:t>
      </w:r>
      <w:r>
        <w:rPr>
          <w:rFonts w:ascii="FrankRuehl" w:hAnsi="FrankRuehl" w:cs="FrankRuehl"/>
          <w:sz w:val="28"/>
          <w:szCs w:val="28"/>
          <w:rtl/>
        </w:rPr>
        <w:t xml:space="preserve"> (15.2.2016)).</w:t>
      </w:r>
    </w:p>
    <w:p w14:paraId="0E8A4DDD" w14:textId="77777777" w:rsidR="00A47EF8" w:rsidRPr="00F40D71" w:rsidRDefault="00A47EF8" w:rsidP="00A47EF8">
      <w:pPr>
        <w:pStyle w:val="aa"/>
        <w:rPr>
          <w:rFonts w:ascii="FrankRuehl" w:hAnsi="FrankRuehl" w:cs="FrankRuehl"/>
          <w:sz w:val="28"/>
          <w:szCs w:val="28"/>
          <w:rtl/>
        </w:rPr>
      </w:pPr>
    </w:p>
    <w:p w14:paraId="6AD9BE52" w14:textId="77777777" w:rsidR="00A47EF8" w:rsidRDefault="00A47EF8" w:rsidP="00A47EF8">
      <w:pPr>
        <w:pStyle w:val="aa"/>
        <w:numPr>
          <w:ilvl w:val="0"/>
          <w:numId w:val="1"/>
        </w:numPr>
        <w:spacing w:before="100" w:beforeAutospacing="1" w:after="120" w:line="360" w:lineRule="auto"/>
        <w:jc w:val="both"/>
        <w:rPr>
          <w:rFonts w:ascii="FrankRuehl" w:hAnsi="FrankRuehl" w:cs="FrankRuehl"/>
          <w:sz w:val="28"/>
          <w:szCs w:val="28"/>
        </w:rPr>
      </w:pPr>
      <w:r>
        <w:rPr>
          <w:rFonts w:ascii="FrankRuehl" w:hAnsi="FrankRuehl" w:cs="FrankRuehl"/>
          <w:sz w:val="28"/>
          <w:szCs w:val="28"/>
          <w:rtl/>
        </w:rPr>
        <w:t xml:space="preserve">     אשר לסכנה הנשקפת מסם הקוקאין ראה </w:t>
      </w:r>
      <w:hyperlink r:id="rId21" w:history="1">
        <w:r w:rsidR="00547358" w:rsidRPr="00547358">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b/>
          <w:rtl/>
        </w:rPr>
        <w:t>מדינת</w:t>
      </w:r>
      <w:r>
        <w:rPr>
          <w:rFonts w:ascii="FrankRuehl" w:hAnsi="FrankRuehl" w:cs="FrankRuehl"/>
          <w:b/>
          <w:bCs/>
          <w:sz w:val="28"/>
          <w:szCs w:val="28"/>
          <w:rtl/>
        </w:rPr>
        <w:t xml:space="preserve"> </w:t>
      </w:r>
      <w:r>
        <w:rPr>
          <w:rFonts w:ascii="Miriam" w:hAnsi="Miriam" w:cs="Miriam"/>
          <w:b/>
          <w:rtl/>
        </w:rPr>
        <w:t>ישראל נ' יונה</w:t>
      </w:r>
      <w:r>
        <w:rPr>
          <w:rFonts w:ascii="FrankRuehl" w:hAnsi="FrankRuehl" w:cs="FrankRuehl"/>
          <w:sz w:val="28"/>
          <w:szCs w:val="28"/>
          <w:rtl/>
        </w:rPr>
        <w:t xml:space="preserve"> (4.7.2012):</w:t>
      </w:r>
    </w:p>
    <w:p w14:paraId="3E6741FB" w14:textId="77777777" w:rsidR="00A47EF8" w:rsidRDefault="00A47EF8" w:rsidP="00A47EF8">
      <w:pPr>
        <w:pStyle w:val="aa"/>
        <w:spacing w:before="100" w:beforeAutospacing="1" w:after="120"/>
        <w:ind w:right="851"/>
        <w:jc w:val="both"/>
        <w:rPr>
          <w:rFonts w:ascii="FrankRuehl" w:hAnsi="FrankRuehl" w:cs="FrankRuehl"/>
          <w:sz w:val="28"/>
          <w:szCs w:val="28"/>
          <w:rtl/>
        </w:rPr>
      </w:pPr>
    </w:p>
    <w:p w14:paraId="1A5B0D22" w14:textId="77777777" w:rsidR="00A47EF8" w:rsidRDefault="00A47EF8" w:rsidP="00A47EF8">
      <w:pPr>
        <w:pStyle w:val="aa"/>
        <w:spacing w:before="100" w:beforeAutospacing="1" w:after="120" w:line="360" w:lineRule="auto"/>
        <w:ind w:right="851"/>
        <w:jc w:val="both"/>
        <w:rPr>
          <w:rFonts w:ascii="FrankRuehl" w:hAnsi="FrankRuehl" w:cs="FrankRuehl"/>
          <w:sz w:val="28"/>
          <w:szCs w:val="28"/>
        </w:rPr>
      </w:pPr>
      <w:r>
        <w:rPr>
          <w:rFonts w:ascii="FrankRuehl" w:hAnsi="FrankRuehl" w:cs="FrankRuehl"/>
          <w:sz w:val="28"/>
          <w:szCs w:val="28"/>
          <w:rtl/>
        </w:rPr>
        <w:t xml:space="preserve">"יתכן ועבירות הסמים הקשים הם כה נפוצות עד שהתרגלנו אליהן ואולי אף אבדה לנו הרגישות למחיר שלא רק החברה משלמת אלא המשתמש עצמו. הקוקאין נחשב ולא בכדי, לסם קשה. זאת הן בשל ההשפעות על גוף האדם והן בשל פוטנציאל ההתמכרות הגבוה שטמון בו. על פי רוב, לאחר נטילת הסם חווה המשתמש תחושה חזקה של אופוריה. לאחר האופוריה מגיעה 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הסם, לאו דווקא בדרכים חוקיות, תוך שהוא חווה הידרדרות מתמדת בתפקוד הפיזי והקוגניטיבי". </w:t>
      </w:r>
    </w:p>
    <w:p w14:paraId="321387C0" w14:textId="77777777" w:rsidR="00A47EF8" w:rsidRPr="00F40D71" w:rsidRDefault="00A47EF8" w:rsidP="00A47EF8">
      <w:pPr>
        <w:pStyle w:val="aa"/>
        <w:spacing w:before="100" w:beforeAutospacing="1" w:after="120"/>
        <w:ind w:left="0"/>
        <w:jc w:val="both"/>
        <w:rPr>
          <w:rFonts w:ascii="Corbel" w:hAnsi="Corbel" w:cs="FrankRuehl"/>
          <w:sz w:val="28"/>
          <w:szCs w:val="28"/>
        </w:rPr>
      </w:pPr>
    </w:p>
    <w:p w14:paraId="324BA5A5"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alibri" w:hAnsi="Calibri" w:cs="FrankRuehl"/>
          <w:sz w:val="28"/>
          <w:szCs w:val="28"/>
          <w:rtl/>
        </w:rPr>
        <w:t>בטרם אדון בפרטי המקרה הקונקרטי, תוצג פסיקה שיש בה ללמד על מדיניות הענישה הנהוגה וזאת ככלי עזר ושיקול בקביעת מתחם העונש הראוי</w:t>
      </w:r>
      <w:r>
        <w:rPr>
          <w:rFonts w:cs="FrankRuehl"/>
          <w:sz w:val="28"/>
          <w:szCs w:val="28"/>
          <w:rtl/>
        </w:rPr>
        <w:t xml:space="preserve">. </w:t>
      </w:r>
      <w:r>
        <w:rPr>
          <w:rFonts w:ascii="Corbel" w:hAnsi="Corbel" w:cs="FrankRuehl"/>
          <w:sz w:val="28"/>
          <w:szCs w:val="28"/>
          <w:rtl/>
        </w:rPr>
        <w:t xml:space="preserve">העיון בפסיקה מגלה כי ברוב רובם של המקרים בסוג העבירה בה עסקינן, נוהגים בתי המשפט לקבוע את הגבול התחתון של המתחם במספר חודשי מאסר שיכול וירוצו בעבודות שירות בעוד הגבול העליון משתנה 18-14 חודשים. להלן פסקי הדין אותם מצאתי כרלבנטיים לעניינינו. </w:t>
      </w:r>
    </w:p>
    <w:p w14:paraId="1B1E7D11" w14:textId="77777777" w:rsidR="00A47EF8" w:rsidRDefault="00A47EF8" w:rsidP="00A47EF8">
      <w:pPr>
        <w:pStyle w:val="aa"/>
        <w:spacing w:before="100" w:beforeAutospacing="1" w:after="120"/>
        <w:ind w:left="0"/>
        <w:jc w:val="both"/>
        <w:rPr>
          <w:rFonts w:ascii="Corbel" w:hAnsi="Corbel" w:cs="FrankRuehl"/>
          <w:sz w:val="28"/>
          <w:szCs w:val="28"/>
          <w:rtl/>
        </w:rPr>
      </w:pPr>
    </w:p>
    <w:p w14:paraId="7BB0ABA5"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2" w:history="1">
        <w:r w:rsidRPr="00547358">
          <w:rPr>
            <w:rFonts w:ascii="Calibri" w:hAnsi="Calibri" w:cs="FrankRuehl" w:hint="cs"/>
            <w:color w:val="0000FF"/>
            <w:sz w:val="28"/>
            <w:szCs w:val="28"/>
            <w:u w:val="single"/>
            <w:rtl/>
          </w:rPr>
          <w:t>רע</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פ</w:t>
        </w:r>
        <w:r w:rsidRPr="00547358">
          <w:rPr>
            <w:rFonts w:ascii="Calibri" w:hAnsi="Calibri" w:cs="FrankRuehl"/>
            <w:color w:val="0000FF"/>
            <w:sz w:val="28"/>
            <w:szCs w:val="28"/>
            <w:u w:val="single"/>
            <w:rtl/>
          </w:rPr>
          <w:t xml:space="preserve"> 1473/18</w:t>
        </w:r>
      </w:hyperlink>
      <w:r w:rsidR="00A47EF8">
        <w:rPr>
          <w:rFonts w:ascii="Calibri" w:hAnsi="Calibri" w:cs="FrankRuehl"/>
          <w:sz w:val="28"/>
          <w:szCs w:val="28"/>
          <w:rtl/>
        </w:rPr>
        <w:t xml:space="preserve"> </w:t>
      </w:r>
      <w:r w:rsidR="00A47EF8">
        <w:rPr>
          <w:rFonts w:ascii="Miriam" w:hAnsi="Miriam" w:cs="Miriam"/>
          <w:rtl/>
        </w:rPr>
        <w:t>אוחיון נ' מדינת ישראל</w:t>
      </w:r>
      <w:r w:rsidR="00A47EF8">
        <w:rPr>
          <w:rFonts w:ascii="Calibri" w:hAnsi="Calibri" w:cs="FrankRuehl"/>
          <w:sz w:val="28"/>
          <w:szCs w:val="28"/>
          <w:rtl/>
        </w:rPr>
        <w:t xml:space="preserve"> (22.4.2018) – הנאשם הורשע בעבירה של החזקת סם  מסוג קוקאין - 4 יחידות סם במשקל 1.6888 גרם וכן יחידת סם מסוכן מסוג קוקאין במשקל 0.4185 גרם נטו שלא לצריכה עצמית. בית משפט השלום קבע מתחם ענישה בין מאסר מותנה ועד שנת מאסר וגזר על הנאשם מאסר מותנה, קנס ופסילת רישיון נהיגה. ערעור המדינה על קולת העונש התקבל. בית המשפט המחוזי קבע את מתחם הענישה 12-6 חודשים ומצא לחרוג מטעמי שיקום והשית על הנאשם מאסר בן חודשיים ימים לריצוי בעבודות שירות. יתר רכיבי הענישה נותרו ללא שינוי. בקשת רשות לערער נדחתה (הוצג על ידי המאשימה).</w:t>
      </w:r>
    </w:p>
    <w:p w14:paraId="43B5DB2B" w14:textId="77777777" w:rsidR="00A47EF8" w:rsidRPr="00F40D71" w:rsidRDefault="00A47EF8" w:rsidP="00A47EF8">
      <w:pPr>
        <w:pStyle w:val="aa"/>
        <w:rPr>
          <w:rFonts w:ascii="Calibri" w:hAnsi="Calibri" w:cs="FrankRuehl"/>
          <w:sz w:val="28"/>
          <w:szCs w:val="28"/>
          <w:rtl/>
        </w:rPr>
      </w:pPr>
    </w:p>
    <w:p w14:paraId="32A5CEC6"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3" w:history="1">
        <w:r w:rsidRPr="00547358">
          <w:rPr>
            <w:rFonts w:ascii="Calibri" w:hAnsi="Calibri" w:cs="FrankRuehl" w:hint="cs"/>
            <w:color w:val="0000FF"/>
            <w:sz w:val="28"/>
            <w:szCs w:val="28"/>
            <w:u w:val="single"/>
            <w:rtl/>
          </w:rPr>
          <w:t>רע</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פ</w:t>
        </w:r>
        <w:r w:rsidRPr="00547358">
          <w:rPr>
            <w:rFonts w:ascii="Calibri" w:hAnsi="Calibri" w:cs="FrankRuehl"/>
            <w:color w:val="0000FF"/>
            <w:sz w:val="28"/>
            <w:szCs w:val="28"/>
            <w:u w:val="single"/>
            <w:rtl/>
          </w:rPr>
          <w:t xml:space="preserve"> 747/14</w:t>
        </w:r>
      </w:hyperlink>
      <w:r w:rsidR="00A47EF8">
        <w:rPr>
          <w:rFonts w:ascii="Calibri" w:hAnsi="Calibri" w:cs="FrankRuehl"/>
          <w:sz w:val="28"/>
          <w:szCs w:val="28"/>
          <w:rtl/>
        </w:rPr>
        <w:t xml:space="preserve"> </w:t>
      </w:r>
      <w:r w:rsidR="00A47EF8">
        <w:rPr>
          <w:rFonts w:ascii="Miriam" w:hAnsi="Miriam" w:cs="Miriam"/>
          <w:rtl/>
        </w:rPr>
        <w:t>לוי נ' מדינת ישראל</w:t>
      </w:r>
      <w:r w:rsidR="00A47EF8">
        <w:rPr>
          <w:rFonts w:ascii="Calibri" w:hAnsi="Calibri" w:cs="FrankRuehl"/>
          <w:sz w:val="28"/>
          <w:szCs w:val="28"/>
          <w:rtl/>
        </w:rPr>
        <w:t xml:space="preserve"> (11.2.2014) – הנאשם הורשע בביצוע עבירה של החזקת סם שלא לצריכה עצמית, כאשר מדובר היה בהחזקת הירואין במשקל 4.92 נטו, מחולק ל- 6 אריזות, ואריזה נוספת ובה 0.095 גרם נטו של קוקאין, עוד הורשע הנאשם היום בביצוע עבירה של החזקת כחצי גרם הירואין לצריכה עצמית. נקבע מתחם ענישה 18-8 חודשים. בית המשפט קמא גזר על הנאשם, בן 50, תוך התייחסות לנסיבות חייו, שמשתף פעולה בטיפול ונמצא נקי מסם, עונש של 8 חודשי מאסר בפועל, בניכוי ימי מעצרו ומאסר מותנה. ערעור לבית המשפט המחוזי נדחה וכך גם בקשת רשות לערער. </w:t>
      </w:r>
    </w:p>
    <w:p w14:paraId="1DFA46B7" w14:textId="77777777" w:rsidR="00A47EF8" w:rsidRPr="00F40D71" w:rsidRDefault="00A47EF8" w:rsidP="00A47EF8">
      <w:pPr>
        <w:pStyle w:val="aa"/>
        <w:rPr>
          <w:rFonts w:ascii="Calibri" w:hAnsi="Calibri" w:cs="FrankRuehl"/>
          <w:sz w:val="28"/>
          <w:szCs w:val="28"/>
          <w:rtl/>
        </w:rPr>
      </w:pPr>
    </w:p>
    <w:p w14:paraId="2577AA95"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4" w:history="1">
        <w:r w:rsidRPr="00547358">
          <w:rPr>
            <w:rFonts w:ascii="Calibri" w:hAnsi="Calibri" w:cs="FrankRuehl" w:hint="cs"/>
            <w:color w:val="0000FF"/>
            <w:sz w:val="28"/>
            <w:szCs w:val="28"/>
            <w:u w:val="single"/>
            <w:rtl/>
          </w:rPr>
          <w:t>עפ</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ג</w:t>
        </w:r>
        <w:r w:rsidRPr="00547358">
          <w:rPr>
            <w:rFonts w:ascii="Calibri" w:hAnsi="Calibri" w:cs="FrankRuehl"/>
            <w:color w:val="0000FF"/>
            <w:sz w:val="28"/>
            <w:szCs w:val="28"/>
            <w:u w:val="single"/>
            <w:rtl/>
          </w:rPr>
          <w:t xml:space="preserve"> 34270-03-18</w:t>
        </w:r>
      </w:hyperlink>
      <w:r w:rsidR="00A47EF8">
        <w:rPr>
          <w:rFonts w:ascii="Calibri" w:hAnsi="Calibri" w:cs="FrankRuehl"/>
          <w:sz w:val="28"/>
          <w:szCs w:val="28"/>
          <w:rtl/>
        </w:rPr>
        <w:t xml:space="preserve"> </w:t>
      </w:r>
      <w:r w:rsidR="00A47EF8">
        <w:rPr>
          <w:rFonts w:ascii="Miriam" w:hAnsi="Miriam" w:cs="Miriam"/>
          <w:rtl/>
        </w:rPr>
        <w:t>זיתון נ' מדינת ישראל</w:t>
      </w:r>
      <w:r w:rsidR="00A47EF8">
        <w:rPr>
          <w:rFonts w:ascii="Calibri" w:hAnsi="Calibri" w:cs="FrankRuehl"/>
          <w:sz w:val="28"/>
          <w:szCs w:val="28"/>
          <w:rtl/>
        </w:rPr>
        <w:t xml:space="preserve"> (13.5.2018) – הנאשם הודה והורשע בעבירה של החזקת סם מסוכן מסוג קוקאין במשקל של 8.46 גרם נטו, זאת שלא לצריכתו העצמית. נקבע מתחם ענישה 18-7 חודשים וענישה נלווית. בית המשפט קמא לא מצא מקום לסטות ממתחם העונש ההולם שכן הנאשם לא השתקם או שינה דרכיו וגזר על הנאשם, שלקח אחריות על מעשיו בהזדמנות הראשונה, בעל הרשעות קודמות, תוך התחשבות בחלוף הזמן והעדר פתיחת תיקים חדשים, נסיבותיו האישיות וגילו הצעיר (בן 26), עונש מאסר בן 8 חודשים, הפעלת מאסר מותנה בן 9 חודשים בחופף ובמצטבר כך שירצה 10 חודשי מאסר בניכוי ימי מעצרו, מאסר מותנה, קנס, פסילת רישיון בפועל ופסילה על תנאי. בית המשפט המחוזי בערעור קיבל את ערעור ההגנה והעמיד את עונשו של הנאשם על 9 חודשים לריצוי בפועל. יתר רכיבי הענישה נותרו בעינם.</w:t>
      </w:r>
    </w:p>
    <w:p w14:paraId="7AD7D045" w14:textId="77777777" w:rsidR="00A47EF8" w:rsidRDefault="00A47EF8" w:rsidP="00A47EF8">
      <w:pPr>
        <w:pStyle w:val="aa"/>
        <w:spacing w:before="100" w:beforeAutospacing="1" w:after="120"/>
        <w:ind w:left="0"/>
        <w:jc w:val="both"/>
        <w:rPr>
          <w:rFonts w:ascii="Calibri" w:hAnsi="Calibri" w:cs="FrankRuehl"/>
          <w:sz w:val="28"/>
          <w:szCs w:val="28"/>
        </w:rPr>
      </w:pPr>
    </w:p>
    <w:p w14:paraId="445DE578"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5" w:history="1">
        <w:r w:rsidRPr="00547358">
          <w:rPr>
            <w:rFonts w:ascii="Calibri" w:hAnsi="Calibri" w:cs="FrankRuehl" w:hint="cs"/>
            <w:color w:val="0000FF"/>
            <w:sz w:val="28"/>
            <w:szCs w:val="28"/>
            <w:u w:val="single"/>
            <w:rtl/>
          </w:rPr>
          <w:t>עפ</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ג</w:t>
        </w:r>
        <w:r w:rsidRPr="00547358">
          <w:rPr>
            <w:rFonts w:ascii="Calibri" w:hAnsi="Calibri" w:cs="FrankRuehl"/>
            <w:color w:val="0000FF"/>
            <w:sz w:val="28"/>
            <w:szCs w:val="28"/>
            <w:u w:val="single"/>
            <w:rtl/>
          </w:rPr>
          <w:t xml:space="preserve"> 6761-02-15</w:t>
        </w:r>
      </w:hyperlink>
      <w:r w:rsidR="00A47EF8">
        <w:rPr>
          <w:rFonts w:ascii="Calibri" w:hAnsi="Calibri" w:cs="FrankRuehl"/>
          <w:sz w:val="28"/>
          <w:szCs w:val="28"/>
          <w:rtl/>
        </w:rPr>
        <w:t xml:space="preserve"> </w:t>
      </w:r>
      <w:r w:rsidR="00A47EF8">
        <w:rPr>
          <w:rFonts w:ascii="Miriam" w:hAnsi="Miriam" w:cs="Miriam"/>
          <w:rtl/>
        </w:rPr>
        <w:t>כהן נ' מדינת ישראל</w:t>
      </w:r>
      <w:r w:rsidR="00A47EF8">
        <w:rPr>
          <w:rFonts w:ascii="Calibri" w:hAnsi="Calibri" w:cs="FrankRuehl"/>
          <w:sz w:val="28"/>
          <w:szCs w:val="28"/>
          <w:rtl/>
        </w:rPr>
        <w:t xml:space="preserve"> (29.4.2015) – הנאשם הודה והורשע בעבירות של החזקת סם מסוג קוקאין במשקל נטו של 4.9820 גרם, יחד עם משקל אלקטרוני שלא לצריכה עצמית וכלים שלא לצריכה עצמית. מתחם ענישה נקבע 18-8 חודשים כעונש עיקרי. בית המשפט השלום גזר על הנאשם, בן 41, תוך התייחסות לנסיבותיו המשפחתית והאישיות, הודייתו, עברו הפלילי המכביד ומצבו הכלכלי החמור, 14 חודשי מאסר, מאסר מותנה, התחייבות ופסילת רישיון נהיגה. ערעור ההגנה נדחה, למעט תקופת הפסילה.</w:t>
      </w:r>
    </w:p>
    <w:p w14:paraId="613916EA" w14:textId="77777777" w:rsidR="00A47EF8" w:rsidRDefault="00A47EF8" w:rsidP="00A47EF8">
      <w:pPr>
        <w:pStyle w:val="aa"/>
        <w:spacing w:before="100" w:beforeAutospacing="1" w:after="120"/>
        <w:ind w:left="0"/>
        <w:jc w:val="both"/>
        <w:rPr>
          <w:rFonts w:ascii="Calibri" w:hAnsi="Calibri" w:cs="FrankRuehl"/>
          <w:sz w:val="28"/>
          <w:szCs w:val="28"/>
        </w:rPr>
      </w:pPr>
    </w:p>
    <w:p w14:paraId="6631058B"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6" w:history="1">
        <w:r w:rsidRPr="00547358">
          <w:rPr>
            <w:rFonts w:ascii="Calibri" w:hAnsi="Calibri" w:cs="FrankRuehl" w:hint="cs"/>
            <w:color w:val="0000FF"/>
            <w:sz w:val="28"/>
            <w:szCs w:val="28"/>
            <w:u w:val="single"/>
            <w:rtl/>
          </w:rPr>
          <w:t>עפ</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ג</w:t>
        </w:r>
        <w:r w:rsidRPr="00547358">
          <w:rPr>
            <w:rFonts w:ascii="Calibri" w:hAnsi="Calibri" w:cs="FrankRuehl"/>
            <w:color w:val="0000FF"/>
            <w:sz w:val="28"/>
            <w:szCs w:val="28"/>
            <w:u w:val="single"/>
            <w:rtl/>
          </w:rPr>
          <w:t xml:space="preserve"> 26655-04-14</w:t>
        </w:r>
      </w:hyperlink>
      <w:r w:rsidR="00A47EF8">
        <w:rPr>
          <w:rFonts w:ascii="Calibri" w:hAnsi="Calibri" w:cs="FrankRuehl"/>
          <w:sz w:val="28"/>
          <w:szCs w:val="28"/>
          <w:rtl/>
        </w:rPr>
        <w:t xml:space="preserve"> </w:t>
      </w:r>
      <w:r w:rsidR="00A47EF8">
        <w:rPr>
          <w:rFonts w:ascii="Miriam" w:hAnsi="Miriam" w:cs="Miriam"/>
          <w:rtl/>
        </w:rPr>
        <w:t>חמדאן נ' מדינת ישראל</w:t>
      </w:r>
      <w:r w:rsidR="00A47EF8">
        <w:rPr>
          <w:rFonts w:ascii="Calibri" w:hAnsi="Calibri" w:cs="FrankRuehl"/>
          <w:sz w:val="28"/>
          <w:szCs w:val="28"/>
          <w:rtl/>
        </w:rPr>
        <w:t xml:space="preserve"> (10.9.2014) – הנאשם הודה והורשע בעבירה של החזקת סם מסוכן מסוג קוקאין במשקל 5.2464 גרם נטו שלא לצריכה עצמית. נקבע מתחם ענישה 18-8 חודשים, כעונש עיקרי. בית המשפט קמא גזר על הנאשם, בן 23, ללא עבר פלילי, שהודה במיוחס לו, תוך התייחסות לנסיבות חייו וההליך הטיפולי והשיקומי שנמצא בראשיתם עונש של 8 חודשי מאסר בפועל, מאסרים מותנים וחילוט. ערעור שהוגש לבית המשפט המחוזי נדחה.</w:t>
      </w:r>
    </w:p>
    <w:p w14:paraId="01AE8CFA" w14:textId="77777777" w:rsidR="00A47EF8" w:rsidRPr="00F40D71" w:rsidRDefault="00A47EF8" w:rsidP="00A47EF8">
      <w:pPr>
        <w:pStyle w:val="aa"/>
        <w:rPr>
          <w:rFonts w:ascii="Calibri" w:hAnsi="Calibri" w:cs="FrankRuehl"/>
          <w:sz w:val="28"/>
          <w:szCs w:val="28"/>
          <w:rtl/>
        </w:rPr>
      </w:pPr>
    </w:p>
    <w:p w14:paraId="20630061"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7" w:history="1">
        <w:r w:rsidRPr="00547358">
          <w:rPr>
            <w:rFonts w:ascii="Calibri" w:hAnsi="Calibri" w:cs="FrankRuehl" w:hint="cs"/>
            <w:color w:val="0000FF"/>
            <w:sz w:val="28"/>
            <w:szCs w:val="28"/>
            <w:u w:val="single"/>
            <w:rtl/>
          </w:rPr>
          <w:t>ת</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פ</w:t>
        </w:r>
        <w:r w:rsidRPr="00547358">
          <w:rPr>
            <w:rFonts w:ascii="Calibri" w:hAnsi="Calibri" w:cs="FrankRuehl"/>
            <w:color w:val="0000FF"/>
            <w:sz w:val="28"/>
            <w:szCs w:val="28"/>
            <w:u w:val="single"/>
            <w:rtl/>
          </w:rPr>
          <w:t xml:space="preserve"> 3282-06-19</w:t>
        </w:r>
      </w:hyperlink>
      <w:r w:rsidR="00A47EF8">
        <w:rPr>
          <w:rFonts w:ascii="Calibri" w:hAnsi="Calibri" w:cs="FrankRuehl"/>
          <w:sz w:val="28"/>
          <w:szCs w:val="28"/>
          <w:rtl/>
        </w:rPr>
        <w:t xml:space="preserve"> </w:t>
      </w:r>
      <w:r w:rsidR="00A47EF8">
        <w:rPr>
          <w:rFonts w:ascii="Miriam" w:hAnsi="Miriam" w:cs="Miriam"/>
          <w:rtl/>
        </w:rPr>
        <w:t>מדינת ישראל נ' אחמד אבו יחיה</w:t>
      </w:r>
      <w:r w:rsidR="00A47EF8">
        <w:rPr>
          <w:rFonts w:ascii="Calibri" w:hAnsi="Calibri" w:cs="FrankRuehl"/>
          <w:sz w:val="28"/>
          <w:szCs w:val="28"/>
          <w:rtl/>
        </w:rPr>
        <w:t xml:space="preserve"> (7.6.2022) – הנאשם הורשע לאחר שמיעת ראיות בהחזקת סם מסוג קוקאין שלא לצריכה עצמית במשקל 4.1422 גרם נטו. מתחם ענישה נקבע 15-6 חודשים. בית המשפט גזר על הנאשם 16 חודשי מאסר הכוללים הפעלת מאסר מותנה, מאסר על תנאי קנס ופסילה. </w:t>
      </w:r>
    </w:p>
    <w:p w14:paraId="11124D81" w14:textId="77777777" w:rsidR="00A47EF8" w:rsidRPr="00F40D71" w:rsidRDefault="00A47EF8" w:rsidP="00A47EF8">
      <w:pPr>
        <w:pStyle w:val="aa"/>
        <w:rPr>
          <w:rFonts w:ascii="Calibri" w:hAnsi="Calibri" w:cs="FrankRuehl"/>
          <w:sz w:val="28"/>
          <w:szCs w:val="28"/>
          <w:rtl/>
        </w:rPr>
      </w:pPr>
    </w:p>
    <w:p w14:paraId="06340431"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8" w:history="1">
        <w:r w:rsidRPr="00547358">
          <w:rPr>
            <w:rFonts w:ascii="Calibri" w:hAnsi="Calibri" w:cs="FrankRuehl" w:hint="cs"/>
            <w:color w:val="0000FF"/>
            <w:sz w:val="28"/>
            <w:szCs w:val="28"/>
            <w:u w:val="single"/>
            <w:rtl/>
          </w:rPr>
          <w:t>ת</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פ</w:t>
        </w:r>
        <w:r w:rsidRPr="00547358">
          <w:rPr>
            <w:rFonts w:ascii="Calibri" w:hAnsi="Calibri" w:cs="FrankRuehl"/>
            <w:color w:val="0000FF"/>
            <w:sz w:val="28"/>
            <w:szCs w:val="28"/>
            <w:u w:val="single"/>
            <w:rtl/>
          </w:rPr>
          <w:t xml:space="preserve"> 44914-01-17</w:t>
        </w:r>
      </w:hyperlink>
      <w:r w:rsidR="00A47EF8">
        <w:rPr>
          <w:rFonts w:ascii="Miriam" w:hAnsi="Miriam" w:cs="Miriam"/>
          <w:rtl/>
        </w:rPr>
        <w:t xml:space="preserve"> מדינת ישראל נ' פרץ </w:t>
      </w:r>
      <w:r w:rsidR="00A47EF8">
        <w:rPr>
          <w:rFonts w:ascii="Calibri" w:hAnsi="Calibri" w:cs="FrankRuehl"/>
          <w:sz w:val="28"/>
          <w:szCs w:val="28"/>
          <w:rtl/>
        </w:rPr>
        <w:t xml:space="preserve">(23.9.2019) – הנאשם הודה והורשע בעבירה של החזקת סם שלא לשימוש עצמי בכך שהחזיק בתחתוניו סם מסוכן מסוג קוקאין במשקל 12.4 גרם שלא לצריכתו העצמית בלבד. נקבע מתחם ענישה בין מספר חודשי מאסר שיכול וירוצו בעבודות שירות ועד ל-12 חודשי מאסר. בית המשפט סטה ממתחם הענישה משיקולי שיקום וגזר על הנאשם, בן 49, רווק, בעל עבר פלילי הכולל הרשעה אחת, תוך התייחסות לכך שמצבו הבריאותי והנפשי לא טוב, הפסקת שימושו בסמים, ההליך הטיפולי שעבר ושיקומו, צו של"צ, מבחן, מאסר על תנאי וקנס. </w:t>
      </w:r>
    </w:p>
    <w:p w14:paraId="1491735E" w14:textId="77777777" w:rsidR="00A47EF8" w:rsidRPr="00F40D71" w:rsidRDefault="00A47EF8" w:rsidP="00A47EF8">
      <w:pPr>
        <w:pStyle w:val="aa"/>
        <w:rPr>
          <w:rFonts w:ascii="Calibri" w:hAnsi="Calibri" w:cs="FrankRuehl"/>
          <w:sz w:val="28"/>
          <w:szCs w:val="28"/>
          <w:rtl/>
        </w:rPr>
      </w:pPr>
    </w:p>
    <w:p w14:paraId="2B038D07" w14:textId="77777777" w:rsidR="00A47EF8" w:rsidRDefault="00547358" w:rsidP="00A47EF8">
      <w:pPr>
        <w:pStyle w:val="aa"/>
        <w:numPr>
          <w:ilvl w:val="0"/>
          <w:numId w:val="1"/>
        </w:numPr>
        <w:spacing w:before="100" w:beforeAutospacing="1" w:after="120" w:line="360" w:lineRule="auto"/>
        <w:ind w:left="0" w:firstLine="0"/>
        <w:jc w:val="both"/>
        <w:rPr>
          <w:rFonts w:ascii="Calibri" w:hAnsi="Calibri" w:cs="FrankRuehl"/>
          <w:sz w:val="28"/>
          <w:szCs w:val="28"/>
        </w:rPr>
      </w:pPr>
      <w:hyperlink r:id="rId29" w:history="1">
        <w:r w:rsidRPr="00547358">
          <w:rPr>
            <w:rFonts w:ascii="Calibri" w:hAnsi="Calibri" w:cs="FrankRuehl" w:hint="cs"/>
            <w:color w:val="0000FF"/>
            <w:sz w:val="28"/>
            <w:szCs w:val="28"/>
            <w:u w:val="single"/>
            <w:rtl/>
          </w:rPr>
          <w:t>ת</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פ</w:t>
        </w:r>
        <w:r w:rsidRPr="00547358">
          <w:rPr>
            <w:rFonts w:ascii="Calibri" w:hAnsi="Calibri" w:cs="FrankRuehl"/>
            <w:color w:val="0000FF"/>
            <w:sz w:val="28"/>
            <w:szCs w:val="28"/>
            <w:u w:val="single"/>
            <w:rtl/>
          </w:rPr>
          <w:t xml:space="preserve"> 17610-09-15</w:t>
        </w:r>
      </w:hyperlink>
      <w:r w:rsidR="00A47EF8">
        <w:rPr>
          <w:rFonts w:ascii="Calibri" w:hAnsi="Calibri" w:cs="FrankRuehl"/>
          <w:sz w:val="28"/>
          <w:szCs w:val="28"/>
          <w:rtl/>
        </w:rPr>
        <w:t xml:space="preserve"> </w:t>
      </w:r>
      <w:r w:rsidR="00A47EF8">
        <w:rPr>
          <w:rFonts w:ascii="Miriam" w:hAnsi="Miriam" w:cs="Miriam"/>
          <w:rtl/>
        </w:rPr>
        <w:t>מדינת ישראל נ' אבו עביד</w:t>
      </w:r>
      <w:r w:rsidR="00A47EF8">
        <w:rPr>
          <w:rFonts w:ascii="Calibri" w:hAnsi="Calibri" w:cs="FrankRuehl"/>
          <w:sz w:val="28"/>
          <w:szCs w:val="28"/>
          <w:rtl/>
        </w:rPr>
        <w:t xml:space="preserve"> (3.4.2019) – הנאשם הודה והורשע בעבירה של החזקת סם מסוכן מסוג קוקאין בשל 4.0168 גרם קוקאין, שלא לצריכה עצמית. נקבע מתחם ענישה 14-6 חודשים כעונש עיקרי. בית המשפט גזר על הנאשם, צעיר לימים, שהודה ונטל אחריות על מעשיו, נעדר עבר פלילי, ללא תיקים פתוחים, עונש של שישה חודשי מאסר לריצוי בעבודות שירות, מאסר מותנה קנס, התחייבות ופסילת רישיון נהיגה.  </w:t>
      </w:r>
    </w:p>
    <w:p w14:paraId="42462201" w14:textId="77777777" w:rsidR="00A47EF8" w:rsidRPr="00F40D71" w:rsidRDefault="00A47EF8" w:rsidP="00A47EF8">
      <w:pPr>
        <w:pStyle w:val="aa"/>
        <w:spacing w:before="100" w:beforeAutospacing="1" w:after="120"/>
        <w:ind w:left="0"/>
        <w:jc w:val="both"/>
      </w:pPr>
    </w:p>
    <w:p w14:paraId="17935FC0" w14:textId="77777777" w:rsidR="00A47EF8" w:rsidRDefault="00547358" w:rsidP="00A47EF8">
      <w:pPr>
        <w:pStyle w:val="aa"/>
        <w:numPr>
          <w:ilvl w:val="0"/>
          <w:numId w:val="1"/>
        </w:numPr>
        <w:spacing w:before="100" w:beforeAutospacing="1" w:after="120" w:line="360" w:lineRule="auto"/>
        <w:ind w:left="0" w:firstLine="0"/>
        <w:jc w:val="both"/>
      </w:pPr>
      <w:hyperlink r:id="rId30" w:history="1">
        <w:r w:rsidRPr="00547358">
          <w:rPr>
            <w:rFonts w:ascii="Calibri" w:hAnsi="Calibri" w:cs="FrankRuehl" w:hint="cs"/>
            <w:color w:val="0000FF"/>
            <w:sz w:val="28"/>
            <w:szCs w:val="28"/>
            <w:u w:val="single"/>
            <w:rtl/>
          </w:rPr>
          <w:t>ת</w:t>
        </w:r>
        <w:r w:rsidRPr="00547358">
          <w:rPr>
            <w:rFonts w:ascii="Calibri" w:hAnsi="Calibri" w:cs="FrankRuehl"/>
            <w:color w:val="0000FF"/>
            <w:sz w:val="28"/>
            <w:szCs w:val="28"/>
            <w:u w:val="single"/>
            <w:rtl/>
          </w:rPr>
          <w:t>"</w:t>
        </w:r>
        <w:r w:rsidRPr="00547358">
          <w:rPr>
            <w:rFonts w:ascii="Calibri" w:hAnsi="Calibri" w:cs="FrankRuehl" w:hint="cs"/>
            <w:color w:val="0000FF"/>
            <w:sz w:val="28"/>
            <w:szCs w:val="28"/>
            <w:u w:val="single"/>
            <w:rtl/>
          </w:rPr>
          <w:t>פ</w:t>
        </w:r>
        <w:r w:rsidRPr="00547358">
          <w:rPr>
            <w:rFonts w:ascii="Calibri" w:hAnsi="Calibri" w:cs="FrankRuehl"/>
            <w:color w:val="0000FF"/>
            <w:sz w:val="28"/>
            <w:szCs w:val="28"/>
            <w:u w:val="single"/>
            <w:rtl/>
          </w:rPr>
          <w:t xml:space="preserve"> 25474-11-15</w:t>
        </w:r>
      </w:hyperlink>
      <w:r w:rsidR="00A47EF8">
        <w:rPr>
          <w:rFonts w:ascii="Calibri" w:hAnsi="Calibri" w:cs="FrankRuehl"/>
          <w:sz w:val="28"/>
          <w:szCs w:val="28"/>
          <w:rtl/>
        </w:rPr>
        <w:t xml:space="preserve"> </w:t>
      </w:r>
      <w:r w:rsidR="00A47EF8">
        <w:rPr>
          <w:rFonts w:ascii="Miriam" w:hAnsi="Miriam" w:cs="Miriam"/>
          <w:rtl/>
        </w:rPr>
        <w:t>מדינת ישראל נ' פלוני</w:t>
      </w:r>
      <w:r w:rsidR="00A47EF8">
        <w:rPr>
          <w:rFonts w:ascii="Calibri" w:hAnsi="Calibri" w:cs="FrankRuehl"/>
          <w:sz w:val="28"/>
          <w:szCs w:val="28"/>
          <w:rtl/>
        </w:rPr>
        <w:t xml:space="preserve"> (4.5.2016) – הנאשם הודה והורשע בעבירה של החזקת סמים שלא לצריכה עצמית, בכך שהחזיק סם מסוכן מסוג קוקאין במשקל של 4 גר' נטו אשר הוטמנו במיכל הדלק של הרכב. במעמד זה נמצא ברכב סך של 3036.2 ₪ וכן משקל אלקטרוני. נקבע מתחם ענישה 20-8 חודשים. בית המשפט גזר על הנאשם בעל רישום פלילי מבית המשפט לנוער, 10 חודשי מאסר בפועל, מאסר מותנה, התחייבות וקנס. </w:t>
      </w:r>
    </w:p>
    <w:p w14:paraId="0BCD04FF" w14:textId="77777777" w:rsidR="00A47EF8" w:rsidRPr="00F40D71" w:rsidRDefault="00A47EF8" w:rsidP="00A47EF8">
      <w:pPr>
        <w:pStyle w:val="aa"/>
        <w:spacing w:before="100" w:beforeAutospacing="1" w:after="120"/>
        <w:ind w:left="0"/>
        <w:jc w:val="both"/>
      </w:pPr>
    </w:p>
    <w:p w14:paraId="53455F9C" w14:textId="77777777" w:rsidR="00A47EF8" w:rsidRPr="00F40D71" w:rsidRDefault="00A47EF8" w:rsidP="00A47EF8">
      <w:pPr>
        <w:pStyle w:val="aa"/>
        <w:numPr>
          <w:ilvl w:val="0"/>
          <w:numId w:val="1"/>
        </w:numPr>
        <w:spacing w:before="100" w:beforeAutospacing="1" w:after="120" w:line="360" w:lineRule="auto"/>
        <w:ind w:left="0" w:firstLine="0"/>
        <w:jc w:val="both"/>
      </w:pPr>
      <w:r>
        <w:rPr>
          <w:rFonts w:ascii="FrankRuehl" w:hAnsi="FrankRuehl" w:cs="FrankRuehl"/>
          <w:sz w:val="28"/>
          <w:szCs w:val="28"/>
          <w:rtl/>
        </w:rPr>
        <w:t xml:space="preserve">לרשימה זו </w:t>
      </w:r>
      <w:r>
        <w:rPr>
          <w:rFonts w:ascii="FrankRuehl" w:hAnsi="FrankRuehl" w:cs="FrankRuehl" w:hint="cs"/>
          <w:sz w:val="28"/>
          <w:szCs w:val="28"/>
          <w:rtl/>
        </w:rPr>
        <w:t xml:space="preserve">נצרף את </w:t>
      </w:r>
      <w:r>
        <w:rPr>
          <w:rFonts w:ascii="FrankRuehl" w:hAnsi="FrankRuehl" w:cs="FrankRuehl"/>
          <w:sz w:val="28"/>
          <w:szCs w:val="28"/>
          <w:rtl/>
        </w:rPr>
        <w:t>פסקי הדין אותם הציגה המאשימה, חלק</w:t>
      </w:r>
      <w:r>
        <w:rPr>
          <w:rFonts w:ascii="FrankRuehl" w:hAnsi="FrankRuehl" w:cs="FrankRuehl" w:hint="cs"/>
          <w:sz w:val="28"/>
          <w:szCs w:val="28"/>
          <w:rtl/>
        </w:rPr>
        <w:t>ם</w:t>
      </w:r>
      <w:r>
        <w:rPr>
          <w:rFonts w:ascii="FrankRuehl" w:hAnsi="FrankRuehl" w:cs="FrankRuehl"/>
          <w:sz w:val="28"/>
          <w:szCs w:val="28"/>
          <w:rtl/>
        </w:rPr>
        <w:t xml:space="preserve"> עוסק</w:t>
      </w:r>
      <w:r>
        <w:rPr>
          <w:rFonts w:ascii="FrankRuehl" w:hAnsi="FrankRuehl" w:cs="FrankRuehl" w:hint="cs"/>
          <w:sz w:val="28"/>
          <w:szCs w:val="28"/>
          <w:rtl/>
        </w:rPr>
        <w:t>ים</w:t>
      </w:r>
      <w:r>
        <w:rPr>
          <w:rFonts w:ascii="FrankRuehl" w:hAnsi="FrankRuehl" w:cs="FrankRuehl"/>
          <w:sz w:val="28"/>
          <w:szCs w:val="28"/>
          <w:rtl/>
        </w:rPr>
        <w:t xml:space="preserve"> בנסיבות חמורות יותר ו</w:t>
      </w:r>
      <w:r>
        <w:rPr>
          <w:rFonts w:ascii="FrankRuehl" w:hAnsi="FrankRuehl" w:cs="FrankRuehl" w:hint="cs"/>
          <w:sz w:val="28"/>
          <w:szCs w:val="28"/>
          <w:rtl/>
        </w:rPr>
        <w:t xml:space="preserve">התאמות למקרה הנוכחי נדרשות. </w:t>
      </w:r>
      <w:hyperlink r:id="rId31" w:history="1">
        <w:r w:rsidR="00547358" w:rsidRPr="00547358">
          <w:rPr>
            <w:rFonts w:ascii="FrankRuehl" w:hAnsi="FrankRuehl" w:cs="FrankRuehl"/>
            <w:color w:val="0000FF"/>
            <w:sz w:val="28"/>
            <w:szCs w:val="28"/>
            <w:u w:val="single"/>
            <w:rtl/>
          </w:rPr>
          <w:t>עפ"ג 6495-09-15</w:t>
        </w:r>
      </w:hyperlink>
      <w:r>
        <w:rPr>
          <w:rFonts w:ascii="FrankRuehl" w:hAnsi="FrankRuehl" w:cs="FrankRuehl"/>
          <w:sz w:val="28"/>
          <w:szCs w:val="28"/>
          <w:rtl/>
        </w:rPr>
        <w:t xml:space="preserve"> </w:t>
      </w:r>
      <w:r>
        <w:rPr>
          <w:rFonts w:ascii="Miriam" w:hAnsi="Miriam" w:cs="Miriam"/>
          <w:rtl/>
        </w:rPr>
        <w:t xml:space="preserve">מדינת ישראל נ' </w:t>
      </w:r>
      <w:r w:rsidRPr="00F40D71">
        <w:rPr>
          <w:rFonts w:ascii="Miriam" w:hAnsi="Miriam" w:cs="Miriam"/>
          <w:rtl/>
        </w:rPr>
        <w:t>דחל</w:t>
      </w:r>
      <w:r>
        <w:rPr>
          <w:rFonts w:ascii="FrankRuehl" w:hAnsi="FrankRuehl" w:cs="FrankRuehl"/>
          <w:sz w:val="28"/>
          <w:szCs w:val="28"/>
        </w:rPr>
        <w:t xml:space="preserve"> </w:t>
      </w:r>
      <w:r>
        <w:rPr>
          <w:rFonts w:ascii="FrankRuehl" w:hAnsi="FrankRuehl" w:cs="FrankRuehl"/>
          <w:sz w:val="28"/>
          <w:szCs w:val="28"/>
          <w:rtl/>
        </w:rPr>
        <w:t xml:space="preserve">(2.12.2015); </w:t>
      </w:r>
      <w:hyperlink r:id="rId32" w:history="1">
        <w:r w:rsidR="00547358" w:rsidRPr="00547358">
          <w:rPr>
            <w:rFonts w:ascii="FrankRuehl" w:hAnsi="FrankRuehl" w:cs="FrankRuehl"/>
            <w:color w:val="0000FF"/>
            <w:sz w:val="28"/>
            <w:szCs w:val="28"/>
            <w:u w:val="single"/>
            <w:rtl/>
          </w:rPr>
          <w:t>ת.פ 50955-01-16</w:t>
        </w:r>
      </w:hyperlink>
      <w:r>
        <w:rPr>
          <w:rFonts w:ascii="FrankRuehl" w:hAnsi="FrankRuehl" w:cs="FrankRuehl"/>
          <w:sz w:val="28"/>
          <w:szCs w:val="28"/>
          <w:rtl/>
        </w:rPr>
        <w:t xml:space="preserve"> </w:t>
      </w:r>
      <w:r w:rsidRPr="00F40D71">
        <w:rPr>
          <w:rFonts w:ascii="Miriam" w:hAnsi="Miriam" w:cs="Miriam"/>
          <w:rtl/>
        </w:rPr>
        <w:t>מדינת ישראל נ' וקנין</w:t>
      </w:r>
      <w:r>
        <w:rPr>
          <w:rFonts w:ascii="FrankRuehl" w:hAnsi="FrankRuehl" w:cs="FrankRuehl"/>
          <w:sz w:val="28"/>
          <w:szCs w:val="28"/>
          <w:rtl/>
        </w:rPr>
        <w:t xml:space="preserve"> (6.1.2019); </w:t>
      </w:r>
      <w:hyperlink r:id="rId33" w:history="1">
        <w:r w:rsidR="00547358" w:rsidRPr="00547358">
          <w:rPr>
            <w:rFonts w:ascii="FrankRuehl" w:hAnsi="FrankRuehl" w:cs="FrankRuehl"/>
            <w:color w:val="0000FF"/>
            <w:sz w:val="28"/>
            <w:szCs w:val="28"/>
            <w:u w:val="single"/>
            <w:rtl/>
          </w:rPr>
          <w:t>ת.פ 10316-06-13</w:t>
        </w:r>
      </w:hyperlink>
      <w:r>
        <w:rPr>
          <w:rFonts w:ascii="FrankRuehl" w:hAnsi="FrankRuehl" w:cs="FrankRuehl"/>
          <w:sz w:val="28"/>
          <w:szCs w:val="28"/>
          <w:rtl/>
        </w:rPr>
        <w:t xml:space="preserve"> </w:t>
      </w:r>
      <w:r>
        <w:rPr>
          <w:rFonts w:ascii="Miriam" w:hAnsi="Miriam" w:cs="Miriam"/>
          <w:rtl/>
        </w:rPr>
        <w:t>מדינת ישראל נ'</w:t>
      </w:r>
      <w:r w:rsidRPr="00F40D71">
        <w:rPr>
          <w:rFonts w:ascii="Miriam" w:hAnsi="Miriam" w:cs="Miriam"/>
          <w:rtl/>
        </w:rPr>
        <w:t xml:space="preserve"> עשיוי</w:t>
      </w:r>
      <w:r>
        <w:rPr>
          <w:rFonts w:ascii="FrankRuehl" w:hAnsi="FrankRuehl" w:cs="FrankRuehl"/>
          <w:sz w:val="28"/>
          <w:szCs w:val="28"/>
          <w:rtl/>
        </w:rPr>
        <w:t xml:space="preserve"> (6.1.2016)</w:t>
      </w:r>
      <w:r>
        <w:rPr>
          <w:rFonts w:ascii="FrankRuehl" w:hAnsi="FrankRuehl" w:cs="FrankRuehl" w:hint="cs"/>
          <w:sz w:val="28"/>
          <w:szCs w:val="28"/>
          <w:rtl/>
        </w:rPr>
        <w:t xml:space="preserve"> ו</w:t>
      </w:r>
      <w:hyperlink r:id="rId34" w:history="1">
        <w:r w:rsidR="00547358" w:rsidRPr="00547358">
          <w:rPr>
            <w:rFonts w:ascii="FrankRuehl" w:hAnsi="FrankRuehl" w:cs="FrankRuehl"/>
            <w:color w:val="0000FF"/>
            <w:sz w:val="28"/>
            <w:szCs w:val="28"/>
            <w:u w:val="single"/>
            <w:rtl/>
          </w:rPr>
          <w:t>ת.פ 19015-10-16</w:t>
        </w:r>
      </w:hyperlink>
      <w:r>
        <w:rPr>
          <w:rFonts w:ascii="FrankRuehl" w:hAnsi="FrankRuehl" w:cs="FrankRuehl"/>
          <w:sz w:val="28"/>
          <w:szCs w:val="28"/>
          <w:rtl/>
        </w:rPr>
        <w:t xml:space="preserve"> </w:t>
      </w:r>
      <w:r>
        <w:rPr>
          <w:rFonts w:ascii="Miriam" w:hAnsi="Miriam" w:cs="Miriam"/>
          <w:rtl/>
        </w:rPr>
        <w:t xml:space="preserve">מדינת ישראל נ' </w:t>
      </w:r>
      <w:r w:rsidRPr="00F40D71">
        <w:rPr>
          <w:rFonts w:ascii="Miriam" w:hAnsi="Miriam" w:cs="Miriam"/>
          <w:rtl/>
        </w:rPr>
        <w:t>בן יוסף</w:t>
      </w:r>
      <w:r>
        <w:rPr>
          <w:rFonts w:ascii="FrankRuehl" w:hAnsi="FrankRuehl" w:cs="FrankRuehl"/>
          <w:sz w:val="28"/>
          <w:szCs w:val="28"/>
          <w:rtl/>
        </w:rPr>
        <w:t xml:space="preserve"> (10.2.2019).  </w:t>
      </w:r>
    </w:p>
    <w:p w14:paraId="2771CD9F" w14:textId="77777777" w:rsidR="00A47EF8" w:rsidRDefault="00A47EF8" w:rsidP="00A47EF8">
      <w:pPr>
        <w:pStyle w:val="aa"/>
        <w:rPr>
          <w:rtl/>
        </w:rPr>
      </w:pPr>
    </w:p>
    <w:p w14:paraId="53EA2075"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 xml:space="preserve">ועתה לבחינת העבירה בנסיבותיה. כמתואר באישום הראשון, החזיק הנאשם החזיק בביתו סם מסוכן מסוג קוקאין אשר </w:t>
      </w:r>
      <w:r>
        <w:rPr>
          <w:rFonts w:ascii="FrankRuehl" w:hAnsi="FrankRuehl" w:cs="FrankRuehl"/>
          <w:sz w:val="28"/>
          <w:szCs w:val="28"/>
          <w:rtl/>
        </w:rPr>
        <w:t>שכידוע סיכון רב טמון בהפצתם בקרב הציבור הן בשל ההשפעות על גוף האדם והן בשל פוטנציאל ההתמכרות הגבוה הטמון בו</w:t>
      </w:r>
      <w:r>
        <w:rPr>
          <w:rFonts w:ascii="Corbel" w:hAnsi="Corbel" w:cs="FrankRuehl"/>
          <w:sz w:val="28"/>
          <w:szCs w:val="28"/>
          <w:rtl/>
        </w:rPr>
        <w:t xml:space="preserve">. כמות הסם – 9 גרם נטו, נכון כי נראו במחוזותינו כמויות גדולות בהרבה, אך העובדה כי הסמים הוחזקו לצד משקל אלקטרוני ולצד סכומי כסף נכבדים, מלמדת על כוונה ברורה להפצתם של הסמים. </w:t>
      </w:r>
    </w:p>
    <w:p w14:paraId="57EBFE39" w14:textId="77777777" w:rsidR="00A47EF8" w:rsidRPr="00F40D71" w:rsidRDefault="00A47EF8" w:rsidP="00A47EF8">
      <w:pPr>
        <w:pStyle w:val="aa"/>
        <w:rPr>
          <w:rFonts w:ascii="Corbel" w:hAnsi="Corbel" w:cs="FrankRuehl"/>
          <w:sz w:val="28"/>
          <w:szCs w:val="28"/>
          <w:rtl/>
        </w:rPr>
      </w:pPr>
    </w:p>
    <w:p w14:paraId="1384A2C2" w14:textId="77777777" w:rsidR="00A47EF8" w:rsidRPr="00F40D71"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cs="FrankRuehl"/>
          <w:sz w:val="28"/>
          <w:szCs w:val="28"/>
          <w:rtl/>
        </w:rPr>
        <w:t>לאור כל האמור ובהתחשב בנסיבות ביצוע העבירות, מידת הפגיעה הבינונית בערכים המוגנים ומדיניות הענישה הנהוגה, מצאתי לקבוע מתחם העונש ההולם בין מספר חודשי מאסר שיכול וירוצו בעבודות שירות ועד ל-14 חודשי מאסר, לצד רכיבי ענישה נוספים.</w:t>
      </w:r>
    </w:p>
    <w:p w14:paraId="62649BFB" w14:textId="77777777" w:rsidR="00A47EF8" w:rsidRDefault="00A47EF8" w:rsidP="00A47EF8">
      <w:pPr>
        <w:pStyle w:val="aa"/>
        <w:spacing w:before="100" w:beforeAutospacing="1" w:after="120"/>
        <w:ind w:left="0"/>
        <w:jc w:val="both"/>
        <w:rPr>
          <w:rFonts w:ascii="Miriam" w:hAnsi="Miriam" w:cs="Miriam"/>
          <w:rtl/>
        </w:rPr>
      </w:pPr>
      <w:r>
        <w:rPr>
          <w:rFonts w:ascii="Miriam" w:hAnsi="Miriam" w:cs="Miriam"/>
          <w:rtl/>
        </w:rPr>
        <w:tab/>
      </w:r>
    </w:p>
    <w:p w14:paraId="48C0CC2B" w14:textId="77777777" w:rsidR="00A47EF8" w:rsidRDefault="00A47EF8" w:rsidP="00A47EF8">
      <w:pPr>
        <w:pStyle w:val="aa"/>
        <w:spacing w:before="100" w:beforeAutospacing="1" w:after="120" w:line="360" w:lineRule="auto"/>
        <w:ind w:left="0"/>
        <w:jc w:val="both"/>
        <w:rPr>
          <w:rFonts w:ascii="Miriam" w:hAnsi="Miriam" w:cs="Miriam"/>
          <w:rtl/>
        </w:rPr>
      </w:pPr>
      <w:r>
        <w:rPr>
          <w:rFonts w:ascii="Miriam" w:hAnsi="Miriam" w:cs="Miriam"/>
          <w:rtl/>
        </w:rPr>
        <w:t>קביעת העונש בתוך המתחם</w:t>
      </w:r>
    </w:p>
    <w:p w14:paraId="27655B40" w14:textId="77777777" w:rsidR="00A47EF8" w:rsidRDefault="00A47EF8" w:rsidP="00A47EF8">
      <w:pPr>
        <w:pStyle w:val="aa"/>
        <w:spacing w:before="100" w:beforeAutospacing="1" w:after="120"/>
        <w:ind w:left="0"/>
        <w:jc w:val="both"/>
        <w:rPr>
          <w:rFonts w:ascii="Corbel" w:hAnsi="Corbel" w:cs="FrankRuehl"/>
          <w:sz w:val="28"/>
          <w:szCs w:val="28"/>
        </w:rPr>
      </w:pPr>
    </w:p>
    <w:p w14:paraId="766A609E" w14:textId="77777777" w:rsidR="00A47EF8" w:rsidRPr="002B2DCC"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alibri" w:hAnsi="Calibri" w:cs="FrankRuehl"/>
          <w:szCs w:val="28"/>
          <w:rtl/>
        </w:rPr>
        <w:t xml:space="preserve">לחובת הנאשם עומד מאסר מותנה, המאשימה כזכור עתרה להפעלתו במצטבר ובחופף לעונש שיוטל על הנאשם בגין התיק דנן ובעוד שההגנה עתרה להארכתו לפי </w:t>
      </w:r>
      <w:hyperlink r:id="rId35" w:history="1">
        <w:r w:rsidR="00844DA0" w:rsidRPr="00844DA0">
          <w:rPr>
            <w:rStyle w:val="Hyperlink"/>
            <w:rFonts w:ascii="Calibri" w:hAnsi="Calibri" w:cs="FrankRuehl" w:hint="cs"/>
            <w:szCs w:val="28"/>
            <w:rtl/>
          </w:rPr>
          <w:t>סעיף</w:t>
        </w:r>
        <w:r w:rsidR="00844DA0" w:rsidRPr="00844DA0">
          <w:rPr>
            <w:rStyle w:val="Hyperlink"/>
            <w:rFonts w:ascii="Calibri" w:hAnsi="Calibri" w:cs="FrankRuehl"/>
            <w:szCs w:val="28"/>
            <w:rtl/>
          </w:rPr>
          <w:t xml:space="preserve"> 85</w:t>
        </w:r>
      </w:hyperlink>
      <w:r>
        <w:rPr>
          <w:rFonts w:ascii="Calibri" w:hAnsi="Calibri" w:cs="FrankRuehl"/>
          <w:szCs w:val="28"/>
          <w:rtl/>
        </w:rPr>
        <w:t xml:space="preserve"> ל</w:t>
      </w:r>
      <w:hyperlink r:id="rId36" w:history="1">
        <w:r w:rsidR="00547358" w:rsidRPr="00547358">
          <w:rPr>
            <w:rFonts w:ascii="Calibri" w:hAnsi="Calibri" w:cs="FrankRuehl" w:hint="cs"/>
            <w:color w:val="0000FF"/>
            <w:szCs w:val="28"/>
            <w:u w:val="single"/>
            <w:rtl/>
          </w:rPr>
          <w:t>חוק</w:t>
        </w:r>
        <w:r w:rsidR="00547358" w:rsidRPr="00547358">
          <w:rPr>
            <w:rFonts w:ascii="Calibri" w:hAnsi="Calibri" w:cs="FrankRuehl"/>
            <w:color w:val="0000FF"/>
            <w:szCs w:val="28"/>
            <w:u w:val="single"/>
            <w:rtl/>
          </w:rPr>
          <w:t xml:space="preserve"> </w:t>
        </w:r>
        <w:r w:rsidR="00547358" w:rsidRPr="00547358">
          <w:rPr>
            <w:rFonts w:ascii="Calibri" w:hAnsi="Calibri" w:cs="FrankRuehl" w:hint="cs"/>
            <w:color w:val="0000FF"/>
            <w:szCs w:val="28"/>
            <w:u w:val="single"/>
            <w:rtl/>
          </w:rPr>
          <w:t>העונשין</w:t>
        </w:r>
      </w:hyperlink>
      <w:r>
        <w:rPr>
          <w:rFonts w:ascii="Calibri" w:hAnsi="Calibri" w:cs="FrankRuehl"/>
          <w:szCs w:val="28"/>
          <w:rtl/>
        </w:rPr>
        <w:t xml:space="preserve">. </w:t>
      </w:r>
    </w:p>
    <w:p w14:paraId="6A097A58" w14:textId="77777777" w:rsidR="00A47EF8" w:rsidRDefault="00A47EF8" w:rsidP="00A47EF8">
      <w:pPr>
        <w:pStyle w:val="aa"/>
        <w:spacing w:before="100" w:beforeAutospacing="1" w:after="120"/>
        <w:ind w:left="0"/>
        <w:jc w:val="both"/>
        <w:rPr>
          <w:rFonts w:ascii="Corbel" w:hAnsi="Corbel" w:cs="FrankRuehl"/>
          <w:sz w:val="28"/>
          <w:szCs w:val="28"/>
        </w:rPr>
      </w:pPr>
    </w:p>
    <w:p w14:paraId="08A76002" w14:textId="77777777" w:rsidR="00A47EF8" w:rsidRPr="002B2DCC"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FrankRuehl" w:hAnsi="FrankRuehl" w:cs="FrankRuehl"/>
          <w:sz w:val="28"/>
          <w:szCs w:val="28"/>
          <w:rtl/>
        </w:rPr>
        <w:t>נזכיר, מי שנדון למאסר מותנה, והורשע בעבירה נוספת, יצווה בית המשפט על הפעלת התנאי (</w:t>
      </w:r>
      <w:hyperlink r:id="rId37" w:history="1">
        <w:r w:rsidR="00844DA0" w:rsidRPr="00844DA0">
          <w:rPr>
            <w:rStyle w:val="Hyperlink"/>
            <w:rFonts w:ascii="Miriam" w:hAnsi="Miriam" w:cs="Miriam"/>
            <w:rtl/>
          </w:rPr>
          <w:t>סעיף 55</w:t>
        </w:r>
      </w:hyperlink>
      <w:r>
        <w:rPr>
          <w:rFonts w:ascii="Miriam" w:hAnsi="Miriam" w:cs="Miriam"/>
          <w:rtl/>
        </w:rPr>
        <w:t xml:space="preserve"> ל</w:t>
      </w:r>
      <w:hyperlink r:id="rId38" w:history="1">
        <w:r w:rsidR="00547358" w:rsidRPr="00547358">
          <w:rPr>
            <w:rFonts w:ascii="Miriam" w:hAnsi="Miriam" w:cs="Miriam"/>
            <w:color w:val="0000FF"/>
            <w:u w:val="single"/>
            <w:rtl/>
          </w:rPr>
          <w:t>חוק העונשין</w:t>
        </w:r>
      </w:hyperlink>
      <w:r>
        <w:rPr>
          <w:rFonts w:ascii="FrankRuehl" w:hAnsi="FrankRuehl" w:cs="FrankRuehl"/>
          <w:sz w:val="28"/>
          <w:szCs w:val="28"/>
          <w:rtl/>
        </w:rPr>
        <w:t xml:space="preserve">). חריג להוראה זו קבוע בהוראת </w:t>
      </w:r>
      <w:hyperlink r:id="rId39" w:history="1">
        <w:r w:rsidR="00844DA0" w:rsidRPr="00844DA0">
          <w:rPr>
            <w:rStyle w:val="Hyperlink"/>
            <w:rFonts w:ascii="FrankRuehl" w:hAnsi="FrankRuehl" w:cs="FrankRuehl"/>
            <w:sz w:val="28"/>
            <w:szCs w:val="28"/>
            <w:rtl/>
          </w:rPr>
          <w:t>סעיף 56</w:t>
        </w:r>
      </w:hyperlink>
      <w:r>
        <w:rPr>
          <w:rFonts w:ascii="FrankRuehl" w:hAnsi="FrankRuehl" w:cs="FrankRuehl"/>
          <w:sz w:val="28"/>
          <w:szCs w:val="28"/>
          <w:rtl/>
        </w:rPr>
        <w:t xml:space="preserve"> ל</w:t>
      </w:r>
      <w:hyperlink r:id="rId40" w:history="1">
        <w:r w:rsidR="00547358" w:rsidRPr="00547358">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המאפשר לבית המשפט להורות על הארכת תקופת התנאי או חידושה, אם שוכנע כי לא יהיה זו צודק להפעילה, ובלבד שמדובר בהרשעתו הראשונה של הנאשם בגין עבירה נוספת. חריג לחריג קבוע בהוראות </w:t>
      </w:r>
      <w:hyperlink r:id="rId41" w:history="1">
        <w:r w:rsidR="00844DA0" w:rsidRPr="00844DA0">
          <w:rPr>
            <w:rStyle w:val="Hyperlink"/>
            <w:rFonts w:ascii="Miriam" w:hAnsi="Miriam" w:cs="Miriam"/>
            <w:rtl/>
          </w:rPr>
          <w:t>סעיפים 82</w:t>
        </w:r>
      </w:hyperlink>
      <w:r>
        <w:rPr>
          <w:rFonts w:ascii="Miriam" w:hAnsi="Miriam" w:cs="Miriam"/>
          <w:rtl/>
        </w:rPr>
        <w:t xml:space="preserve"> ו- </w:t>
      </w:r>
      <w:hyperlink r:id="rId42" w:history="1">
        <w:r w:rsidR="00844DA0" w:rsidRPr="00844DA0">
          <w:rPr>
            <w:rStyle w:val="Hyperlink"/>
            <w:rFonts w:ascii="Miriam" w:hAnsi="Miriam" w:cs="Miriam"/>
            <w:rtl/>
          </w:rPr>
          <w:t>85</w:t>
        </w:r>
      </w:hyperlink>
      <w:r>
        <w:rPr>
          <w:rFonts w:ascii="Miriam" w:hAnsi="Miriam" w:cs="Miriam"/>
          <w:rtl/>
        </w:rPr>
        <w:t xml:space="preserve"> ל</w:t>
      </w:r>
      <w:hyperlink r:id="rId43" w:history="1">
        <w:r w:rsidR="00547358" w:rsidRPr="00547358">
          <w:rPr>
            <w:rFonts w:ascii="Miriam" w:hAnsi="Miriam" w:cs="Miriam"/>
            <w:color w:val="0000FF"/>
            <w:u w:val="single"/>
            <w:rtl/>
          </w:rPr>
          <w:t>חוק העונשין</w:t>
        </w:r>
      </w:hyperlink>
      <w:r>
        <w:rPr>
          <w:rFonts w:ascii="FrankRuehl" w:hAnsi="FrankRuehl" w:cs="FrankRuehl"/>
          <w:sz w:val="28"/>
          <w:szCs w:val="28"/>
          <w:rtl/>
        </w:rPr>
        <w:t>, המסמיכים את בית המשפט להאריך מאסר מותנה חב הפעלה, לנאשם העובר טיפול למשתמשים בסמים, או כזה שסיים טיפול, ובלבד ששוכנע כי "</w:t>
      </w:r>
      <w:r>
        <w:rPr>
          <w:rFonts w:ascii="FrankRuehl" w:hAnsi="FrankRuehl" w:cs="FrankRuehl"/>
          <w:color w:val="000000"/>
          <w:sz w:val="28"/>
          <w:szCs w:val="28"/>
          <w:rtl/>
        </w:rPr>
        <w:t>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p>
    <w:p w14:paraId="181ADEA2" w14:textId="77777777" w:rsidR="00A47EF8" w:rsidRPr="002B2DCC" w:rsidRDefault="00A47EF8" w:rsidP="00A47EF8">
      <w:pPr>
        <w:pStyle w:val="aa"/>
        <w:rPr>
          <w:rFonts w:ascii="Corbel" w:hAnsi="Corbel" w:cs="FrankRuehl"/>
          <w:sz w:val="28"/>
          <w:szCs w:val="28"/>
          <w:rtl/>
        </w:rPr>
      </w:pPr>
    </w:p>
    <w:p w14:paraId="59DB9F47"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Corbel" w:hAnsi="Corbel" w:cs="FrankRuehl"/>
          <w:sz w:val="28"/>
          <w:szCs w:val="28"/>
          <w:rtl/>
        </w:rPr>
        <w:t xml:space="preserve">ובעניין זה ראו ע"פ </w:t>
      </w:r>
      <w:hyperlink r:id="rId44" w:history="1">
        <w:r w:rsidR="000015A0" w:rsidRPr="000015A0">
          <w:rPr>
            <w:rFonts w:ascii="Corbel" w:hAnsi="Corbel" w:cs="FrankRuehl"/>
            <w:color w:val="0000FF"/>
            <w:sz w:val="28"/>
            <w:szCs w:val="28"/>
            <w:u w:val="single"/>
            <w:rtl/>
          </w:rPr>
          <w:t xml:space="preserve">6131/21 </w:t>
        </w:r>
      </w:hyperlink>
      <w:r>
        <w:rPr>
          <w:rFonts w:ascii="Corbel" w:hAnsi="Corbel" w:cs="FrankRuehl"/>
          <w:sz w:val="28"/>
          <w:szCs w:val="28"/>
          <w:rtl/>
        </w:rPr>
        <w:t xml:space="preserve"> </w:t>
      </w:r>
      <w:r>
        <w:rPr>
          <w:rFonts w:ascii="Miriam" w:hAnsi="Miriam" w:cs="Miriam"/>
          <w:rtl/>
        </w:rPr>
        <w:t>אלפה נ' מדינת ישראל</w:t>
      </w:r>
      <w:r>
        <w:rPr>
          <w:rFonts w:ascii="Corbel" w:hAnsi="Corbel" w:cs="FrankRuehl"/>
          <w:sz w:val="28"/>
          <w:szCs w:val="28"/>
          <w:rtl/>
        </w:rPr>
        <w:t xml:space="preserve"> (13.1.2022): </w:t>
      </w:r>
    </w:p>
    <w:p w14:paraId="597A49FF" w14:textId="77777777" w:rsidR="00A47EF8" w:rsidRDefault="00A47EF8" w:rsidP="00A47EF8">
      <w:pPr>
        <w:pStyle w:val="aa"/>
        <w:spacing w:before="100" w:beforeAutospacing="1" w:after="120"/>
        <w:ind w:right="851"/>
        <w:jc w:val="both"/>
        <w:rPr>
          <w:rFonts w:ascii="FrankRuehl" w:hAnsi="FrankRuehl" w:cs="FrankRuehl"/>
          <w:sz w:val="28"/>
          <w:szCs w:val="28"/>
          <w:rtl/>
        </w:rPr>
      </w:pPr>
    </w:p>
    <w:p w14:paraId="4375A85C" w14:textId="77777777" w:rsidR="00A47EF8" w:rsidRDefault="00A47EF8" w:rsidP="00A47EF8">
      <w:pPr>
        <w:pStyle w:val="aa"/>
        <w:spacing w:before="100" w:beforeAutospacing="1" w:after="120" w:line="360" w:lineRule="auto"/>
        <w:ind w:right="851"/>
        <w:jc w:val="both"/>
        <w:rPr>
          <w:rFonts w:ascii="FrankRuehl" w:hAnsi="FrankRuehl" w:cs="FrankRuehl"/>
          <w:color w:val="0000FF"/>
          <w:spacing w:val="10"/>
          <w:sz w:val="20"/>
          <w:szCs w:val="28"/>
          <w:u w:val="single"/>
          <w:rtl/>
        </w:rPr>
      </w:pPr>
      <w:r>
        <w:rPr>
          <w:rFonts w:ascii="FrankRuehl" w:hAnsi="FrankRuehl" w:cs="FrankRuehl"/>
          <w:sz w:val="28"/>
          <w:szCs w:val="28"/>
          <w:rtl/>
        </w:rPr>
        <w:t xml:space="preserve">"מלאכת הענישה היא מלאכה מורכבת, בבחינת תמהיל של מטרות הענישה – גמול, הרתעה (אינדיבידואלית וכללית) ושיקום. המחוקק מעודד נאשמים שבחרו לילך במסלול הקשה והמפרך של הליכי גמילה, על מנת לאפשר להם לפתוח דף חדש ונקי ולצעוד לעבר האופק הנורמטיבי. לשם כך, נכון המחוקק אף לצאת מגדרו וליתן לנאשם "מכור" הזדמנות נוספת, שלא ניתנת לנאשם "רגיל". כך, קובע </w:t>
      </w:r>
      <w:hyperlink r:id="rId45" w:history="1">
        <w:r w:rsidR="00844DA0" w:rsidRPr="00844DA0">
          <w:rPr>
            <w:rStyle w:val="Hyperlink"/>
            <w:rFonts w:ascii="FrankRuehl" w:hAnsi="FrankRuehl" w:cs="FrankRuehl"/>
            <w:sz w:val="28"/>
            <w:szCs w:val="28"/>
            <w:rtl/>
          </w:rPr>
          <w:t>סעיף 82</w:t>
        </w:r>
      </w:hyperlink>
      <w:r>
        <w:rPr>
          <w:rFonts w:ascii="FrankRuehl" w:hAnsi="FrankRuehl" w:cs="FrankRuehl"/>
          <w:sz w:val="28"/>
          <w:szCs w:val="28"/>
          <w:rtl/>
        </w:rPr>
        <w:t xml:space="preserve"> ל</w:t>
      </w:r>
      <w:hyperlink r:id="rId46" w:history="1">
        <w:r w:rsidR="00547358" w:rsidRPr="00547358">
          <w:rPr>
            <w:rFonts w:ascii="FrankRuehl" w:hAnsi="FrankRuehl" w:cs="FrankRuehl"/>
            <w:color w:val="0000FF"/>
            <w:sz w:val="28"/>
            <w:szCs w:val="28"/>
            <w:u w:val="single"/>
            <w:rtl/>
          </w:rPr>
          <w:t>חוק העונשין</w:t>
        </w:r>
      </w:hyperlink>
      <w:r>
        <w:rPr>
          <w:rFonts w:ascii="FrankRuehl" w:hAnsi="FrankRuehl" w:cs="FrankRuehl"/>
          <w:sz w:val="28"/>
          <w:szCs w:val="28"/>
          <w:rtl/>
        </w:rPr>
        <w:t>, שכותרתו "</w:t>
      </w:r>
      <w:bookmarkStart w:id="8" w:name="Seif92"/>
      <w:bookmarkEnd w:id="8"/>
      <w:r>
        <w:rPr>
          <w:rFonts w:ascii="FrankRuehl" w:hAnsi="FrankRuehl" w:cs="FrankRuehl"/>
          <w:sz w:val="28"/>
          <w:szCs w:val="28"/>
          <w:rtl/>
        </w:rPr>
        <w:t xml:space="preserve">טיפול במשתמשים בסמים", כי בית המשפט רשאי, חלף הפעלה של מאסר על תנאי בר-הפעלה, להטיל צו-מבחן שבמסגרתו יעבור הנאשם טיפול בקהילה. לא רק הנאשם שצלח הליכי גמילה יוצא נשכר אלא גם החברה כולה. </w:t>
      </w:r>
      <w:r>
        <w:rPr>
          <w:rFonts w:ascii="FrankRuehl" w:hAnsi="FrankRuehl" w:cs="FrankRuehl"/>
          <w:color w:val="0000FF"/>
          <w:spacing w:val="10"/>
          <w:sz w:val="20"/>
          <w:szCs w:val="28"/>
          <w:u w:val="single"/>
          <w:rtl/>
        </w:rPr>
        <w:t xml:space="preserve"> </w:t>
      </w:r>
    </w:p>
    <w:p w14:paraId="13C89A68" w14:textId="77777777" w:rsidR="00A47EF8" w:rsidRDefault="00A47EF8" w:rsidP="00A47EF8">
      <w:pPr>
        <w:pStyle w:val="aa"/>
        <w:spacing w:before="100" w:beforeAutospacing="1" w:after="120"/>
        <w:ind w:right="851"/>
        <w:jc w:val="both"/>
        <w:rPr>
          <w:rFonts w:ascii="Corbel" w:hAnsi="Corbel" w:cs="FrankRuehl"/>
          <w:sz w:val="28"/>
          <w:szCs w:val="28"/>
        </w:rPr>
      </w:pPr>
    </w:p>
    <w:p w14:paraId="11D8381D"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FrankRuehl" w:hAnsi="FrankRuehl" w:cs="FrankRuehl"/>
          <w:color w:val="000000"/>
          <w:sz w:val="28"/>
          <w:szCs w:val="28"/>
          <w:rtl/>
        </w:rPr>
        <w:t xml:space="preserve">ונחזור למקרה הפרטני. </w:t>
      </w:r>
      <w:r>
        <w:rPr>
          <w:rFonts w:ascii="FrankRuehl" w:hAnsi="FrankRuehl" w:cs="FrankRuehl"/>
          <w:sz w:val="28"/>
          <w:szCs w:val="28"/>
          <w:rtl/>
        </w:rPr>
        <w:t>לחובת הנאשם עומדות</w:t>
      </w:r>
      <w:r>
        <w:rPr>
          <w:rFonts w:ascii="FrankRuehl" w:hAnsi="FrankRuehl" w:cs="FrankRuehl" w:hint="cs"/>
          <w:sz w:val="28"/>
          <w:szCs w:val="28"/>
          <w:rtl/>
        </w:rPr>
        <w:t xml:space="preserve"> שתי</w:t>
      </w:r>
      <w:r>
        <w:rPr>
          <w:rFonts w:ascii="FrankRuehl" w:hAnsi="FrankRuehl" w:cs="FrankRuehl"/>
          <w:sz w:val="28"/>
          <w:szCs w:val="28"/>
          <w:rtl/>
        </w:rPr>
        <w:t xml:space="preserve"> הרשעות קודמות, שתיהן בגין עבירות סמים (</w:t>
      </w:r>
      <w:r>
        <w:rPr>
          <w:rFonts w:ascii="Miriam" w:hAnsi="Miriam" w:cs="Miriam"/>
          <w:rtl/>
        </w:rPr>
        <w:t>טעת/1</w:t>
      </w:r>
      <w:r>
        <w:rPr>
          <w:rFonts w:ascii="FrankRuehl" w:hAnsi="FrankRuehl" w:cs="FrankRuehl"/>
          <w:sz w:val="28"/>
          <w:szCs w:val="28"/>
          <w:rtl/>
        </w:rPr>
        <w:t xml:space="preserve">). הראשונה </w:t>
      </w:r>
      <w:r>
        <w:rPr>
          <w:rFonts w:ascii="Miriam" w:hAnsi="Miriam" w:cs="Miriam"/>
          <w:rtl/>
        </w:rPr>
        <w:t>מ</w:t>
      </w:r>
      <w:hyperlink r:id="rId47" w:history="1">
        <w:r w:rsidR="00547358" w:rsidRPr="00547358">
          <w:rPr>
            <w:rFonts w:ascii="Miriam" w:hAnsi="Miriam" w:cs="Miriam"/>
            <w:color w:val="0000FF"/>
            <w:u w:val="single"/>
            <w:rtl/>
          </w:rPr>
          <w:t>ת.פ 28211-11-15</w:t>
        </w:r>
      </w:hyperlink>
      <w:r>
        <w:rPr>
          <w:rFonts w:ascii="Miriam" w:hAnsi="Miriam" w:cs="Miriam"/>
          <w:rtl/>
        </w:rPr>
        <w:t xml:space="preserve"> </w:t>
      </w:r>
      <w:r>
        <w:rPr>
          <w:rFonts w:ascii="FrankRuehl" w:hAnsi="FrankRuehl" w:cs="FrankRuehl"/>
          <w:sz w:val="28"/>
          <w:szCs w:val="28"/>
          <w:rtl/>
        </w:rPr>
        <w:t xml:space="preserve">מיום 27.6.2016 בגין סחר בסמים, אז מכר הנאשם לקטין סם מסוכן מסוג חשיש תמורת סכום של 100 ₪ וצירף תיק נוסף שעניינו הפרת הוראה חוקית. בית המשפט אישר את הסדר הטיעון שגובש בין הצדדים והשית על הנאשם עונש מאסר בן 5 חודשים שירוצה בעבודות שירות, מאסר מותנה בן 6 חודשים, קנס ופסילת רישיון נהיגה. הנאשם החל לרצות את עבודות השירות ביום 20.9.2016 אך בשל תפקוד לקוי ביותר, הפרות משמעת ולמרות שזומן לשיחות בירור רבות וניתנו לו הזדמנויות חוזרות הוא לא השכיל לנצלן ולבסוף השלים את מכסת הימים במאסר בין כותלי הכלא. הנאשם השתחרר מריצוי עונש המאסר ביום 10.9.2017. לאחר קצת יותר משנה וחרף קיומו של מאסר מותנה, שב הנאשם והסתבך בפלילים. בפעם זו מכר סם מסוכן מסוג קנבוס במשקל שאינו ידוע למאשימה ותמורת סכום של 300 ₪. בגין מעשה זה ביום 24.2.2020, מצא בית המשפט להאריך את המאסר המותנה שעמד נגד הנאשם משיקולי שיקום למשך שנתיים והעמידו בצו מבחן וצו של"צ </w:t>
      </w:r>
      <w:r>
        <w:rPr>
          <w:rFonts w:ascii="Miriam" w:hAnsi="Miriam" w:cs="Miriam"/>
          <w:spacing w:val="10"/>
          <w:rtl/>
        </w:rPr>
        <w:t>(</w:t>
      </w:r>
      <w:hyperlink r:id="rId48" w:history="1">
        <w:r w:rsidR="00547358" w:rsidRPr="00547358">
          <w:rPr>
            <w:rFonts w:ascii="Miriam" w:hAnsi="Miriam" w:cs="Miriam"/>
            <w:color w:val="0000FF"/>
            <w:spacing w:val="10"/>
            <w:u w:val="single"/>
            <w:rtl/>
          </w:rPr>
          <w:t>ת.פ 26685-11-18</w:t>
        </w:r>
      </w:hyperlink>
      <w:r>
        <w:rPr>
          <w:rFonts w:ascii="Miriam" w:hAnsi="Miriam" w:cs="Miriam"/>
          <w:spacing w:val="10"/>
          <w:rtl/>
        </w:rPr>
        <w:t xml:space="preserve"> – טעת/3</w:t>
      </w:r>
      <w:r>
        <w:rPr>
          <w:rFonts w:ascii="FrankRuehl" w:hAnsi="FrankRuehl" w:cs="FrankRuehl"/>
          <w:sz w:val="28"/>
          <w:szCs w:val="28"/>
          <w:rtl/>
        </w:rPr>
        <w:t>). חרף זאת ובחלוף 7 חודשים, כאשר מאסר מותנה חב הפעלה מרחף מעל ראשו, שב הנאשם והסתבך בביצוע העבירה בגינה נותן את הדין</w:t>
      </w:r>
      <w:r>
        <w:rPr>
          <w:rFonts w:ascii="FrankRuehl" w:hAnsi="FrankRuehl" w:cs="FrankRuehl" w:hint="cs"/>
          <w:sz w:val="28"/>
          <w:szCs w:val="28"/>
          <w:rtl/>
        </w:rPr>
        <w:t xml:space="preserve"> </w:t>
      </w:r>
      <w:r>
        <w:rPr>
          <w:rFonts w:ascii="FrankRuehl" w:hAnsi="FrankRuehl" w:cs="FrankRuehl"/>
          <w:sz w:val="28"/>
          <w:szCs w:val="28"/>
          <w:rtl/>
        </w:rPr>
        <w:t xml:space="preserve">ובהחזקת סם מסוכן מסוג קוקאין בכמות נכבדה המלמדת על כוונה ברורה להפצה. </w:t>
      </w:r>
    </w:p>
    <w:p w14:paraId="2EED6A15" w14:textId="77777777" w:rsidR="00A47EF8" w:rsidRPr="002B2DCC" w:rsidRDefault="00A47EF8" w:rsidP="00A47EF8">
      <w:pPr>
        <w:pStyle w:val="aa"/>
        <w:spacing w:before="100" w:beforeAutospacing="1" w:after="120"/>
        <w:ind w:left="0"/>
        <w:jc w:val="both"/>
        <w:rPr>
          <w:rFonts w:ascii="FrankRuehl" w:hAnsi="FrankRuehl" w:cs="FrankRuehl"/>
          <w:sz w:val="28"/>
          <w:szCs w:val="28"/>
        </w:rPr>
      </w:pPr>
    </w:p>
    <w:p w14:paraId="650B6E49"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sidRPr="002B2DCC">
        <w:rPr>
          <w:rFonts w:ascii="Corbel" w:hAnsi="Corbel" w:cs="FrankRuehl"/>
          <w:sz w:val="28"/>
          <w:szCs w:val="28"/>
          <w:rtl/>
        </w:rPr>
        <w:t>המאשימה ובית המשפט נהגו בנאשם במידת הרחמים, לא מוצה עמו הדין, לא בפעם הראשונה וגם לא בפעם השנייה</w:t>
      </w:r>
      <w:r w:rsidRPr="002B2DCC">
        <w:rPr>
          <w:rFonts w:ascii="Corbel" w:hAnsi="Corbel" w:cs="FrankRuehl" w:hint="cs"/>
          <w:sz w:val="28"/>
          <w:szCs w:val="28"/>
          <w:rtl/>
        </w:rPr>
        <w:t>. ננקטה פעמים</w:t>
      </w:r>
      <w:r w:rsidRPr="002B2DCC">
        <w:rPr>
          <w:rFonts w:ascii="Corbel" w:hAnsi="Corbel" w:cs="FrankRuehl"/>
          <w:sz w:val="28"/>
          <w:szCs w:val="28"/>
          <w:rtl/>
        </w:rPr>
        <w:t xml:space="preserve"> ענישה שיקומית שנועדה לאפשר </w:t>
      </w:r>
      <w:r w:rsidRPr="002B2DCC">
        <w:rPr>
          <w:rFonts w:ascii="Corbel" w:hAnsi="Corbel" w:cs="FrankRuehl" w:hint="cs"/>
          <w:sz w:val="28"/>
          <w:szCs w:val="28"/>
          <w:rtl/>
        </w:rPr>
        <w:t xml:space="preserve">לנאשם </w:t>
      </w:r>
      <w:r w:rsidRPr="002B2DCC">
        <w:rPr>
          <w:rFonts w:ascii="Corbel" w:hAnsi="Corbel" w:cs="FrankRuehl"/>
          <w:sz w:val="28"/>
          <w:szCs w:val="28"/>
          <w:rtl/>
        </w:rPr>
        <w:t xml:space="preserve">הזדמנות להיטיב את דרכיו. במסגרת צו המבחן שיתף הנאשם פעולה עם הגורמים הטיפוליים ביחידת ההתמכרויות, </w:t>
      </w:r>
      <w:r w:rsidRPr="002B2DCC">
        <w:rPr>
          <w:rFonts w:ascii="FrankRuehl" w:hAnsi="FrankRuehl" w:cs="FrankRuehl"/>
          <w:sz w:val="28"/>
          <w:szCs w:val="28"/>
          <w:rtl/>
        </w:rPr>
        <w:t xml:space="preserve">שולב בשיחות פרטניות, הביא את עצמו בפתיחות ועסק בנושאים חשובים, וגם מסר בדיקות נקיות. עם זאת, ניכר כי הנאשם התקשה להעמיק ולהתמיד בטיפול, וברגע שנתקל בקושי ולנוכח חילוף הגורם הטיפולי, הוא נהג בחוסר בגרות, חסר מודעות לתוצאות החלטה זו, סירב להמשיך בשיחות ומשום שפעל ממחויבות חיצונית, הופסק המעקב אחר תוצאות בדיקת השתן. בד בבד, התקשה הנאשם לשתף פעולה עם שירות המבחן, התבטא באופן תוקפני ושאינו מתואם, לא התייצב לבדיקות שתן ולא הגיע באופן סדיר ואף הסתבך פעם נוספת בפלילים. ולנוכח כל אלו, עולה תמיהה מדוע לא הוגשה בקשה להפקעת צו המבחן. </w:t>
      </w:r>
    </w:p>
    <w:p w14:paraId="0292CB61" w14:textId="77777777" w:rsidR="00A47EF8" w:rsidRPr="002B2DCC" w:rsidRDefault="00A47EF8" w:rsidP="00A47EF8">
      <w:pPr>
        <w:pStyle w:val="aa"/>
        <w:spacing w:before="100" w:beforeAutospacing="1" w:after="120"/>
        <w:ind w:left="0"/>
        <w:jc w:val="both"/>
        <w:rPr>
          <w:rFonts w:ascii="FrankRuehl" w:hAnsi="FrankRuehl" w:cs="FrankRuehl"/>
          <w:sz w:val="28"/>
          <w:szCs w:val="28"/>
          <w:rtl/>
        </w:rPr>
      </w:pPr>
    </w:p>
    <w:p w14:paraId="5490E815" w14:textId="77777777" w:rsidR="00A47EF8" w:rsidRDefault="00A47EF8" w:rsidP="00A47EF8">
      <w:pPr>
        <w:pStyle w:val="aa"/>
        <w:numPr>
          <w:ilvl w:val="0"/>
          <w:numId w:val="1"/>
        </w:numPr>
        <w:spacing w:before="100" w:beforeAutospacing="1" w:after="120" w:line="360" w:lineRule="auto"/>
        <w:ind w:left="0" w:firstLine="0"/>
        <w:jc w:val="both"/>
        <w:rPr>
          <w:rFonts w:ascii="Corbel" w:hAnsi="Corbel" w:cs="FrankRuehl"/>
          <w:sz w:val="28"/>
          <w:szCs w:val="28"/>
        </w:rPr>
      </w:pPr>
      <w:r>
        <w:rPr>
          <w:rFonts w:ascii="FrankRuehl" w:hAnsi="FrankRuehl" w:cs="FrankRuehl"/>
          <w:sz w:val="28"/>
          <w:szCs w:val="28"/>
          <w:rtl/>
        </w:rPr>
        <w:t xml:space="preserve">לא </w:t>
      </w:r>
      <w:r>
        <w:rPr>
          <w:rFonts w:ascii="Calibri" w:hAnsi="Calibri" w:cs="FrankRuehl"/>
          <w:szCs w:val="28"/>
          <w:rtl/>
        </w:rPr>
        <w:t xml:space="preserve">רק שעונשים קודמים והליכים טיפוליים, לא השיגו את אפקט ההרתעה כמצופה והם לא הובילו את הנאשם לשנות את דרכיו, אלא </w:t>
      </w:r>
      <w:r>
        <w:rPr>
          <w:rFonts w:ascii="Calibri" w:hAnsi="Calibri" w:cs="FrankRuehl" w:hint="cs"/>
          <w:szCs w:val="28"/>
          <w:rtl/>
        </w:rPr>
        <w:t>שהנאשם פירש זאת כהיתר להמשיך ולבצע עבירות בתחום הסמים ו</w:t>
      </w:r>
      <w:r>
        <w:rPr>
          <w:rFonts w:ascii="Calibri" w:hAnsi="Calibri" w:cs="FrankRuehl"/>
          <w:szCs w:val="28"/>
          <w:rtl/>
        </w:rPr>
        <w:t xml:space="preserve">ניכרת הסלמה במעשיו. </w:t>
      </w:r>
      <w:r>
        <w:rPr>
          <w:rFonts w:ascii="Calibri" w:hAnsi="Calibri" w:cs="FrankRuehl"/>
          <w:sz w:val="28"/>
          <w:szCs w:val="28"/>
          <w:rtl/>
        </w:rPr>
        <w:t xml:space="preserve">ומכיוון שלא היה בעונשים קודמים להשיג את אפקט ההרתעה, מתחייב לטעמי שינוי גישה והטלת עונש הולם שיהיה בו לשקף לנאשם את חומרת מעשיו. </w:t>
      </w:r>
      <w:r>
        <w:rPr>
          <w:rFonts w:ascii="Arial TUR" w:hAnsi="Arial TUR" w:cs="FrankRuehl"/>
          <w:spacing w:val="10"/>
          <w:szCs w:val="28"/>
          <w:rtl/>
        </w:rPr>
        <w:t>רא</w:t>
      </w:r>
      <w:r>
        <w:rPr>
          <w:rFonts w:ascii="Garamond" w:hAnsi="Garamond" w:cs="FrankRuehl"/>
          <w:spacing w:val="10"/>
          <w:szCs w:val="28"/>
          <w:rtl/>
        </w:rPr>
        <w:t xml:space="preserve">ו </w:t>
      </w:r>
      <w:hyperlink r:id="rId49" w:history="1">
        <w:r w:rsidR="00547358" w:rsidRPr="00547358">
          <w:rPr>
            <w:rFonts w:ascii="Garamond" w:hAnsi="Garamond" w:cs="FrankRuehl" w:hint="cs"/>
            <w:color w:val="0000FF"/>
            <w:spacing w:val="10"/>
            <w:szCs w:val="28"/>
            <w:u w:val="single"/>
            <w:rtl/>
          </w:rPr>
          <w:t>ע</w:t>
        </w:r>
        <w:r w:rsidR="00547358" w:rsidRPr="00547358">
          <w:rPr>
            <w:rFonts w:ascii="Garamond" w:hAnsi="Garamond" w:cs="FrankRuehl"/>
            <w:color w:val="0000FF"/>
            <w:spacing w:val="10"/>
            <w:szCs w:val="28"/>
            <w:u w:val="single"/>
            <w:rtl/>
          </w:rPr>
          <w:t>"</w:t>
        </w:r>
        <w:r w:rsidR="00547358" w:rsidRPr="00547358">
          <w:rPr>
            <w:rFonts w:ascii="Garamond" w:hAnsi="Garamond" w:cs="FrankRuehl" w:hint="cs"/>
            <w:color w:val="0000FF"/>
            <w:spacing w:val="10"/>
            <w:szCs w:val="28"/>
            <w:u w:val="single"/>
            <w:rtl/>
          </w:rPr>
          <w:t>פ</w:t>
        </w:r>
        <w:r w:rsidR="00547358" w:rsidRPr="00547358">
          <w:rPr>
            <w:rFonts w:ascii="Garamond" w:hAnsi="Garamond" w:cs="FrankRuehl"/>
            <w:color w:val="0000FF"/>
            <w:spacing w:val="10"/>
            <w:szCs w:val="28"/>
            <w:u w:val="single"/>
            <w:rtl/>
          </w:rPr>
          <w:t xml:space="preserve"> 328/20</w:t>
        </w:r>
      </w:hyperlink>
      <w:r>
        <w:rPr>
          <w:rFonts w:ascii="Garamond" w:hAnsi="Garamond" w:cs="FrankRuehl"/>
          <w:spacing w:val="10"/>
          <w:szCs w:val="28"/>
          <w:rtl/>
        </w:rPr>
        <w:t xml:space="preserve"> </w:t>
      </w:r>
      <w:r>
        <w:rPr>
          <w:rFonts w:ascii="Miriam" w:hAnsi="Miriam" w:cs="Miriam"/>
          <w:spacing w:val="10"/>
          <w:rtl/>
        </w:rPr>
        <w:t>פלוני נ' מדינת ישראל</w:t>
      </w:r>
      <w:r>
        <w:rPr>
          <w:rFonts w:ascii="Garamond" w:hAnsi="Garamond" w:cs="FrankRuehl"/>
          <w:spacing w:val="10"/>
          <w:szCs w:val="28"/>
          <w:rtl/>
        </w:rPr>
        <w:t xml:space="preserve"> (8.6.2020). </w:t>
      </w:r>
    </w:p>
    <w:p w14:paraId="56244F09" w14:textId="77777777" w:rsidR="00A47EF8" w:rsidRPr="002B2DCC" w:rsidRDefault="00A47EF8" w:rsidP="00A47EF8">
      <w:pPr>
        <w:pStyle w:val="aa"/>
        <w:rPr>
          <w:rFonts w:ascii="FrankRuehl" w:hAnsi="FrankRuehl" w:cs="FrankRuehl"/>
          <w:sz w:val="28"/>
          <w:szCs w:val="28"/>
          <w:rtl/>
        </w:rPr>
      </w:pPr>
    </w:p>
    <w:p w14:paraId="49F90235"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hint="cs"/>
          <w:sz w:val="28"/>
          <w:szCs w:val="28"/>
          <w:rtl/>
        </w:rPr>
        <w:t xml:space="preserve">לזאת אוסיף את התרשמות </w:t>
      </w:r>
      <w:r>
        <w:rPr>
          <w:rFonts w:ascii="FrankRuehl" w:hAnsi="FrankRuehl" w:cs="FrankRuehl"/>
          <w:sz w:val="28"/>
          <w:szCs w:val="28"/>
          <w:rtl/>
        </w:rPr>
        <w:t xml:space="preserve">שירות המבחן מהנאשם כבחור צעיר בעל קווים שוליים אשר גילה בעיות התנהגות, קשיי הסתגלות בתחומים שונים בחייו, לימודים צבא תעסוקה, הוריו לא היוו גורם תמיכה מכוון ולכן כאשר חש תלוש ובודד מצא תחושות שייכות בחברה שולית ועבריינית. כן התרשם שירות המבחן כי כאשר מרגיש הנאשם קושי ונעדר כלים להתמודדות אדפטיבית הוא רואה בשימוש בסמים כמקור לבריחה מהתמודדות, דפוס אשר עלול להוביל לחזרה לשימוש ולהתנהלות שולית. לכן סבר שירות המבחן כי הנאשם פיתח תלות בסמים וזקוק לסיוע בגיבוש זהותו האישית ובקבלת כלים להתמודדות אדפטיבית בחייו. ואולם, הנאשם שלל נזקקות טיפולית בתחום ההתמכרויות, וכזכור, מסר כי טרם הספיק להשתמש בסמים שנתפסו בזכות מעצרו, וגם מסר בדיקות שתן המעידות על ניקיון מסמים. אגב, לממונה על עבודות השירות מסר דיווחים סותרים באשר למשך תקופת הניקיון מסמים, פעם מסר כי התקופה היא שנתיים ופעם מסר שלוש שנים. </w:t>
      </w:r>
    </w:p>
    <w:p w14:paraId="70D68158" w14:textId="77777777" w:rsidR="00A47EF8" w:rsidRPr="00CA30A7" w:rsidRDefault="00A47EF8" w:rsidP="00A47EF8">
      <w:pPr>
        <w:pStyle w:val="aa"/>
        <w:rPr>
          <w:rFonts w:ascii="FrankRuehl" w:hAnsi="FrankRuehl" w:cs="FrankRuehl"/>
          <w:sz w:val="28"/>
          <w:szCs w:val="28"/>
          <w:rtl/>
        </w:rPr>
      </w:pPr>
    </w:p>
    <w:p w14:paraId="702D01DB"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אינני מתעלמת כהוא זה מה</w:t>
      </w:r>
      <w:r>
        <w:rPr>
          <w:rFonts w:ascii="FrankRuehl" w:hAnsi="FrankRuehl" w:cs="FrankRuehl" w:hint="cs"/>
          <w:sz w:val="28"/>
          <w:szCs w:val="28"/>
          <w:rtl/>
        </w:rPr>
        <w:t>סימנים החיוביים המאפיינים את חייו של הנאשם, השינוי האישי והמשפחתי, הנישואים והוטלת הבת לצד עבודה כעצמאי בתחום המשלוחים. מדובר במגמה חיובית וראויה להערכה. וגם אם ניכר כי הפעם בשונה מן העבר הנאשם מונע ממוטיבציה פנימית, וחל ש</w:t>
      </w:r>
      <w:r>
        <w:rPr>
          <w:rFonts w:ascii="FrankRuehl" w:hAnsi="FrankRuehl" w:cs="FrankRuehl"/>
          <w:sz w:val="28"/>
          <w:szCs w:val="28"/>
          <w:rtl/>
        </w:rPr>
        <w:t>ינוי בשיתוף הפעולה של הנאשם עם גורמי הטיפול</w:t>
      </w:r>
      <w:r>
        <w:rPr>
          <w:rFonts w:ascii="FrankRuehl" w:hAnsi="FrankRuehl" w:cs="FrankRuehl" w:hint="cs"/>
          <w:sz w:val="28"/>
          <w:szCs w:val="28"/>
          <w:rtl/>
        </w:rPr>
        <w:t>, והוא שולב בטיפול רגשי העוסק בוויסות רגשי וזוגיות, וגם על כ</w:t>
      </w:r>
      <w:r>
        <w:rPr>
          <w:rFonts w:ascii="FrankRuehl" w:hAnsi="FrankRuehl" w:cs="FrankRuehl"/>
          <w:sz w:val="28"/>
          <w:szCs w:val="28"/>
          <w:rtl/>
        </w:rPr>
        <w:t>ך יש לברך</w:t>
      </w:r>
      <w:r>
        <w:rPr>
          <w:rFonts w:ascii="FrankRuehl" w:hAnsi="FrankRuehl" w:cs="FrankRuehl" w:hint="cs"/>
          <w:sz w:val="28"/>
          <w:szCs w:val="28"/>
          <w:rtl/>
        </w:rPr>
        <w:t xml:space="preserve"> אך אין המדובר בשינוי יסודי ויציב המצדיק סטייה מהעונש ההולם</w:t>
      </w:r>
      <w:r>
        <w:rPr>
          <w:rFonts w:ascii="FrankRuehl" w:hAnsi="FrankRuehl" w:cs="FrankRuehl"/>
          <w:sz w:val="28"/>
          <w:szCs w:val="28"/>
          <w:rtl/>
        </w:rPr>
        <w:t xml:space="preserve">. </w:t>
      </w:r>
      <w:r>
        <w:rPr>
          <w:rFonts w:ascii="FrankRuehl" w:hAnsi="FrankRuehl" w:cs="FrankRuehl" w:hint="cs"/>
          <w:sz w:val="28"/>
          <w:szCs w:val="28"/>
          <w:rtl/>
        </w:rPr>
        <w:t xml:space="preserve">מכל מקום, </w:t>
      </w:r>
      <w:r>
        <w:rPr>
          <w:rFonts w:ascii="FrankRuehl" w:hAnsi="FrankRuehl" w:cs="FrankRuehl"/>
          <w:sz w:val="28"/>
          <w:szCs w:val="28"/>
          <w:rtl/>
        </w:rPr>
        <w:t xml:space="preserve">גם אליבא הנאשם הוא אינו מכור לסמים וממילא לא עבר הליך גמילה, והוא שלל נזקקות טיפולית בתחום. לפיכך, לא ברור כיצד מבקש הנאשם להיבנות מהטענה לפיה "גמול נגמלתי". ולמען הסר ספק, בין הליך גמילה ובין הימנעות מסמים הבדל תהומי לא סמנטי. </w:t>
      </w:r>
      <w:r>
        <w:rPr>
          <w:rFonts w:ascii="FrankRuehl" w:hAnsi="FrankRuehl" w:cs="FrankRuehl" w:hint="cs"/>
          <w:sz w:val="28"/>
          <w:szCs w:val="28"/>
          <w:rtl/>
        </w:rPr>
        <w:t xml:space="preserve">כך או כך, התסקיר אינו מלמד על שיקום מרשים או יוצא דופן והוא גם אינו מלמד על פוטנציאל שיקומי מבטיח. </w:t>
      </w:r>
    </w:p>
    <w:p w14:paraId="09AD1630" w14:textId="77777777" w:rsidR="00A47EF8" w:rsidRDefault="00A47EF8" w:rsidP="00A47EF8">
      <w:pPr>
        <w:pStyle w:val="aa"/>
        <w:spacing w:before="100" w:beforeAutospacing="1" w:after="120"/>
        <w:ind w:left="0"/>
        <w:jc w:val="both"/>
        <w:rPr>
          <w:rFonts w:ascii="FrankRuehl" w:hAnsi="FrankRuehl" w:cs="FrankRuehl"/>
          <w:sz w:val="28"/>
          <w:szCs w:val="28"/>
        </w:rPr>
      </w:pPr>
    </w:p>
    <w:p w14:paraId="5038EB01" w14:textId="77777777" w:rsidR="00A47EF8" w:rsidRPr="002B2DCC"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Corbel" w:hAnsi="Corbel" w:cs="FrankRuehl"/>
          <w:sz w:val="28"/>
          <w:szCs w:val="28"/>
          <w:rtl/>
        </w:rPr>
        <w:t xml:space="preserve">לזאת אוסיף </w:t>
      </w:r>
      <w:r>
        <w:rPr>
          <w:rFonts w:ascii="Corbel" w:hAnsi="Corbel" w:cs="FrankRuehl" w:hint="cs"/>
          <w:sz w:val="28"/>
          <w:szCs w:val="28"/>
          <w:rtl/>
        </w:rPr>
        <w:t xml:space="preserve">כי </w:t>
      </w:r>
      <w:r>
        <w:rPr>
          <w:rFonts w:ascii="Corbel" w:hAnsi="Corbel" w:cs="FrankRuehl"/>
          <w:sz w:val="28"/>
          <w:szCs w:val="28"/>
          <w:rtl/>
        </w:rPr>
        <w:t xml:space="preserve">הנאשם הודה בעבירה של החזקת סם שלא לצריכה עצמית, ובכך חסך זמן שיפוטי יקר, אך בפני שירות המבחן צמצם מחומרת מעשיו וזאת בלשון עדינה. כך מסר הנאשם כי על רקע משבר רפואי של סבתו שב והתגורר בבית אמו, התקשה להתמודד עם השלכות המצב הרפואי ולכן הרגיש צורך בשימוש בסמים. עוד לדבריו, החזיק בסמים לשימוש עצמי ולא הספיק לעשות בהם שימוש בזכות מעצרו וגם הכסף שנתפס ברכב בכלל שייך לחבר. ומכיוון שישנו הבדל בין הודאה לבין לקיחת אחריות, ומשום שנטילת האחריות אינה מלאה, לא אוכל להעניק לה מלוא המשקל בעת קביעת העונש בגדרי המתחם.   </w:t>
      </w:r>
    </w:p>
    <w:p w14:paraId="329C6EB7" w14:textId="77777777" w:rsidR="00A47EF8" w:rsidRPr="004968E8" w:rsidRDefault="00A47EF8" w:rsidP="00A47EF8">
      <w:pPr>
        <w:pStyle w:val="aa"/>
        <w:spacing w:before="100" w:beforeAutospacing="1" w:after="120"/>
        <w:ind w:left="0"/>
        <w:jc w:val="both"/>
        <w:rPr>
          <w:rFonts w:ascii="FrankRuehl" w:hAnsi="FrankRuehl" w:cs="FrankRuehl"/>
          <w:sz w:val="28"/>
          <w:szCs w:val="28"/>
        </w:rPr>
      </w:pPr>
    </w:p>
    <w:p w14:paraId="365024CB"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Corbel" w:hAnsi="Corbel" w:cs="FrankRuehl"/>
          <w:sz w:val="28"/>
          <w:szCs w:val="28"/>
          <w:rtl/>
        </w:rPr>
        <w:t>מהתסקירים ניכר כי השיקול המרכזי, אם לא לומר הבלעדי, שעמד לנגד עיני שירות המבחן הוא הפגיעה הצפויה בתא המשפחתי ובמקור התעסוקה בעוד שחומרת העבירות  ותוצאותיהן נדחקו לקרן פינה. נכון הדבר כי מדובר בשיקולים חשוב</w:t>
      </w:r>
      <w:r>
        <w:rPr>
          <w:rFonts w:ascii="Corbel" w:hAnsi="Corbel" w:cs="FrankRuehl" w:hint="cs"/>
          <w:sz w:val="28"/>
          <w:szCs w:val="28"/>
          <w:rtl/>
        </w:rPr>
        <w:t>ים</w:t>
      </w:r>
      <w:r>
        <w:rPr>
          <w:rFonts w:ascii="Corbel" w:hAnsi="Corbel" w:cs="FrankRuehl"/>
          <w:sz w:val="28"/>
          <w:szCs w:val="28"/>
          <w:rtl/>
        </w:rPr>
        <w:t xml:space="preserve">, אך אין הם בלעדיים או מכריעים ולבטח אין יתר שיקולי הענישה ובהם גמול והרתעה נסוגים מפניהם. וכידוע, השיקולים לאורם פועל שירות המבחן אינם בהכרח חופפים באופן מלא למגוון השיקולים שבית המשפט נדרש לאזן ביניהם בגזירת העונש. </w:t>
      </w:r>
      <w:r>
        <w:rPr>
          <w:rFonts w:cs="FrankRuehl"/>
          <w:sz w:val="28"/>
          <w:szCs w:val="28"/>
          <w:rtl/>
        </w:rPr>
        <w:t xml:space="preserve">המלצת שירות המבחן כשמה כן היא – המלצה – ואין באמור בה כדי לכבול את ידי בית המשפט (ראו: </w:t>
      </w:r>
      <w:hyperlink r:id="rId50" w:history="1">
        <w:r w:rsidR="00547358" w:rsidRPr="00547358">
          <w:rPr>
            <w:rFonts w:cs="FrankRuehl"/>
            <w:color w:val="0000FF"/>
            <w:sz w:val="28"/>
            <w:szCs w:val="28"/>
            <w:u w:val="single"/>
            <w:rtl/>
          </w:rPr>
          <w:t>רע"פ 1756/16</w:t>
        </w:r>
      </w:hyperlink>
      <w:r>
        <w:rPr>
          <w:rFonts w:cs="FrankRuehl"/>
          <w:sz w:val="28"/>
          <w:szCs w:val="28"/>
          <w:rtl/>
        </w:rPr>
        <w:t xml:space="preserve"> </w:t>
      </w:r>
      <w:r>
        <w:rPr>
          <w:rFonts w:cs="Miriam"/>
          <w:rtl/>
        </w:rPr>
        <w:t>ימיני נ' מדינת ישראל</w:t>
      </w:r>
      <w:r>
        <w:rPr>
          <w:rFonts w:cs="FrankRuehl"/>
          <w:sz w:val="28"/>
          <w:szCs w:val="28"/>
          <w:rtl/>
        </w:rPr>
        <w:t xml:space="preserve">, פסקה 11 (16.3.2016); </w:t>
      </w:r>
      <w:hyperlink r:id="rId51" w:history="1">
        <w:r w:rsidR="00547358" w:rsidRPr="00547358">
          <w:rPr>
            <w:rFonts w:cs="FrankRuehl"/>
            <w:color w:val="0000FF"/>
            <w:sz w:val="28"/>
            <w:szCs w:val="28"/>
            <w:u w:val="single"/>
            <w:rtl/>
          </w:rPr>
          <w:t>רע"פ 10904/04</w:t>
        </w:r>
      </w:hyperlink>
      <w:r>
        <w:rPr>
          <w:rFonts w:cs="FrankRuehl"/>
          <w:sz w:val="28"/>
          <w:szCs w:val="28"/>
          <w:rtl/>
        </w:rPr>
        <w:t xml:space="preserve"> </w:t>
      </w:r>
      <w:r>
        <w:rPr>
          <w:rFonts w:cs="Miriam"/>
          <w:rtl/>
        </w:rPr>
        <w:t>מיארה נ' מדינת ישראל,</w:t>
      </w:r>
      <w:r>
        <w:rPr>
          <w:rFonts w:cs="FrankRuehl"/>
          <w:sz w:val="28"/>
          <w:szCs w:val="28"/>
          <w:rtl/>
        </w:rPr>
        <w:t xml:space="preserve"> פסקה 6 (9.12.2004); </w:t>
      </w:r>
      <w:hyperlink r:id="rId52" w:history="1">
        <w:r w:rsidR="00547358" w:rsidRPr="00547358">
          <w:rPr>
            <w:rFonts w:cs="FrankRuehl"/>
            <w:color w:val="0000FF"/>
            <w:sz w:val="28"/>
            <w:szCs w:val="28"/>
            <w:u w:val="single"/>
            <w:rtl/>
          </w:rPr>
          <w:t>רע"פ 6908/04</w:t>
        </w:r>
      </w:hyperlink>
      <w:r>
        <w:rPr>
          <w:rFonts w:cs="FrankRuehl"/>
          <w:sz w:val="28"/>
          <w:szCs w:val="28"/>
          <w:rtl/>
        </w:rPr>
        <w:t xml:space="preserve"> </w:t>
      </w:r>
      <w:r>
        <w:rPr>
          <w:rFonts w:cs="Miriam"/>
          <w:rtl/>
        </w:rPr>
        <w:t>איבגי נ' מדינת ישראל</w:t>
      </w:r>
      <w:r>
        <w:rPr>
          <w:rFonts w:cs="FrankRuehl"/>
          <w:sz w:val="28"/>
          <w:szCs w:val="28"/>
          <w:rtl/>
        </w:rPr>
        <w:t xml:space="preserve"> (27.7.2004); </w:t>
      </w:r>
      <w:hyperlink r:id="rId53" w:history="1">
        <w:r w:rsidR="00547358" w:rsidRPr="00547358">
          <w:rPr>
            <w:rFonts w:cs="FrankRuehl"/>
            <w:color w:val="0000FF"/>
            <w:sz w:val="28"/>
            <w:szCs w:val="28"/>
            <w:u w:val="single"/>
            <w:rtl/>
          </w:rPr>
          <w:t>ע"פ 2048/18</w:t>
        </w:r>
      </w:hyperlink>
      <w:r>
        <w:rPr>
          <w:rFonts w:cs="FrankRuehl"/>
          <w:sz w:val="28"/>
          <w:szCs w:val="28"/>
          <w:rtl/>
        </w:rPr>
        <w:t xml:space="preserve"> </w:t>
      </w:r>
      <w:r>
        <w:rPr>
          <w:rFonts w:cs="Miriam"/>
          <w:rtl/>
        </w:rPr>
        <w:t>פלוני נ' מדינת ישראל</w:t>
      </w:r>
      <w:r>
        <w:rPr>
          <w:rFonts w:cs="FrankRuehl"/>
          <w:sz w:val="28"/>
          <w:szCs w:val="28"/>
          <w:rtl/>
        </w:rPr>
        <w:t xml:space="preserve">, פסקה 13 (14.11.2018); </w:t>
      </w:r>
      <w:hyperlink r:id="rId54" w:history="1">
        <w:r w:rsidR="00547358" w:rsidRPr="00547358">
          <w:rPr>
            <w:rFonts w:cs="FrankRuehl"/>
            <w:color w:val="0000FF"/>
            <w:sz w:val="28"/>
            <w:szCs w:val="28"/>
            <w:u w:val="single"/>
            <w:rtl/>
          </w:rPr>
          <w:t>ע"פ 4472/16</w:t>
        </w:r>
      </w:hyperlink>
      <w:r>
        <w:rPr>
          <w:rFonts w:cs="FrankRuehl"/>
          <w:sz w:val="28"/>
          <w:szCs w:val="28"/>
          <w:rtl/>
        </w:rPr>
        <w:t xml:space="preserve"> </w:t>
      </w:r>
      <w:r>
        <w:rPr>
          <w:rFonts w:cs="Miriam"/>
          <w:rtl/>
        </w:rPr>
        <w:t>עווד נ' מדינת ישראל</w:t>
      </w:r>
      <w:r>
        <w:rPr>
          <w:rFonts w:cs="FrankRuehl"/>
          <w:sz w:val="28"/>
          <w:szCs w:val="28"/>
          <w:rtl/>
        </w:rPr>
        <w:t xml:space="preserve">, פסקה 7 (15.06.2016); </w:t>
      </w:r>
      <w:hyperlink r:id="rId55" w:history="1">
        <w:r w:rsidR="00547358" w:rsidRPr="00547358">
          <w:rPr>
            <w:rFonts w:cs="FrankRuehl"/>
            <w:color w:val="0000FF"/>
            <w:sz w:val="28"/>
            <w:szCs w:val="28"/>
            <w:u w:val="single"/>
            <w:rtl/>
          </w:rPr>
          <w:t>ע"פ 2015/13</w:t>
        </w:r>
      </w:hyperlink>
      <w:r>
        <w:rPr>
          <w:rFonts w:cs="FrankRuehl"/>
          <w:sz w:val="28"/>
          <w:szCs w:val="28"/>
          <w:rtl/>
        </w:rPr>
        <w:t xml:space="preserve"> </w:t>
      </w:r>
      <w:r>
        <w:rPr>
          <w:rFonts w:cs="Miriam"/>
          <w:rtl/>
        </w:rPr>
        <w:t>פלוני נ' מדינת ישראל</w:t>
      </w:r>
      <w:r>
        <w:rPr>
          <w:rFonts w:cs="FrankRuehl"/>
          <w:sz w:val="28"/>
          <w:szCs w:val="28"/>
          <w:rtl/>
        </w:rPr>
        <w:t xml:space="preserve">, פסקה 10 (5.8.2013)). </w:t>
      </w:r>
    </w:p>
    <w:p w14:paraId="3BA05012" w14:textId="77777777" w:rsidR="00A47EF8" w:rsidRDefault="00A47EF8" w:rsidP="00A47EF8">
      <w:pPr>
        <w:pStyle w:val="aa"/>
        <w:spacing w:before="100" w:beforeAutospacing="1" w:after="120"/>
        <w:ind w:left="0"/>
        <w:jc w:val="both"/>
        <w:rPr>
          <w:rFonts w:ascii="FrankRuehl" w:hAnsi="FrankRuehl" w:cs="FrankRuehl"/>
          <w:sz w:val="28"/>
          <w:szCs w:val="28"/>
        </w:rPr>
      </w:pPr>
    </w:p>
    <w:p w14:paraId="102C9197"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 xml:space="preserve">בסיכומו של דבר, </w:t>
      </w:r>
      <w:r>
        <w:rPr>
          <w:rFonts w:ascii="FrankRuehl" w:hAnsi="FrankRuehl" w:cs="FrankRuehl" w:hint="cs"/>
          <w:sz w:val="28"/>
          <w:szCs w:val="28"/>
          <w:rtl/>
        </w:rPr>
        <w:t xml:space="preserve">בהינתן עקרון ההלימה, רמת הענישה הנהוגה וייתר הנסיבות שפורטו לעיל, המלצתו הסופית של שירות המבחן לא תוכל לעמוד. </w:t>
      </w:r>
      <w:r>
        <w:rPr>
          <w:rFonts w:ascii="Corbel" w:hAnsi="Corbel" w:cs="FrankRuehl" w:hint="cs"/>
          <w:sz w:val="28"/>
          <w:szCs w:val="28"/>
          <w:rtl/>
        </w:rPr>
        <w:t xml:space="preserve">חרף הסימנים החיוביים בתהליך האישי והמשפחתי כמו גם בתהליך הטיפול והשיקום, שאינם בתחום הסמים, ולנוכח ניסיון העבר קשה לומר כי מדובר בשינוי יסודי ויציב. ואין בשיקולי השיקום כדי לאיין את עיקרון ההלימה במקרה דנן ולא באופן המצדיק הארכת המאסר המותנה שהוא חב הפעלה. </w:t>
      </w:r>
    </w:p>
    <w:p w14:paraId="18DA1989" w14:textId="77777777" w:rsidR="00A47EF8" w:rsidRPr="00C10BA9" w:rsidRDefault="00A47EF8" w:rsidP="00A47EF8">
      <w:pPr>
        <w:pStyle w:val="aa"/>
        <w:spacing w:before="100" w:beforeAutospacing="1" w:after="120"/>
        <w:ind w:left="0"/>
        <w:jc w:val="both"/>
        <w:rPr>
          <w:rFonts w:ascii="FrankRuehl" w:hAnsi="FrankRuehl" w:cs="FrankRuehl"/>
          <w:sz w:val="28"/>
          <w:szCs w:val="28"/>
        </w:rPr>
      </w:pPr>
    </w:p>
    <w:p w14:paraId="021261C8" w14:textId="77777777" w:rsidR="00A47EF8" w:rsidRPr="00DD0772"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Corbel" w:hAnsi="Corbel" w:cs="FrankRuehl"/>
          <w:sz w:val="28"/>
          <w:szCs w:val="28"/>
          <w:rtl/>
        </w:rPr>
        <w:t>משאמרתי את שאמרתי</w:t>
      </w:r>
      <w:r>
        <w:rPr>
          <w:rFonts w:ascii="Corbel" w:hAnsi="Corbel" w:cs="FrankRuehl" w:hint="cs"/>
          <w:sz w:val="28"/>
          <w:szCs w:val="28"/>
          <w:rtl/>
        </w:rPr>
        <w:t xml:space="preserve">, מצאתי ליתן משקל לשינוי החיובי שהפגין הנאשם, ומאמציו להמשיך בטיפול בו החל, רצונו ושאיפותיו לעתיד, ואלמלא היה עושה כן העונש שהיה נגזר היה חמור ובהרבה. לפיכך, ראיתי לחרוג מהכלל ולהורות על הפעלת המאסר המותנה, חלקו במצטבר וחלקו בחופף ובאופן שיאפשר ריצוי עונש המאסר שיוטל על הנאשם, בדרך של עבודות שירות. </w:t>
      </w:r>
      <w:r>
        <w:rPr>
          <w:rFonts w:ascii="Corbel" w:hAnsi="Corbel" w:cs="FrankRuehl"/>
          <w:sz w:val="28"/>
          <w:szCs w:val="28"/>
          <w:rtl/>
        </w:rPr>
        <w:t>ואזכיר כי גם ריצוי מאסר בדרך של עבודות שירות הוא פריווילגיה, אשר בבסיסה עומדת תכלית שיקומית (</w:t>
      </w:r>
      <w:hyperlink r:id="rId56" w:history="1">
        <w:r w:rsidR="00547358" w:rsidRPr="00547358">
          <w:rPr>
            <w:rFonts w:ascii="Corbel" w:hAnsi="Corbel" w:cs="FrankRuehl" w:hint="cs"/>
            <w:color w:val="0000FF"/>
            <w:sz w:val="28"/>
            <w:szCs w:val="28"/>
            <w:u w:val="single"/>
            <w:rtl/>
          </w:rPr>
          <w:t>רע</w:t>
        </w:r>
        <w:r w:rsidR="00547358" w:rsidRPr="00547358">
          <w:rPr>
            <w:rFonts w:ascii="Corbel" w:hAnsi="Corbel" w:cs="FrankRuehl"/>
            <w:color w:val="0000FF"/>
            <w:sz w:val="28"/>
            <w:szCs w:val="28"/>
            <w:u w:val="single"/>
            <w:rtl/>
          </w:rPr>
          <w:t>"</w:t>
        </w:r>
        <w:r w:rsidR="00547358" w:rsidRPr="00547358">
          <w:rPr>
            <w:rFonts w:ascii="Corbel" w:hAnsi="Corbel" w:cs="FrankRuehl" w:hint="cs"/>
            <w:color w:val="0000FF"/>
            <w:sz w:val="28"/>
            <w:szCs w:val="28"/>
            <w:u w:val="single"/>
            <w:rtl/>
          </w:rPr>
          <w:t>פ</w:t>
        </w:r>
        <w:r w:rsidR="00547358" w:rsidRPr="00547358">
          <w:rPr>
            <w:rFonts w:ascii="Corbel" w:hAnsi="Corbel" w:cs="FrankRuehl"/>
            <w:color w:val="0000FF"/>
            <w:sz w:val="28"/>
            <w:szCs w:val="28"/>
            <w:u w:val="single"/>
            <w:rtl/>
          </w:rPr>
          <w:t xml:space="preserve"> 5512/20</w:t>
        </w:r>
      </w:hyperlink>
      <w:r>
        <w:rPr>
          <w:rFonts w:ascii="Corbel" w:hAnsi="Corbel" w:cs="FrankRuehl"/>
          <w:sz w:val="28"/>
          <w:szCs w:val="28"/>
          <w:rtl/>
        </w:rPr>
        <w:t xml:space="preserve"> </w:t>
      </w:r>
      <w:r>
        <w:rPr>
          <w:rFonts w:ascii="Miriam" w:hAnsi="Miriam" w:cs="Miriam"/>
          <w:rtl/>
        </w:rPr>
        <w:t>לוי נ' מדינת ישראל</w:t>
      </w:r>
      <w:r>
        <w:rPr>
          <w:rFonts w:ascii="Corbel" w:hAnsi="Corbel" w:cs="FrankRuehl"/>
          <w:rtl/>
        </w:rPr>
        <w:t xml:space="preserve"> </w:t>
      </w:r>
      <w:r>
        <w:rPr>
          <w:rFonts w:ascii="Corbel" w:hAnsi="Corbel" w:cs="FrankRuehl"/>
          <w:sz w:val="28"/>
          <w:szCs w:val="28"/>
          <w:rtl/>
        </w:rPr>
        <w:t xml:space="preserve">(16.8.2020); </w:t>
      </w:r>
      <w:hyperlink r:id="rId57" w:history="1">
        <w:r w:rsidR="00547358" w:rsidRPr="00547358">
          <w:rPr>
            <w:rFonts w:ascii="Corbel" w:hAnsi="Corbel" w:cs="FrankRuehl" w:hint="cs"/>
            <w:color w:val="0000FF"/>
            <w:sz w:val="28"/>
            <w:szCs w:val="28"/>
            <w:u w:val="single"/>
            <w:rtl/>
          </w:rPr>
          <w:t>רע</w:t>
        </w:r>
        <w:r w:rsidR="00547358" w:rsidRPr="00547358">
          <w:rPr>
            <w:rFonts w:ascii="Corbel" w:hAnsi="Corbel" w:cs="FrankRuehl"/>
            <w:color w:val="0000FF"/>
            <w:sz w:val="28"/>
            <w:szCs w:val="28"/>
            <w:u w:val="single"/>
            <w:rtl/>
          </w:rPr>
          <w:t>"</w:t>
        </w:r>
        <w:r w:rsidR="00547358" w:rsidRPr="00547358">
          <w:rPr>
            <w:rFonts w:ascii="Corbel" w:hAnsi="Corbel" w:cs="FrankRuehl" w:hint="cs"/>
            <w:color w:val="0000FF"/>
            <w:sz w:val="28"/>
            <w:szCs w:val="28"/>
            <w:u w:val="single"/>
            <w:rtl/>
          </w:rPr>
          <w:t>פ</w:t>
        </w:r>
        <w:r w:rsidR="00547358" w:rsidRPr="00547358">
          <w:rPr>
            <w:rFonts w:ascii="Corbel" w:hAnsi="Corbel" w:cs="FrankRuehl"/>
            <w:color w:val="0000FF"/>
            <w:sz w:val="28"/>
            <w:szCs w:val="28"/>
            <w:u w:val="single"/>
            <w:rtl/>
          </w:rPr>
          <w:t xml:space="preserve"> 4081/20</w:t>
        </w:r>
      </w:hyperlink>
      <w:r>
        <w:rPr>
          <w:rFonts w:ascii="Corbel" w:hAnsi="Corbel" w:cs="FrankRuehl"/>
          <w:sz w:val="28"/>
          <w:szCs w:val="28"/>
          <w:rtl/>
        </w:rPr>
        <w:t xml:space="preserve"> </w:t>
      </w:r>
      <w:r>
        <w:rPr>
          <w:rFonts w:ascii="Miriam" w:hAnsi="Miriam" w:cs="Miriam"/>
          <w:rtl/>
        </w:rPr>
        <w:t>טבדידישווילי נ' מדינת ישראל</w:t>
      </w:r>
      <w:r>
        <w:rPr>
          <w:rFonts w:ascii="Corbel" w:hAnsi="Corbel" w:cs="FrankRuehl"/>
          <w:sz w:val="28"/>
          <w:szCs w:val="28"/>
          <w:rtl/>
        </w:rPr>
        <w:t>, פסקה 4 (19.7.2020)‏‏).</w:t>
      </w:r>
    </w:p>
    <w:p w14:paraId="163DF44D" w14:textId="77777777" w:rsidR="00A47EF8" w:rsidRPr="00DD0772" w:rsidRDefault="00A47EF8" w:rsidP="00A47EF8">
      <w:pPr>
        <w:pStyle w:val="aa"/>
        <w:rPr>
          <w:rFonts w:ascii="Calibri" w:hAnsi="Calibri" w:cs="FrankRuehl"/>
          <w:szCs w:val="28"/>
          <w:rtl/>
        </w:rPr>
      </w:pPr>
    </w:p>
    <w:p w14:paraId="61D1DBC1" w14:textId="77777777" w:rsidR="00A47EF8" w:rsidRPr="00DD0772"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Calibri" w:hAnsi="Calibri" w:cs="FrankRuehl" w:hint="cs"/>
          <w:szCs w:val="28"/>
          <w:rtl/>
        </w:rPr>
        <w:t>ו</w:t>
      </w:r>
      <w:r w:rsidRPr="00DD0772">
        <w:rPr>
          <w:rFonts w:ascii="Calibri" w:hAnsi="Calibri" w:cs="FrankRuehl"/>
          <w:szCs w:val="28"/>
          <w:rtl/>
        </w:rPr>
        <w:t>לנוכח התוצאה אליה הגעתי לא מצאתי להעמיד הנאש</w:t>
      </w:r>
      <w:r>
        <w:rPr>
          <w:rFonts w:ascii="Calibri" w:hAnsi="Calibri" w:cs="FrankRuehl" w:hint="cs"/>
          <w:szCs w:val="28"/>
          <w:rtl/>
        </w:rPr>
        <w:t>ם</w:t>
      </w:r>
      <w:r w:rsidRPr="00DD0772">
        <w:rPr>
          <w:rFonts w:ascii="Calibri" w:hAnsi="Calibri" w:cs="FrankRuehl"/>
          <w:szCs w:val="28"/>
          <w:rtl/>
        </w:rPr>
        <w:t xml:space="preserve"> בצו מבחן, לו רצונ</w:t>
      </w:r>
      <w:r>
        <w:rPr>
          <w:rFonts w:ascii="Calibri" w:hAnsi="Calibri" w:cs="FrankRuehl" w:hint="cs"/>
          <w:szCs w:val="28"/>
          <w:rtl/>
        </w:rPr>
        <w:t>ו</w:t>
      </w:r>
      <w:r w:rsidRPr="00DD0772">
        <w:rPr>
          <w:rFonts w:ascii="Calibri" w:hAnsi="Calibri" w:cs="FrankRuehl"/>
          <w:szCs w:val="28"/>
          <w:rtl/>
        </w:rPr>
        <w:t xml:space="preserve"> בשינוי בטיפול </w:t>
      </w:r>
      <w:r>
        <w:rPr>
          <w:rFonts w:ascii="Calibri" w:hAnsi="Calibri" w:cs="FrankRuehl" w:hint="cs"/>
          <w:szCs w:val="28"/>
          <w:rtl/>
        </w:rPr>
        <w:t xml:space="preserve">ובשיקום </w:t>
      </w:r>
      <w:r w:rsidRPr="00DD0772">
        <w:rPr>
          <w:rFonts w:ascii="Calibri" w:hAnsi="Calibri" w:cs="FrankRuehl"/>
          <w:szCs w:val="28"/>
          <w:rtl/>
        </w:rPr>
        <w:t>כן ואמיתי שהרי ה</w:t>
      </w:r>
      <w:r>
        <w:rPr>
          <w:rFonts w:ascii="Calibri" w:hAnsi="Calibri" w:cs="FrankRuehl" w:hint="cs"/>
          <w:szCs w:val="28"/>
          <w:rtl/>
        </w:rPr>
        <w:t xml:space="preserve">וא יוכל </w:t>
      </w:r>
      <w:r w:rsidRPr="00DD0772">
        <w:rPr>
          <w:rFonts w:ascii="Calibri" w:hAnsi="Calibri" w:cs="FrankRuehl"/>
          <w:szCs w:val="28"/>
          <w:rtl/>
        </w:rPr>
        <w:t>להמשיך בהליך בו החל גם מבלי צו מבחן שירחף מעל ראש</w:t>
      </w:r>
      <w:r>
        <w:rPr>
          <w:rFonts w:ascii="Calibri" w:hAnsi="Calibri" w:cs="FrankRuehl" w:hint="cs"/>
          <w:szCs w:val="28"/>
          <w:rtl/>
        </w:rPr>
        <w:t>ו</w:t>
      </w:r>
      <w:r w:rsidRPr="00DD0772">
        <w:rPr>
          <w:rFonts w:ascii="Calibri" w:hAnsi="Calibri" w:cs="FrankRuehl"/>
          <w:szCs w:val="28"/>
          <w:rtl/>
        </w:rPr>
        <w:t xml:space="preserve">. </w:t>
      </w:r>
    </w:p>
    <w:p w14:paraId="4AE86B48" w14:textId="77777777" w:rsidR="00A47EF8" w:rsidRDefault="00A47EF8" w:rsidP="00A47EF8">
      <w:pPr>
        <w:pStyle w:val="aa"/>
        <w:spacing w:before="100" w:beforeAutospacing="1" w:after="120"/>
        <w:ind w:left="0"/>
        <w:jc w:val="both"/>
        <w:rPr>
          <w:rFonts w:ascii="Miriam" w:hAnsi="Miriam" w:cs="Miriam"/>
          <w:rtl/>
        </w:rPr>
      </w:pPr>
    </w:p>
    <w:p w14:paraId="51687FC6" w14:textId="77777777" w:rsidR="00A47EF8" w:rsidRPr="004968E8" w:rsidRDefault="00A47EF8" w:rsidP="00A47EF8">
      <w:pPr>
        <w:pStyle w:val="aa"/>
        <w:spacing w:before="100" w:beforeAutospacing="1" w:after="120" w:line="360" w:lineRule="auto"/>
        <w:ind w:left="0"/>
        <w:jc w:val="both"/>
        <w:rPr>
          <w:rFonts w:ascii="FrankRuehl" w:hAnsi="FrankRuehl" w:cs="FrankRuehl"/>
          <w:sz w:val="28"/>
          <w:szCs w:val="28"/>
          <w:rtl/>
        </w:rPr>
      </w:pPr>
      <w:r w:rsidRPr="004968E8">
        <w:rPr>
          <w:rFonts w:ascii="Miriam" w:hAnsi="Miriam" w:cs="Miriam" w:hint="cs"/>
          <w:rtl/>
        </w:rPr>
        <w:t xml:space="preserve">תוצאה  </w:t>
      </w:r>
    </w:p>
    <w:p w14:paraId="30FAA7DF" w14:textId="77777777" w:rsidR="00A47EF8" w:rsidRDefault="00A47EF8" w:rsidP="00A47EF8">
      <w:pPr>
        <w:pStyle w:val="aa"/>
        <w:spacing w:before="100" w:beforeAutospacing="1" w:after="120"/>
        <w:ind w:left="0"/>
        <w:jc w:val="both"/>
        <w:rPr>
          <w:rFonts w:ascii="FrankRuehl" w:hAnsi="FrankRuehl" w:cs="FrankRuehl"/>
          <w:sz w:val="28"/>
          <w:szCs w:val="28"/>
        </w:rPr>
      </w:pPr>
    </w:p>
    <w:p w14:paraId="1B06E0CB" w14:textId="77777777" w:rsidR="00A47EF8" w:rsidRDefault="00A47EF8" w:rsidP="00A47EF8">
      <w:pPr>
        <w:pStyle w:val="aa"/>
        <w:numPr>
          <w:ilvl w:val="0"/>
          <w:numId w:val="1"/>
        </w:numPr>
        <w:spacing w:before="100" w:beforeAutospacing="1" w:after="120" w:line="360" w:lineRule="auto"/>
        <w:ind w:left="0" w:firstLine="0"/>
        <w:jc w:val="both"/>
        <w:rPr>
          <w:rFonts w:ascii="FrankRuehl" w:hAnsi="FrankRuehl" w:cs="FrankRuehl"/>
          <w:sz w:val="28"/>
          <w:szCs w:val="28"/>
        </w:rPr>
      </w:pPr>
      <w:r>
        <w:rPr>
          <w:rFonts w:ascii="FrankRuehl" w:hAnsi="FrankRuehl" w:cs="FrankRuehl"/>
          <w:sz w:val="28"/>
          <w:szCs w:val="28"/>
          <w:rtl/>
        </w:rPr>
        <w:t xml:space="preserve">אני מכריזה על הנאשם </w:t>
      </w:r>
      <w:r>
        <w:rPr>
          <w:rFonts w:ascii="FrankRuehl" w:hAnsi="FrankRuehl" w:cs="FrankRuehl" w:hint="cs"/>
          <w:sz w:val="28"/>
          <w:szCs w:val="28"/>
          <w:rtl/>
        </w:rPr>
        <w:t>כ</w:t>
      </w:r>
      <w:r>
        <w:rPr>
          <w:rFonts w:ascii="FrankRuehl" w:hAnsi="FrankRuehl" w:cs="FrankRuehl"/>
          <w:sz w:val="28"/>
          <w:szCs w:val="28"/>
          <w:rtl/>
        </w:rPr>
        <w:t xml:space="preserve">סוחר סמים וגוזרת עליו את העונשים הבאים: </w:t>
      </w:r>
    </w:p>
    <w:p w14:paraId="71EA89DC" w14:textId="77777777" w:rsidR="00A47EF8" w:rsidRDefault="00A47EF8" w:rsidP="00A47EF8">
      <w:pPr>
        <w:numPr>
          <w:ilvl w:val="0"/>
          <w:numId w:val="2"/>
        </w:numPr>
        <w:spacing w:after="160" w:line="360" w:lineRule="auto"/>
        <w:contextualSpacing/>
        <w:jc w:val="both"/>
        <w:rPr>
          <w:rFonts w:ascii="FrankRuehl" w:hAnsi="FrankRuehl" w:cs="FrankRuehl"/>
          <w:sz w:val="28"/>
          <w:szCs w:val="28"/>
        </w:rPr>
      </w:pPr>
      <w:r>
        <w:rPr>
          <w:rFonts w:ascii="FrankRuehl" w:hAnsi="FrankRuehl" w:cs="FrankRuehl"/>
          <w:sz w:val="28"/>
          <w:szCs w:val="28"/>
          <w:rtl/>
        </w:rPr>
        <w:t xml:space="preserve">7 חודשי מאסר. </w:t>
      </w:r>
    </w:p>
    <w:p w14:paraId="4DB7AD04" w14:textId="77777777" w:rsidR="00A47EF8" w:rsidRDefault="00A47EF8" w:rsidP="00A47EF8">
      <w:pPr>
        <w:spacing w:after="160"/>
        <w:ind w:left="720"/>
        <w:contextualSpacing/>
        <w:jc w:val="both"/>
        <w:rPr>
          <w:rFonts w:ascii="FrankRuehl" w:hAnsi="FrankRuehl" w:cs="FrankRuehl"/>
          <w:sz w:val="28"/>
          <w:szCs w:val="28"/>
          <w:rtl/>
        </w:rPr>
      </w:pPr>
    </w:p>
    <w:p w14:paraId="1A75421B" w14:textId="77777777" w:rsidR="00A47EF8" w:rsidRPr="004968E8" w:rsidRDefault="00A47EF8" w:rsidP="00A47EF8">
      <w:pPr>
        <w:numPr>
          <w:ilvl w:val="0"/>
          <w:numId w:val="2"/>
        </w:numPr>
        <w:spacing w:before="240" w:line="360" w:lineRule="auto"/>
        <w:contextualSpacing/>
        <w:jc w:val="both"/>
        <w:rPr>
          <w:rFonts w:ascii="FrankRuehl" w:eastAsia="Calibri" w:hAnsi="FrankRuehl" w:cs="FrankRuehl"/>
          <w:sz w:val="28"/>
          <w:szCs w:val="28"/>
        </w:rPr>
      </w:pPr>
      <w:r>
        <w:rPr>
          <w:rFonts w:ascii="FrankRuehl" w:hAnsi="FrankRuehl" w:cs="FrankRuehl"/>
          <w:sz w:val="28"/>
          <w:szCs w:val="28"/>
          <w:rtl/>
        </w:rPr>
        <w:t>אני מורה על הפעלת המאסר המותנה מ</w:t>
      </w:r>
      <w:hyperlink r:id="rId58" w:history="1">
        <w:r w:rsidR="00547358" w:rsidRPr="00547358">
          <w:rPr>
            <w:rFonts w:ascii="FrankRuehl" w:hAnsi="FrankRuehl" w:cs="FrankRuehl"/>
            <w:color w:val="0000FF"/>
            <w:sz w:val="28"/>
            <w:szCs w:val="28"/>
            <w:u w:val="single"/>
            <w:rtl/>
          </w:rPr>
          <w:t>ת.פ 26685-11-18</w:t>
        </w:r>
      </w:hyperlink>
      <w:r>
        <w:rPr>
          <w:rFonts w:ascii="FrankRuehl" w:hAnsi="FrankRuehl" w:cs="FrankRuehl"/>
          <w:sz w:val="28"/>
          <w:szCs w:val="28"/>
          <w:rtl/>
        </w:rPr>
        <w:t xml:space="preserve"> בן 6 חודשים מיום 24.2.2020 בחופף ובמצטבר לעונש המאסר שהוטל בסעיף א. </w:t>
      </w:r>
    </w:p>
    <w:p w14:paraId="1F75BC82" w14:textId="77777777" w:rsidR="00A47EF8" w:rsidRPr="004968E8" w:rsidRDefault="00A47EF8" w:rsidP="00A47EF8">
      <w:pPr>
        <w:spacing w:before="240"/>
        <w:ind w:left="720"/>
        <w:contextualSpacing/>
        <w:jc w:val="both"/>
        <w:rPr>
          <w:rFonts w:ascii="FrankRuehl" w:eastAsia="Calibri" w:hAnsi="FrankRuehl" w:cs="FrankRuehl"/>
          <w:sz w:val="28"/>
          <w:szCs w:val="28"/>
        </w:rPr>
      </w:pPr>
    </w:p>
    <w:p w14:paraId="02CD91A2" w14:textId="77777777" w:rsidR="00A47EF8" w:rsidRDefault="00A47EF8" w:rsidP="00A47EF8">
      <w:pPr>
        <w:numPr>
          <w:ilvl w:val="0"/>
          <w:numId w:val="2"/>
        </w:numPr>
        <w:spacing w:before="240" w:line="360" w:lineRule="auto"/>
        <w:contextualSpacing/>
        <w:jc w:val="both"/>
        <w:rPr>
          <w:rFonts w:ascii="FrankRuehl" w:eastAsia="Calibri" w:hAnsi="FrankRuehl" w:cs="FrankRuehl"/>
          <w:sz w:val="28"/>
          <w:szCs w:val="28"/>
        </w:rPr>
      </w:pPr>
      <w:r>
        <w:rPr>
          <w:rFonts w:ascii="FrankRuehl" w:hAnsi="FrankRuehl" w:cs="FrankRuehl"/>
          <w:sz w:val="28"/>
          <w:szCs w:val="28"/>
          <w:rtl/>
        </w:rPr>
        <w:t>סך הכל ירצה הנאשם 9 חודשי מאסר</w:t>
      </w:r>
      <w:r>
        <w:rPr>
          <w:rFonts w:ascii="FrankRuehl" w:hAnsi="FrankRuehl" w:cs="FrankRuehl" w:hint="cs"/>
          <w:sz w:val="28"/>
          <w:szCs w:val="28"/>
          <w:rtl/>
        </w:rPr>
        <w:t xml:space="preserve"> בדרך של עבודות שירות </w:t>
      </w:r>
      <w:r>
        <w:rPr>
          <w:rFonts w:ascii="FrankRuehl" w:hAnsi="FrankRuehl" w:cs="FrankRuehl"/>
          <w:sz w:val="28"/>
          <w:szCs w:val="28"/>
          <w:rtl/>
        </w:rPr>
        <w:t xml:space="preserve">אשר ירוצו בהתאם לחוות הדעת הממונה על עבודות השירות מיום 31.10.2022. הנאשם יתייצב לריצוי עונש עבודות שירות במפקדת </w:t>
      </w:r>
      <w:r>
        <w:rPr>
          <w:rFonts w:ascii="FrankRuehl" w:eastAsia="Calibri" w:hAnsi="FrankRuehl" w:cs="FrankRuehl"/>
          <w:sz w:val="28"/>
          <w:szCs w:val="28"/>
          <w:rtl/>
        </w:rPr>
        <w:t xml:space="preserve">מחוז מרכז ביום 15.5.2023. </w:t>
      </w:r>
    </w:p>
    <w:p w14:paraId="2358B57E" w14:textId="77777777" w:rsidR="00A47EF8" w:rsidRDefault="00A47EF8" w:rsidP="00A47EF8">
      <w:pPr>
        <w:spacing w:before="240"/>
        <w:ind w:left="720"/>
        <w:contextualSpacing/>
        <w:jc w:val="both"/>
        <w:rPr>
          <w:rFonts w:ascii="Calibri" w:hAnsi="Calibri" w:cs="FrankRuehl"/>
          <w:sz w:val="28"/>
          <w:szCs w:val="28"/>
          <w:rtl/>
        </w:rPr>
      </w:pPr>
    </w:p>
    <w:p w14:paraId="1D375AC0" w14:textId="77777777" w:rsidR="00A47EF8" w:rsidRDefault="00A47EF8" w:rsidP="00A47EF8">
      <w:pPr>
        <w:spacing w:before="240" w:line="360" w:lineRule="auto"/>
        <w:ind w:left="720"/>
        <w:contextualSpacing/>
        <w:jc w:val="both"/>
        <w:rPr>
          <w:rFonts w:ascii="Calibri" w:hAnsi="Calibri" w:cs="FrankRuehl"/>
          <w:sz w:val="28"/>
          <w:szCs w:val="28"/>
          <w:rtl/>
        </w:rPr>
      </w:pPr>
      <w:r>
        <w:rPr>
          <w:rFonts w:ascii="Calibri" w:hAnsi="Calibri" w:cs="FrankRuehl"/>
          <w:sz w:val="28"/>
          <w:szCs w:val="28"/>
          <w:rtl/>
        </w:rPr>
        <w:t>הנאשם מוזהר כי עליו לעמוד בתנאי ההעסקה ובדרישות הממונה, לרבות בדבר איסור צריכת</w:t>
      </w:r>
      <w:r>
        <w:rPr>
          <w:rFonts w:ascii="Calibri" w:hAnsi="Calibri" w:cs="FrankRuehl" w:hint="cs"/>
          <w:sz w:val="28"/>
          <w:szCs w:val="28"/>
          <w:rtl/>
        </w:rPr>
        <w:t xml:space="preserve"> סמים ו</w:t>
      </w:r>
      <w:r>
        <w:rPr>
          <w:rFonts w:ascii="Calibri" w:hAnsi="Calibri" w:cs="FrankRuehl"/>
          <w:sz w:val="28"/>
          <w:szCs w:val="28"/>
          <w:rtl/>
        </w:rPr>
        <w:t>אלכוהול, וכי כל חריגה מהכללים עלולה להביא להפסקת עבודות השירות וריצוי יתרת עונש המאסר מאחורי סורג ובריח.</w:t>
      </w:r>
    </w:p>
    <w:p w14:paraId="6FA1362A" w14:textId="77777777" w:rsidR="00A47EF8" w:rsidRDefault="00A47EF8" w:rsidP="00A47EF8">
      <w:pPr>
        <w:spacing w:before="240"/>
        <w:ind w:left="720"/>
        <w:contextualSpacing/>
        <w:jc w:val="both"/>
        <w:rPr>
          <w:rFonts w:ascii="FrankRuehl" w:eastAsia="Calibri" w:hAnsi="FrankRuehl" w:cs="FrankRuehl"/>
          <w:sz w:val="28"/>
          <w:szCs w:val="28"/>
        </w:rPr>
      </w:pPr>
    </w:p>
    <w:p w14:paraId="16A7CEDD" w14:textId="77777777" w:rsidR="00A47EF8" w:rsidRDefault="00A47EF8" w:rsidP="00A47EF8">
      <w:pPr>
        <w:numPr>
          <w:ilvl w:val="0"/>
          <w:numId w:val="2"/>
        </w:numPr>
        <w:spacing w:before="240" w:line="360" w:lineRule="auto"/>
        <w:contextualSpacing/>
        <w:jc w:val="both"/>
        <w:rPr>
          <w:rFonts w:ascii="FrankRuehl" w:eastAsia="Calibri" w:hAnsi="FrankRuehl" w:cs="FrankRuehl"/>
          <w:sz w:val="28"/>
          <w:szCs w:val="28"/>
        </w:rPr>
      </w:pPr>
      <w:r>
        <w:rPr>
          <w:rFonts w:ascii="FrankRuehl" w:eastAsia="Calibri" w:hAnsi="FrankRuehl" w:cs="FrankRuehl"/>
          <w:sz w:val="28"/>
          <w:szCs w:val="28"/>
          <w:rtl/>
        </w:rPr>
        <w:t xml:space="preserve">3 חודשי מאסר אותם לא ירצה הנאשם אלא אם יעבור בתוך שלוש שנים עבירות סמים מסוג עוון לרבות נהיגה תחת השפעת סמים. </w:t>
      </w:r>
    </w:p>
    <w:p w14:paraId="3EB7B373" w14:textId="77777777" w:rsidR="00A47EF8" w:rsidRDefault="00A47EF8" w:rsidP="00A47EF8">
      <w:pPr>
        <w:spacing w:before="240"/>
        <w:ind w:left="720"/>
        <w:contextualSpacing/>
        <w:jc w:val="both"/>
        <w:rPr>
          <w:rFonts w:ascii="FrankRuehl" w:eastAsia="Calibri" w:hAnsi="FrankRuehl" w:cs="FrankRuehl"/>
          <w:sz w:val="28"/>
          <w:szCs w:val="28"/>
          <w:rtl/>
        </w:rPr>
      </w:pPr>
    </w:p>
    <w:p w14:paraId="286C2157" w14:textId="77777777" w:rsidR="00A47EF8" w:rsidRDefault="00A47EF8" w:rsidP="00A47EF8">
      <w:pPr>
        <w:numPr>
          <w:ilvl w:val="0"/>
          <w:numId w:val="2"/>
        </w:numPr>
        <w:spacing w:before="240" w:line="360" w:lineRule="auto"/>
        <w:contextualSpacing/>
        <w:jc w:val="both"/>
        <w:rPr>
          <w:rFonts w:ascii="FrankRuehl" w:eastAsia="Calibri" w:hAnsi="FrankRuehl" w:cs="FrankRuehl"/>
          <w:sz w:val="28"/>
          <w:szCs w:val="28"/>
        </w:rPr>
      </w:pPr>
      <w:r>
        <w:rPr>
          <w:rFonts w:ascii="FrankRuehl" w:eastAsia="Calibri" w:hAnsi="FrankRuehl" w:cs="FrankRuehl"/>
          <w:sz w:val="28"/>
          <w:szCs w:val="28"/>
          <w:rtl/>
        </w:rPr>
        <w:t xml:space="preserve">6 חודשי מאסר אותם לא תרצה הנאשם אלא אם תעבור בתוך שלוש שנים עבירות סמים מסוג פשע. </w:t>
      </w:r>
    </w:p>
    <w:p w14:paraId="5747C2EC" w14:textId="77777777" w:rsidR="00A47EF8" w:rsidRDefault="00A47EF8" w:rsidP="00A47EF8">
      <w:pPr>
        <w:spacing w:before="240"/>
        <w:ind w:left="720"/>
        <w:contextualSpacing/>
        <w:jc w:val="both"/>
        <w:rPr>
          <w:rFonts w:ascii="FrankRuehl" w:eastAsia="Calibri" w:hAnsi="FrankRuehl" w:cs="FrankRuehl"/>
          <w:sz w:val="28"/>
          <w:szCs w:val="28"/>
        </w:rPr>
      </w:pPr>
    </w:p>
    <w:p w14:paraId="770DBA0A" w14:textId="77777777" w:rsidR="00A47EF8" w:rsidRDefault="00A47EF8" w:rsidP="00A47EF8">
      <w:pPr>
        <w:numPr>
          <w:ilvl w:val="0"/>
          <w:numId w:val="2"/>
        </w:numPr>
        <w:spacing w:before="240" w:line="360" w:lineRule="auto"/>
        <w:contextualSpacing/>
        <w:jc w:val="both"/>
        <w:rPr>
          <w:rFonts w:ascii="FrankRuehl" w:eastAsia="Calibri" w:hAnsi="FrankRuehl" w:cs="FrankRuehl"/>
          <w:sz w:val="28"/>
          <w:szCs w:val="28"/>
        </w:rPr>
      </w:pPr>
      <w:r>
        <w:rPr>
          <w:rFonts w:ascii="FrankRuehl" w:eastAsia="Calibri" w:hAnsi="FrankRuehl" w:cs="FrankRuehl"/>
          <w:sz w:val="28"/>
          <w:szCs w:val="28"/>
          <w:rtl/>
        </w:rPr>
        <w:t xml:space="preserve">קנס בסך 720 ₪ או </w:t>
      </w:r>
      <w:r>
        <w:rPr>
          <w:rFonts w:ascii="FrankRuehl" w:eastAsia="Calibri" w:hAnsi="FrankRuehl" w:cs="FrankRuehl" w:hint="cs"/>
          <w:sz w:val="28"/>
          <w:szCs w:val="28"/>
          <w:rtl/>
        </w:rPr>
        <w:t>5</w:t>
      </w:r>
      <w:r>
        <w:rPr>
          <w:rFonts w:ascii="FrankRuehl" w:eastAsia="Calibri" w:hAnsi="FrankRuehl" w:cs="FrankRuehl"/>
          <w:sz w:val="28"/>
          <w:szCs w:val="28"/>
          <w:rtl/>
        </w:rPr>
        <w:t xml:space="preserve"> ימי מאסר תמורתו. הקנס ישולם ב- 5 תשלומים, כאשר התשלום הראשון ישולם עד ולא יאוחר מיום 1.5.2023 ויתר התשלומים ישולמו בכל 10 לכל חודש שלאחריו.</w:t>
      </w:r>
    </w:p>
    <w:p w14:paraId="64A6F775" w14:textId="77777777" w:rsidR="00A47EF8" w:rsidRDefault="00A47EF8" w:rsidP="00A47EF8">
      <w:pPr>
        <w:spacing w:before="240"/>
        <w:ind w:left="720"/>
        <w:contextualSpacing/>
        <w:jc w:val="both"/>
        <w:rPr>
          <w:rFonts w:ascii="FrankRuehl" w:eastAsia="Calibri" w:hAnsi="FrankRuehl" w:cs="FrankRuehl"/>
          <w:sz w:val="28"/>
          <w:szCs w:val="28"/>
        </w:rPr>
      </w:pPr>
    </w:p>
    <w:p w14:paraId="74703E02" w14:textId="77777777" w:rsidR="00A47EF8" w:rsidRDefault="00A47EF8" w:rsidP="00A47EF8">
      <w:pPr>
        <w:numPr>
          <w:ilvl w:val="0"/>
          <w:numId w:val="2"/>
        </w:numPr>
        <w:spacing w:before="240" w:line="360" w:lineRule="auto"/>
        <w:contextualSpacing/>
        <w:jc w:val="both"/>
        <w:rPr>
          <w:rFonts w:ascii="FrankRuehl" w:eastAsia="Calibri" w:hAnsi="FrankRuehl" w:cs="FrankRuehl"/>
          <w:sz w:val="28"/>
          <w:szCs w:val="28"/>
        </w:rPr>
      </w:pPr>
      <w:r>
        <w:rPr>
          <w:rFonts w:ascii="FrankRuehl" w:eastAsia="Calibri" w:hAnsi="FrankRuehl" w:cs="FrankRuehl" w:hint="cs"/>
          <w:sz w:val="28"/>
          <w:szCs w:val="28"/>
          <w:rtl/>
        </w:rPr>
        <w:t xml:space="preserve">אני פוסלת את הנאשם מלהחזיק ולקבל רישיון נהיגה וזאת למשך 6 חודשים וזאת בתנאי שלא יעבור בתוך 3 שנים עבירות בהן הורשע ונהיגה תחת השפעת סמים ו/או סירוב להיבדק. </w:t>
      </w:r>
    </w:p>
    <w:p w14:paraId="1107D242" w14:textId="77777777" w:rsidR="00A47EF8" w:rsidRDefault="00A47EF8" w:rsidP="00A47EF8">
      <w:pPr>
        <w:pStyle w:val="aa"/>
        <w:rPr>
          <w:rFonts w:ascii="FrankRuehl" w:hAnsi="FrankRuehl" w:cs="FrankRuehl"/>
          <w:sz w:val="28"/>
          <w:szCs w:val="28"/>
          <w:rtl/>
        </w:rPr>
      </w:pPr>
    </w:p>
    <w:p w14:paraId="7419E772" w14:textId="77777777" w:rsidR="00A47EF8" w:rsidRDefault="00A47EF8" w:rsidP="00A47EF8">
      <w:pPr>
        <w:spacing w:before="240" w:line="360" w:lineRule="auto"/>
        <w:ind w:left="360"/>
        <w:contextualSpacing/>
        <w:jc w:val="both"/>
        <w:rPr>
          <w:rFonts w:ascii="FrankRuehl" w:eastAsia="Calibri" w:hAnsi="FrankRuehl" w:cs="FrankRuehl"/>
          <w:sz w:val="28"/>
          <w:szCs w:val="28"/>
          <w:rtl/>
        </w:rPr>
      </w:pPr>
      <w:r>
        <w:rPr>
          <w:rFonts w:ascii="FrankRuehl" w:eastAsia="Calibri" w:hAnsi="FrankRuehl" w:cs="FrankRuehl"/>
          <w:sz w:val="28"/>
          <w:szCs w:val="28"/>
          <w:rtl/>
        </w:rPr>
        <w:t xml:space="preserve">הרכוש שנתפס מידי הנאשם כמפורט בכתב האישום יחולט לאוצר המדינה – קרן החילוט האפוטרופוס הכללי. </w:t>
      </w:r>
    </w:p>
    <w:p w14:paraId="20D0E678" w14:textId="77777777" w:rsidR="00A47EF8" w:rsidRDefault="00A47EF8" w:rsidP="00A47EF8">
      <w:pPr>
        <w:pStyle w:val="aa"/>
        <w:spacing w:line="360" w:lineRule="auto"/>
        <w:ind w:left="820"/>
        <w:jc w:val="both"/>
        <w:rPr>
          <w:rFonts w:ascii="FrankRuehl" w:hAnsi="FrankRuehl" w:cs="FrankRuehl"/>
          <w:sz w:val="28"/>
          <w:szCs w:val="28"/>
        </w:rPr>
      </w:pPr>
    </w:p>
    <w:p w14:paraId="09264C5C" w14:textId="77777777" w:rsidR="00A47EF8" w:rsidRDefault="00A47EF8" w:rsidP="00A47EF8">
      <w:pPr>
        <w:spacing w:line="360" w:lineRule="auto"/>
        <w:jc w:val="both"/>
        <w:rPr>
          <w:rFonts w:ascii="FrankRuehl" w:hAnsi="FrankRuehl" w:cs="FrankRuehl"/>
          <w:sz w:val="28"/>
          <w:szCs w:val="28"/>
          <w:rtl/>
        </w:rPr>
      </w:pPr>
      <w:r>
        <w:rPr>
          <w:rFonts w:ascii="FrankRuehl" w:hAnsi="FrankRuehl" w:cs="FrankRuehl"/>
          <w:sz w:val="28"/>
          <w:szCs w:val="28"/>
          <w:rtl/>
        </w:rPr>
        <w:t xml:space="preserve">צו כללי למוצגים </w:t>
      </w:r>
    </w:p>
    <w:p w14:paraId="1D4C12D5" w14:textId="77777777" w:rsidR="00A47EF8" w:rsidRDefault="00547358" w:rsidP="00A47EF8">
      <w:pPr>
        <w:spacing w:line="360" w:lineRule="auto"/>
        <w:jc w:val="both"/>
        <w:rPr>
          <w:rFonts w:ascii="FrankRuehl" w:hAnsi="FrankRuehl" w:cs="FrankRuehl"/>
          <w:sz w:val="28"/>
          <w:szCs w:val="28"/>
          <w:rtl/>
        </w:rPr>
      </w:pPr>
      <w:r w:rsidRPr="00547358">
        <w:rPr>
          <w:rFonts w:ascii="FrankRuehl" w:hAnsi="FrankRuehl" w:cs="FrankRuehl"/>
          <w:color w:val="FFFFFF"/>
          <w:sz w:val="2"/>
          <w:szCs w:val="2"/>
          <w:rtl/>
        </w:rPr>
        <w:t>5129371</w:t>
      </w:r>
      <w:r w:rsidR="00A47EF8">
        <w:rPr>
          <w:rFonts w:ascii="FrankRuehl" w:hAnsi="FrankRuehl" w:cs="FrankRuehl"/>
          <w:sz w:val="28"/>
          <w:szCs w:val="28"/>
          <w:rtl/>
        </w:rPr>
        <w:t xml:space="preserve">זכות ערעור כחוק </w:t>
      </w:r>
    </w:p>
    <w:p w14:paraId="0A7B2BB5" w14:textId="77777777" w:rsidR="00A47EF8" w:rsidRPr="00547358" w:rsidRDefault="00547358" w:rsidP="00A47EF8">
      <w:pPr>
        <w:rPr>
          <w:rFonts w:ascii="Arial" w:hAnsi="Arial"/>
          <w:b/>
          <w:bCs/>
          <w:color w:val="FFFFFF"/>
          <w:sz w:val="2"/>
          <w:szCs w:val="2"/>
          <w:rtl/>
        </w:rPr>
      </w:pPr>
      <w:r w:rsidRPr="00547358">
        <w:rPr>
          <w:rFonts w:ascii="Arial" w:hAnsi="Arial"/>
          <w:b/>
          <w:bCs/>
          <w:color w:val="FFFFFF"/>
          <w:sz w:val="2"/>
          <w:szCs w:val="2"/>
          <w:rtl/>
        </w:rPr>
        <w:t>54678313</w:t>
      </w:r>
    </w:p>
    <w:p w14:paraId="32486651" w14:textId="77777777" w:rsidR="00A47EF8" w:rsidRPr="000F2247" w:rsidRDefault="00A47EF8" w:rsidP="00A47EF8">
      <w:pPr>
        <w:rPr>
          <w:rFonts w:ascii="Arial" w:hAnsi="Arial"/>
          <w:b/>
          <w:bCs/>
          <w:sz w:val="26"/>
          <w:szCs w:val="26"/>
          <w:rtl/>
        </w:rPr>
      </w:pPr>
    </w:p>
    <w:p w14:paraId="1E8A07AC" w14:textId="77777777" w:rsidR="00A47EF8" w:rsidRPr="000F2247" w:rsidRDefault="00547358" w:rsidP="00A47EF8">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ה' ניסן תשפ"ג, 27 מרץ 2023, בהעדר הצדדים. </w:t>
      </w:r>
      <w:bookmarkEnd w:id="9"/>
      <w:r w:rsidR="00A47EF8">
        <w:rPr>
          <w:rFonts w:ascii="Arial" w:hAnsi="Arial"/>
          <w:b/>
          <w:bCs/>
          <w:sz w:val="26"/>
          <w:szCs w:val="26"/>
          <w:rtl/>
        </w:rPr>
        <w:tab/>
      </w:r>
      <w:r w:rsidR="00A47EF8">
        <w:rPr>
          <w:rFonts w:ascii="Arial" w:hAnsi="Arial"/>
          <w:b/>
          <w:bCs/>
          <w:sz w:val="26"/>
          <w:szCs w:val="26"/>
          <w:rtl/>
        </w:rPr>
        <w:tab/>
      </w:r>
      <w:r w:rsidR="00A47EF8">
        <w:rPr>
          <w:rFonts w:ascii="Arial" w:hAnsi="Arial"/>
          <w:b/>
          <w:bCs/>
          <w:sz w:val="26"/>
          <w:szCs w:val="26"/>
          <w:rtl/>
        </w:rPr>
        <w:tab/>
      </w:r>
      <w:r w:rsidR="00A47EF8">
        <w:rPr>
          <w:rFonts w:ascii="Arial" w:hAnsi="Arial"/>
          <w:b/>
          <w:bCs/>
          <w:sz w:val="26"/>
          <w:szCs w:val="26"/>
          <w:rtl/>
        </w:rPr>
        <w:tab/>
      </w:r>
      <w:r w:rsidR="00A47EF8">
        <w:rPr>
          <w:rFonts w:ascii="Arial" w:hAnsi="Arial"/>
          <w:b/>
          <w:bCs/>
          <w:sz w:val="26"/>
          <w:szCs w:val="26"/>
          <w:rtl/>
        </w:rPr>
        <w:tab/>
      </w:r>
      <w:r w:rsidR="00A47EF8">
        <w:rPr>
          <w:rFonts w:ascii="Arial" w:hAnsi="Arial"/>
          <w:b/>
          <w:bCs/>
          <w:sz w:val="26"/>
          <w:szCs w:val="26"/>
          <w:rtl/>
        </w:rPr>
        <w:tab/>
      </w:r>
      <w:r w:rsidR="00A47EF8">
        <w:rPr>
          <w:rFonts w:ascii="Arial" w:hAnsi="Arial"/>
          <w:b/>
          <w:bCs/>
          <w:sz w:val="26"/>
          <w:szCs w:val="26"/>
          <w:rtl/>
        </w:rPr>
        <w:tab/>
      </w:r>
      <w:r w:rsidR="00A47EF8">
        <w:rPr>
          <w:rFonts w:ascii="Arial" w:hAnsi="Arial" w:hint="cs"/>
          <w:b/>
          <w:bCs/>
          <w:sz w:val="26"/>
          <w:szCs w:val="26"/>
          <w:rtl/>
        </w:rPr>
        <w:t xml:space="preserve">         </w:t>
      </w:r>
    </w:p>
    <w:p w14:paraId="30550795" w14:textId="77777777" w:rsidR="00A47EF8" w:rsidRPr="000F2247" w:rsidRDefault="00A47EF8" w:rsidP="0054735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910BE83" w14:textId="77777777" w:rsidR="00A47EF8" w:rsidRPr="00844DA0" w:rsidRDefault="00844DA0" w:rsidP="00A47EF8">
      <w:pPr>
        <w:jc w:val="center"/>
        <w:rPr>
          <w:rFonts w:ascii="Arial" w:hAnsi="Arial"/>
          <w:b/>
          <w:bCs/>
          <w:color w:val="FFFFFF"/>
          <w:sz w:val="2"/>
          <w:szCs w:val="2"/>
          <w:rtl/>
        </w:rPr>
      </w:pPr>
      <w:r w:rsidRPr="00844DA0">
        <w:rPr>
          <w:rFonts w:ascii="Arial" w:hAnsi="Arial"/>
          <w:b/>
          <w:bCs/>
          <w:color w:val="FFFFFF"/>
          <w:sz w:val="2"/>
          <w:szCs w:val="2"/>
          <w:rtl/>
        </w:rPr>
        <w:t>5129371</w:t>
      </w:r>
    </w:p>
    <w:p w14:paraId="22698A33" w14:textId="77777777" w:rsidR="009C19D2" w:rsidRPr="00844DA0" w:rsidRDefault="00844DA0" w:rsidP="00547358">
      <w:pPr>
        <w:keepNext/>
        <w:rPr>
          <w:rFonts w:ascii="David" w:hAnsi="David"/>
          <w:color w:val="FFFFFF"/>
          <w:sz w:val="2"/>
          <w:szCs w:val="2"/>
          <w:rtl/>
        </w:rPr>
      </w:pPr>
      <w:r w:rsidRPr="00844DA0">
        <w:rPr>
          <w:rFonts w:ascii="David" w:hAnsi="David"/>
          <w:color w:val="FFFFFF"/>
          <w:sz w:val="2"/>
          <w:szCs w:val="2"/>
          <w:rtl/>
        </w:rPr>
        <w:t>54678313</w:t>
      </w:r>
    </w:p>
    <w:p w14:paraId="45E77B80" w14:textId="77777777" w:rsidR="00547358" w:rsidRDefault="00547358" w:rsidP="00547358">
      <w:pPr>
        <w:rPr>
          <w:rtl/>
        </w:rPr>
      </w:pPr>
    </w:p>
    <w:p w14:paraId="5C79C772" w14:textId="77777777" w:rsidR="00547358" w:rsidRDefault="00547358" w:rsidP="00547358">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46E55A79" w14:textId="77777777" w:rsidR="00844DA0" w:rsidRPr="00844DA0" w:rsidRDefault="00844DA0" w:rsidP="00844DA0">
      <w:pPr>
        <w:keepNext/>
        <w:rPr>
          <w:rFonts w:ascii="David" w:hAnsi="David"/>
          <w:color w:val="000000"/>
          <w:sz w:val="22"/>
          <w:szCs w:val="22"/>
          <w:rtl/>
        </w:rPr>
      </w:pPr>
    </w:p>
    <w:p w14:paraId="67CCA9AC" w14:textId="77777777" w:rsidR="00844DA0" w:rsidRPr="00844DA0" w:rsidRDefault="00844DA0" w:rsidP="00844DA0">
      <w:pPr>
        <w:keepNext/>
        <w:rPr>
          <w:rFonts w:ascii="David" w:hAnsi="David"/>
          <w:color w:val="000000"/>
          <w:sz w:val="22"/>
          <w:szCs w:val="22"/>
          <w:rtl/>
        </w:rPr>
      </w:pPr>
      <w:r w:rsidRPr="00844DA0">
        <w:rPr>
          <w:rFonts w:ascii="David" w:hAnsi="David"/>
          <w:color w:val="000000"/>
          <w:sz w:val="22"/>
          <w:szCs w:val="22"/>
          <w:rtl/>
        </w:rPr>
        <w:t>זהר דיבון סגל 54678313-/</w:t>
      </w:r>
    </w:p>
    <w:p w14:paraId="319623E5" w14:textId="77777777" w:rsidR="00547358" w:rsidRPr="00547358" w:rsidRDefault="00844DA0" w:rsidP="00844DA0">
      <w:pPr>
        <w:rPr>
          <w:color w:val="0000FF"/>
          <w:u w:val="single"/>
        </w:rPr>
      </w:pPr>
      <w:r w:rsidRPr="00844DA0">
        <w:rPr>
          <w:color w:val="000000"/>
          <w:u w:val="single"/>
          <w:rtl/>
        </w:rPr>
        <w:t>נוסח מסמך זה כפוף לשינויי ניסוח ועריכה</w:t>
      </w:r>
    </w:p>
    <w:sectPr w:rsidR="00547358" w:rsidRPr="00547358" w:rsidSect="00844DA0">
      <w:headerReference w:type="even" r:id="rId60"/>
      <w:headerReference w:type="default" r:id="rId61"/>
      <w:footerReference w:type="even" r:id="rId62"/>
      <w:footerReference w:type="default" r:id="rId6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E3C5E" w14:textId="77777777" w:rsidR="005E5182" w:rsidRDefault="005E5182" w:rsidP="00AC13CF">
      <w:r>
        <w:separator/>
      </w:r>
    </w:p>
  </w:endnote>
  <w:endnote w:type="continuationSeparator" w:id="0">
    <w:p w14:paraId="6CCB6323" w14:textId="77777777" w:rsidR="005E5182" w:rsidRDefault="005E5182" w:rsidP="00AC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76071" w14:textId="77777777" w:rsidR="00844DA0" w:rsidRDefault="00844DA0" w:rsidP="00844D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ABC4AF" w14:textId="77777777" w:rsidR="00F908A9" w:rsidRPr="00844DA0" w:rsidRDefault="00844DA0" w:rsidP="00844DA0">
    <w:pPr>
      <w:pStyle w:val="a5"/>
      <w:pBdr>
        <w:top w:val="single" w:sz="4" w:space="1" w:color="auto"/>
        <w:between w:val="single" w:sz="4" w:space="0" w:color="auto"/>
      </w:pBdr>
      <w:spacing w:after="60"/>
      <w:jc w:val="center"/>
      <w:rPr>
        <w:rFonts w:ascii="FrankRuehl" w:hAnsi="FrankRuehl" w:cs="FrankRuehl"/>
        <w:color w:val="000000"/>
      </w:rPr>
    </w:pPr>
    <w:r w:rsidRPr="00844D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F166" w14:textId="77777777" w:rsidR="00844DA0" w:rsidRDefault="00844DA0" w:rsidP="00844DA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7260">
      <w:rPr>
        <w:rFonts w:ascii="FrankRuehl" w:hAnsi="FrankRuehl" w:cs="FrankRuehl"/>
        <w:noProof/>
        <w:rtl/>
      </w:rPr>
      <w:t>1</w:t>
    </w:r>
    <w:r>
      <w:rPr>
        <w:rFonts w:ascii="FrankRuehl" w:hAnsi="FrankRuehl" w:cs="FrankRuehl"/>
        <w:rtl/>
      </w:rPr>
      <w:fldChar w:fldCharType="end"/>
    </w:r>
  </w:p>
  <w:p w14:paraId="7E00C326" w14:textId="77777777" w:rsidR="00F908A9" w:rsidRPr="00844DA0" w:rsidRDefault="00844DA0" w:rsidP="00844DA0">
    <w:pPr>
      <w:pStyle w:val="a5"/>
      <w:pBdr>
        <w:top w:val="single" w:sz="4" w:space="1" w:color="auto"/>
        <w:between w:val="single" w:sz="4" w:space="0" w:color="auto"/>
      </w:pBdr>
      <w:spacing w:after="60"/>
      <w:jc w:val="center"/>
      <w:rPr>
        <w:rFonts w:ascii="FrankRuehl" w:hAnsi="FrankRuehl" w:cs="FrankRuehl"/>
        <w:color w:val="000000"/>
      </w:rPr>
    </w:pPr>
    <w:r w:rsidRPr="00844DA0">
      <w:rPr>
        <w:rFonts w:ascii="FrankRuehl" w:hAnsi="FrankRuehl" w:cs="FrankRuehl"/>
        <w:color w:val="000000"/>
      </w:rPr>
      <w:pict w14:anchorId="5AF9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2C56E" w14:textId="77777777" w:rsidR="005E5182" w:rsidRDefault="005E5182" w:rsidP="00AC13CF">
      <w:r>
        <w:separator/>
      </w:r>
    </w:p>
  </w:footnote>
  <w:footnote w:type="continuationSeparator" w:id="0">
    <w:p w14:paraId="242A4B03" w14:textId="77777777" w:rsidR="005E5182" w:rsidRDefault="005E5182" w:rsidP="00AC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71D8A" w14:textId="77777777" w:rsidR="00547358" w:rsidRPr="00844DA0" w:rsidRDefault="00844DA0" w:rsidP="00844D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61370-10-20</w:t>
    </w:r>
    <w:r>
      <w:rPr>
        <w:rFonts w:ascii="David" w:hAnsi="David"/>
        <w:color w:val="000000"/>
        <w:sz w:val="22"/>
        <w:szCs w:val="22"/>
        <w:rtl/>
      </w:rPr>
      <w:tab/>
      <w:t xml:space="preserve"> מדינת ישראל נ' אלירן בסט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65479" w14:textId="77777777" w:rsidR="00547358" w:rsidRPr="00844DA0" w:rsidRDefault="00844DA0" w:rsidP="00844D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61370-10-20</w:t>
    </w:r>
    <w:r>
      <w:rPr>
        <w:rFonts w:ascii="David" w:hAnsi="David"/>
        <w:color w:val="000000"/>
        <w:sz w:val="22"/>
        <w:szCs w:val="22"/>
        <w:rtl/>
      </w:rPr>
      <w:tab/>
      <w:t xml:space="preserve"> מדינת ישראל נ' אלירן בסט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26516"/>
    <w:multiLevelType w:val="hybridMultilevel"/>
    <w:tmpl w:val="2F10F4A2"/>
    <w:lvl w:ilvl="0" w:tplc="B068F3C4">
      <w:start w:val="1"/>
      <w:numFmt w:val="decimal"/>
      <w:lvlText w:val="%1."/>
      <w:lvlJc w:val="left"/>
      <w:pPr>
        <w:ind w:left="358" w:hanging="360"/>
      </w:pPr>
      <w:rPr>
        <w:rFonts w:ascii="FrankRuehl" w:hAnsi="FrankRuehl" w:cs="FrankRuehl" w:hint="default"/>
        <w:sz w:val="28"/>
        <w:szCs w:val="28"/>
      </w:r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start w:val="1"/>
      <w:numFmt w:val="decimal"/>
      <w:lvlText w:val="%4."/>
      <w:lvlJc w:val="left"/>
      <w:pPr>
        <w:ind w:left="2518" w:hanging="360"/>
      </w:pPr>
    </w:lvl>
    <w:lvl w:ilvl="4" w:tplc="04090019">
      <w:start w:val="1"/>
      <w:numFmt w:val="lowerLetter"/>
      <w:lvlText w:val="%5."/>
      <w:lvlJc w:val="left"/>
      <w:pPr>
        <w:ind w:left="3238" w:hanging="360"/>
      </w:pPr>
    </w:lvl>
    <w:lvl w:ilvl="5" w:tplc="0409001B">
      <w:start w:val="1"/>
      <w:numFmt w:val="lowerRoman"/>
      <w:lvlText w:val="%6."/>
      <w:lvlJc w:val="right"/>
      <w:pPr>
        <w:ind w:left="3958" w:hanging="180"/>
      </w:pPr>
    </w:lvl>
    <w:lvl w:ilvl="6" w:tplc="0409000F">
      <w:start w:val="1"/>
      <w:numFmt w:val="decimal"/>
      <w:lvlText w:val="%7."/>
      <w:lvlJc w:val="left"/>
      <w:pPr>
        <w:ind w:left="4678" w:hanging="360"/>
      </w:pPr>
    </w:lvl>
    <w:lvl w:ilvl="7" w:tplc="04090019">
      <w:start w:val="1"/>
      <w:numFmt w:val="lowerLetter"/>
      <w:lvlText w:val="%8."/>
      <w:lvlJc w:val="left"/>
      <w:pPr>
        <w:ind w:left="5398" w:hanging="360"/>
      </w:pPr>
    </w:lvl>
    <w:lvl w:ilvl="8" w:tplc="0409001B">
      <w:start w:val="1"/>
      <w:numFmt w:val="lowerRoman"/>
      <w:lvlText w:val="%9."/>
      <w:lvlJc w:val="right"/>
      <w:pPr>
        <w:ind w:left="6118" w:hanging="180"/>
      </w:pPr>
    </w:lvl>
  </w:abstractNum>
  <w:abstractNum w:abstractNumId="1" w15:restartNumberingAfterBreak="0">
    <w:nsid w:val="6E382901"/>
    <w:multiLevelType w:val="hybridMultilevel"/>
    <w:tmpl w:val="F2125A34"/>
    <w:lvl w:ilvl="0" w:tplc="AB44F1D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0258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950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7EF8"/>
    <w:rsid w:val="000015A0"/>
    <w:rsid w:val="001A2EF0"/>
    <w:rsid w:val="001B1100"/>
    <w:rsid w:val="00215CC7"/>
    <w:rsid w:val="002F27BA"/>
    <w:rsid w:val="00507E52"/>
    <w:rsid w:val="00547358"/>
    <w:rsid w:val="005E5182"/>
    <w:rsid w:val="00767260"/>
    <w:rsid w:val="00844DA0"/>
    <w:rsid w:val="00903965"/>
    <w:rsid w:val="009A4E4C"/>
    <w:rsid w:val="009C19D2"/>
    <w:rsid w:val="00A47EF8"/>
    <w:rsid w:val="00AC13CF"/>
    <w:rsid w:val="00BF3959"/>
    <w:rsid w:val="00F908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0CDD0E"/>
  <w15:chartTrackingRefBased/>
  <w15:docId w15:val="{94453610-F349-49FA-B1E0-526A190B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7E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7EF8"/>
    <w:pPr>
      <w:tabs>
        <w:tab w:val="center" w:pos="4153"/>
        <w:tab w:val="right" w:pos="8306"/>
      </w:tabs>
    </w:pPr>
  </w:style>
  <w:style w:type="character" w:customStyle="1" w:styleId="a4">
    <w:name w:val="כותרת עליונה תו"/>
    <w:link w:val="a3"/>
    <w:rsid w:val="00A47EF8"/>
    <w:rPr>
      <w:rFonts w:ascii="Times New Roman" w:eastAsia="Times New Roman" w:hAnsi="Times New Roman" w:cs="David"/>
      <w:sz w:val="24"/>
      <w:szCs w:val="24"/>
    </w:rPr>
  </w:style>
  <w:style w:type="paragraph" w:styleId="a5">
    <w:name w:val="footer"/>
    <w:basedOn w:val="a"/>
    <w:link w:val="a6"/>
    <w:rsid w:val="00A47EF8"/>
    <w:pPr>
      <w:tabs>
        <w:tab w:val="center" w:pos="4153"/>
        <w:tab w:val="right" w:pos="8306"/>
      </w:tabs>
    </w:pPr>
  </w:style>
  <w:style w:type="character" w:customStyle="1" w:styleId="a6">
    <w:name w:val="כותרת תחתונה תו"/>
    <w:link w:val="a5"/>
    <w:rsid w:val="00A47EF8"/>
    <w:rPr>
      <w:rFonts w:ascii="Times New Roman" w:eastAsia="Times New Roman" w:hAnsi="Times New Roman" w:cs="David"/>
      <w:sz w:val="24"/>
      <w:szCs w:val="24"/>
    </w:rPr>
  </w:style>
  <w:style w:type="table" w:styleId="a7">
    <w:name w:val="Table Grid"/>
    <w:basedOn w:val="a1"/>
    <w:rsid w:val="00A47E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7EF8"/>
  </w:style>
  <w:style w:type="character" w:customStyle="1" w:styleId="a9">
    <w:name w:val="פיסקת רשימה תו"/>
    <w:link w:val="aa"/>
    <w:locked/>
    <w:rsid w:val="00A47EF8"/>
    <w:rPr>
      <w:rFonts w:ascii="David" w:hAnsi="David" w:cs="David"/>
      <w:sz w:val="24"/>
      <w:szCs w:val="24"/>
    </w:rPr>
  </w:style>
  <w:style w:type="paragraph" w:styleId="aa">
    <w:name w:val="List Paragraph"/>
    <w:basedOn w:val="a"/>
    <w:link w:val="a9"/>
    <w:qFormat/>
    <w:rsid w:val="00A47EF8"/>
    <w:pPr>
      <w:ind w:left="720"/>
      <w:contextualSpacing/>
    </w:pPr>
    <w:rPr>
      <w:rFonts w:ascii="David" w:eastAsia="Calibri" w:hAnsi="David"/>
    </w:rPr>
  </w:style>
  <w:style w:type="character" w:styleId="Hyperlink">
    <w:name w:val="Hyperlink"/>
    <w:rsid w:val="00A47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6879489"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1976333" TargetMode="External"/><Relationship Id="rId42" Type="http://schemas.openxmlformats.org/officeDocument/2006/relationships/hyperlink" Target="http://www.nevo.co.il/law/70301/85" TargetMode="External"/><Relationship Id="rId47" Type="http://schemas.openxmlformats.org/officeDocument/2006/relationships/hyperlink" Target="http://www.nevo.co.il/case/20724164" TargetMode="External"/><Relationship Id="rId50" Type="http://schemas.openxmlformats.org/officeDocument/2006/relationships/hyperlink" Target="http://www.nevo.co.il/case/21037797" TargetMode="External"/><Relationship Id="rId55" Type="http://schemas.openxmlformats.org/officeDocument/2006/relationships/hyperlink" Target="http://www.nevo.co.il/case/10442453"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056366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3792839" TargetMode="External"/><Relationship Id="rId32" Type="http://schemas.openxmlformats.org/officeDocument/2006/relationships/hyperlink" Target="http://www.nevo.co.il/case/20909561" TargetMode="External"/><Relationship Id="rId37" Type="http://schemas.openxmlformats.org/officeDocument/2006/relationships/hyperlink" Target="http://www.nevo.co.il/law/70301/5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82" TargetMode="External"/><Relationship Id="rId53" Type="http://schemas.openxmlformats.org/officeDocument/2006/relationships/hyperlink" Target="http://www.nevo.co.il/case/23775111" TargetMode="External"/><Relationship Id="rId58" Type="http://schemas.openxmlformats.org/officeDocument/2006/relationships/hyperlink" Target="http://www.nevo.co.il/case/25137080"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case/25137080" TargetMode="External"/><Relationship Id="rId14" Type="http://schemas.openxmlformats.org/officeDocument/2006/relationships/hyperlink" Target="http://www.nevo.co.il/law/70301/82" TargetMode="External"/><Relationship Id="rId22" Type="http://schemas.openxmlformats.org/officeDocument/2006/relationships/hyperlink" Target="http://www.nevo.co.il/case/23750765" TargetMode="External"/><Relationship Id="rId27" Type="http://schemas.openxmlformats.org/officeDocument/2006/relationships/hyperlink" Target="http://www.nevo.co.il/case/25747404" TargetMode="External"/><Relationship Id="rId30" Type="http://schemas.openxmlformats.org/officeDocument/2006/relationships/hyperlink" Target="http://www.nevo.co.il/case/20721424" TargetMode="External"/><Relationship Id="rId35" Type="http://schemas.openxmlformats.org/officeDocument/2006/relationships/hyperlink" Target="http://www.nevo.co.il/law/70301/85"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5137080" TargetMode="External"/><Relationship Id="rId56" Type="http://schemas.openxmlformats.org/officeDocument/2006/relationships/hyperlink" Target="http://www.nevo.co.il/case/26905917"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5937094" TargetMode="External"/><Relationship Id="rId3" Type="http://schemas.openxmlformats.org/officeDocument/2006/relationships/settings" Target="settings.xml"/><Relationship Id="rId12" Type="http://schemas.openxmlformats.org/officeDocument/2006/relationships/hyperlink" Target="http://www.nevo.co.il/law/70301/55"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106875" TargetMode="External"/><Relationship Id="rId33" Type="http://schemas.openxmlformats.org/officeDocument/2006/relationships/hyperlink" Target="http://www.nevo.co.il/case/766413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case/20683594" TargetMode="External"/><Relationship Id="rId41" Type="http://schemas.openxmlformats.org/officeDocument/2006/relationships/hyperlink" Target="http://www.nevo.co.il/law/70301/82" TargetMode="External"/><Relationship Id="rId54" Type="http://schemas.openxmlformats.org/officeDocument/2006/relationships/hyperlink" Target="http://www.nevo.co.il/case/21475024"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85" TargetMode="External"/><Relationship Id="rId23" Type="http://schemas.openxmlformats.org/officeDocument/2006/relationships/hyperlink" Target="http://www.nevo.co.il/case/11279208" TargetMode="External"/><Relationship Id="rId28" Type="http://schemas.openxmlformats.org/officeDocument/2006/relationships/hyperlink" Target="http://www.nevo.co.il/case/22183615"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358474" TargetMode="External"/><Relationship Id="rId57" Type="http://schemas.openxmlformats.org/officeDocument/2006/relationships/hyperlink" Target="http://www.nevo.co.il/case/26777766"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20551220" TargetMode="External"/><Relationship Id="rId44" Type="http://schemas.openxmlformats.org/officeDocument/2006/relationships/hyperlink" Target="http://www.nevo.co.il/case/27922160" TargetMode="External"/><Relationship Id="rId52" Type="http://schemas.openxmlformats.org/officeDocument/2006/relationships/hyperlink" Target="http://www.nevo.co.il/case/6089504"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56" TargetMode="External"/><Relationship Id="rId18" Type="http://schemas.openxmlformats.org/officeDocument/2006/relationships/hyperlink" Target="http://www.nevo.co.il/law/4216/10" TargetMode="External"/><Relationship Id="rId39" Type="http://schemas.openxmlformats.org/officeDocument/2006/relationships/hyperlink" Target="http://www.nevo.co.il/law/70301/5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4742</Words>
  <Characters>23710</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28396</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3932274</vt:i4>
      </vt:variant>
      <vt:variant>
        <vt:i4>153</vt:i4>
      </vt:variant>
      <vt:variant>
        <vt:i4>0</vt:i4>
      </vt:variant>
      <vt:variant>
        <vt:i4>5</vt:i4>
      </vt:variant>
      <vt:variant>
        <vt:lpwstr>http://www.nevo.co.il/case/25137080</vt:lpwstr>
      </vt:variant>
      <vt:variant>
        <vt:lpwstr/>
      </vt:variant>
      <vt:variant>
        <vt:i4>3407986</vt:i4>
      </vt:variant>
      <vt:variant>
        <vt:i4>150</vt:i4>
      </vt:variant>
      <vt:variant>
        <vt:i4>0</vt:i4>
      </vt:variant>
      <vt:variant>
        <vt:i4>5</vt:i4>
      </vt:variant>
      <vt:variant>
        <vt:lpwstr>http://www.nevo.co.il/case/26777766</vt:lpwstr>
      </vt:variant>
      <vt:variant>
        <vt:lpwstr/>
      </vt:variant>
      <vt:variant>
        <vt:i4>4128891</vt:i4>
      </vt:variant>
      <vt:variant>
        <vt:i4>147</vt:i4>
      </vt:variant>
      <vt:variant>
        <vt:i4>0</vt:i4>
      </vt:variant>
      <vt:variant>
        <vt:i4>5</vt:i4>
      </vt:variant>
      <vt:variant>
        <vt:lpwstr>http://www.nevo.co.il/case/26905917</vt:lpwstr>
      </vt:variant>
      <vt:variant>
        <vt:lpwstr/>
      </vt:variant>
      <vt:variant>
        <vt:i4>3276916</vt:i4>
      </vt:variant>
      <vt:variant>
        <vt:i4>144</vt:i4>
      </vt:variant>
      <vt:variant>
        <vt:i4>0</vt:i4>
      </vt:variant>
      <vt:variant>
        <vt:i4>5</vt:i4>
      </vt:variant>
      <vt:variant>
        <vt:lpwstr>http://www.nevo.co.il/case/10442453</vt:lpwstr>
      </vt:variant>
      <vt:variant>
        <vt:lpwstr/>
      </vt:variant>
      <vt:variant>
        <vt:i4>3211378</vt:i4>
      </vt:variant>
      <vt:variant>
        <vt:i4>141</vt:i4>
      </vt:variant>
      <vt:variant>
        <vt:i4>0</vt:i4>
      </vt:variant>
      <vt:variant>
        <vt:i4>5</vt:i4>
      </vt:variant>
      <vt:variant>
        <vt:lpwstr>http://www.nevo.co.il/case/21475024</vt:lpwstr>
      </vt:variant>
      <vt:variant>
        <vt:lpwstr/>
      </vt:variant>
      <vt:variant>
        <vt:i4>3211377</vt:i4>
      </vt:variant>
      <vt:variant>
        <vt:i4>138</vt:i4>
      </vt:variant>
      <vt:variant>
        <vt:i4>0</vt:i4>
      </vt:variant>
      <vt:variant>
        <vt:i4>5</vt:i4>
      </vt:variant>
      <vt:variant>
        <vt:lpwstr>http://www.nevo.co.il/case/23775111</vt:lpwstr>
      </vt:variant>
      <vt:variant>
        <vt:lpwstr/>
      </vt:variant>
      <vt:variant>
        <vt:i4>4128893</vt:i4>
      </vt:variant>
      <vt:variant>
        <vt:i4>135</vt:i4>
      </vt:variant>
      <vt:variant>
        <vt:i4>0</vt:i4>
      </vt:variant>
      <vt:variant>
        <vt:i4>5</vt:i4>
      </vt:variant>
      <vt:variant>
        <vt:lpwstr>http://www.nevo.co.il/case/6089504</vt:lpwstr>
      </vt:variant>
      <vt:variant>
        <vt:lpwstr/>
      </vt:variant>
      <vt:variant>
        <vt:i4>3276915</vt:i4>
      </vt:variant>
      <vt:variant>
        <vt:i4>132</vt:i4>
      </vt:variant>
      <vt:variant>
        <vt:i4>0</vt:i4>
      </vt:variant>
      <vt:variant>
        <vt:i4>5</vt:i4>
      </vt:variant>
      <vt:variant>
        <vt:lpwstr>http://www.nevo.co.il/case/5937094</vt:lpwstr>
      </vt:variant>
      <vt:variant>
        <vt:lpwstr/>
      </vt:variant>
      <vt:variant>
        <vt:i4>3932273</vt:i4>
      </vt:variant>
      <vt:variant>
        <vt:i4>129</vt:i4>
      </vt:variant>
      <vt:variant>
        <vt:i4>0</vt:i4>
      </vt:variant>
      <vt:variant>
        <vt:i4>5</vt:i4>
      </vt:variant>
      <vt:variant>
        <vt:lpwstr>http://www.nevo.co.il/case/21037797</vt:lpwstr>
      </vt:variant>
      <vt:variant>
        <vt:lpwstr/>
      </vt:variant>
      <vt:variant>
        <vt:i4>4063347</vt:i4>
      </vt:variant>
      <vt:variant>
        <vt:i4>126</vt:i4>
      </vt:variant>
      <vt:variant>
        <vt:i4>0</vt:i4>
      </vt:variant>
      <vt:variant>
        <vt:i4>5</vt:i4>
      </vt:variant>
      <vt:variant>
        <vt:lpwstr>http://www.nevo.co.il/case/26358474</vt:lpwstr>
      </vt:variant>
      <vt:variant>
        <vt:lpwstr/>
      </vt:variant>
      <vt:variant>
        <vt:i4>3932274</vt:i4>
      </vt:variant>
      <vt:variant>
        <vt:i4>123</vt:i4>
      </vt:variant>
      <vt:variant>
        <vt:i4>0</vt:i4>
      </vt:variant>
      <vt:variant>
        <vt:i4>5</vt:i4>
      </vt:variant>
      <vt:variant>
        <vt:lpwstr>http://www.nevo.co.il/case/25137080</vt:lpwstr>
      </vt:variant>
      <vt:variant>
        <vt:lpwstr/>
      </vt:variant>
      <vt:variant>
        <vt:i4>3604599</vt:i4>
      </vt:variant>
      <vt:variant>
        <vt:i4>120</vt:i4>
      </vt:variant>
      <vt:variant>
        <vt:i4>0</vt:i4>
      </vt:variant>
      <vt:variant>
        <vt:i4>5</vt:i4>
      </vt:variant>
      <vt:variant>
        <vt:lpwstr>http://www.nevo.co.il/case/20724164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6750317</vt:i4>
      </vt:variant>
      <vt:variant>
        <vt:i4>114</vt:i4>
      </vt:variant>
      <vt:variant>
        <vt:i4>0</vt:i4>
      </vt:variant>
      <vt:variant>
        <vt:i4>5</vt:i4>
      </vt:variant>
      <vt:variant>
        <vt:lpwstr>http://www.nevo.co.il/law/70301/82</vt:lpwstr>
      </vt:variant>
      <vt:variant>
        <vt:lpwstr/>
      </vt:variant>
      <vt:variant>
        <vt:i4>4128880</vt:i4>
      </vt:variant>
      <vt:variant>
        <vt:i4>111</vt:i4>
      </vt:variant>
      <vt:variant>
        <vt:i4>0</vt:i4>
      </vt:variant>
      <vt:variant>
        <vt:i4>5</vt:i4>
      </vt:variant>
      <vt:variant>
        <vt:lpwstr>http://www.nevo.co.il/case/27922160</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6291565</vt:i4>
      </vt:variant>
      <vt:variant>
        <vt:i4>105</vt:i4>
      </vt:variant>
      <vt:variant>
        <vt:i4>0</vt:i4>
      </vt:variant>
      <vt:variant>
        <vt:i4>5</vt:i4>
      </vt:variant>
      <vt:variant>
        <vt:lpwstr>http://www.nevo.co.il/law/70301/85</vt:lpwstr>
      </vt:variant>
      <vt:variant>
        <vt:lpwstr/>
      </vt:variant>
      <vt:variant>
        <vt:i4>6750317</vt:i4>
      </vt:variant>
      <vt:variant>
        <vt:i4>102</vt:i4>
      </vt:variant>
      <vt:variant>
        <vt:i4>0</vt:i4>
      </vt:variant>
      <vt:variant>
        <vt:i4>5</vt:i4>
      </vt:variant>
      <vt:variant>
        <vt:lpwstr>http://www.nevo.co.il/law/70301/82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6488160</vt:i4>
      </vt:variant>
      <vt:variant>
        <vt:i4>96</vt:i4>
      </vt:variant>
      <vt:variant>
        <vt:i4>0</vt:i4>
      </vt:variant>
      <vt:variant>
        <vt:i4>5</vt:i4>
      </vt:variant>
      <vt:variant>
        <vt:lpwstr>http://www.nevo.co.il/law/70301/56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6291552</vt:i4>
      </vt:variant>
      <vt:variant>
        <vt:i4>90</vt:i4>
      </vt:variant>
      <vt:variant>
        <vt:i4>0</vt:i4>
      </vt:variant>
      <vt:variant>
        <vt:i4>5</vt:i4>
      </vt:variant>
      <vt:variant>
        <vt:lpwstr>http://www.nevo.co.il/law/70301/55</vt:lpwstr>
      </vt:variant>
      <vt:variant>
        <vt:lpwstr/>
      </vt:variant>
      <vt:variant>
        <vt:i4>7995492</vt:i4>
      </vt:variant>
      <vt:variant>
        <vt:i4>87</vt:i4>
      </vt:variant>
      <vt:variant>
        <vt:i4>0</vt:i4>
      </vt:variant>
      <vt:variant>
        <vt:i4>5</vt:i4>
      </vt:variant>
      <vt:variant>
        <vt:lpwstr>http://www.nevo.co.il/law/70301</vt:lpwstr>
      </vt:variant>
      <vt:variant>
        <vt:lpwstr/>
      </vt:variant>
      <vt:variant>
        <vt:i4>6291565</vt:i4>
      </vt:variant>
      <vt:variant>
        <vt:i4>84</vt:i4>
      </vt:variant>
      <vt:variant>
        <vt:i4>0</vt:i4>
      </vt:variant>
      <vt:variant>
        <vt:i4>5</vt:i4>
      </vt:variant>
      <vt:variant>
        <vt:lpwstr>http://www.nevo.co.il/law/70301/85</vt:lpwstr>
      </vt:variant>
      <vt:variant>
        <vt:lpwstr/>
      </vt:variant>
      <vt:variant>
        <vt:i4>4063345</vt:i4>
      </vt:variant>
      <vt:variant>
        <vt:i4>81</vt:i4>
      </vt:variant>
      <vt:variant>
        <vt:i4>0</vt:i4>
      </vt:variant>
      <vt:variant>
        <vt:i4>5</vt:i4>
      </vt:variant>
      <vt:variant>
        <vt:lpwstr>http://www.nevo.co.il/case/21976333</vt:lpwstr>
      </vt:variant>
      <vt:variant>
        <vt:lpwstr/>
      </vt:variant>
      <vt:variant>
        <vt:i4>3211381</vt:i4>
      </vt:variant>
      <vt:variant>
        <vt:i4>78</vt:i4>
      </vt:variant>
      <vt:variant>
        <vt:i4>0</vt:i4>
      </vt:variant>
      <vt:variant>
        <vt:i4>5</vt:i4>
      </vt:variant>
      <vt:variant>
        <vt:lpwstr>http://www.nevo.co.il/case/7664131</vt:lpwstr>
      </vt:variant>
      <vt:variant>
        <vt:lpwstr/>
      </vt:variant>
      <vt:variant>
        <vt:i4>3407985</vt:i4>
      </vt:variant>
      <vt:variant>
        <vt:i4>75</vt:i4>
      </vt:variant>
      <vt:variant>
        <vt:i4>0</vt:i4>
      </vt:variant>
      <vt:variant>
        <vt:i4>5</vt:i4>
      </vt:variant>
      <vt:variant>
        <vt:lpwstr>http://www.nevo.co.il/case/20909561</vt:lpwstr>
      </vt:variant>
      <vt:variant>
        <vt:lpwstr/>
      </vt:variant>
      <vt:variant>
        <vt:i4>3407987</vt:i4>
      </vt:variant>
      <vt:variant>
        <vt:i4>72</vt:i4>
      </vt:variant>
      <vt:variant>
        <vt:i4>0</vt:i4>
      </vt:variant>
      <vt:variant>
        <vt:i4>5</vt:i4>
      </vt:variant>
      <vt:variant>
        <vt:lpwstr>http://www.nevo.co.il/case/20551220</vt:lpwstr>
      </vt:variant>
      <vt:variant>
        <vt:lpwstr/>
      </vt:variant>
      <vt:variant>
        <vt:i4>3539058</vt:i4>
      </vt:variant>
      <vt:variant>
        <vt:i4>69</vt:i4>
      </vt:variant>
      <vt:variant>
        <vt:i4>0</vt:i4>
      </vt:variant>
      <vt:variant>
        <vt:i4>5</vt:i4>
      </vt:variant>
      <vt:variant>
        <vt:lpwstr>http://www.nevo.co.il/case/20721424</vt:lpwstr>
      </vt:variant>
      <vt:variant>
        <vt:lpwstr/>
      </vt:variant>
      <vt:variant>
        <vt:i4>3276916</vt:i4>
      </vt:variant>
      <vt:variant>
        <vt:i4>66</vt:i4>
      </vt:variant>
      <vt:variant>
        <vt:i4>0</vt:i4>
      </vt:variant>
      <vt:variant>
        <vt:i4>5</vt:i4>
      </vt:variant>
      <vt:variant>
        <vt:lpwstr>http://www.nevo.co.il/case/20563667</vt:lpwstr>
      </vt:variant>
      <vt:variant>
        <vt:lpwstr/>
      </vt:variant>
      <vt:variant>
        <vt:i4>3211384</vt:i4>
      </vt:variant>
      <vt:variant>
        <vt:i4>63</vt:i4>
      </vt:variant>
      <vt:variant>
        <vt:i4>0</vt:i4>
      </vt:variant>
      <vt:variant>
        <vt:i4>5</vt:i4>
      </vt:variant>
      <vt:variant>
        <vt:lpwstr>http://www.nevo.co.il/case/22183615</vt:lpwstr>
      </vt:variant>
      <vt:variant>
        <vt:lpwstr/>
      </vt:variant>
      <vt:variant>
        <vt:i4>3276913</vt:i4>
      </vt:variant>
      <vt:variant>
        <vt:i4>60</vt:i4>
      </vt:variant>
      <vt:variant>
        <vt:i4>0</vt:i4>
      </vt:variant>
      <vt:variant>
        <vt:i4>5</vt:i4>
      </vt:variant>
      <vt:variant>
        <vt:lpwstr>http://www.nevo.co.il/case/25747404</vt:lpwstr>
      </vt:variant>
      <vt:variant>
        <vt:lpwstr/>
      </vt:variant>
      <vt:variant>
        <vt:i4>3670129</vt:i4>
      </vt:variant>
      <vt:variant>
        <vt:i4>57</vt:i4>
      </vt:variant>
      <vt:variant>
        <vt:i4>0</vt:i4>
      </vt:variant>
      <vt:variant>
        <vt:i4>5</vt:i4>
      </vt:variant>
      <vt:variant>
        <vt:lpwstr>http://www.nevo.co.il/case/16879489</vt:lpwstr>
      </vt:variant>
      <vt:variant>
        <vt:lpwstr/>
      </vt:variant>
      <vt:variant>
        <vt:i4>3276924</vt:i4>
      </vt:variant>
      <vt:variant>
        <vt:i4>54</vt:i4>
      </vt:variant>
      <vt:variant>
        <vt:i4>0</vt:i4>
      </vt:variant>
      <vt:variant>
        <vt:i4>5</vt:i4>
      </vt:variant>
      <vt:variant>
        <vt:lpwstr>http://www.nevo.co.il/case/20106875</vt:lpwstr>
      </vt:variant>
      <vt:variant>
        <vt:lpwstr/>
      </vt:variant>
      <vt:variant>
        <vt:i4>3407990</vt:i4>
      </vt:variant>
      <vt:variant>
        <vt:i4>51</vt:i4>
      </vt:variant>
      <vt:variant>
        <vt:i4>0</vt:i4>
      </vt:variant>
      <vt:variant>
        <vt:i4>5</vt:i4>
      </vt:variant>
      <vt:variant>
        <vt:lpwstr>http://www.nevo.co.il/case/23792839</vt:lpwstr>
      </vt:variant>
      <vt:variant>
        <vt:lpwstr/>
      </vt:variant>
      <vt:variant>
        <vt:i4>3801200</vt:i4>
      </vt:variant>
      <vt:variant>
        <vt:i4>48</vt:i4>
      </vt:variant>
      <vt:variant>
        <vt:i4>0</vt:i4>
      </vt:variant>
      <vt:variant>
        <vt:i4>5</vt:i4>
      </vt:variant>
      <vt:variant>
        <vt:lpwstr>http://www.nevo.co.il/case/11279208</vt:lpwstr>
      </vt:variant>
      <vt:variant>
        <vt:lpwstr/>
      </vt:variant>
      <vt:variant>
        <vt:i4>3342453</vt:i4>
      </vt:variant>
      <vt:variant>
        <vt:i4>45</vt:i4>
      </vt:variant>
      <vt:variant>
        <vt:i4>0</vt:i4>
      </vt:variant>
      <vt:variant>
        <vt:i4>5</vt:i4>
      </vt:variant>
      <vt:variant>
        <vt:lpwstr>http://www.nevo.co.il/case/23750765</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3932274</vt:i4>
      </vt:variant>
      <vt:variant>
        <vt:i4>36</vt:i4>
      </vt:variant>
      <vt:variant>
        <vt:i4>0</vt:i4>
      </vt:variant>
      <vt:variant>
        <vt:i4>5</vt:i4>
      </vt:variant>
      <vt:variant>
        <vt:lpwstr>http://www.nevo.co.il/case/25137080</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6291565</vt:i4>
      </vt:variant>
      <vt:variant>
        <vt:i4>24</vt:i4>
      </vt:variant>
      <vt:variant>
        <vt:i4>0</vt:i4>
      </vt:variant>
      <vt:variant>
        <vt:i4>5</vt:i4>
      </vt:variant>
      <vt:variant>
        <vt:lpwstr>http://www.nevo.co.il/law/70301/85</vt:lpwstr>
      </vt:variant>
      <vt:variant>
        <vt:lpwstr/>
      </vt:variant>
      <vt:variant>
        <vt:i4>6750317</vt:i4>
      </vt:variant>
      <vt:variant>
        <vt:i4>21</vt:i4>
      </vt:variant>
      <vt:variant>
        <vt:i4>0</vt:i4>
      </vt:variant>
      <vt:variant>
        <vt:i4>5</vt:i4>
      </vt:variant>
      <vt:variant>
        <vt:lpwstr>http://www.nevo.co.il/law/70301/82</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6291552</vt:i4>
      </vt:variant>
      <vt:variant>
        <vt:i4>15</vt:i4>
      </vt:variant>
      <vt:variant>
        <vt:i4>0</vt:i4>
      </vt:variant>
      <vt:variant>
        <vt:i4>5</vt:i4>
      </vt:variant>
      <vt:variant>
        <vt:lpwstr>http://www.nevo.co.il/law/70301/55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61370</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אלירן בסט</vt:lpwstr>
  </property>
  <property fmtid="{D5CDD505-2E9C-101B-9397-08002B2CF9AE}" pid="10" name="LAWYER">
    <vt:lpwstr>רותם נבון פסחה;קריטי</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20230327</vt:lpwstr>
  </property>
  <property fmtid="{D5CDD505-2E9C-101B-9397-08002B2CF9AE}" pid="14" name="TYPE_N_DATE">
    <vt:lpwstr>38020230327</vt:lpwstr>
  </property>
  <property fmtid="{D5CDD505-2E9C-101B-9397-08002B2CF9AE}" pid="15" name="WORDNUMPAGES">
    <vt:lpwstr>15</vt:lpwstr>
  </property>
  <property fmtid="{D5CDD505-2E9C-101B-9397-08002B2CF9AE}" pid="16" name="TYPE_ABS_DATE">
    <vt:lpwstr>380020230327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25137080:3;20683594;5738608;23750765;11279208;23792839;20106875;16879489;25747404;22183615;20563667;20721424;20551220;20909561;7664131;21976333;27922160;20724164;26358474;21037797;5937094;6089504;23775111;21475024;10442453;26905917;26777766</vt:lpwstr>
  </property>
  <property fmtid="{D5CDD505-2E9C-101B-9397-08002B2CF9AE}" pid="36" name="LAWLISTTMP1">
    <vt:lpwstr>4216/007.a;007.c;010</vt:lpwstr>
  </property>
  <property fmtid="{D5CDD505-2E9C-101B-9397-08002B2CF9AE}" pid="37" name="LAWLISTTMP2">
    <vt:lpwstr>70301/085:2;055;056;082:2</vt:lpwstr>
  </property>
</Properties>
</file>