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6"/>
        <w:gridCol w:w="3666"/>
        <w:gridCol w:w="99"/>
      </w:tblGrid>
      <w:tr w:rsidR="00E54263" w:rsidRPr="0008424B" w14:paraId="00F41174" w14:textId="77777777" w:rsidTr="00892032">
        <w:trPr>
          <w:gridAfter w:val="1"/>
          <w:wAfter w:w="99" w:type="dxa"/>
          <w:trHeight w:hRule="exact" w:val="418"/>
          <w:jc w:val="center"/>
        </w:trPr>
        <w:tc>
          <w:tcPr>
            <w:tcW w:w="8721" w:type="dxa"/>
            <w:gridSpan w:val="4"/>
          </w:tcPr>
          <w:p w14:paraId="76644D3D" w14:textId="77777777" w:rsidR="00E54263" w:rsidRPr="0008424B" w:rsidRDefault="00E54263" w:rsidP="00E95F32">
            <w:pPr>
              <w:pStyle w:val="a3"/>
              <w:jc w:val="center"/>
              <w:rPr>
                <w:rFonts w:ascii="Tahoma" w:hAnsi="Tahoma" w:cs="Tahoma"/>
                <w:color w:val="000080"/>
                <w:rtl/>
              </w:rPr>
            </w:pPr>
            <w:bookmarkStart w:id="0" w:name="FirstLawyer"/>
            <w:bookmarkStart w:id="1" w:name="LastJudge"/>
            <w:r w:rsidRPr="0008424B">
              <w:rPr>
                <w:rFonts w:ascii="Tahoma" w:hAnsi="Tahoma" w:cs="Tahoma"/>
                <w:b/>
                <w:bCs/>
                <w:color w:val="000080"/>
                <w:rtl/>
              </w:rPr>
              <w:t>בית משפט השלום בראשון לציון</w:t>
            </w:r>
          </w:p>
        </w:tc>
      </w:tr>
      <w:tr w:rsidR="00E54263" w:rsidRPr="0008424B" w14:paraId="15642B1B" w14:textId="77777777" w:rsidTr="00892032">
        <w:trPr>
          <w:gridAfter w:val="1"/>
          <w:wAfter w:w="99" w:type="dxa"/>
          <w:trHeight w:val="337"/>
          <w:jc w:val="center"/>
        </w:trPr>
        <w:tc>
          <w:tcPr>
            <w:tcW w:w="5055" w:type="dxa"/>
            <w:gridSpan w:val="3"/>
          </w:tcPr>
          <w:p w14:paraId="2E4E3F05" w14:textId="77777777" w:rsidR="00E54263" w:rsidRPr="0008424B" w:rsidRDefault="00E54263" w:rsidP="00E95F32">
            <w:pPr>
              <w:rPr>
                <w:rFonts w:cs="FrankRuehl"/>
                <w:sz w:val="28"/>
                <w:szCs w:val="28"/>
                <w:rtl/>
              </w:rPr>
            </w:pPr>
            <w:r w:rsidRPr="0008424B">
              <w:rPr>
                <w:rFonts w:cs="FrankRuehl"/>
                <w:sz w:val="28"/>
                <w:szCs w:val="28"/>
                <w:rtl/>
              </w:rPr>
              <w:t>ת"פ</w:t>
            </w:r>
            <w:r w:rsidRPr="0008424B">
              <w:rPr>
                <w:rFonts w:cs="FrankRuehl" w:hint="cs"/>
                <w:sz w:val="28"/>
                <w:szCs w:val="28"/>
                <w:rtl/>
              </w:rPr>
              <w:t xml:space="preserve"> </w:t>
            </w:r>
            <w:r w:rsidRPr="0008424B">
              <w:rPr>
                <w:rFonts w:cs="FrankRuehl"/>
                <w:sz w:val="28"/>
                <w:szCs w:val="28"/>
                <w:rtl/>
              </w:rPr>
              <w:t>14642-11-20</w:t>
            </w:r>
            <w:r w:rsidRPr="0008424B">
              <w:rPr>
                <w:rFonts w:cs="FrankRuehl" w:hint="cs"/>
                <w:sz w:val="28"/>
                <w:szCs w:val="28"/>
                <w:rtl/>
              </w:rPr>
              <w:t xml:space="preserve"> </w:t>
            </w:r>
            <w:r w:rsidRPr="0008424B">
              <w:rPr>
                <w:rFonts w:cs="FrankRuehl"/>
                <w:sz w:val="28"/>
                <w:szCs w:val="28"/>
                <w:rtl/>
              </w:rPr>
              <w:t>מדינת ישראל נ' קבישצ'ר</w:t>
            </w:r>
          </w:p>
          <w:p w14:paraId="0AD47F48" w14:textId="77777777" w:rsidR="00E54263" w:rsidRPr="0008424B" w:rsidRDefault="00E54263" w:rsidP="00E95F32">
            <w:pPr>
              <w:pStyle w:val="a3"/>
              <w:rPr>
                <w:rFonts w:cs="FrankRuehl"/>
                <w:sz w:val="28"/>
                <w:szCs w:val="28"/>
                <w:rtl/>
              </w:rPr>
            </w:pPr>
          </w:p>
        </w:tc>
        <w:tc>
          <w:tcPr>
            <w:tcW w:w="3666" w:type="dxa"/>
          </w:tcPr>
          <w:p w14:paraId="1523B1AE" w14:textId="77777777" w:rsidR="00E54263" w:rsidRPr="0008424B" w:rsidRDefault="00E54263" w:rsidP="00E95F32">
            <w:pPr>
              <w:pStyle w:val="a3"/>
              <w:jc w:val="right"/>
              <w:rPr>
                <w:rFonts w:cs="FrankRuehl"/>
                <w:sz w:val="28"/>
                <w:szCs w:val="28"/>
                <w:rtl/>
              </w:rPr>
            </w:pPr>
          </w:p>
        </w:tc>
      </w:tr>
      <w:tr w:rsidR="00E54263" w:rsidRPr="0008424B" w14:paraId="4049A843" w14:textId="77777777" w:rsidTr="008920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ED66032" w14:textId="77777777" w:rsidR="00E54263" w:rsidRPr="0008424B" w:rsidRDefault="00E54263" w:rsidP="00E54263">
            <w:pPr>
              <w:spacing w:line="360" w:lineRule="auto"/>
              <w:jc w:val="both"/>
              <w:rPr>
                <w:rFonts w:ascii="David" w:hAnsi="David"/>
                <w:sz w:val="26"/>
                <w:szCs w:val="26"/>
              </w:rPr>
            </w:pPr>
            <w:r w:rsidRPr="0008424B">
              <w:rPr>
                <w:rFonts w:hint="cs"/>
                <w:rtl/>
              </w:rPr>
              <w:t xml:space="preserve"> </w:t>
            </w:r>
            <w:r w:rsidRPr="0008424B">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413534E5" w14:textId="77777777" w:rsidR="00E54263" w:rsidRPr="0008424B" w:rsidRDefault="00E54263" w:rsidP="00E54263">
            <w:pPr>
              <w:spacing w:line="360" w:lineRule="auto"/>
              <w:rPr>
                <w:rFonts w:ascii="David" w:hAnsi="David"/>
                <w:sz w:val="26"/>
                <w:szCs w:val="26"/>
                <w:rtl/>
              </w:rPr>
            </w:pPr>
            <w:r w:rsidRPr="0008424B">
              <w:rPr>
                <w:rFonts w:ascii="David" w:hAnsi="David"/>
                <w:b/>
                <w:bCs/>
                <w:sz w:val="26"/>
                <w:szCs w:val="26"/>
                <w:rtl/>
              </w:rPr>
              <w:t>כבוד ה</w:t>
            </w:r>
            <w:r w:rsidRPr="0008424B">
              <w:rPr>
                <w:rFonts w:ascii="David" w:hAnsi="David" w:hint="cs"/>
                <w:b/>
                <w:bCs/>
                <w:sz w:val="26"/>
                <w:szCs w:val="26"/>
                <w:rtl/>
              </w:rPr>
              <w:t>שופטת הבכירה,</w:t>
            </w:r>
            <w:r w:rsidRPr="0008424B">
              <w:rPr>
                <w:rFonts w:ascii="David" w:hAnsi="David"/>
                <w:b/>
                <w:bCs/>
                <w:sz w:val="26"/>
                <w:szCs w:val="26"/>
                <w:rtl/>
              </w:rPr>
              <w:t xml:space="preserve"> טל אוסטפלד נאוי</w:t>
            </w:r>
          </w:p>
          <w:p w14:paraId="313B055E" w14:textId="77777777" w:rsidR="00E54263" w:rsidRPr="0008424B" w:rsidRDefault="00E54263" w:rsidP="00E54263">
            <w:pPr>
              <w:spacing w:line="360" w:lineRule="auto"/>
              <w:jc w:val="both"/>
              <w:rPr>
                <w:rFonts w:ascii="David" w:hAnsi="David"/>
                <w:sz w:val="26"/>
                <w:szCs w:val="26"/>
              </w:rPr>
            </w:pPr>
          </w:p>
        </w:tc>
      </w:tr>
      <w:tr w:rsidR="00E54263" w:rsidRPr="0008424B" w14:paraId="13FB087C" w14:textId="77777777" w:rsidTr="008920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4C8E642" w14:textId="77777777" w:rsidR="00E54263" w:rsidRPr="0008424B" w:rsidRDefault="00E54263" w:rsidP="00E54263">
            <w:pPr>
              <w:spacing w:line="360" w:lineRule="auto"/>
              <w:jc w:val="both"/>
              <w:rPr>
                <w:rFonts w:ascii="David" w:hAnsi="David"/>
                <w:sz w:val="26"/>
                <w:szCs w:val="26"/>
              </w:rPr>
            </w:pPr>
            <w:bookmarkStart w:id="2" w:name="FirstAppellant"/>
          </w:p>
        </w:tc>
        <w:tc>
          <w:tcPr>
            <w:tcW w:w="4126" w:type="dxa"/>
            <w:tcBorders>
              <w:top w:val="nil"/>
              <w:left w:val="nil"/>
              <w:bottom w:val="nil"/>
              <w:right w:val="nil"/>
            </w:tcBorders>
            <w:shd w:val="clear" w:color="auto" w:fill="auto"/>
          </w:tcPr>
          <w:p w14:paraId="0A365C9A" w14:textId="77777777" w:rsidR="00E54263" w:rsidRPr="0008424B" w:rsidRDefault="00E54263" w:rsidP="00E54263">
            <w:pPr>
              <w:spacing w:line="360" w:lineRule="auto"/>
              <w:rPr>
                <w:rFonts w:ascii="David" w:hAnsi="David"/>
                <w:sz w:val="26"/>
                <w:szCs w:val="26"/>
                <w:rtl/>
              </w:rPr>
            </w:pPr>
            <w:r w:rsidRPr="0008424B">
              <w:rPr>
                <w:rFonts w:ascii="David" w:hAnsi="David"/>
                <w:sz w:val="26"/>
                <w:szCs w:val="26"/>
                <w:rtl/>
              </w:rPr>
              <w:t>המאשימה</w:t>
            </w:r>
          </w:p>
        </w:tc>
        <w:tc>
          <w:tcPr>
            <w:tcW w:w="3771" w:type="dxa"/>
            <w:gridSpan w:val="3"/>
            <w:tcBorders>
              <w:top w:val="nil"/>
              <w:left w:val="nil"/>
              <w:bottom w:val="nil"/>
              <w:right w:val="nil"/>
            </w:tcBorders>
            <w:shd w:val="clear" w:color="auto" w:fill="auto"/>
          </w:tcPr>
          <w:p w14:paraId="628B45A0" w14:textId="77777777" w:rsidR="00E54263" w:rsidRPr="0008424B" w:rsidRDefault="00E54263" w:rsidP="00E54263">
            <w:pPr>
              <w:spacing w:line="360" w:lineRule="auto"/>
              <w:rPr>
                <w:rFonts w:ascii="David" w:hAnsi="David"/>
                <w:sz w:val="26"/>
                <w:szCs w:val="26"/>
              </w:rPr>
            </w:pPr>
            <w:r w:rsidRPr="0008424B">
              <w:rPr>
                <w:rFonts w:ascii="David" w:hAnsi="David"/>
                <w:sz w:val="26"/>
                <w:szCs w:val="26"/>
                <w:rtl/>
              </w:rPr>
              <w:t>מדינת ישראל</w:t>
            </w:r>
            <w:r w:rsidRPr="0008424B">
              <w:rPr>
                <w:rFonts w:ascii="David" w:hAnsi="David"/>
                <w:sz w:val="26"/>
                <w:szCs w:val="26"/>
                <w:rtl/>
              </w:rPr>
              <w:br/>
            </w:r>
            <w:r w:rsidRPr="0008424B">
              <w:rPr>
                <w:rFonts w:ascii="David" w:hAnsi="David" w:hint="cs"/>
                <w:sz w:val="26"/>
                <w:szCs w:val="26"/>
                <w:rtl/>
              </w:rPr>
              <w:t>ע"י שלוחת תביעות ראשל"צ</w:t>
            </w:r>
          </w:p>
        </w:tc>
      </w:tr>
      <w:bookmarkEnd w:id="2"/>
      <w:tr w:rsidR="00E54263" w:rsidRPr="0008424B" w14:paraId="01013354" w14:textId="77777777" w:rsidTr="008920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0812C1B" w14:textId="77777777" w:rsidR="00E54263" w:rsidRPr="0008424B" w:rsidRDefault="00E54263" w:rsidP="00E54263">
            <w:pPr>
              <w:spacing w:line="360" w:lineRule="auto"/>
              <w:jc w:val="both"/>
              <w:rPr>
                <w:rFonts w:ascii="David" w:hAnsi="David"/>
                <w:sz w:val="26"/>
                <w:szCs w:val="26"/>
                <w:rtl/>
              </w:rPr>
            </w:pPr>
          </w:p>
        </w:tc>
        <w:tc>
          <w:tcPr>
            <w:tcW w:w="7897" w:type="dxa"/>
            <w:gridSpan w:val="4"/>
            <w:tcBorders>
              <w:top w:val="nil"/>
              <w:left w:val="nil"/>
              <w:bottom w:val="nil"/>
              <w:right w:val="nil"/>
            </w:tcBorders>
            <w:shd w:val="clear" w:color="auto" w:fill="auto"/>
          </w:tcPr>
          <w:p w14:paraId="1685BDFC" w14:textId="77777777" w:rsidR="00E54263" w:rsidRPr="0008424B" w:rsidRDefault="00E54263" w:rsidP="00E54263">
            <w:pPr>
              <w:spacing w:line="360" w:lineRule="auto"/>
              <w:jc w:val="center"/>
              <w:rPr>
                <w:rFonts w:ascii="David" w:hAnsi="David"/>
                <w:b/>
                <w:bCs/>
                <w:sz w:val="26"/>
                <w:szCs w:val="26"/>
                <w:rtl/>
              </w:rPr>
            </w:pPr>
          </w:p>
          <w:p w14:paraId="23D62C8A" w14:textId="77777777" w:rsidR="00E54263" w:rsidRPr="0008424B" w:rsidRDefault="00E54263" w:rsidP="00E54263">
            <w:pPr>
              <w:spacing w:line="360" w:lineRule="auto"/>
              <w:jc w:val="center"/>
              <w:rPr>
                <w:rFonts w:ascii="David" w:hAnsi="David"/>
                <w:b/>
                <w:bCs/>
                <w:sz w:val="26"/>
                <w:szCs w:val="26"/>
                <w:rtl/>
              </w:rPr>
            </w:pPr>
            <w:r w:rsidRPr="0008424B">
              <w:rPr>
                <w:rFonts w:ascii="David" w:hAnsi="David"/>
                <w:b/>
                <w:bCs/>
                <w:sz w:val="26"/>
                <w:szCs w:val="26"/>
                <w:rtl/>
              </w:rPr>
              <w:t>נגד</w:t>
            </w:r>
          </w:p>
          <w:p w14:paraId="6A776240" w14:textId="77777777" w:rsidR="00E54263" w:rsidRPr="0008424B" w:rsidRDefault="00E54263" w:rsidP="00E54263">
            <w:pPr>
              <w:spacing w:line="360" w:lineRule="auto"/>
              <w:jc w:val="both"/>
              <w:rPr>
                <w:rFonts w:ascii="David" w:hAnsi="David"/>
                <w:sz w:val="26"/>
                <w:szCs w:val="26"/>
              </w:rPr>
            </w:pPr>
          </w:p>
        </w:tc>
      </w:tr>
      <w:tr w:rsidR="00E54263" w:rsidRPr="0008424B" w14:paraId="6DD94414" w14:textId="77777777" w:rsidTr="008920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61ADD95" w14:textId="77777777" w:rsidR="00E54263" w:rsidRPr="0008424B" w:rsidRDefault="00E54263" w:rsidP="00E54263">
            <w:pPr>
              <w:spacing w:line="360" w:lineRule="auto"/>
              <w:rPr>
                <w:rFonts w:ascii="David" w:hAnsi="David"/>
                <w:sz w:val="26"/>
                <w:szCs w:val="26"/>
                <w:rtl/>
              </w:rPr>
            </w:pPr>
          </w:p>
        </w:tc>
        <w:tc>
          <w:tcPr>
            <w:tcW w:w="4126" w:type="dxa"/>
            <w:tcBorders>
              <w:top w:val="nil"/>
              <w:left w:val="nil"/>
              <w:bottom w:val="nil"/>
              <w:right w:val="nil"/>
            </w:tcBorders>
            <w:shd w:val="clear" w:color="auto" w:fill="auto"/>
          </w:tcPr>
          <w:p w14:paraId="6FB35C38" w14:textId="77777777" w:rsidR="00E54263" w:rsidRPr="0008424B" w:rsidRDefault="00E54263" w:rsidP="00E54263">
            <w:pPr>
              <w:spacing w:line="360" w:lineRule="auto"/>
              <w:rPr>
                <w:rFonts w:ascii="David" w:hAnsi="David"/>
                <w:sz w:val="26"/>
                <w:szCs w:val="26"/>
                <w:rtl/>
              </w:rPr>
            </w:pPr>
            <w:r w:rsidRPr="0008424B">
              <w:rPr>
                <w:rFonts w:ascii="David" w:hAnsi="David"/>
                <w:sz w:val="26"/>
                <w:szCs w:val="26"/>
                <w:rtl/>
              </w:rPr>
              <w:t>הנאשם</w:t>
            </w:r>
          </w:p>
        </w:tc>
        <w:tc>
          <w:tcPr>
            <w:tcW w:w="3771" w:type="dxa"/>
            <w:gridSpan w:val="3"/>
            <w:tcBorders>
              <w:top w:val="nil"/>
              <w:left w:val="nil"/>
              <w:bottom w:val="nil"/>
              <w:right w:val="nil"/>
            </w:tcBorders>
            <w:shd w:val="clear" w:color="auto" w:fill="auto"/>
          </w:tcPr>
          <w:p w14:paraId="4EE5B370" w14:textId="77777777" w:rsidR="00E54263" w:rsidRPr="0008424B" w:rsidRDefault="00E54263" w:rsidP="00E54263">
            <w:pPr>
              <w:spacing w:line="360" w:lineRule="auto"/>
            </w:pPr>
            <w:r w:rsidRPr="0008424B">
              <w:rPr>
                <w:rFonts w:ascii="David" w:hAnsi="David"/>
                <w:sz w:val="26"/>
                <w:szCs w:val="26"/>
                <w:rtl/>
              </w:rPr>
              <w:t>בוריס קבישצ'ר</w:t>
            </w:r>
            <w:r w:rsidRPr="0008424B">
              <w:rPr>
                <w:rFonts w:ascii="David" w:hAnsi="David"/>
                <w:sz w:val="26"/>
                <w:szCs w:val="26"/>
                <w:rtl/>
              </w:rPr>
              <w:br/>
            </w:r>
            <w:r w:rsidRPr="0008424B">
              <w:rPr>
                <w:rFonts w:ascii="David" w:hAnsi="David" w:hint="cs"/>
                <w:sz w:val="26"/>
                <w:szCs w:val="26"/>
                <w:rtl/>
              </w:rPr>
              <w:t>ע"י ב"כ עו"ד יאנה קרויפמן</w:t>
            </w:r>
          </w:p>
          <w:p w14:paraId="5D219EE3" w14:textId="77777777" w:rsidR="00E54263" w:rsidRPr="0008424B" w:rsidRDefault="00E54263" w:rsidP="00E54263">
            <w:pPr>
              <w:spacing w:line="360" w:lineRule="auto"/>
              <w:rPr>
                <w:rFonts w:ascii="David" w:hAnsi="David"/>
                <w:sz w:val="26"/>
                <w:szCs w:val="26"/>
              </w:rPr>
            </w:pPr>
          </w:p>
        </w:tc>
      </w:tr>
    </w:tbl>
    <w:p w14:paraId="43159665" w14:textId="77777777" w:rsidR="00892032" w:rsidRPr="00892032" w:rsidRDefault="00892032" w:rsidP="00892032">
      <w:pPr>
        <w:spacing w:before="120" w:after="120" w:line="240" w:lineRule="exact"/>
        <w:ind w:left="283" w:hanging="283"/>
        <w:jc w:val="both"/>
        <w:rPr>
          <w:rFonts w:ascii="FrankRuehl" w:hAnsi="FrankRuehl" w:cs="FrankRuehl"/>
          <w:rtl/>
        </w:rPr>
      </w:pPr>
    </w:p>
    <w:p w14:paraId="2E378685" w14:textId="77777777" w:rsidR="00A313F3" w:rsidRPr="00A313F3" w:rsidRDefault="00A313F3" w:rsidP="00A313F3">
      <w:pPr>
        <w:spacing w:before="120" w:after="120" w:line="240" w:lineRule="exact"/>
        <w:ind w:left="283" w:hanging="283"/>
        <w:jc w:val="both"/>
        <w:rPr>
          <w:rFonts w:ascii="FrankRuehl" w:hAnsi="FrankRuehl" w:cs="FrankRuehl"/>
          <w:rtl/>
        </w:rPr>
      </w:pPr>
    </w:p>
    <w:p w14:paraId="23307063" w14:textId="77777777" w:rsidR="000569D8" w:rsidRDefault="000569D8" w:rsidP="000569D8">
      <w:pPr>
        <w:spacing w:line="360" w:lineRule="auto"/>
        <w:rPr>
          <w:sz w:val="26"/>
          <w:szCs w:val="26"/>
          <w:rtl/>
        </w:rPr>
      </w:pPr>
      <w:bookmarkStart w:id="3" w:name="LawTable"/>
      <w:bookmarkEnd w:id="3"/>
    </w:p>
    <w:p w14:paraId="1454582A" w14:textId="77777777" w:rsidR="000569D8" w:rsidRPr="000569D8" w:rsidRDefault="000569D8" w:rsidP="000569D8">
      <w:pPr>
        <w:spacing w:before="120" w:after="120" w:line="240" w:lineRule="exact"/>
        <w:ind w:left="283" w:hanging="283"/>
        <w:jc w:val="both"/>
        <w:rPr>
          <w:rFonts w:ascii="FrankRuehl" w:hAnsi="FrankRuehl" w:cs="FrankRuehl"/>
          <w:rtl/>
        </w:rPr>
      </w:pPr>
    </w:p>
    <w:p w14:paraId="02C700B4" w14:textId="77777777" w:rsidR="000569D8" w:rsidRPr="000569D8" w:rsidRDefault="000569D8" w:rsidP="000569D8">
      <w:pPr>
        <w:spacing w:before="120" w:after="120" w:line="240" w:lineRule="exact"/>
        <w:ind w:left="283" w:hanging="283"/>
        <w:jc w:val="both"/>
        <w:rPr>
          <w:rFonts w:ascii="FrankRuehl" w:hAnsi="FrankRuehl" w:cs="FrankRuehl"/>
          <w:rtl/>
        </w:rPr>
      </w:pPr>
    </w:p>
    <w:p w14:paraId="2772AAC5" w14:textId="77777777" w:rsidR="000569D8" w:rsidRPr="000569D8" w:rsidRDefault="000569D8" w:rsidP="000569D8">
      <w:pPr>
        <w:spacing w:before="120" w:after="120" w:line="240" w:lineRule="exact"/>
        <w:ind w:left="283" w:hanging="283"/>
        <w:jc w:val="both"/>
        <w:rPr>
          <w:rFonts w:ascii="FrankRuehl" w:hAnsi="FrankRuehl" w:cs="FrankRuehl"/>
          <w:rtl/>
        </w:rPr>
      </w:pPr>
      <w:r w:rsidRPr="000569D8">
        <w:rPr>
          <w:rFonts w:ascii="FrankRuehl" w:hAnsi="FrankRuehl" w:cs="FrankRuehl"/>
          <w:rtl/>
        </w:rPr>
        <w:t xml:space="preserve">חקיקה שאוזכרה: </w:t>
      </w:r>
    </w:p>
    <w:p w14:paraId="750E15F1" w14:textId="77777777" w:rsidR="000569D8" w:rsidRPr="000569D8" w:rsidRDefault="000569D8" w:rsidP="000569D8">
      <w:pPr>
        <w:spacing w:before="120" w:after="120" w:line="240" w:lineRule="exact"/>
        <w:ind w:left="283" w:hanging="283"/>
        <w:jc w:val="both"/>
        <w:rPr>
          <w:rFonts w:ascii="FrankRuehl" w:hAnsi="FrankRuehl" w:cs="FrankRuehl"/>
          <w:rtl/>
        </w:rPr>
      </w:pPr>
      <w:hyperlink r:id="rId7" w:history="1">
        <w:r w:rsidRPr="000569D8">
          <w:rPr>
            <w:rFonts w:ascii="FrankRuehl" w:hAnsi="FrankRuehl" w:cs="FrankRuehl"/>
            <w:color w:val="0000FF"/>
            <w:rtl/>
          </w:rPr>
          <w:t>פקודת הסמים המסוכנים [נוסח חדש], תשל"ג-1973</w:t>
        </w:r>
      </w:hyperlink>
      <w:r w:rsidRPr="000569D8">
        <w:rPr>
          <w:rFonts w:ascii="FrankRuehl" w:hAnsi="FrankRuehl" w:cs="FrankRuehl"/>
          <w:rtl/>
        </w:rPr>
        <w:t xml:space="preserve">: סע'  </w:t>
      </w:r>
      <w:hyperlink r:id="rId8" w:history="1">
        <w:r w:rsidRPr="000569D8">
          <w:rPr>
            <w:rFonts w:ascii="FrankRuehl" w:hAnsi="FrankRuehl" w:cs="FrankRuehl"/>
            <w:color w:val="0000FF"/>
            <w:rtl/>
          </w:rPr>
          <w:t>7.א.</w:t>
        </w:r>
      </w:hyperlink>
      <w:r w:rsidRPr="000569D8">
        <w:rPr>
          <w:rFonts w:ascii="FrankRuehl" w:hAnsi="FrankRuehl" w:cs="FrankRuehl"/>
          <w:rtl/>
        </w:rPr>
        <w:t xml:space="preserve">, </w:t>
      </w:r>
      <w:hyperlink r:id="rId9" w:history="1">
        <w:r w:rsidRPr="000569D8">
          <w:rPr>
            <w:rFonts w:ascii="FrankRuehl" w:hAnsi="FrankRuehl" w:cs="FrankRuehl"/>
            <w:color w:val="0000FF"/>
            <w:rtl/>
          </w:rPr>
          <w:t>7.ג</w:t>
        </w:r>
      </w:hyperlink>
    </w:p>
    <w:p w14:paraId="386CAF3E" w14:textId="77777777" w:rsidR="000569D8" w:rsidRPr="000569D8" w:rsidRDefault="000569D8" w:rsidP="000569D8">
      <w:pPr>
        <w:spacing w:line="360" w:lineRule="auto"/>
        <w:rPr>
          <w:sz w:val="26"/>
          <w:szCs w:val="26"/>
          <w:rtl/>
        </w:rPr>
      </w:pPr>
      <w:bookmarkStart w:id="4" w:name="LawTable_End"/>
      <w:bookmarkEnd w:id="4"/>
    </w:p>
    <w:p w14:paraId="3C8BBE8E" w14:textId="77777777" w:rsidR="00E54263" w:rsidRPr="00A313F3" w:rsidRDefault="00E54263" w:rsidP="00A313F3">
      <w:pPr>
        <w:spacing w:line="360" w:lineRule="auto"/>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54263" w14:paraId="666D8BE1" w14:textId="77777777" w:rsidTr="00E54263">
        <w:trPr>
          <w:trHeight w:val="355"/>
          <w:jc w:val="center"/>
        </w:trPr>
        <w:tc>
          <w:tcPr>
            <w:tcW w:w="8820" w:type="dxa"/>
            <w:tcBorders>
              <w:top w:val="nil"/>
              <w:left w:val="nil"/>
              <w:bottom w:val="nil"/>
              <w:right w:val="nil"/>
            </w:tcBorders>
            <w:shd w:val="clear" w:color="auto" w:fill="auto"/>
          </w:tcPr>
          <w:p w14:paraId="581A300A" w14:textId="77777777" w:rsidR="0008424B" w:rsidRPr="0008424B" w:rsidRDefault="0008424B" w:rsidP="0008424B">
            <w:pPr>
              <w:spacing w:line="360" w:lineRule="auto"/>
              <w:jc w:val="center"/>
              <w:rPr>
                <w:rFonts w:ascii="David" w:hAnsi="David"/>
                <w:b/>
                <w:bCs/>
                <w:sz w:val="32"/>
                <w:szCs w:val="32"/>
                <w:u w:val="single"/>
                <w:rtl/>
              </w:rPr>
            </w:pPr>
            <w:bookmarkStart w:id="5" w:name="PsakDin" w:colFirst="0" w:colLast="0"/>
            <w:bookmarkEnd w:id="0"/>
            <w:bookmarkEnd w:id="1"/>
            <w:r w:rsidRPr="0008424B">
              <w:rPr>
                <w:rFonts w:ascii="David" w:hAnsi="David"/>
                <w:b/>
                <w:bCs/>
                <w:sz w:val="32"/>
                <w:szCs w:val="32"/>
                <w:u w:val="single"/>
                <w:rtl/>
              </w:rPr>
              <w:t>גזר דין</w:t>
            </w:r>
          </w:p>
          <w:p w14:paraId="7FB1E365" w14:textId="77777777" w:rsidR="00E54263" w:rsidRPr="0008424B" w:rsidRDefault="00E54263" w:rsidP="0008424B">
            <w:pPr>
              <w:spacing w:line="360" w:lineRule="auto"/>
              <w:jc w:val="center"/>
              <w:rPr>
                <w:rFonts w:ascii="David" w:hAnsi="David"/>
                <w:bCs/>
                <w:sz w:val="32"/>
                <w:szCs w:val="32"/>
                <w:u w:val="single"/>
                <w:rtl/>
              </w:rPr>
            </w:pPr>
          </w:p>
        </w:tc>
      </w:tr>
      <w:bookmarkEnd w:id="5"/>
    </w:tbl>
    <w:p w14:paraId="139C300D" w14:textId="77777777" w:rsidR="00E54263" w:rsidRPr="002B7D23" w:rsidRDefault="00E54263" w:rsidP="00E54263">
      <w:pPr>
        <w:spacing w:line="360" w:lineRule="auto"/>
        <w:rPr>
          <w:rFonts w:ascii="David" w:hAnsi="David"/>
          <w:sz w:val="26"/>
          <w:szCs w:val="26"/>
          <w:rtl/>
        </w:rPr>
      </w:pPr>
    </w:p>
    <w:p w14:paraId="69EC191E" w14:textId="77777777" w:rsidR="00E54263" w:rsidRDefault="00E54263" w:rsidP="00E54263">
      <w:pPr>
        <w:spacing w:line="360" w:lineRule="auto"/>
        <w:ind w:firstLine="360"/>
        <w:jc w:val="both"/>
        <w:rPr>
          <w:b/>
          <w:bCs/>
          <w:u w:val="single"/>
          <w:rtl/>
        </w:rPr>
      </w:pPr>
      <w:r>
        <w:rPr>
          <w:b/>
          <w:bCs/>
          <w:u w:val="single"/>
          <w:rtl/>
        </w:rPr>
        <w:t>עובדות כתב האישום</w:t>
      </w:r>
    </w:p>
    <w:p w14:paraId="218C8F28" w14:textId="77777777" w:rsidR="00E54263" w:rsidRDefault="00E54263" w:rsidP="00E54263">
      <w:pPr>
        <w:pStyle w:val="a9"/>
        <w:numPr>
          <w:ilvl w:val="0"/>
          <w:numId w:val="1"/>
        </w:numPr>
        <w:bidi/>
        <w:jc w:val="both"/>
        <w:rPr>
          <w:rtl/>
        </w:rPr>
      </w:pPr>
      <w:bookmarkStart w:id="6" w:name="ABSTRACT_START"/>
      <w:bookmarkEnd w:id="6"/>
      <w:r>
        <w:rPr>
          <w:rtl/>
        </w:rPr>
        <w:t xml:space="preserve">הנאשם הורשע על פי הודאתו, בעובדות כתב אישום מתוקן, בביצוע עבירה של </w:t>
      </w:r>
      <w:r>
        <w:rPr>
          <w:b/>
          <w:bCs/>
          <w:rtl/>
        </w:rPr>
        <w:t>החזקת סם שלא לצריכה עצמית</w:t>
      </w:r>
      <w:r>
        <w:rPr>
          <w:rtl/>
        </w:rPr>
        <w:t xml:space="preserve"> - עבירה לפי </w:t>
      </w:r>
      <w:hyperlink r:id="rId10" w:history="1">
        <w:r w:rsidR="00892032" w:rsidRPr="00892032">
          <w:rPr>
            <w:rStyle w:val="Hyperlink"/>
            <w:rtl/>
          </w:rPr>
          <w:t>סעיפים 7(א)+7(ג)</w:t>
        </w:r>
      </w:hyperlink>
      <w:r>
        <w:rPr>
          <w:rtl/>
        </w:rPr>
        <w:t xml:space="preserve"> רישא ל</w:t>
      </w:r>
      <w:hyperlink r:id="rId11" w:history="1">
        <w:r w:rsidR="0008424B" w:rsidRPr="0008424B">
          <w:rPr>
            <w:rFonts w:hint="cs"/>
            <w:color w:val="0000FF"/>
            <w:u w:val="single"/>
            <w:rtl/>
          </w:rPr>
          <w:t>פקודת</w:t>
        </w:r>
        <w:r w:rsidR="0008424B" w:rsidRPr="0008424B">
          <w:rPr>
            <w:color w:val="0000FF"/>
            <w:u w:val="single"/>
            <w:rtl/>
          </w:rPr>
          <w:t xml:space="preserve"> </w:t>
        </w:r>
        <w:r w:rsidR="0008424B" w:rsidRPr="0008424B">
          <w:rPr>
            <w:rFonts w:hint="cs"/>
            <w:color w:val="0000FF"/>
            <w:u w:val="single"/>
            <w:rtl/>
          </w:rPr>
          <w:t>הסמים</w:t>
        </w:r>
        <w:r w:rsidR="0008424B" w:rsidRPr="0008424B">
          <w:rPr>
            <w:color w:val="0000FF"/>
            <w:u w:val="single"/>
            <w:rtl/>
          </w:rPr>
          <w:t xml:space="preserve"> </w:t>
        </w:r>
        <w:r w:rsidR="0008424B" w:rsidRPr="0008424B">
          <w:rPr>
            <w:rFonts w:hint="cs"/>
            <w:color w:val="0000FF"/>
            <w:u w:val="single"/>
            <w:rtl/>
          </w:rPr>
          <w:t>המסוכנים</w:t>
        </w:r>
      </w:hyperlink>
      <w:r>
        <w:rPr>
          <w:rtl/>
        </w:rPr>
        <w:t xml:space="preserve"> (נוסח חדש) תשל"ג-1973 (להלן: </w:t>
      </w:r>
      <w:r>
        <w:rPr>
          <w:b/>
          <w:bCs/>
          <w:rtl/>
        </w:rPr>
        <w:t>"פקודת הסמים המסוכנים"</w:t>
      </w:r>
      <w:r>
        <w:rPr>
          <w:rtl/>
        </w:rPr>
        <w:t xml:space="preserve">). </w:t>
      </w:r>
    </w:p>
    <w:p w14:paraId="285CC3A8" w14:textId="77777777" w:rsidR="00E54263" w:rsidRDefault="00E54263" w:rsidP="00E54263">
      <w:pPr>
        <w:spacing w:line="360" w:lineRule="auto"/>
        <w:jc w:val="both"/>
        <w:rPr>
          <w:rtl/>
        </w:rPr>
      </w:pPr>
    </w:p>
    <w:p w14:paraId="09CABA82" w14:textId="77777777" w:rsidR="00E54263" w:rsidRDefault="00E54263" w:rsidP="00E54263">
      <w:pPr>
        <w:spacing w:line="360" w:lineRule="auto"/>
        <w:ind w:left="720"/>
        <w:contextualSpacing/>
        <w:jc w:val="both"/>
        <w:rPr>
          <w:rtl/>
        </w:rPr>
      </w:pPr>
      <w:bookmarkStart w:id="7" w:name="ABSTRACT_END"/>
      <w:bookmarkEnd w:id="7"/>
      <w:r>
        <w:rPr>
          <w:rtl/>
        </w:rPr>
        <w:lastRenderedPageBreak/>
        <w:t xml:space="preserve">על פי עובדות כתב האישום המתוקן, ביום 2.4.19 בשעה 13:35 או בסמוך לכך, שהה הנאשם בביתו בעיר ראשון לציון. בנסיבות המתוארות, החזיק הנאשם בביתו סמים מסוכנים מסוג קנבוס במשקל כולל של 183.64 גרם נטו, בתוך תיק שחור בארון. </w:t>
      </w:r>
    </w:p>
    <w:p w14:paraId="4161C2BA" w14:textId="77777777" w:rsidR="00E54263" w:rsidRDefault="00E54263" w:rsidP="00E54263">
      <w:pPr>
        <w:spacing w:line="360" w:lineRule="auto"/>
        <w:jc w:val="both"/>
        <w:rPr>
          <w:rtl/>
        </w:rPr>
      </w:pPr>
    </w:p>
    <w:p w14:paraId="5E782792" w14:textId="77777777" w:rsidR="00E54263" w:rsidRDefault="00E54263" w:rsidP="00E54263">
      <w:pPr>
        <w:spacing w:line="360" w:lineRule="auto"/>
        <w:ind w:firstLine="360"/>
        <w:jc w:val="both"/>
        <w:rPr>
          <w:b/>
          <w:bCs/>
          <w:u w:val="single"/>
          <w:rtl/>
        </w:rPr>
      </w:pPr>
      <w:r>
        <w:rPr>
          <w:b/>
          <w:bCs/>
          <w:u w:val="single"/>
          <w:rtl/>
        </w:rPr>
        <w:t>רישום בפלילים</w:t>
      </w:r>
    </w:p>
    <w:p w14:paraId="4292E940" w14:textId="77777777" w:rsidR="00E54263" w:rsidRDefault="00E54263" w:rsidP="00E54263">
      <w:pPr>
        <w:pStyle w:val="a9"/>
        <w:numPr>
          <w:ilvl w:val="0"/>
          <w:numId w:val="1"/>
        </w:numPr>
        <w:bidi/>
        <w:jc w:val="both"/>
        <w:rPr>
          <w:rtl/>
        </w:rPr>
      </w:pPr>
      <w:r>
        <w:rPr>
          <w:rtl/>
        </w:rPr>
        <w:t xml:space="preserve">אין לחובת הנאשם הרשעות קודמות בפלילים.  </w:t>
      </w:r>
    </w:p>
    <w:p w14:paraId="190B1498" w14:textId="77777777" w:rsidR="00E54263" w:rsidRDefault="00E54263" w:rsidP="00E54263">
      <w:pPr>
        <w:spacing w:line="360" w:lineRule="auto"/>
        <w:jc w:val="both"/>
        <w:rPr>
          <w:rtl/>
        </w:rPr>
      </w:pPr>
    </w:p>
    <w:p w14:paraId="5921C49D" w14:textId="77777777" w:rsidR="00E54263" w:rsidRDefault="00E54263" w:rsidP="00E54263">
      <w:pPr>
        <w:spacing w:line="360" w:lineRule="auto"/>
        <w:ind w:firstLine="360"/>
        <w:jc w:val="both"/>
        <w:rPr>
          <w:b/>
          <w:bCs/>
          <w:u w:val="single"/>
          <w:rtl/>
        </w:rPr>
      </w:pPr>
      <w:r>
        <w:rPr>
          <w:b/>
          <w:bCs/>
          <w:u w:val="single"/>
          <w:rtl/>
        </w:rPr>
        <w:t>הסכמות הצדדים</w:t>
      </w:r>
    </w:p>
    <w:p w14:paraId="7F809A1E" w14:textId="77777777" w:rsidR="00E54263" w:rsidRDefault="00E54263" w:rsidP="00E54263">
      <w:pPr>
        <w:pStyle w:val="a9"/>
        <w:numPr>
          <w:ilvl w:val="0"/>
          <w:numId w:val="1"/>
        </w:numPr>
        <w:bidi/>
        <w:jc w:val="both"/>
        <w:rPr>
          <w:rtl/>
        </w:rPr>
      </w:pPr>
      <w:r>
        <w:rPr>
          <w:rtl/>
        </w:rPr>
        <w:t xml:space="preserve">הצדדים הסכימו להפנות את הנאשם לשירות המבחן שיערוך תסקיר בעניינו. לא גובשו הסכמות עונשיות. </w:t>
      </w:r>
    </w:p>
    <w:p w14:paraId="03A55DFF" w14:textId="77777777" w:rsidR="00E54263" w:rsidRPr="00251EAD" w:rsidRDefault="00E54263" w:rsidP="00E54263">
      <w:pPr>
        <w:spacing w:line="360" w:lineRule="auto"/>
        <w:ind w:left="720"/>
        <w:contextualSpacing/>
        <w:jc w:val="both"/>
        <w:rPr>
          <w:rtl/>
        </w:rPr>
      </w:pPr>
      <w:r>
        <w:rPr>
          <w:rtl/>
        </w:rPr>
        <w:t xml:space="preserve">בהמשך, ולבקשת המאשימה, הופנה הנאשם לממונה על עבודות השירות על מנת שתיבחן כשירותו לריצוי מאסר בדרך של עבודות שירות. </w:t>
      </w:r>
    </w:p>
    <w:p w14:paraId="7A13C518" w14:textId="77777777" w:rsidR="00E54263" w:rsidRDefault="00E54263" w:rsidP="00E54263">
      <w:pPr>
        <w:spacing w:line="360" w:lineRule="auto"/>
        <w:ind w:firstLine="360"/>
        <w:jc w:val="both"/>
        <w:rPr>
          <w:b/>
          <w:bCs/>
          <w:u w:val="single"/>
          <w:rtl/>
        </w:rPr>
      </w:pPr>
      <w:r>
        <w:rPr>
          <w:b/>
          <w:bCs/>
          <w:u w:val="single"/>
          <w:rtl/>
        </w:rPr>
        <w:t xml:space="preserve">הממונה על עבודות השירות </w:t>
      </w:r>
    </w:p>
    <w:p w14:paraId="637D122B" w14:textId="77777777" w:rsidR="00E54263" w:rsidRDefault="00E54263" w:rsidP="00E54263">
      <w:pPr>
        <w:pStyle w:val="a9"/>
        <w:numPr>
          <w:ilvl w:val="0"/>
          <w:numId w:val="1"/>
        </w:numPr>
        <w:bidi/>
        <w:jc w:val="both"/>
        <w:rPr>
          <w:rtl/>
        </w:rPr>
      </w:pPr>
      <w:r>
        <w:rPr>
          <w:rtl/>
        </w:rPr>
        <w:t xml:space="preserve">בחוות הדעת מיום 15.1.24 נמצא הנאשם כשיר לבצע עבודות שירות. </w:t>
      </w:r>
    </w:p>
    <w:p w14:paraId="502EDD8D" w14:textId="77777777" w:rsidR="00E54263" w:rsidRDefault="00E54263" w:rsidP="00E54263">
      <w:pPr>
        <w:spacing w:line="360" w:lineRule="auto"/>
        <w:jc w:val="both"/>
        <w:rPr>
          <w:b/>
          <w:bCs/>
          <w:rtl/>
        </w:rPr>
      </w:pPr>
    </w:p>
    <w:p w14:paraId="30F65393" w14:textId="77777777" w:rsidR="00E54263" w:rsidRDefault="00E54263" w:rsidP="00E54263">
      <w:pPr>
        <w:spacing w:line="360" w:lineRule="auto"/>
        <w:ind w:firstLine="360"/>
        <w:jc w:val="both"/>
        <w:rPr>
          <w:b/>
          <w:bCs/>
          <w:u w:val="single"/>
          <w:rtl/>
        </w:rPr>
      </w:pPr>
      <w:r>
        <w:rPr>
          <w:b/>
          <w:bCs/>
          <w:u w:val="single"/>
          <w:rtl/>
        </w:rPr>
        <w:t xml:space="preserve">שירות המבחן </w:t>
      </w:r>
    </w:p>
    <w:p w14:paraId="74F0F0B6" w14:textId="77777777" w:rsidR="00E54263" w:rsidRDefault="00E54263" w:rsidP="00E54263">
      <w:pPr>
        <w:spacing w:line="360" w:lineRule="auto"/>
        <w:ind w:firstLine="360"/>
        <w:jc w:val="both"/>
        <w:rPr>
          <w:rtl/>
        </w:rPr>
      </w:pPr>
      <w:r>
        <w:rPr>
          <w:rtl/>
        </w:rPr>
        <w:t>בעניינו של הנאשם הוגשו 4 תסקירים מפורטים:</w:t>
      </w:r>
    </w:p>
    <w:p w14:paraId="5A4F6CCD" w14:textId="77777777" w:rsidR="00E54263" w:rsidRDefault="00E54263" w:rsidP="00E54263">
      <w:pPr>
        <w:pStyle w:val="a9"/>
        <w:numPr>
          <w:ilvl w:val="0"/>
          <w:numId w:val="1"/>
        </w:numPr>
        <w:bidi/>
        <w:jc w:val="both"/>
        <w:rPr>
          <w:rtl/>
        </w:rPr>
      </w:pPr>
      <w:r>
        <w:rPr>
          <w:rtl/>
        </w:rPr>
        <w:t xml:space="preserve">במסגרת התסקיר הראשון, מיום 3.7.22 צוין כי הנאשם יליד רוסיה, כבן 30, רווק, המתגורר עם אביו וסבתו בעיר ראשון לציון, כאשר לדבריו מזה כשלושה חודשים עובד בחברת התקנת מכונות. הנאשם תיאר כי בהיותו כבן 7 עלה לישראל אך כאשר אמו ואביו נפרדו, שב עם אמו לרוסיה, בעוד אביו נותר בארץ. כאשר הגיע לישראל לחופשה בגיל 13 החליט להישאר ולהתגורר עם אביו, השתלב באולפן ובמסגרות חינוך, כאשר מגיל 14 החל לעבודות בעבודות מזדמנות. הנאשם הסביר כי סיים 12 שנות לימוד, אך לאור הליך פלילי שניהל בגין עבירת אלימות, לא גויס לצה"ל. </w:t>
      </w:r>
    </w:p>
    <w:p w14:paraId="340DE9E3" w14:textId="77777777" w:rsidR="00E54263" w:rsidRDefault="00E54263" w:rsidP="00E54263">
      <w:pPr>
        <w:pStyle w:val="a9"/>
        <w:bidi/>
        <w:jc w:val="both"/>
      </w:pPr>
      <w:r>
        <w:rPr>
          <w:rtl/>
        </w:rPr>
        <w:t xml:space="preserve">הנאשם תיאר קשר מרוחק עם הוריו, כאשר לדבריו השינויים והמעברים בין המדינות הקשו בהשתלבותו התקינה וכן העמיקו את הכעס שחווה כלפי הוריו אשר גרמו לו לתפיסתו לשינויים מטלטלים בחייו. </w:t>
      </w:r>
    </w:p>
    <w:p w14:paraId="14D27525" w14:textId="77777777" w:rsidR="00E54263" w:rsidRDefault="00E54263" w:rsidP="00E54263">
      <w:pPr>
        <w:pStyle w:val="a9"/>
        <w:bidi/>
        <w:jc w:val="both"/>
        <w:rPr>
          <w:rtl/>
        </w:rPr>
      </w:pPr>
      <w:r>
        <w:rPr>
          <w:rtl/>
        </w:rPr>
        <w:t xml:space="preserve">שירות המבחן ביקש לדחות את הדיון על מנת שיתאפשר לו להעמיק את ההתייחסות של הנאשם לביצוע העבירות במסגרת תסקיר משלים. </w:t>
      </w:r>
    </w:p>
    <w:p w14:paraId="68E4D173" w14:textId="77777777" w:rsidR="00E54263" w:rsidRDefault="00E54263" w:rsidP="00E54263">
      <w:pPr>
        <w:pStyle w:val="a9"/>
        <w:bidi/>
        <w:jc w:val="both"/>
        <w:rPr>
          <w:rtl/>
        </w:rPr>
      </w:pPr>
    </w:p>
    <w:p w14:paraId="2D440DC8" w14:textId="77777777" w:rsidR="00E54263" w:rsidRDefault="00E54263" w:rsidP="00E54263">
      <w:pPr>
        <w:pStyle w:val="a9"/>
        <w:numPr>
          <w:ilvl w:val="0"/>
          <w:numId w:val="1"/>
        </w:numPr>
        <w:bidi/>
        <w:jc w:val="both"/>
      </w:pPr>
      <w:r>
        <w:rPr>
          <w:rtl/>
        </w:rPr>
        <w:t xml:space="preserve">בתסקיר השני,  מיום 29.8.22 תואר כי הנאשם עודנו גר עם אביו וסבתו ואולם מזה כחודש עובד במפעל אלומיניום. </w:t>
      </w:r>
    </w:p>
    <w:p w14:paraId="26D185CD" w14:textId="77777777" w:rsidR="00E54263" w:rsidRDefault="00E54263" w:rsidP="00E54263">
      <w:pPr>
        <w:spacing w:line="360" w:lineRule="auto"/>
        <w:ind w:left="720"/>
        <w:contextualSpacing/>
        <w:jc w:val="both"/>
        <w:rPr>
          <w:rtl/>
        </w:rPr>
      </w:pPr>
      <w:r>
        <w:rPr>
          <w:rtl/>
        </w:rPr>
        <w:lastRenderedPageBreak/>
        <w:t xml:space="preserve">בהתייחסותו לעבירה בה הורשע, הודה הנאשם בביצועה וציין כי מדובר בתקופה מורכבת בחייו, בה חווה קשיים רבים ביניהם מערכת ביחסים המורכבת עם אביו וכאבים פיזיים נוכח תאונת דרכים בה נפגע. על כן צרך סם מסוג קנבוס, באופן אינטנסיבי, שהביא להקלה במצבו. </w:t>
      </w:r>
    </w:p>
    <w:p w14:paraId="4F06E2A3" w14:textId="77777777" w:rsidR="00E54263" w:rsidRDefault="00E54263" w:rsidP="00E54263">
      <w:pPr>
        <w:spacing w:line="360" w:lineRule="auto"/>
        <w:ind w:left="720"/>
        <w:contextualSpacing/>
        <w:jc w:val="both"/>
        <w:rPr>
          <w:rtl/>
        </w:rPr>
      </w:pPr>
      <w:r>
        <w:rPr>
          <w:rtl/>
        </w:rPr>
        <w:t xml:space="preserve">לדבריו, ביום העבירה, מצא בשכונת מגוריו תיק שחור שהכיל את הסמים, אותו החליט לאמץ לשימושו העצמי. הנאשם ציין כי היה מודע לכך שמעשיו פליליים, אך היה מרוכז וממוקד בצרכיו האישיים ובקשייו אותה עת. </w:t>
      </w:r>
    </w:p>
    <w:p w14:paraId="563166E6" w14:textId="77777777" w:rsidR="00E54263" w:rsidRDefault="00E54263" w:rsidP="00E54263">
      <w:pPr>
        <w:spacing w:line="360" w:lineRule="auto"/>
        <w:jc w:val="both"/>
        <w:rPr>
          <w:rtl/>
        </w:rPr>
      </w:pPr>
    </w:p>
    <w:p w14:paraId="40455DAC" w14:textId="77777777" w:rsidR="00E54263" w:rsidRDefault="00E54263" w:rsidP="00E54263">
      <w:pPr>
        <w:spacing w:line="360" w:lineRule="auto"/>
        <w:ind w:left="720"/>
        <w:contextualSpacing/>
        <w:jc w:val="both"/>
        <w:rPr>
          <w:rtl/>
        </w:rPr>
      </w:pPr>
      <w:r>
        <w:rPr>
          <w:rtl/>
        </w:rPr>
        <w:t xml:space="preserve">הנאשם מסר לשירות המבחן כי החל לצרוך אלכוהול בגיל 18 ועד גיל 24 תדירות הצריכה הייתה גבוהה ואינטנסיבית. בגיל 26 החל לצרוך סמים מסוג קנבוס, כאשר בשלוש השנים האחרונות הפסיק את השימוש בסמים והשתתף בקביעות בקבוצות </w:t>
      </w:r>
      <w:r>
        <w:t>N.A</w:t>
      </w:r>
      <w:r>
        <w:rPr>
          <w:rtl/>
        </w:rPr>
        <w:t xml:space="preserve">, אך לאחרונה חזר לצרוך אלכוהול בתדירות גבוהה. </w:t>
      </w:r>
    </w:p>
    <w:p w14:paraId="40275A57" w14:textId="77777777" w:rsidR="00E54263" w:rsidRDefault="00E54263" w:rsidP="00E54263">
      <w:pPr>
        <w:spacing w:line="360" w:lineRule="auto"/>
        <w:ind w:left="720"/>
        <w:contextualSpacing/>
        <w:jc w:val="both"/>
        <w:rPr>
          <w:rtl/>
        </w:rPr>
      </w:pPr>
      <w:r>
        <w:rPr>
          <w:rtl/>
        </w:rPr>
        <w:t xml:space="preserve">הנאשם מסר כי הוא מעוניין להשתלב בטיפול ייעודי בתחום הסמים, על מנת להעמיק מודעותו לקשייו ולדפוסי צריכתו. </w:t>
      </w:r>
    </w:p>
    <w:p w14:paraId="40C180B1" w14:textId="77777777" w:rsidR="00E54263" w:rsidRDefault="00E54263" w:rsidP="00E54263">
      <w:pPr>
        <w:spacing w:line="360" w:lineRule="auto"/>
        <w:ind w:left="720"/>
        <w:contextualSpacing/>
        <w:jc w:val="both"/>
        <w:rPr>
          <w:rtl/>
        </w:rPr>
      </w:pPr>
      <w:r>
        <w:rPr>
          <w:rtl/>
        </w:rPr>
        <w:t xml:space="preserve">שירות המבחן התרשם כי הנאשם נרתע מההליך הפלילי, סבר כי שילובו בטיפול עשוי לסייע לו, אך הנאשם לא התייצב לבדיקת התאמה. לאחר שנקבעה לנאשם פגישה נוספת עתידית, המליץ שירות המבחן על העמדת הנאשם בצו מבחן, נוכח המוטיבציה שביטא, וצו של"צ בהיקף 300 שעות כענישה קונקרטית. </w:t>
      </w:r>
    </w:p>
    <w:p w14:paraId="5A72CBE8" w14:textId="77777777" w:rsidR="00E54263" w:rsidRDefault="00E54263" w:rsidP="00E54263">
      <w:pPr>
        <w:spacing w:line="360" w:lineRule="auto"/>
        <w:ind w:left="720"/>
        <w:contextualSpacing/>
        <w:jc w:val="both"/>
        <w:rPr>
          <w:rtl/>
        </w:rPr>
      </w:pPr>
    </w:p>
    <w:p w14:paraId="010579AC" w14:textId="77777777" w:rsidR="00E54263" w:rsidRDefault="00E54263" w:rsidP="00E54263">
      <w:pPr>
        <w:pStyle w:val="a9"/>
        <w:numPr>
          <w:ilvl w:val="0"/>
          <w:numId w:val="1"/>
        </w:numPr>
        <w:bidi/>
        <w:jc w:val="both"/>
        <w:rPr>
          <w:rtl/>
        </w:rPr>
      </w:pPr>
      <w:r>
        <w:rPr>
          <w:rtl/>
        </w:rPr>
        <w:t xml:space="preserve">בתסקיר השלישי, מיום 22.2.23 עדכן שירות המבחן כי במהלך תקופת הדחייה הופנה הנאשם לבדיקת התאמה לטיפול ביחידה להתמכרויות ונמצא מתאים לטיפול. במהלך חודשים נובמבר-דצמבר 2022 ערך שירות המבחן ניסיונות רבים ליצור קשר עם הנאשם אך זה לא ענה לשיחות וניתק קשר. במהלך חודש ינואר 2023 דווח לשירות המבחן, על ידי גורמי הטיפול, כי הנאשם לא השתלב ביחידה כאשר זמן קצר לאחר בדיקת התאמתו מסר שאינו מעוניין להשתלב בטיפול. במהלך חודש ינואר 2023 שב שירות המבחן וניסה ליצור קשר עם הנאשם אך ללא הצלחה. </w:t>
      </w:r>
    </w:p>
    <w:p w14:paraId="4A196EA9" w14:textId="77777777" w:rsidR="00E54263" w:rsidRDefault="00E54263" w:rsidP="00E54263">
      <w:pPr>
        <w:spacing w:line="360" w:lineRule="auto"/>
        <w:ind w:left="720"/>
        <w:contextualSpacing/>
        <w:jc w:val="both"/>
        <w:rPr>
          <w:rtl/>
        </w:rPr>
      </w:pPr>
      <w:r>
        <w:rPr>
          <w:rtl/>
        </w:rPr>
        <w:t xml:space="preserve">לאחר כחודש, יצר הנאשם קשר עם שירות המבחן, וביקש הזדמנות נוספת לאפשר לו להשתלב ביחידה לטיפול בהתמכרויות. </w:t>
      </w:r>
    </w:p>
    <w:p w14:paraId="4CB7258F" w14:textId="77777777" w:rsidR="00E54263" w:rsidRDefault="00E54263" w:rsidP="00E54263">
      <w:pPr>
        <w:spacing w:line="360" w:lineRule="auto"/>
        <w:ind w:left="720"/>
        <w:contextualSpacing/>
        <w:jc w:val="both"/>
        <w:rPr>
          <w:rtl/>
        </w:rPr>
      </w:pPr>
      <w:r>
        <w:rPr>
          <w:rtl/>
        </w:rPr>
        <w:t xml:space="preserve">במהלך תקופת הדחייה זומן הנאשם לשתי בדיקות שתן אשר נמצאו נקיות משרידי סם, ושירות המבחן ביקש דחייה על מנת לבחון שילובו של הנאשם בהליך הטיפולי ואת התמדתו. </w:t>
      </w:r>
    </w:p>
    <w:p w14:paraId="2928ADED" w14:textId="77777777" w:rsidR="00E54263" w:rsidRDefault="00E54263" w:rsidP="00E54263">
      <w:pPr>
        <w:spacing w:line="360" w:lineRule="auto"/>
        <w:jc w:val="both"/>
        <w:rPr>
          <w:rtl/>
        </w:rPr>
      </w:pPr>
    </w:p>
    <w:p w14:paraId="18A521CF" w14:textId="77777777" w:rsidR="00E54263" w:rsidRDefault="00E54263" w:rsidP="00E54263">
      <w:pPr>
        <w:pStyle w:val="a9"/>
        <w:numPr>
          <w:ilvl w:val="0"/>
          <w:numId w:val="1"/>
        </w:numPr>
        <w:bidi/>
        <w:jc w:val="both"/>
        <w:rPr>
          <w:rtl/>
        </w:rPr>
      </w:pPr>
      <w:r>
        <w:rPr>
          <w:rtl/>
        </w:rPr>
        <w:t xml:space="preserve">מהתסקיר הרביעי מיום 28.5.23 עלה כי במהלך תקופת הדחייה הנאשם חזר לצרוך אלכוהול אך אינו מוכן להשתלב במסגרת אישפוזית לצורך גמילה, מחשש לפגיעה בעבודתו. מחודש אפריל 2023 הנאשם ניתק את הקשר עם שירות המבחן. </w:t>
      </w:r>
    </w:p>
    <w:p w14:paraId="120ECB55" w14:textId="77777777" w:rsidR="00E54263" w:rsidRDefault="00E54263" w:rsidP="00E54263">
      <w:pPr>
        <w:spacing w:line="360" w:lineRule="auto"/>
        <w:ind w:left="720"/>
        <w:contextualSpacing/>
        <w:jc w:val="both"/>
        <w:rPr>
          <w:rtl/>
        </w:rPr>
      </w:pPr>
      <w:r>
        <w:rPr>
          <w:rtl/>
        </w:rPr>
        <w:t xml:space="preserve">שירות המבחן התרשם כי הנאשם מתקשה להתמיד במסגרות שונות ולהסתייע בגורמי הטיפול. על אף המוטיבציה שביטא לשיקום, ניכר הקושי בהתחייבות ובלקיחת אחריות. כמו כן, שירות המבחן הביע דאגה באשר לשימוש הנאשם בחומרים ממכרים, ובכלל זה אלכוהול. </w:t>
      </w:r>
    </w:p>
    <w:p w14:paraId="5C9B3A25" w14:textId="77777777" w:rsidR="00E54263" w:rsidRDefault="00E54263" w:rsidP="00E54263">
      <w:pPr>
        <w:spacing w:line="360" w:lineRule="auto"/>
        <w:ind w:left="720"/>
        <w:contextualSpacing/>
        <w:jc w:val="both"/>
        <w:rPr>
          <w:rtl/>
        </w:rPr>
      </w:pPr>
      <w:r>
        <w:rPr>
          <w:rtl/>
        </w:rPr>
        <w:t xml:space="preserve">מאחר והנאשם ניתק את הקשר עם שירות המבחן, לא נוצר בסיס למעורבות שיקומית, ושירות המבחן חזר בו מהמלצתו הטיפולית. </w:t>
      </w:r>
    </w:p>
    <w:p w14:paraId="4A12751B" w14:textId="77777777" w:rsidR="00E54263" w:rsidRDefault="00E54263" w:rsidP="00E54263">
      <w:pPr>
        <w:spacing w:line="360" w:lineRule="auto"/>
        <w:jc w:val="both"/>
        <w:rPr>
          <w:rtl/>
        </w:rPr>
      </w:pPr>
    </w:p>
    <w:p w14:paraId="41237A94" w14:textId="77777777" w:rsidR="00E54263" w:rsidRDefault="00E54263" w:rsidP="00E54263">
      <w:pPr>
        <w:spacing w:line="360" w:lineRule="auto"/>
        <w:ind w:firstLine="360"/>
        <w:jc w:val="both"/>
        <w:rPr>
          <w:b/>
          <w:bCs/>
          <w:u w:val="single"/>
          <w:rtl/>
        </w:rPr>
      </w:pPr>
      <w:r>
        <w:rPr>
          <w:b/>
          <w:bCs/>
          <w:u w:val="single"/>
          <w:rtl/>
        </w:rPr>
        <w:t>טיעוני הצדדים לעונש</w:t>
      </w:r>
    </w:p>
    <w:p w14:paraId="09225D94" w14:textId="77777777" w:rsidR="00E54263" w:rsidRDefault="00E54263" w:rsidP="00E54263">
      <w:pPr>
        <w:spacing w:line="360" w:lineRule="auto"/>
        <w:ind w:firstLine="360"/>
        <w:jc w:val="both"/>
        <w:rPr>
          <w:u w:val="single"/>
          <w:rtl/>
        </w:rPr>
      </w:pPr>
      <w:r>
        <w:rPr>
          <w:u w:val="single"/>
          <w:rtl/>
        </w:rPr>
        <w:t xml:space="preserve">תמצית טיעוני המאשימה </w:t>
      </w:r>
    </w:p>
    <w:p w14:paraId="066CBA21" w14:textId="77777777" w:rsidR="00E54263" w:rsidRDefault="00E54263" w:rsidP="00E54263">
      <w:pPr>
        <w:pStyle w:val="a9"/>
        <w:numPr>
          <w:ilvl w:val="0"/>
          <w:numId w:val="1"/>
        </w:numPr>
        <w:bidi/>
        <w:jc w:val="both"/>
        <w:rPr>
          <w:rtl/>
        </w:rPr>
      </w:pPr>
      <w:r>
        <w:rPr>
          <w:rtl/>
        </w:rPr>
        <w:t xml:space="preserve">בראשית טיעוניה עמדה המאשימה על הערכים המוגנים והנזקים הישירים והעקיפים הנגרמים מעבירת הסמים. המאשימה עתרה להעמיד את מתחם העונש ההולם בין 3 חודשי מאסר לבין 12 חודשים, לצד ענישה נלווית. </w:t>
      </w:r>
    </w:p>
    <w:p w14:paraId="142D42C8" w14:textId="77777777" w:rsidR="00E54263" w:rsidRDefault="00E54263" w:rsidP="00E54263">
      <w:pPr>
        <w:spacing w:line="360" w:lineRule="auto"/>
        <w:ind w:left="720"/>
        <w:contextualSpacing/>
        <w:jc w:val="both"/>
        <w:rPr>
          <w:rtl/>
        </w:rPr>
      </w:pPr>
      <w:r>
        <w:rPr>
          <w:rtl/>
        </w:rPr>
        <w:t xml:space="preserve">בהתייחס לנסיבות הנאשם עצמו, ציינה המאשימה כי ניתנו לנאשם הזדמנויות רבות לפני שירות המבחן, אך בסופו של דבר על אף הבנתו כי הוא נזקק לטיפול, הוא לא השתלב בו. מדובר במי שצורך אלכוהול בתדירות גבוהה ומנהל אורח חיים התמכרותי. מנגד, נוכח חלוף הזמן ועברו הפלילי הנקי של הנאשם, עתרה המאשימה לגזור על הנאשם 4 חודשי מאסר בעבודות שירות, מאסר על תנאי וקנס. </w:t>
      </w:r>
    </w:p>
    <w:p w14:paraId="2767AE60" w14:textId="77777777" w:rsidR="00E54263" w:rsidRDefault="00E54263" w:rsidP="00E54263">
      <w:pPr>
        <w:spacing w:line="360" w:lineRule="auto"/>
        <w:jc w:val="both"/>
        <w:rPr>
          <w:rtl/>
        </w:rPr>
      </w:pPr>
    </w:p>
    <w:p w14:paraId="4F9969CC" w14:textId="77777777" w:rsidR="00E54263" w:rsidRDefault="00E54263" w:rsidP="00E54263">
      <w:pPr>
        <w:spacing w:line="360" w:lineRule="auto"/>
        <w:ind w:firstLine="360"/>
        <w:jc w:val="both"/>
        <w:rPr>
          <w:u w:val="single"/>
          <w:rtl/>
        </w:rPr>
      </w:pPr>
      <w:r>
        <w:rPr>
          <w:u w:val="single"/>
          <w:rtl/>
        </w:rPr>
        <w:t>תמצית טיעוני ההגנה</w:t>
      </w:r>
    </w:p>
    <w:p w14:paraId="4B7C978B" w14:textId="77777777" w:rsidR="00E54263" w:rsidRDefault="00E54263" w:rsidP="00E54263">
      <w:pPr>
        <w:pStyle w:val="a9"/>
        <w:numPr>
          <w:ilvl w:val="0"/>
          <w:numId w:val="1"/>
        </w:numPr>
        <w:bidi/>
        <w:jc w:val="both"/>
        <w:rPr>
          <w:rtl/>
        </w:rPr>
      </w:pPr>
      <w:r>
        <w:rPr>
          <w:rtl/>
        </w:rPr>
        <w:t xml:space="preserve">במסגרת טיעוניה הדגישה ההגנה את העובדה כי הנאשם הודה בביצוע העבירה, היותו נעדר עבר פלילי ואת חלוף הזמן, חמש שנים, בהם לא ביצע עבירות נוספות. הסנגורית הפנתה לתסקירי שירות המבחן מהם עלה כי הנאשם בעל רקע התמכרותי, ומגיל קטן התקשה להשתלב במסגרות שונות. ב"כ הנאשם הדגישה את בדיקות השתן הנקיות שמסר הנאשם, פגישות ה- </w:t>
      </w:r>
      <w:r>
        <w:t>N.A</w:t>
      </w:r>
      <w:r>
        <w:rPr>
          <w:rtl/>
        </w:rPr>
        <w:t xml:space="preserve"> בהן השתתף והמוטיבציה שהביע להשתלב בהליך טיפולי. הסנגורית ציינה כי הנאשם חווה  תקופה של התדרדרות, אך מזה כשמונה חודשים הוא עובד באופן יציב בנגרות ולא צורך אלכוהול או סמים. </w:t>
      </w:r>
    </w:p>
    <w:p w14:paraId="05CE8093" w14:textId="77777777" w:rsidR="00E54263" w:rsidRDefault="00E54263" w:rsidP="00E54263">
      <w:pPr>
        <w:spacing w:line="360" w:lineRule="auto"/>
        <w:ind w:left="720"/>
        <w:contextualSpacing/>
        <w:jc w:val="both"/>
        <w:rPr>
          <w:rtl/>
        </w:rPr>
      </w:pPr>
      <w:r>
        <w:rPr>
          <w:rtl/>
        </w:rPr>
        <w:t xml:space="preserve">הסנגורית הוסיפה כי מדובר בכמות סמים של כ-185 גרם שאינה גבוהה במיוחד, ואין אינדיקציה כי נתפס שלא לצריכתו העצמית משלא נתפסו שקיות חלוקה, כסף או משקל. </w:t>
      </w:r>
    </w:p>
    <w:p w14:paraId="5E27290B" w14:textId="77777777" w:rsidR="00E54263" w:rsidRDefault="00E54263" w:rsidP="00E54263">
      <w:pPr>
        <w:spacing w:line="360" w:lineRule="auto"/>
        <w:ind w:left="720"/>
        <w:contextualSpacing/>
        <w:jc w:val="both"/>
        <w:rPr>
          <w:rtl/>
        </w:rPr>
      </w:pPr>
      <w:r>
        <w:rPr>
          <w:rtl/>
        </w:rPr>
        <w:t xml:space="preserve">על כן, ולאחר שהפנתה ההגנה לפסיקה מטעמה, עתרה לענישה בדרך של מאסר על תנאי והתחייבות. </w:t>
      </w:r>
    </w:p>
    <w:p w14:paraId="1F5E7A31" w14:textId="77777777" w:rsidR="00E54263" w:rsidRDefault="00E54263" w:rsidP="00E54263">
      <w:pPr>
        <w:spacing w:line="360" w:lineRule="auto"/>
        <w:jc w:val="both"/>
        <w:rPr>
          <w:rtl/>
        </w:rPr>
      </w:pPr>
    </w:p>
    <w:p w14:paraId="0682728F" w14:textId="77777777" w:rsidR="00E54263" w:rsidRDefault="00E54263" w:rsidP="00E54263">
      <w:pPr>
        <w:spacing w:line="360" w:lineRule="auto"/>
        <w:ind w:firstLine="360"/>
        <w:jc w:val="both"/>
        <w:rPr>
          <w:b/>
          <w:bCs/>
          <w:u w:val="single"/>
          <w:rtl/>
        </w:rPr>
      </w:pPr>
      <w:r>
        <w:rPr>
          <w:b/>
          <w:bCs/>
          <w:u w:val="single"/>
          <w:rtl/>
        </w:rPr>
        <w:t>דיון והכרעה</w:t>
      </w:r>
    </w:p>
    <w:p w14:paraId="557199BC" w14:textId="77777777" w:rsidR="00E54263" w:rsidRDefault="00E54263" w:rsidP="00E54263">
      <w:pPr>
        <w:pStyle w:val="a9"/>
        <w:numPr>
          <w:ilvl w:val="0"/>
          <w:numId w:val="1"/>
        </w:numPr>
        <w:bidi/>
        <w:jc w:val="both"/>
        <w:rPr>
          <w:rtl/>
        </w:rPr>
      </w:pPr>
      <w:r>
        <w:rPr>
          <w:rtl/>
        </w:rPr>
        <w:t>המעשים המיוחסים לנאשם מעשים חמורים ופוגעים בבריאות הציבור, בסדר הציבורי וביכולת הסדרת השימוש בקנבוס רפואי ברישיון. החזקת הסמים, עשויה להוות פתח ליצירת סביבה עבריינית ומגוון בעיות חברתיות כגון התמכרות לסמים וירידה בתפקודה הפיזי והמנטלי של החברה. יפים לעניין זה דברי כב' השופט הנדל ב</w:t>
      </w:r>
      <w:hyperlink r:id="rId12" w:history="1">
        <w:r w:rsidR="0008424B" w:rsidRPr="0008424B">
          <w:rPr>
            <w:rFonts w:hint="cs"/>
            <w:color w:val="0000FF"/>
            <w:u w:val="single"/>
            <w:rtl/>
          </w:rPr>
          <w:t>ע</w:t>
        </w:r>
        <w:r w:rsidR="0008424B" w:rsidRPr="0008424B">
          <w:rPr>
            <w:color w:val="0000FF"/>
            <w:u w:val="single"/>
            <w:rtl/>
          </w:rPr>
          <w:t>"</w:t>
        </w:r>
        <w:r w:rsidR="0008424B" w:rsidRPr="0008424B">
          <w:rPr>
            <w:rFonts w:hint="cs"/>
            <w:color w:val="0000FF"/>
            <w:u w:val="single"/>
            <w:rtl/>
          </w:rPr>
          <w:t>פ</w:t>
        </w:r>
        <w:r w:rsidR="0008424B" w:rsidRPr="0008424B">
          <w:rPr>
            <w:color w:val="0000FF"/>
            <w:u w:val="single"/>
            <w:rtl/>
          </w:rPr>
          <w:t xml:space="preserve"> 972/11</w:t>
        </w:r>
      </w:hyperlink>
      <w:r>
        <w:rPr>
          <w:rtl/>
        </w:rPr>
        <w:t xml:space="preserve"> </w:t>
      </w:r>
      <w:r>
        <w:rPr>
          <w:b/>
          <w:bCs/>
          <w:rtl/>
        </w:rPr>
        <w:t>מדינת ישראל נ' יניב יונה</w:t>
      </w:r>
      <w:r>
        <w:rPr>
          <w:rtl/>
        </w:rPr>
        <w:t>:</w:t>
      </w:r>
    </w:p>
    <w:p w14:paraId="0223AD93" w14:textId="77777777" w:rsidR="00E54263" w:rsidRDefault="00E54263" w:rsidP="00E54263">
      <w:pPr>
        <w:spacing w:line="360" w:lineRule="auto"/>
        <w:ind w:left="1304" w:right="737"/>
        <w:contextualSpacing/>
        <w:jc w:val="both"/>
        <w:rPr>
          <w:b/>
          <w:bCs/>
          <w:rtl/>
        </w:rPr>
      </w:pPr>
      <w:r>
        <w:rPr>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יתכן ועבירות הסמים הקשים הן כה נפוצות עד שהתרגלנו אליהן, ואולי אף אבדה לנו הרגישות למחיר שלא רק החברה משלמת אלא גם המשתמש עצמו".</w:t>
      </w:r>
    </w:p>
    <w:p w14:paraId="2DC67F93" w14:textId="77777777" w:rsidR="00E54263" w:rsidRDefault="00E54263" w:rsidP="00E54263">
      <w:pPr>
        <w:spacing w:line="360" w:lineRule="auto"/>
        <w:jc w:val="both"/>
        <w:rPr>
          <w:b/>
          <w:bCs/>
          <w:rtl/>
        </w:rPr>
      </w:pPr>
    </w:p>
    <w:p w14:paraId="3318F376" w14:textId="77777777" w:rsidR="00E54263" w:rsidRDefault="00E54263" w:rsidP="00E54263">
      <w:pPr>
        <w:pStyle w:val="a9"/>
        <w:numPr>
          <w:ilvl w:val="0"/>
          <w:numId w:val="1"/>
        </w:numPr>
        <w:bidi/>
        <w:spacing w:after="0"/>
        <w:jc w:val="both"/>
        <w:rPr>
          <w:rFonts w:ascii="David" w:eastAsia="Times New Roman" w:hAnsi="David"/>
          <w:bCs/>
          <w:sz w:val="24"/>
          <w:rtl/>
        </w:rPr>
      </w:pPr>
      <w:r>
        <w:rPr>
          <w:rFonts w:ascii="David" w:eastAsia="Times New Roman" w:hAnsi="David"/>
          <w:b/>
          <w:sz w:val="24"/>
          <w:rtl/>
        </w:rPr>
        <w:t>עוד יש להזכיר את דברי בית המשפט העליון ב</w:t>
      </w:r>
      <w:hyperlink r:id="rId13" w:history="1">
        <w:r w:rsidR="0008424B" w:rsidRPr="0008424B">
          <w:rPr>
            <w:rFonts w:ascii="David" w:eastAsia="Times New Roman" w:hAnsi="David"/>
            <w:b/>
            <w:color w:val="0000FF"/>
            <w:sz w:val="24"/>
            <w:u w:val="single"/>
            <w:rtl/>
          </w:rPr>
          <w:t>רע"פ 1267/23</w:t>
        </w:r>
      </w:hyperlink>
      <w:r w:rsidR="0008424B">
        <w:rPr>
          <w:rFonts w:ascii="David" w:eastAsia="Times New Roman" w:hAnsi="David"/>
          <w:b/>
          <w:sz w:val="24"/>
          <w:rtl/>
        </w:rPr>
        <w:t xml:space="preserve"> </w:t>
      </w:r>
      <w:r>
        <w:rPr>
          <w:rFonts w:ascii="David" w:eastAsia="Times New Roman" w:hAnsi="David"/>
          <w:b/>
          <w:bCs/>
          <w:sz w:val="24"/>
          <w:rtl/>
        </w:rPr>
        <w:t xml:space="preserve"> בלקר נ' מ"י </w:t>
      </w:r>
      <w:r>
        <w:rPr>
          <w:rFonts w:ascii="David" w:eastAsia="Times New Roman" w:hAnsi="David"/>
          <w:sz w:val="24"/>
          <w:rtl/>
        </w:rPr>
        <w:t>(6.3.23):</w:t>
      </w:r>
    </w:p>
    <w:p w14:paraId="5F40C42A" w14:textId="77777777" w:rsidR="00E54263" w:rsidRDefault="00E54263" w:rsidP="00E54263">
      <w:pPr>
        <w:spacing w:line="360" w:lineRule="auto"/>
        <w:ind w:left="1304" w:right="737"/>
        <w:contextualSpacing/>
        <w:jc w:val="both"/>
        <w:rPr>
          <w:rFonts w:ascii="David" w:hAnsi="David"/>
          <w:bCs/>
          <w:rtl/>
        </w:rPr>
      </w:pPr>
      <w:r>
        <w:rPr>
          <w:rFonts w:ascii="David" w:hAnsi="David"/>
          <w:bCs/>
          <w:rtl/>
        </w:rPr>
        <w:t>"בית משפט זה עמד פעמים רבות על החומרה הגלומה בעבירות סמים, אשר יסודה בפגיעה הישירה בצרכני הסמים ובסכנה העקיפה הנגרמת לציבור בכללותו.. בפרט ביחס לסם הקנבוס</w:t>
      </w:r>
      <w:r w:rsidR="0008424B">
        <w:rPr>
          <w:rFonts w:ascii="David" w:hAnsi="David"/>
          <w:bCs/>
          <w:rtl/>
        </w:rPr>
        <w:t xml:space="preserve"> </w:t>
      </w:r>
      <w:r>
        <w:rPr>
          <w:rFonts w:ascii="David" w:hAnsi="David"/>
          <w:bCs/>
          <w:rtl/>
        </w:rPr>
        <w:t>קבעתי במקרה קודם: "[...] כפי שמוגדר בפקודה, סם הקנבוס הוא סם מסוכן, והוראת המחוקק לעניין זה היא הדין הנוהג והמחייב. כל עוד לא נקבע אחרת, התפיסה לפיה קנבוס הוא בגדר</w:t>
      </w:r>
      <w:r>
        <w:rPr>
          <w:rFonts w:ascii="David" w:hAnsi="David"/>
          <w:bCs/>
        </w:rPr>
        <w:t>"</w:t>
      </w:r>
      <w:r w:rsidR="0008424B">
        <w:rPr>
          <w:rFonts w:ascii="David" w:hAnsi="David"/>
          <w:bCs/>
        </w:rPr>
        <w:t xml:space="preserve"> </w:t>
      </w:r>
      <w:r>
        <w:rPr>
          <w:rFonts w:ascii="David" w:hAnsi="David"/>
          <w:bCs/>
          <w:rtl/>
        </w:rPr>
        <w:t>סם קל" ודינו שונה מדינם של סמים אחרים נעדרת אחיזה בדין, ואין בה כדי לבטל את החזקה הקבועה בפקודה".</w:t>
      </w:r>
    </w:p>
    <w:p w14:paraId="52B27857" w14:textId="77777777" w:rsidR="00E54263" w:rsidRPr="00E54263" w:rsidRDefault="00E54263" w:rsidP="00E54263">
      <w:pPr>
        <w:spacing w:line="360" w:lineRule="auto"/>
        <w:jc w:val="both"/>
        <w:rPr>
          <w:rFonts w:ascii="Calibri" w:eastAsia="Calibri" w:hAnsi="Calibri"/>
          <w:b/>
          <w:sz w:val="22"/>
          <w:rtl/>
        </w:rPr>
      </w:pPr>
    </w:p>
    <w:p w14:paraId="23BF8FD4" w14:textId="77777777" w:rsidR="00E54263" w:rsidRDefault="00E54263" w:rsidP="00E54263">
      <w:pPr>
        <w:pStyle w:val="a9"/>
        <w:numPr>
          <w:ilvl w:val="0"/>
          <w:numId w:val="1"/>
        </w:numPr>
        <w:bidi/>
        <w:jc w:val="both"/>
        <w:rPr>
          <w:rtl/>
        </w:rPr>
      </w:pPr>
      <w:r>
        <w:rPr>
          <w:rtl/>
        </w:rPr>
        <w:t xml:space="preserve">אין מדובר בפגיעה ברף גבוה בערכים המוגנים. </w:t>
      </w:r>
    </w:p>
    <w:p w14:paraId="06FD72EA" w14:textId="77777777" w:rsidR="00E54263" w:rsidRDefault="00E54263" w:rsidP="00E54263">
      <w:pPr>
        <w:spacing w:line="360" w:lineRule="auto"/>
        <w:ind w:left="720"/>
        <w:contextualSpacing/>
        <w:jc w:val="both"/>
        <w:rPr>
          <w:rtl/>
        </w:rPr>
      </w:pPr>
      <w:r>
        <w:rPr>
          <w:rtl/>
        </w:rPr>
        <w:t>הנאשם החזיק סם מסוכן, שאינו מחולק למנות וללא שנתפסו לצדו שקיות חלוקה או משקל. כמות הסמים שנתפסה עמדה על 183.64 גרם נטו, וזאת בתוך תיק שחור שהוחזק בארון, כמות זו עולה על פי 12 מהכמות המוחזקת בפקודה ככמות לשימוש עצמי- 15 גרם.   יובהר כי מדובר בהחזקת כמות גדולה של סם מסוכן מסוג קנבוס.</w:t>
      </w:r>
    </w:p>
    <w:p w14:paraId="442E25A4" w14:textId="77777777" w:rsidR="00E54263" w:rsidRDefault="00E54263" w:rsidP="00E54263">
      <w:pPr>
        <w:spacing w:line="360" w:lineRule="auto"/>
        <w:jc w:val="both"/>
        <w:rPr>
          <w:rtl/>
        </w:rPr>
      </w:pPr>
    </w:p>
    <w:p w14:paraId="3966EBFB" w14:textId="77777777" w:rsidR="00E54263" w:rsidRDefault="00E54263" w:rsidP="00E54263">
      <w:pPr>
        <w:pStyle w:val="a9"/>
        <w:numPr>
          <w:ilvl w:val="0"/>
          <w:numId w:val="1"/>
        </w:numPr>
        <w:bidi/>
        <w:jc w:val="both"/>
        <w:rPr>
          <w:sz w:val="24"/>
          <w:rtl/>
        </w:rPr>
      </w:pPr>
      <w:r>
        <w:rPr>
          <w:sz w:val="24"/>
          <w:rtl/>
        </w:rPr>
        <w:t>עיינתי בפסיקה שהוצגה לעיוני מטעם הצדדים ובפסיקה נוספת. מדיניות הענישה הנהוגה בעבירה בה הורשע הנאשם רחבה ונסמכת על חומרת המעשים וכלל הנסיבות. ראו למשל:</w:t>
      </w:r>
    </w:p>
    <w:p w14:paraId="3C77C923" w14:textId="77777777" w:rsidR="00E54263" w:rsidRDefault="00E54263" w:rsidP="00E54263">
      <w:pPr>
        <w:pStyle w:val="a9"/>
        <w:numPr>
          <w:ilvl w:val="0"/>
          <w:numId w:val="2"/>
        </w:numPr>
        <w:bidi/>
        <w:jc w:val="both"/>
        <w:rPr>
          <w:sz w:val="24"/>
          <w:rtl/>
        </w:rPr>
      </w:pPr>
      <w:r>
        <w:rPr>
          <w:sz w:val="24"/>
          <w:rtl/>
        </w:rPr>
        <w:t>ב</w:t>
      </w:r>
      <w:hyperlink r:id="rId14" w:history="1">
        <w:r w:rsidR="0008424B" w:rsidRPr="0008424B">
          <w:rPr>
            <w:rFonts w:hint="cs"/>
            <w:color w:val="0000FF"/>
            <w:sz w:val="24"/>
            <w:u w:val="single"/>
            <w:rtl/>
          </w:rPr>
          <w:t>רע</w:t>
        </w:r>
        <w:r w:rsidR="0008424B" w:rsidRPr="0008424B">
          <w:rPr>
            <w:color w:val="0000FF"/>
            <w:sz w:val="24"/>
            <w:u w:val="single"/>
            <w:rtl/>
          </w:rPr>
          <w:t>"</w:t>
        </w:r>
        <w:r w:rsidR="0008424B" w:rsidRPr="0008424B">
          <w:rPr>
            <w:rFonts w:hint="cs"/>
            <w:color w:val="0000FF"/>
            <w:sz w:val="24"/>
            <w:u w:val="single"/>
            <w:rtl/>
          </w:rPr>
          <w:t>פ</w:t>
        </w:r>
        <w:r w:rsidR="0008424B" w:rsidRPr="0008424B">
          <w:rPr>
            <w:color w:val="0000FF"/>
            <w:sz w:val="24"/>
            <w:u w:val="single"/>
            <w:rtl/>
          </w:rPr>
          <w:t xml:space="preserve"> 1267/23</w:t>
        </w:r>
      </w:hyperlink>
      <w:r w:rsidR="0008424B">
        <w:rPr>
          <w:sz w:val="24"/>
          <w:rtl/>
        </w:rPr>
        <w:t xml:space="preserve"> </w:t>
      </w:r>
      <w:r>
        <w:rPr>
          <w:b/>
          <w:bCs/>
          <w:sz w:val="24"/>
          <w:rtl/>
        </w:rPr>
        <w:t>בלקר נ' מ"י</w:t>
      </w:r>
      <w:r>
        <w:rPr>
          <w:sz w:val="24"/>
          <w:rtl/>
        </w:rPr>
        <w:t xml:space="preserve"> (6.3.23) הורשע הנאשם בהחזקת סם שלא לצריכה עצמית ובהחזקת כלים להכנת סם, בכך שנתפסו סמים השייכים למבקש במקומות שונים בבית ובחצר. בתוך קסדת אופנוע, נתפס סם מסוג קנבוס במשקל של 100 גרם נטו; מתחת לשולחן בחצר הבית נתפס סם מסוג קנבוס במשקל של 553.10 גרם נטו; וכן נתפסו שני משקלים דיגיטליים, שהיו על מדף במטבח. בית משפט השלום גזר על הנאשם עונש מאסר על תנאי, אך בערעור המדינה על קולת העונש החמיר בית המשפט המחוזי וגזר על הנאשם חודשיים מאסר בעבודות שירות. בקשת רשות ערעור לבית המשפט העליון, נדחתה. </w:t>
      </w:r>
    </w:p>
    <w:p w14:paraId="5A6C0C18" w14:textId="77777777" w:rsidR="00E54263" w:rsidRDefault="00E54263" w:rsidP="00E54263">
      <w:pPr>
        <w:pStyle w:val="a9"/>
        <w:bidi/>
        <w:ind w:left="1080"/>
        <w:jc w:val="both"/>
        <w:rPr>
          <w:sz w:val="24"/>
        </w:rPr>
      </w:pPr>
    </w:p>
    <w:p w14:paraId="7E18E063" w14:textId="77777777" w:rsidR="00E54263" w:rsidRDefault="00E54263" w:rsidP="00E54263">
      <w:pPr>
        <w:pStyle w:val="a9"/>
        <w:numPr>
          <w:ilvl w:val="0"/>
          <w:numId w:val="2"/>
        </w:numPr>
        <w:bidi/>
        <w:jc w:val="both"/>
        <w:rPr>
          <w:sz w:val="24"/>
        </w:rPr>
      </w:pPr>
      <w:r>
        <w:rPr>
          <w:sz w:val="24"/>
          <w:rtl/>
        </w:rPr>
        <w:t>ב</w:t>
      </w:r>
      <w:hyperlink r:id="rId15" w:history="1">
        <w:r w:rsidR="0008424B" w:rsidRPr="0008424B">
          <w:rPr>
            <w:rFonts w:hint="cs"/>
            <w:color w:val="0000FF"/>
            <w:sz w:val="24"/>
            <w:u w:val="single"/>
            <w:rtl/>
          </w:rPr>
          <w:t>רע</w:t>
        </w:r>
        <w:r w:rsidR="0008424B" w:rsidRPr="0008424B">
          <w:rPr>
            <w:color w:val="0000FF"/>
            <w:sz w:val="24"/>
            <w:u w:val="single"/>
            <w:rtl/>
          </w:rPr>
          <w:t>"</w:t>
        </w:r>
        <w:r w:rsidR="0008424B" w:rsidRPr="0008424B">
          <w:rPr>
            <w:rFonts w:hint="cs"/>
            <w:color w:val="0000FF"/>
            <w:sz w:val="24"/>
            <w:u w:val="single"/>
            <w:rtl/>
          </w:rPr>
          <w:t>פ</w:t>
        </w:r>
        <w:r w:rsidR="0008424B" w:rsidRPr="0008424B">
          <w:rPr>
            <w:color w:val="0000FF"/>
            <w:sz w:val="24"/>
            <w:u w:val="single"/>
            <w:rtl/>
          </w:rPr>
          <w:t xml:space="preserve"> 4214/22</w:t>
        </w:r>
      </w:hyperlink>
      <w:r>
        <w:rPr>
          <w:sz w:val="24"/>
          <w:rtl/>
        </w:rPr>
        <w:t xml:space="preserve"> ‏</w:t>
      </w:r>
      <w:r>
        <w:rPr>
          <w:b/>
          <w:bCs/>
          <w:sz w:val="24"/>
          <w:rtl/>
        </w:rPr>
        <w:t>יצחק נ' מ"י</w:t>
      </w:r>
      <w:r>
        <w:rPr>
          <w:sz w:val="24"/>
          <w:rtl/>
        </w:rPr>
        <w:t xml:space="preserve"> (7.7.22) הורשע המבקש בביצוע עבירה של החזקה או שימוש בסמים שלא לצריכה עצמית, בגין כך שהחזיק בתא הכפפות ברכב 9 יחידות של סם מסוכן מסוג קנבוס במשקל כולל של 12.12 גרם נטו, שלא לצריכתו העצמית ובמשקל אלקטרוני. עוד החזיק המבקש בתוך תא מטען של רכב אחר שבחזקתו, 60 יחידות של סם מסוכן מסוג קנבוס במשקל כולל של 140 גרם נטו. בית משפט השלום קבע את מתחם העונש ההולם בין מאסר על תנאי לבין 10 חודשי מאסר, ובשים לב להיעדר הרשעות קודמות בפלילים ושיתוף הפעולה עם שירות המבחן, גזר על המבקש מאסר על תנאי לצד צו מבחן וצו של"צ. ערעור ובקשת רשות ערעור נדחו. </w:t>
      </w:r>
    </w:p>
    <w:p w14:paraId="1B6536D8" w14:textId="77777777" w:rsidR="00E54263" w:rsidRDefault="00E54263" w:rsidP="00E54263">
      <w:pPr>
        <w:pStyle w:val="a9"/>
        <w:rPr>
          <w:sz w:val="24"/>
        </w:rPr>
      </w:pPr>
    </w:p>
    <w:p w14:paraId="14F5C022" w14:textId="77777777" w:rsidR="00E54263" w:rsidRDefault="0008424B" w:rsidP="00E54263">
      <w:pPr>
        <w:pStyle w:val="a9"/>
        <w:numPr>
          <w:ilvl w:val="0"/>
          <w:numId w:val="2"/>
        </w:numPr>
        <w:bidi/>
        <w:jc w:val="both"/>
        <w:rPr>
          <w:rtl/>
        </w:rPr>
      </w:pPr>
      <w:hyperlink r:id="rId16" w:history="1">
        <w:r w:rsidRPr="0008424B">
          <w:rPr>
            <w:rFonts w:hint="cs"/>
            <w:color w:val="0000FF"/>
            <w:u w:val="single"/>
            <w:rtl/>
          </w:rPr>
          <w:t>רע</w:t>
        </w:r>
        <w:r w:rsidRPr="0008424B">
          <w:rPr>
            <w:color w:val="0000FF"/>
            <w:u w:val="single"/>
            <w:rtl/>
          </w:rPr>
          <w:t>"</w:t>
        </w:r>
        <w:r w:rsidRPr="0008424B">
          <w:rPr>
            <w:rFonts w:hint="cs"/>
            <w:color w:val="0000FF"/>
            <w:u w:val="single"/>
            <w:rtl/>
          </w:rPr>
          <w:t>פ</w:t>
        </w:r>
        <w:r w:rsidRPr="0008424B">
          <w:rPr>
            <w:color w:val="0000FF"/>
            <w:u w:val="single"/>
            <w:rtl/>
          </w:rPr>
          <w:t xml:space="preserve"> 8759/21</w:t>
        </w:r>
      </w:hyperlink>
      <w:r w:rsidR="00E54263">
        <w:rPr>
          <w:rtl/>
        </w:rPr>
        <w:t xml:space="preserve"> </w:t>
      </w:r>
      <w:r w:rsidR="00E54263">
        <w:rPr>
          <w:b/>
          <w:bCs/>
          <w:rtl/>
        </w:rPr>
        <w:t>קסלר נ' מ"י</w:t>
      </w:r>
      <w:r w:rsidR="00E54263">
        <w:rPr>
          <w:rtl/>
        </w:rPr>
        <w:t xml:space="preserve"> (23.12.21) המבקש הורשע בביצוע עבירה של החזקת סם מסוג קנבוס, שלא לצריכה עצמית, בכמות של 229.35 גרם בביתו, וכן בעובדות כתב אישום נוסף, בביצוע עבירה של החזקת אגרופן. </w:t>
      </w:r>
    </w:p>
    <w:p w14:paraId="32D88CA7" w14:textId="77777777" w:rsidR="00E54263" w:rsidRDefault="00E54263" w:rsidP="00E54263">
      <w:pPr>
        <w:spacing w:line="360" w:lineRule="auto"/>
        <w:ind w:left="1080"/>
        <w:contextualSpacing/>
        <w:jc w:val="both"/>
      </w:pPr>
      <w:r>
        <w:rPr>
          <w:rtl/>
        </w:rPr>
        <w:t>בית משפט השלום קבע מתחמי ענישה נפרדים לשני כתבי האישום, כאשר בגין עבירת החזקת הסמים קבע מתחם הנע בין מאסר על תנאי לצד צו של"צ לבין 8 חודשי מאסר בפועל. על המבקש נגזר עונש כולל של 30 ימי מאסר בדרך של עבודות שירות, בשים לב להיות המבקש נעדר עבר פלילי וזאת על אף קיומם של קשיים במישור הטיפולי ובכלל זה סירובו של המבקש למסור בדיקות שתן לשירות המבחן. ערעור שהגיש המבקש לבית המשפט המחוזי, נדחה וכך גם בקשת רשות ערעור שהוגשה לבית המשפט העליון.</w:t>
      </w:r>
    </w:p>
    <w:p w14:paraId="3898B444" w14:textId="77777777" w:rsidR="00E54263" w:rsidRDefault="00E54263" w:rsidP="00E54263">
      <w:pPr>
        <w:spacing w:line="360" w:lineRule="auto"/>
        <w:jc w:val="both"/>
        <w:rPr>
          <w:rtl/>
        </w:rPr>
      </w:pPr>
    </w:p>
    <w:p w14:paraId="55486720" w14:textId="77777777" w:rsidR="00E54263" w:rsidRDefault="00E54263" w:rsidP="00E54263">
      <w:pPr>
        <w:pStyle w:val="a9"/>
        <w:numPr>
          <w:ilvl w:val="0"/>
          <w:numId w:val="2"/>
        </w:numPr>
        <w:bidi/>
        <w:jc w:val="both"/>
        <w:rPr>
          <w:rtl/>
        </w:rPr>
      </w:pPr>
      <w:r>
        <w:rPr>
          <w:rtl/>
        </w:rPr>
        <w:t>ב</w:t>
      </w:r>
      <w:hyperlink r:id="rId17" w:history="1">
        <w:r w:rsidR="0008424B" w:rsidRPr="0008424B">
          <w:rPr>
            <w:rFonts w:hint="cs"/>
            <w:color w:val="0000FF"/>
            <w:u w:val="single"/>
            <w:rtl/>
          </w:rPr>
          <w:t>ת</w:t>
        </w:r>
        <w:r w:rsidR="0008424B" w:rsidRPr="0008424B">
          <w:rPr>
            <w:color w:val="0000FF"/>
            <w:u w:val="single"/>
            <w:rtl/>
          </w:rPr>
          <w:t>"</w:t>
        </w:r>
        <w:r w:rsidR="0008424B" w:rsidRPr="0008424B">
          <w:rPr>
            <w:rFonts w:hint="cs"/>
            <w:color w:val="0000FF"/>
            <w:u w:val="single"/>
            <w:rtl/>
          </w:rPr>
          <w:t>פ</w:t>
        </w:r>
        <w:r w:rsidR="0008424B" w:rsidRPr="0008424B">
          <w:rPr>
            <w:color w:val="0000FF"/>
            <w:u w:val="single"/>
            <w:rtl/>
          </w:rPr>
          <w:t xml:space="preserve"> (</w:t>
        </w:r>
        <w:r w:rsidR="0008424B" w:rsidRPr="0008424B">
          <w:rPr>
            <w:rFonts w:hint="cs"/>
            <w:color w:val="0000FF"/>
            <w:u w:val="single"/>
            <w:rtl/>
          </w:rPr>
          <w:t>ב</w:t>
        </w:r>
        <w:r w:rsidR="0008424B" w:rsidRPr="0008424B">
          <w:rPr>
            <w:color w:val="0000FF"/>
            <w:u w:val="single"/>
            <w:rtl/>
          </w:rPr>
          <w:t>"</w:t>
        </w:r>
        <w:r w:rsidR="0008424B" w:rsidRPr="0008424B">
          <w:rPr>
            <w:rFonts w:hint="cs"/>
            <w:color w:val="0000FF"/>
            <w:u w:val="single"/>
            <w:rtl/>
          </w:rPr>
          <w:t>ש</w:t>
        </w:r>
        <w:r w:rsidR="0008424B" w:rsidRPr="0008424B">
          <w:rPr>
            <w:color w:val="0000FF"/>
            <w:u w:val="single"/>
            <w:rtl/>
          </w:rPr>
          <w:t>) 61989-05-19</w:t>
        </w:r>
      </w:hyperlink>
      <w:r>
        <w:rPr>
          <w:rtl/>
        </w:rPr>
        <w:t xml:space="preserve"> </w:t>
      </w:r>
      <w:r>
        <w:rPr>
          <w:b/>
          <w:bCs/>
          <w:rtl/>
        </w:rPr>
        <w:t>מ"י נ' צהיבאן</w:t>
      </w:r>
      <w:r>
        <w:rPr>
          <w:rtl/>
        </w:rPr>
        <w:t xml:space="preserve"> (27.3.23) הורשע הנאשם בביצוע עבירה של החזקת סם שלא לצריכה עצמית, בכך שהחזיק ב</w:t>
      </w:r>
      <w:r>
        <w:rPr>
          <w:rFonts w:ascii="David" w:hAnsi="David"/>
          <w:rtl/>
        </w:rPr>
        <w:t>-</w:t>
      </w:r>
      <w:r>
        <w:rPr>
          <w:rFonts w:ascii="David" w:hAnsi="David"/>
        </w:rPr>
        <w:t xml:space="preserve"> 267.90</w:t>
      </w:r>
      <w:r>
        <w:t xml:space="preserve"> </w:t>
      </w:r>
      <w:r>
        <w:rPr>
          <w:rtl/>
        </w:rPr>
        <w:t xml:space="preserve">גרם סם קנבוס. בית משפט השלום קבע מתחם ענישה הנע בין מאסר על תנאי ועד לעונש מאסר שירוצה בעבודות שירות. מאחר ודובר בבחור צעיר, הנעדר עבר פלילי, מזה כ-4 שנים לא ביצע עבירות אחרות ושירות המבחן המליץ על אי הרשעתו, בית המשפט ביטל את ההרשעה והעמיד את הנאשם בצווי מבחן ושל"צ. </w:t>
      </w:r>
    </w:p>
    <w:p w14:paraId="55A908F8" w14:textId="77777777" w:rsidR="00E54263" w:rsidRDefault="00E54263" w:rsidP="00E54263">
      <w:pPr>
        <w:spacing w:line="360" w:lineRule="auto"/>
        <w:jc w:val="both"/>
        <w:rPr>
          <w:rtl/>
        </w:rPr>
      </w:pPr>
    </w:p>
    <w:p w14:paraId="50CA03D6" w14:textId="77777777" w:rsidR="00E54263" w:rsidRDefault="00E54263" w:rsidP="00E54263">
      <w:pPr>
        <w:pStyle w:val="a9"/>
        <w:numPr>
          <w:ilvl w:val="0"/>
          <w:numId w:val="1"/>
        </w:numPr>
        <w:bidi/>
        <w:jc w:val="both"/>
        <w:rPr>
          <w:b/>
          <w:bCs/>
          <w:rtl/>
        </w:rPr>
      </w:pPr>
      <w:r>
        <w:rPr>
          <w:b/>
          <w:bCs/>
          <w:rtl/>
        </w:rPr>
        <w:t xml:space="preserve">מכל המפורט, תוך אבחנה לענייננו, אני קובעת כי מתחם העונש ההולם נע בין מאסר על תנאי ועד ל-12 חודשי מאסר בפועל, לצד ענישה נילווית. </w:t>
      </w:r>
    </w:p>
    <w:p w14:paraId="7101F83D" w14:textId="77777777" w:rsidR="00E54263" w:rsidRDefault="00E54263" w:rsidP="00E54263">
      <w:pPr>
        <w:spacing w:line="360" w:lineRule="auto"/>
        <w:ind w:firstLine="360"/>
        <w:jc w:val="both"/>
        <w:rPr>
          <w:rFonts w:ascii="Miriam" w:hAnsi="Miriam" w:cs="Miriam"/>
          <w:rtl/>
        </w:rPr>
      </w:pPr>
    </w:p>
    <w:p w14:paraId="739D31A5" w14:textId="77777777" w:rsidR="00E54263" w:rsidRDefault="00E54263" w:rsidP="00E54263">
      <w:pPr>
        <w:spacing w:line="360" w:lineRule="auto"/>
        <w:ind w:firstLine="360"/>
        <w:jc w:val="both"/>
        <w:rPr>
          <w:rFonts w:ascii="Miriam" w:hAnsi="Miriam" w:cs="Miriam"/>
          <w:rtl/>
        </w:rPr>
      </w:pPr>
      <w:r>
        <w:rPr>
          <w:rFonts w:ascii="Miriam" w:hAnsi="Miriam" w:cs="Miriam"/>
          <w:rtl/>
        </w:rPr>
        <w:t>עונשו של הנאשם</w:t>
      </w:r>
    </w:p>
    <w:p w14:paraId="70867FF3" w14:textId="77777777" w:rsidR="00E54263" w:rsidRDefault="00E54263" w:rsidP="00E54263">
      <w:pPr>
        <w:pStyle w:val="a9"/>
        <w:numPr>
          <w:ilvl w:val="0"/>
          <w:numId w:val="1"/>
        </w:numPr>
        <w:bidi/>
        <w:jc w:val="both"/>
        <w:rPr>
          <w:rtl/>
        </w:rPr>
      </w:pPr>
      <w:r>
        <w:rPr>
          <w:rtl/>
        </w:rPr>
        <w:t xml:space="preserve">לא מצאתי כי בנסיבות המקרה שלפניי, מתקיימים שיקולים המאפשרים סטייה ממתחם הענישה ההולם, לקולה או לחומרה. </w:t>
      </w:r>
    </w:p>
    <w:p w14:paraId="72E7749A" w14:textId="77777777" w:rsidR="00E54263" w:rsidRDefault="00E54263" w:rsidP="00E54263">
      <w:pPr>
        <w:spacing w:line="360" w:lineRule="auto"/>
        <w:jc w:val="both"/>
      </w:pPr>
    </w:p>
    <w:p w14:paraId="3471245E" w14:textId="77777777" w:rsidR="00E54263" w:rsidRDefault="00E54263" w:rsidP="00E54263">
      <w:pPr>
        <w:pStyle w:val="a9"/>
        <w:numPr>
          <w:ilvl w:val="0"/>
          <w:numId w:val="1"/>
        </w:numPr>
        <w:bidi/>
        <w:jc w:val="both"/>
        <w:rPr>
          <w:rtl/>
        </w:rPr>
      </w:pPr>
      <w:r>
        <w:rPr>
          <w:rtl/>
        </w:rPr>
        <w:t>בתוך מתחם הענישה ההולם, על בית המשפט לגזור את עונש הנאשם בהתחשב בנסיבות שאינן קשורות בביצוע העבירה.</w:t>
      </w:r>
    </w:p>
    <w:p w14:paraId="738CFDB1" w14:textId="77777777" w:rsidR="00E54263" w:rsidRDefault="00E54263" w:rsidP="00E54263">
      <w:pPr>
        <w:spacing w:line="360" w:lineRule="auto"/>
        <w:ind w:left="360"/>
        <w:jc w:val="both"/>
        <w:rPr>
          <w:rtl/>
        </w:rPr>
      </w:pPr>
    </w:p>
    <w:p w14:paraId="02ED5D73" w14:textId="77777777" w:rsidR="00E54263" w:rsidRDefault="00E54263" w:rsidP="00E54263">
      <w:pPr>
        <w:pStyle w:val="a9"/>
        <w:numPr>
          <w:ilvl w:val="0"/>
          <w:numId w:val="1"/>
        </w:numPr>
        <w:bidi/>
        <w:jc w:val="both"/>
        <w:rPr>
          <w:rtl/>
        </w:rPr>
      </w:pPr>
      <w:r>
        <w:rPr>
          <w:rtl/>
        </w:rPr>
        <w:t xml:space="preserve">ראשית אזקוף לזכות הנאשם את הודאתו בעבירות המיוחסות לו בכתב האישום המתוקן, ללא צורך בשמיעת הראיות תוך חיסכון בזמנם של העדים. </w:t>
      </w:r>
      <w:r>
        <w:rPr>
          <w:b/>
          <w:rtl/>
        </w:rPr>
        <w:t xml:space="preserve">עוד אציין כי הנאשם הכיר בכך שהוא זקוק לסיוע בהפסקת צריכת חומרים ממכרים, אך התקשה בגיוס הכוחות הדרושים לכך. כאן המקום לציין כי בדיקות השתן שמסר הנאשם נמצאו נקיות משרידי סם. </w:t>
      </w:r>
      <w:r>
        <w:rPr>
          <w:rtl/>
        </w:rPr>
        <w:t xml:space="preserve">עם זאת, באחת מהבדיקות לאיתור אלכוהול שביצע בחודשים פברואר - מרץ 2023 נמצאו שרידי אלכוהול והנאשם התקשה לתאר את נסיבות צריכת האלכוהול. זאת ועוד, מאז חודש אפריל 2023 הנאשם ניתק את הקשר עם שירות המבחן ולא יצר קשר ביוזמתו. </w:t>
      </w:r>
    </w:p>
    <w:p w14:paraId="6726B8DA" w14:textId="77777777" w:rsidR="00E54263" w:rsidRDefault="00E54263" w:rsidP="00E54263">
      <w:pPr>
        <w:spacing w:line="360" w:lineRule="auto"/>
        <w:ind w:left="720"/>
        <w:contextualSpacing/>
        <w:jc w:val="both"/>
        <w:rPr>
          <w:rtl/>
        </w:rPr>
      </w:pPr>
      <w:r>
        <w:rPr>
          <w:rtl/>
        </w:rPr>
        <w:t xml:space="preserve">נוכח ניתוק הקשר עם שירות המבחן לא נוצר בסיס למעורבות שיקומית, לא היה בידי שירות המבחן כדי להמליץ על אפיק טיפולי ושירות המבחן חזר בו מהמלצתו הראשונית להעמיד את הנאשם תחת צו מבחן וצו של"צ. </w:t>
      </w:r>
    </w:p>
    <w:p w14:paraId="538E6641" w14:textId="77777777" w:rsidR="00E54263" w:rsidRDefault="00E54263" w:rsidP="00E54263">
      <w:pPr>
        <w:spacing w:line="360" w:lineRule="auto"/>
        <w:jc w:val="both"/>
        <w:rPr>
          <w:rtl/>
        </w:rPr>
      </w:pPr>
    </w:p>
    <w:p w14:paraId="18F59B0A" w14:textId="77777777" w:rsidR="00E54263" w:rsidRDefault="00E54263" w:rsidP="00E54263">
      <w:pPr>
        <w:pStyle w:val="a9"/>
        <w:numPr>
          <w:ilvl w:val="0"/>
          <w:numId w:val="1"/>
        </w:numPr>
        <w:bidi/>
        <w:jc w:val="both"/>
        <w:rPr>
          <w:b/>
          <w:rtl/>
        </w:rPr>
      </w:pPr>
      <w:r>
        <w:rPr>
          <w:b/>
          <w:rtl/>
        </w:rPr>
        <w:t xml:space="preserve">לצד זאת אדגיש כי על אף המורכבות העולה מתסקירי שירות המבחן, הנאשם נעדר עבר פלילי ומאז ביצוע העבירות לפני כחמש שנים, לא ביצע עבירות נוספות. כמו כן, כעולה מטיעוני ההגנה הנאשם שומר על יציבות תעסוקתית מזה כשמונה חודשים. </w:t>
      </w:r>
    </w:p>
    <w:p w14:paraId="214996CA" w14:textId="77777777" w:rsidR="00E54263" w:rsidRDefault="00E54263" w:rsidP="00E54263">
      <w:pPr>
        <w:spacing w:line="360" w:lineRule="auto"/>
        <w:jc w:val="both"/>
        <w:rPr>
          <w:rtl/>
        </w:rPr>
      </w:pPr>
    </w:p>
    <w:p w14:paraId="1F2A9A27" w14:textId="77777777" w:rsidR="00E54263" w:rsidRDefault="00E54263" w:rsidP="00E54263">
      <w:pPr>
        <w:pStyle w:val="a9"/>
        <w:numPr>
          <w:ilvl w:val="0"/>
          <w:numId w:val="1"/>
        </w:numPr>
        <w:bidi/>
        <w:jc w:val="both"/>
        <w:rPr>
          <w:rtl/>
        </w:rPr>
      </w:pPr>
      <w:r>
        <w:rPr>
          <w:rtl/>
        </w:rPr>
        <w:t xml:space="preserve">נוכח כל האמור לעיל, מצאתי כי יש להעמיד את עונשו של הנאשם ברף התחתון של מתחם העונש ההולם. יחד עם זאת, לצורך הרתעת הנאשם מלשוב ולבצע עבירות בעתיד, ייגזרו על הנאשם עונשי מאסר מותנים מרתיעים ומציבי גבול. </w:t>
      </w:r>
    </w:p>
    <w:p w14:paraId="40688AAE" w14:textId="77777777" w:rsidR="00E54263" w:rsidRDefault="00E54263" w:rsidP="00E54263">
      <w:pPr>
        <w:spacing w:line="360" w:lineRule="auto"/>
        <w:jc w:val="both"/>
        <w:rPr>
          <w:b/>
          <w:bCs/>
          <w:u w:val="single"/>
          <w:rtl/>
        </w:rPr>
      </w:pPr>
      <w:r>
        <w:rPr>
          <w:b/>
          <w:bCs/>
          <w:u w:val="single"/>
          <w:rtl/>
        </w:rPr>
        <w:t>סוף דבר</w:t>
      </w:r>
    </w:p>
    <w:p w14:paraId="059D1E1D" w14:textId="77777777" w:rsidR="00E54263" w:rsidRDefault="00E54263" w:rsidP="00E54263">
      <w:pPr>
        <w:pStyle w:val="a9"/>
        <w:numPr>
          <w:ilvl w:val="0"/>
          <w:numId w:val="1"/>
        </w:numPr>
        <w:bidi/>
        <w:jc w:val="both"/>
        <w:rPr>
          <w:rtl/>
        </w:rPr>
      </w:pPr>
      <w:r>
        <w:rPr>
          <w:rtl/>
        </w:rPr>
        <w:t>לאור האמור לעיל הנני גוזרת על הנאשם את העונשים הבאים:</w:t>
      </w:r>
    </w:p>
    <w:p w14:paraId="7798FD66" w14:textId="77777777" w:rsidR="00E54263" w:rsidRDefault="00E54263" w:rsidP="00E54263">
      <w:pPr>
        <w:numPr>
          <w:ilvl w:val="0"/>
          <w:numId w:val="3"/>
        </w:numPr>
        <w:spacing w:after="160" w:line="360" w:lineRule="auto"/>
        <w:contextualSpacing/>
        <w:jc w:val="both"/>
        <w:rPr>
          <w:rtl/>
        </w:rPr>
      </w:pPr>
      <w:r>
        <w:rPr>
          <w:rtl/>
        </w:rPr>
        <w:t xml:space="preserve">מאסר למשך 8 חודשים והנאשם לא יישא עונש זה אלא אם יעבור בתוך 3 שנים מהיום כל עבירה כל עבירה לפי </w:t>
      </w:r>
      <w:hyperlink r:id="rId18" w:history="1">
        <w:r w:rsidR="0008424B" w:rsidRPr="0008424B">
          <w:rPr>
            <w:color w:val="0000FF"/>
            <w:u w:val="single"/>
            <w:rtl/>
          </w:rPr>
          <w:t>פקודת הסמים המסוכנים</w:t>
        </w:r>
      </w:hyperlink>
      <w:r>
        <w:rPr>
          <w:rtl/>
        </w:rPr>
        <w:t xml:space="preserve"> מסוג פשע.</w:t>
      </w:r>
    </w:p>
    <w:p w14:paraId="433E1B1B" w14:textId="77777777" w:rsidR="00E54263" w:rsidRDefault="00E54263" w:rsidP="00E54263">
      <w:pPr>
        <w:spacing w:line="360" w:lineRule="auto"/>
        <w:ind w:left="720"/>
        <w:contextualSpacing/>
        <w:jc w:val="both"/>
      </w:pPr>
    </w:p>
    <w:p w14:paraId="40A2A7C3" w14:textId="77777777" w:rsidR="00E54263" w:rsidRDefault="00E54263" w:rsidP="00E54263">
      <w:pPr>
        <w:numPr>
          <w:ilvl w:val="0"/>
          <w:numId w:val="3"/>
        </w:numPr>
        <w:spacing w:after="160" w:line="360" w:lineRule="auto"/>
        <w:contextualSpacing/>
        <w:jc w:val="both"/>
      </w:pPr>
      <w:r>
        <w:rPr>
          <w:rtl/>
        </w:rPr>
        <w:t xml:space="preserve">מאסר למשך 4 חודשים והנאשם לא יישא עונש זה אלא אם יעבור בתוך 3 שנים מהיום כל עבירה כל עבירה לפי </w:t>
      </w:r>
      <w:hyperlink r:id="rId19" w:history="1">
        <w:r w:rsidR="0008424B" w:rsidRPr="0008424B">
          <w:rPr>
            <w:color w:val="0000FF"/>
            <w:u w:val="single"/>
            <w:rtl/>
          </w:rPr>
          <w:t>פקודת הסמים המסוכנים</w:t>
        </w:r>
      </w:hyperlink>
      <w:r>
        <w:rPr>
          <w:rtl/>
        </w:rPr>
        <w:t xml:space="preserve"> מסוג עוון.</w:t>
      </w:r>
    </w:p>
    <w:p w14:paraId="3B0AAC39" w14:textId="77777777" w:rsidR="00E54263" w:rsidRDefault="00E54263" w:rsidP="00E54263">
      <w:pPr>
        <w:spacing w:line="360" w:lineRule="auto"/>
        <w:jc w:val="both"/>
        <w:rPr>
          <w:rtl/>
        </w:rPr>
      </w:pPr>
    </w:p>
    <w:p w14:paraId="237DCC05" w14:textId="77777777" w:rsidR="00E54263" w:rsidRDefault="00E54263" w:rsidP="00E54263">
      <w:pPr>
        <w:numPr>
          <w:ilvl w:val="0"/>
          <w:numId w:val="3"/>
        </w:numPr>
        <w:spacing w:after="160" w:line="360" w:lineRule="auto"/>
        <w:contextualSpacing/>
        <w:jc w:val="both"/>
        <w:rPr>
          <w:rtl/>
        </w:rPr>
      </w:pPr>
      <w:r>
        <w:rPr>
          <w:rtl/>
        </w:rPr>
        <w:t>קנס בסך 3,500 ₪ או 30 ימי מאסר תמורתו.</w:t>
      </w:r>
    </w:p>
    <w:p w14:paraId="2C088FF8" w14:textId="77777777" w:rsidR="00E54263" w:rsidRDefault="00E54263" w:rsidP="00E54263">
      <w:pPr>
        <w:spacing w:line="360" w:lineRule="auto"/>
        <w:ind w:left="720"/>
        <w:contextualSpacing/>
        <w:jc w:val="both"/>
        <w:rPr>
          <w:rtl/>
        </w:rPr>
      </w:pPr>
      <w:r>
        <w:rPr>
          <w:rtl/>
        </w:rPr>
        <w:t xml:space="preserve">הקנס ישולם ב-5 תשלומים שווים ורצופים, החל מיום 1.3.24 וב-1 לחודש שלאחריו.  </w:t>
      </w:r>
    </w:p>
    <w:p w14:paraId="5F87E0C1" w14:textId="77777777" w:rsidR="00E54263" w:rsidRDefault="00E54263" w:rsidP="00E54263">
      <w:pPr>
        <w:spacing w:line="360" w:lineRule="auto"/>
        <w:ind w:left="720"/>
        <w:contextualSpacing/>
        <w:jc w:val="both"/>
        <w:rPr>
          <w:rtl/>
        </w:rPr>
      </w:pPr>
      <w:r>
        <w:rPr>
          <w:rtl/>
        </w:rPr>
        <w:t xml:space="preserve">באם תשלום אחד מן התשלומים לא יפרע במועדו, יעמוד כל הקנס לפירעון מידי ויועבר לגבייה באמצעות המרכז לגביית קנסות. הנאשם מתבקש לגשת למזכירות בית המשפט לקבלת הוראות בעניין התשלום.  </w:t>
      </w:r>
    </w:p>
    <w:p w14:paraId="7AC626C6" w14:textId="77777777" w:rsidR="00E54263" w:rsidRDefault="00E54263" w:rsidP="00E54263">
      <w:pPr>
        <w:spacing w:line="360" w:lineRule="auto"/>
        <w:jc w:val="both"/>
        <w:rPr>
          <w:b/>
          <w:bCs/>
          <w:u w:val="single"/>
          <w:rtl/>
        </w:rPr>
      </w:pPr>
    </w:p>
    <w:p w14:paraId="1ECA71E4" w14:textId="77777777" w:rsidR="00E54263" w:rsidRDefault="0008424B" w:rsidP="00E54263">
      <w:pPr>
        <w:spacing w:line="360" w:lineRule="auto"/>
        <w:jc w:val="both"/>
        <w:rPr>
          <w:b/>
          <w:bCs/>
          <w:u w:val="single"/>
          <w:rtl/>
        </w:rPr>
      </w:pPr>
      <w:r w:rsidRPr="0008424B">
        <w:rPr>
          <w:b/>
          <w:bCs/>
          <w:color w:val="FFFFFF"/>
          <w:sz w:val="2"/>
          <w:szCs w:val="2"/>
          <w:u w:val="single"/>
          <w:rtl/>
        </w:rPr>
        <w:t>5129371</w:t>
      </w:r>
      <w:r w:rsidR="00E54263">
        <w:rPr>
          <w:b/>
          <w:bCs/>
          <w:u w:val="single"/>
          <w:rtl/>
        </w:rPr>
        <w:t xml:space="preserve">צו להשמדת הסמים והמוצגים. </w:t>
      </w:r>
    </w:p>
    <w:p w14:paraId="57800A53" w14:textId="77777777" w:rsidR="00E54263" w:rsidRDefault="0008424B" w:rsidP="00E54263">
      <w:pPr>
        <w:spacing w:line="360" w:lineRule="auto"/>
        <w:jc w:val="both"/>
        <w:rPr>
          <w:b/>
          <w:bCs/>
          <w:u w:val="single"/>
          <w:rtl/>
        </w:rPr>
      </w:pPr>
      <w:r w:rsidRPr="0008424B">
        <w:rPr>
          <w:b/>
          <w:bCs/>
          <w:color w:val="FFFFFF"/>
          <w:sz w:val="2"/>
          <w:szCs w:val="2"/>
          <w:u w:val="single"/>
          <w:rtl/>
        </w:rPr>
        <w:t>54678313</w:t>
      </w:r>
      <w:r w:rsidR="00E54263">
        <w:rPr>
          <w:b/>
          <w:bCs/>
          <w:u w:val="single"/>
          <w:rtl/>
        </w:rPr>
        <w:t>זכות ערעור בתוך 45 יום מהיום.</w:t>
      </w:r>
    </w:p>
    <w:p w14:paraId="6618EB77" w14:textId="77777777" w:rsidR="00E54263" w:rsidRDefault="00E54263" w:rsidP="00E54263">
      <w:pPr>
        <w:spacing w:line="360" w:lineRule="auto"/>
        <w:jc w:val="both"/>
        <w:rPr>
          <w:rFonts w:ascii="David" w:hAnsi="David"/>
          <w:sz w:val="26"/>
          <w:szCs w:val="26"/>
          <w:rtl/>
        </w:rPr>
      </w:pPr>
    </w:p>
    <w:p w14:paraId="650E21D9" w14:textId="77777777" w:rsidR="00E54263" w:rsidRPr="002B7D23" w:rsidRDefault="0008424B" w:rsidP="00E54263">
      <w:pPr>
        <w:spacing w:line="360" w:lineRule="auto"/>
        <w:rPr>
          <w:rFonts w:ascii="David" w:hAnsi="David"/>
          <w:sz w:val="26"/>
          <w:szCs w:val="26"/>
          <w:rtl/>
        </w:rPr>
      </w:pPr>
      <w:bookmarkStart w:id="8" w:name="Nitan"/>
      <w:r>
        <w:rPr>
          <w:rFonts w:ascii="David" w:hAnsi="David"/>
          <w:sz w:val="26"/>
          <w:szCs w:val="26"/>
          <w:rtl/>
        </w:rPr>
        <w:t xml:space="preserve">ניתן היום,  ט' אדר א' תשפ"ד, 18 פברואר 2024, בנוכחות הנאשם וב"כ הצדדים. </w:t>
      </w:r>
      <w:bookmarkEnd w:id="8"/>
    </w:p>
    <w:p w14:paraId="6A357811" w14:textId="77777777" w:rsidR="0008424B" w:rsidRDefault="0008424B" w:rsidP="0008424B">
      <w:pPr>
        <w:rPr>
          <w:rtl/>
        </w:rPr>
      </w:pPr>
    </w:p>
    <w:p w14:paraId="204C1625" w14:textId="77777777" w:rsidR="0008424B" w:rsidRDefault="0008424B" w:rsidP="0008424B">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21FA477C" w14:textId="77777777" w:rsidR="00892032" w:rsidRPr="00892032" w:rsidRDefault="00892032" w:rsidP="00892032">
      <w:pPr>
        <w:keepNext/>
        <w:rPr>
          <w:rFonts w:ascii="David" w:hAnsi="David"/>
          <w:color w:val="000000"/>
          <w:sz w:val="22"/>
          <w:szCs w:val="22"/>
          <w:rtl/>
        </w:rPr>
      </w:pPr>
    </w:p>
    <w:p w14:paraId="199522D0" w14:textId="77777777" w:rsidR="00892032" w:rsidRPr="00892032" w:rsidRDefault="00892032" w:rsidP="00892032">
      <w:pPr>
        <w:keepNext/>
        <w:rPr>
          <w:rFonts w:ascii="David" w:hAnsi="David"/>
          <w:color w:val="000000"/>
          <w:sz w:val="22"/>
          <w:szCs w:val="22"/>
          <w:rtl/>
        </w:rPr>
      </w:pPr>
      <w:r w:rsidRPr="00892032">
        <w:rPr>
          <w:rFonts w:ascii="David" w:hAnsi="David"/>
          <w:color w:val="000000"/>
          <w:sz w:val="22"/>
          <w:szCs w:val="22"/>
          <w:rtl/>
        </w:rPr>
        <w:t>טל אוסטפלד נאוי 54678313-/</w:t>
      </w:r>
    </w:p>
    <w:p w14:paraId="096532F9" w14:textId="77777777" w:rsidR="0008424B" w:rsidRPr="0008424B" w:rsidRDefault="00892032" w:rsidP="00892032">
      <w:pPr>
        <w:rPr>
          <w:color w:val="0000FF"/>
          <w:u w:val="single"/>
        </w:rPr>
      </w:pPr>
      <w:r w:rsidRPr="00892032">
        <w:rPr>
          <w:color w:val="000000"/>
          <w:u w:val="single"/>
          <w:rtl/>
        </w:rPr>
        <w:t>נוסח מסמך זה כפוף לשינויי ניסוח ועריכה</w:t>
      </w:r>
    </w:p>
    <w:sectPr w:rsidR="0008424B" w:rsidRPr="0008424B" w:rsidSect="00892032">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EEDB6" w14:textId="77777777" w:rsidR="002E00E6" w:rsidRDefault="002E00E6" w:rsidP="0066598C">
      <w:r>
        <w:separator/>
      </w:r>
    </w:p>
  </w:endnote>
  <w:endnote w:type="continuationSeparator" w:id="0">
    <w:p w14:paraId="175BD68A" w14:textId="77777777" w:rsidR="002E00E6" w:rsidRDefault="002E00E6" w:rsidP="00665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1D6D2" w14:textId="77777777" w:rsidR="00892032" w:rsidRDefault="00892032" w:rsidP="0089203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35AEFFD" w14:textId="77777777" w:rsidR="00E95F32" w:rsidRPr="00892032" w:rsidRDefault="00892032" w:rsidP="00892032">
    <w:pPr>
      <w:pStyle w:val="a5"/>
      <w:pBdr>
        <w:top w:val="single" w:sz="4" w:space="1" w:color="auto"/>
        <w:between w:val="single" w:sz="4" w:space="0" w:color="auto"/>
      </w:pBdr>
      <w:spacing w:after="60"/>
      <w:jc w:val="center"/>
      <w:rPr>
        <w:rFonts w:ascii="FrankRuehl" w:hAnsi="FrankRuehl" w:cs="FrankRuehl"/>
        <w:color w:val="000000"/>
      </w:rPr>
    </w:pPr>
    <w:r w:rsidRPr="0089203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C20B1" w14:textId="77777777" w:rsidR="00892032" w:rsidRDefault="00892032" w:rsidP="0089203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26B51">
      <w:rPr>
        <w:rFonts w:ascii="FrankRuehl" w:hAnsi="FrankRuehl" w:cs="FrankRuehl"/>
        <w:noProof/>
        <w:rtl/>
      </w:rPr>
      <w:t>1</w:t>
    </w:r>
    <w:r>
      <w:rPr>
        <w:rFonts w:ascii="FrankRuehl" w:hAnsi="FrankRuehl" w:cs="FrankRuehl"/>
        <w:rtl/>
      </w:rPr>
      <w:fldChar w:fldCharType="end"/>
    </w:r>
  </w:p>
  <w:p w14:paraId="5BDEED42" w14:textId="77777777" w:rsidR="00E95F32" w:rsidRPr="00892032" w:rsidRDefault="00892032" w:rsidP="00892032">
    <w:pPr>
      <w:pStyle w:val="a5"/>
      <w:pBdr>
        <w:top w:val="single" w:sz="4" w:space="1" w:color="auto"/>
        <w:between w:val="single" w:sz="4" w:space="0" w:color="auto"/>
      </w:pBdr>
      <w:spacing w:after="60"/>
      <w:jc w:val="center"/>
      <w:rPr>
        <w:rFonts w:ascii="FrankRuehl" w:hAnsi="FrankRuehl" w:cs="FrankRuehl"/>
        <w:color w:val="000000"/>
      </w:rPr>
    </w:pPr>
    <w:r w:rsidRPr="00892032">
      <w:rPr>
        <w:rFonts w:ascii="FrankRuehl" w:hAnsi="FrankRuehl" w:cs="FrankRuehl"/>
        <w:color w:val="000000"/>
      </w:rPr>
      <w:pict w14:anchorId="68316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993695" w14:textId="77777777" w:rsidR="002E00E6" w:rsidRDefault="002E00E6" w:rsidP="0066598C">
      <w:r>
        <w:separator/>
      </w:r>
    </w:p>
  </w:footnote>
  <w:footnote w:type="continuationSeparator" w:id="0">
    <w:p w14:paraId="0346C0FA" w14:textId="77777777" w:rsidR="002E00E6" w:rsidRDefault="002E00E6" w:rsidP="006659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E0679" w14:textId="77777777" w:rsidR="0008424B" w:rsidRPr="00892032" w:rsidRDefault="00892032" w:rsidP="0089203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14642-11-20</w:t>
    </w:r>
    <w:r>
      <w:rPr>
        <w:rFonts w:ascii="David" w:hAnsi="David"/>
        <w:color w:val="000000"/>
        <w:sz w:val="22"/>
        <w:szCs w:val="22"/>
        <w:rtl/>
      </w:rPr>
      <w:tab/>
      <w:t xml:space="preserve"> מדינת ישראל נ' בוריס קבישצ'ר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5C0F6" w14:textId="77777777" w:rsidR="0008424B" w:rsidRPr="00892032" w:rsidRDefault="00892032" w:rsidP="0089203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14642-11-20</w:t>
    </w:r>
    <w:r>
      <w:rPr>
        <w:rFonts w:ascii="David" w:hAnsi="David"/>
        <w:color w:val="000000"/>
        <w:sz w:val="22"/>
        <w:szCs w:val="22"/>
        <w:rtl/>
      </w:rPr>
      <w:tab/>
      <w:t xml:space="preserve"> מדינת ישראל נ' בוריס קבישצ'ר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20533"/>
    <w:multiLevelType w:val="hybridMultilevel"/>
    <w:tmpl w:val="E3024436"/>
    <w:lvl w:ilvl="0" w:tplc="27F41C10">
      <w:start w:val="1"/>
      <w:numFmt w:val="hebrew1"/>
      <w:lvlText w:val="%1."/>
      <w:lvlJc w:val="center"/>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662F54F0"/>
    <w:multiLevelType w:val="hybridMultilevel"/>
    <w:tmpl w:val="3FFAC64A"/>
    <w:lvl w:ilvl="0" w:tplc="8C3EC2EA">
      <w:start w:val="1"/>
      <w:numFmt w:val="decimal"/>
      <w:lvlText w:val="%1."/>
      <w:lvlJc w:val="left"/>
      <w:pPr>
        <w:ind w:left="720" w:hanging="360"/>
      </w:pPr>
      <w:rPr>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77C2542"/>
    <w:multiLevelType w:val="hybridMultilevel"/>
    <w:tmpl w:val="2CB6C180"/>
    <w:lvl w:ilvl="0" w:tplc="DBFE6278">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4411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40291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35840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54263"/>
    <w:rsid w:val="000569D8"/>
    <w:rsid w:val="000615F1"/>
    <w:rsid w:val="0008424B"/>
    <w:rsid w:val="001573E1"/>
    <w:rsid w:val="001B5A3B"/>
    <w:rsid w:val="002E00E6"/>
    <w:rsid w:val="00382346"/>
    <w:rsid w:val="0066598C"/>
    <w:rsid w:val="00892032"/>
    <w:rsid w:val="00A313F3"/>
    <w:rsid w:val="00C8569A"/>
    <w:rsid w:val="00CF5560"/>
    <w:rsid w:val="00E26B51"/>
    <w:rsid w:val="00E54263"/>
    <w:rsid w:val="00E95F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B7A9E9"/>
  <w15:chartTrackingRefBased/>
  <w15:docId w15:val="{440ABF20-0D3A-48BC-B6CF-9E1D7F48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426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54263"/>
    <w:pPr>
      <w:tabs>
        <w:tab w:val="center" w:pos="4153"/>
        <w:tab w:val="right" w:pos="8306"/>
      </w:tabs>
    </w:pPr>
  </w:style>
  <w:style w:type="character" w:customStyle="1" w:styleId="a4">
    <w:name w:val="כותרת עליונה תו"/>
    <w:link w:val="a3"/>
    <w:rsid w:val="00E54263"/>
    <w:rPr>
      <w:rFonts w:ascii="Times New Roman" w:eastAsia="Times New Roman" w:hAnsi="Times New Roman" w:cs="David"/>
      <w:sz w:val="24"/>
      <w:szCs w:val="24"/>
    </w:rPr>
  </w:style>
  <w:style w:type="paragraph" w:styleId="a5">
    <w:name w:val="footer"/>
    <w:basedOn w:val="a"/>
    <w:link w:val="a6"/>
    <w:rsid w:val="00E54263"/>
    <w:pPr>
      <w:tabs>
        <w:tab w:val="center" w:pos="4153"/>
        <w:tab w:val="right" w:pos="8306"/>
      </w:tabs>
    </w:pPr>
  </w:style>
  <w:style w:type="character" w:customStyle="1" w:styleId="a6">
    <w:name w:val="כותרת תחתונה תו"/>
    <w:link w:val="a5"/>
    <w:rsid w:val="00E54263"/>
    <w:rPr>
      <w:rFonts w:ascii="Times New Roman" w:eastAsia="Times New Roman" w:hAnsi="Times New Roman" w:cs="David"/>
      <w:sz w:val="24"/>
      <w:szCs w:val="24"/>
    </w:rPr>
  </w:style>
  <w:style w:type="table" w:styleId="a7">
    <w:name w:val="Table Grid"/>
    <w:basedOn w:val="a1"/>
    <w:rsid w:val="00E5426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54263"/>
  </w:style>
  <w:style w:type="paragraph" w:styleId="a9">
    <w:name w:val="List Paragraph"/>
    <w:basedOn w:val="a"/>
    <w:qFormat/>
    <w:rsid w:val="00E54263"/>
    <w:pPr>
      <w:bidi w:val="0"/>
      <w:spacing w:after="160" w:line="360" w:lineRule="auto"/>
      <w:ind w:left="720"/>
      <w:contextualSpacing/>
    </w:pPr>
    <w:rPr>
      <w:rFonts w:ascii="Calibri" w:eastAsia="Calibri" w:hAnsi="Calibri"/>
      <w:sz w:val="22"/>
    </w:rPr>
  </w:style>
  <w:style w:type="character" w:styleId="Hyperlink">
    <w:name w:val="Hyperlink"/>
    <w:rsid w:val="000842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9396498" TargetMode="External"/><Relationship Id="rId18" Type="http://schemas.openxmlformats.org/officeDocument/2006/relationships/hyperlink" Target="http://www.nevo.co.il/law/421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case/5738608" TargetMode="External"/><Relationship Id="rId17" Type="http://schemas.openxmlformats.org/officeDocument/2006/relationships/hyperlink" Target="http://www.nevo.co.il/case/2572997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8190928"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8710074" TargetMode="External"/><Relationship Id="rId23" Type="http://schemas.openxmlformats.org/officeDocument/2006/relationships/footer" Target="footer1.xml"/><Relationship Id="rId10" Type="http://schemas.openxmlformats.org/officeDocument/2006/relationships/hyperlink" Target="http://www.nevo.co.il/law/4216/7.a.;7.c"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9396498"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2087</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12499</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8257637</vt:i4>
      </vt:variant>
      <vt:variant>
        <vt:i4>36</vt:i4>
      </vt:variant>
      <vt:variant>
        <vt:i4>0</vt:i4>
      </vt:variant>
      <vt:variant>
        <vt:i4>5</vt:i4>
      </vt:variant>
      <vt:variant>
        <vt:lpwstr>http://www.nevo.co.il/law/4216</vt:lpwstr>
      </vt:variant>
      <vt:variant>
        <vt:lpwstr/>
      </vt:variant>
      <vt:variant>
        <vt:i4>8257637</vt:i4>
      </vt:variant>
      <vt:variant>
        <vt:i4>33</vt:i4>
      </vt:variant>
      <vt:variant>
        <vt:i4>0</vt:i4>
      </vt:variant>
      <vt:variant>
        <vt:i4>5</vt:i4>
      </vt:variant>
      <vt:variant>
        <vt:lpwstr>http://www.nevo.co.il/law/4216</vt:lpwstr>
      </vt:variant>
      <vt:variant>
        <vt:lpwstr/>
      </vt:variant>
      <vt:variant>
        <vt:i4>3866746</vt:i4>
      </vt:variant>
      <vt:variant>
        <vt:i4>30</vt:i4>
      </vt:variant>
      <vt:variant>
        <vt:i4>0</vt:i4>
      </vt:variant>
      <vt:variant>
        <vt:i4>5</vt:i4>
      </vt:variant>
      <vt:variant>
        <vt:lpwstr>http://www.nevo.co.il/case/25729974</vt:lpwstr>
      </vt:variant>
      <vt:variant>
        <vt:lpwstr/>
      </vt:variant>
      <vt:variant>
        <vt:i4>3211388</vt:i4>
      </vt:variant>
      <vt:variant>
        <vt:i4>27</vt:i4>
      </vt:variant>
      <vt:variant>
        <vt:i4>0</vt:i4>
      </vt:variant>
      <vt:variant>
        <vt:i4>5</vt:i4>
      </vt:variant>
      <vt:variant>
        <vt:lpwstr>http://www.nevo.co.il/case/28190928</vt:lpwstr>
      </vt:variant>
      <vt:variant>
        <vt:lpwstr/>
      </vt:variant>
      <vt:variant>
        <vt:i4>3276925</vt:i4>
      </vt:variant>
      <vt:variant>
        <vt:i4>24</vt:i4>
      </vt:variant>
      <vt:variant>
        <vt:i4>0</vt:i4>
      </vt:variant>
      <vt:variant>
        <vt:i4>5</vt:i4>
      </vt:variant>
      <vt:variant>
        <vt:lpwstr>http://www.nevo.co.il/case/28710074</vt:lpwstr>
      </vt:variant>
      <vt:variant>
        <vt:lpwstr/>
      </vt:variant>
      <vt:variant>
        <vt:i4>4063344</vt:i4>
      </vt:variant>
      <vt:variant>
        <vt:i4>21</vt:i4>
      </vt:variant>
      <vt:variant>
        <vt:i4>0</vt:i4>
      </vt:variant>
      <vt:variant>
        <vt:i4>5</vt:i4>
      </vt:variant>
      <vt:variant>
        <vt:lpwstr>http://www.nevo.co.il/case/29396498</vt:lpwstr>
      </vt:variant>
      <vt:variant>
        <vt:lpwstr/>
      </vt:variant>
      <vt:variant>
        <vt:i4>4063344</vt:i4>
      </vt:variant>
      <vt:variant>
        <vt:i4>18</vt:i4>
      </vt:variant>
      <vt:variant>
        <vt:i4>0</vt:i4>
      </vt:variant>
      <vt:variant>
        <vt:i4>5</vt:i4>
      </vt:variant>
      <vt:variant>
        <vt:lpwstr>http://www.nevo.co.il/case/29396498</vt:lpwstr>
      </vt:variant>
      <vt:variant>
        <vt:lpwstr/>
      </vt:variant>
      <vt:variant>
        <vt:i4>3670139</vt:i4>
      </vt:variant>
      <vt:variant>
        <vt:i4>15</vt:i4>
      </vt:variant>
      <vt:variant>
        <vt:i4>0</vt:i4>
      </vt:variant>
      <vt:variant>
        <vt:i4>5</vt:i4>
      </vt:variant>
      <vt:variant>
        <vt:lpwstr>http://www.nevo.co.il/case/5738608</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2025-04-23T00:47:00Z</dcterms:created>
  <dcterms:modified xsi:type="dcterms:W3CDTF">2025-04-23T00:47:00Z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14642</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בוריס קבישצ'ר</vt:lpwstr>
  </property>
  <property fmtid="{D5CDD505-2E9C-101B-9397-08002B2CF9AE}" pid="10" name="LAWYER">
    <vt:lpwstr>יאנה קרויפמן</vt:lpwstr>
  </property>
  <property fmtid="{D5CDD505-2E9C-101B-9397-08002B2CF9AE}" pid="11" name="JUDGE">
    <vt:lpwstr>טל אוסטפלד נאוי</vt:lpwstr>
  </property>
  <property fmtid="{D5CDD505-2E9C-101B-9397-08002B2CF9AE}" pid="12" name="CITY">
    <vt:lpwstr>ראשל"צ</vt:lpwstr>
  </property>
  <property fmtid="{D5CDD505-2E9C-101B-9397-08002B2CF9AE}" pid="13" name="DATE">
    <vt:lpwstr>20240218</vt:lpwstr>
  </property>
  <property fmtid="{D5CDD505-2E9C-101B-9397-08002B2CF9AE}" pid="14" name="TYPE_N_DATE">
    <vt:lpwstr>38020240218</vt:lpwstr>
  </property>
  <property fmtid="{D5CDD505-2E9C-101B-9397-08002B2CF9AE}" pid="15" name="WORDNUMPAGES">
    <vt:lpwstr>8</vt:lpwstr>
  </property>
  <property fmtid="{D5CDD505-2E9C-101B-9397-08002B2CF9AE}" pid="16" name="TYPE_ABS_DATE">
    <vt:lpwstr>380020240218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5738608;29396498:2;28710074;28190928;25729974</vt:lpwstr>
  </property>
  <property fmtid="{D5CDD505-2E9C-101B-9397-08002B2CF9AE}" pid="36" name="LAWLISTTMP1">
    <vt:lpwstr>4216/007.a;007.c</vt:lpwstr>
  </property>
</Properties>
</file>