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0E3494" w:rsidRPr="00AE1818" w14:paraId="12027A56" w14:textId="77777777" w:rsidTr="00621BF3">
        <w:trPr>
          <w:trHeight w:hRule="exact" w:val="704"/>
          <w:jc w:val="center"/>
        </w:trPr>
        <w:tc>
          <w:tcPr>
            <w:tcW w:w="8721" w:type="dxa"/>
            <w:gridSpan w:val="2"/>
          </w:tcPr>
          <w:p w14:paraId="699A1275" w14:textId="77777777" w:rsidR="000E3494" w:rsidRPr="00AE1818" w:rsidRDefault="000E3494" w:rsidP="00621BF3">
            <w:pPr>
              <w:pStyle w:val="a3"/>
              <w:jc w:val="center"/>
              <w:rPr>
                <w:rFonts w:ascii="Tahoma" w:hAnsi="Tahoma" w:cs="Tahoma"/>
                <w:b/>
                <w:bCs/>
                <w:color w:val="000080"/>
                <w:rtl/>
              </w:rPr>
            </w:pPr>
            <w:bookmarkStart w:id="0" w:name="FirstLawyer"/>
            <w:bookmarkStart w:id="1" w:name="LastJudge"/>
            <w:r w:rsidRPr="00AE1818">
              <w:rPr>
                <w:rFonts w:ascii="Tahoma" w:hAnsi="Tahoma" w:cs="Tahoma"/>
                <w:b/>
                <w:bCs/>
                <w:color w:val="000080"/>
                <w:rtl/>
              </w:rPr>
              <w:t>בית משפט השלום בבאר שבע</w:t>
            </w:r>
          </w:p>
          <w:p w14:paraId="56C300CC" w14:textId="77777777" w:rsidR="000E3494" w:rsidRPr="00AE1818" w:rsidRDefault="000E3494" w:rsidP="00621BF3">
            <w:pPr>
              <w:pStyle w:val="a3"/>
              <w:jc w:val="center"/>
              <w:rPr>
                <w:rFonts w:ascii="Tahoma" w:hAnsi="Tahoma" w:cs="Tahoma"/>
                <w:color w:val="000080"/>
                <w:rtl/>
              </w:rPr>
            </w:pPr>
          </w:p>
        </w:tc>
      </w:tr>
      <w:tr w:rsidR="000E3494" w:rsidRPr="00AE1818" w14:paraId="063EBBF0" w14:textId="77777777" w:rsidTr="00621BF3">
        <w:trPr>
          <w:trHeight w:val="337"/>
          <w:jc w:val="center"/>
        </w:trPr>
        <w:tc>
          <w:tcPr>
            <w:tcW w:w="4473" w:type="dxa"/>
          </w:tcPr>
          <w:p w14:paraId="041C021F" w14:textId="77777777" w:rsidR="000E3494" w:rsidRPr="00AE1818" w:rsidRDefault="000E3494" w:rsidP="00621BF3">
            <w:pPr>
              <w:rPr>
                <w:b/>
                <w:bCs/>
                <w:sz w:val="26"/>
                <w:szCs w:val="26"/>
                <w:rtl/>
              </w:rPr>
            </w:pPr>
          </w:p>
        </w:tc>
        <w:tc>
          <w:tcPr>
            <w:tcW w:w="4248" w:type="dxa"/>
          </w:tcPr>
          <w:p w14:paraId="418A20AD" w14:textId="77777777" w:rsidR="000E3494" w:rsidRPr="00AE1818" w:rsidRDefault="000E3494" w:rsidP="00621BF3">
            <w:pPr>
              <w:pStyle w:val="a3"/>
              <w:jc w:val="right"/>
              <w:rPr>
                <w:b/>
                <w:bCs/>
                <w:sz w:val="26"/>
                <w:szCs w:val="26"/>
                <w:rtl/>
              </w:rPr>
            </w:pPr>
            <w:r w:rsidRPr="00AE1818">
              <w:rPr>
                <w:b/>
                <w:bCs/>
                <w:sz w:val="26"/>
                <w:szCs w:val="26"/>
                <w:rtl/>
              </w:rPr>
              <w:t>כ"ז תמוז תשפ"א</w:t>
            </w:r>
          </w:p>
          <w:p w14:paraId="6B145646" w14:textId="77777777" w:rsidR="000E3494" w:rsidRPr="00AE1818" w:rsidRDefault="000E3494" w:rsidP="00621BF3">
            <w:pPr>
              <w:pStyle w:val="a3"/>
              <w:jc w:val="right"/>
              <w:rPr>
                <w:b/>
                <w:bCs/>
                <w:sz w:val="26"/>
                <w:szCs w:val="26"/>
                <w:rtl/>
              </w:rPr>
            </w:pPr>
            <w:r w:rsidRPr="00AE1818">
              <w:rPr>
                <w:rFonts w:hint="cs"/>
                <w:b/>
                <w:bCs/>
                <w:sz w:val="26"/>
                <w:szCs w:val="26"/>
                <w:rtl/>
              </w:rPr>
              <w:t>07 יולי 2021</w:t>
            </w:r>
          </w:p>
        </w:tc>
      </w:tr>
      <w:tr w:rsidR="000E3494" w:rsidRPr="00AE1818" w14:paraId="099364DA" w14:textId="77777777" w:rsidTr="00621BF3">
        <w:trPr>
          <w:trHeight w:val="337"/>
          <w:jc w:val="center"/>
        </w:trPr>
        <w:tc>
          <w:tcPr>
            <w:tcW w:w="8721" w:type="dxa"/>
            <w:gridSpan w:val="2"/>
          </w:tcPr>
          <w:p w14:paraId="2FBC8715" w14:textId="77777777" w:rsidR="000E3494" w:rsidRPr="00AE1818" w:rsidRDefault="00AE1818" w:rsidP="00621BF3">
            <w:pPr>
              <w:rPr>
                <w:b/>
                <w:bCs/>
                <w:sz w:val="26"/>
                <w:szCs w:val="26"/>
                <w:rtl/>
              </w:rPr>
            </w:pPr>
            <w:hyperlink r:id="rId7" w:history="1">
              <w:r w:rsidRPr="00AE1818">
                <w:rPr>
                  <w:b/>
                  <w:bCs/>
                  <w:color w:val="0000FF"/>
                  <w:sz w:val="26"/>
                  <w:szCs w:val="26"/>
                  <w:u w:val="single"/>
                  <w:rtl/>
                </w:rPr>
                <w:t>ת"פ 15063-11-20</w:t>
              </w:r>
            </w:hyperlink>
            <w:r w:rsidR="000E3494" w:rsidRPr="00AE1818">
              <w:rPr>
                <w:b/>
                <w:bCs/>
                <w:sz w:val="26"/>
                <w:szCs w:val="26"/>
                <w:rtl/>
              </w:rPr>
              <w:t xml:space="preserve"> מדינת ישראל נ' קראוס(עציר)</w:t>
            </w:r>
          </w:p>
          <w:p w14:paraId="6E970080" w14:textId="77777777" w:rsidR="000E3494" w:rsidRPr="00AE1818" w:rsidRDefault="00AE1818" w:rsidP="00621BF3">
            <w:pPr>
              <w:rPr>
                <w:sz w:val="26"/>
                <w:szCs w:val="26"/>
                <w:rtl/>
              </w:rPr>
            </w:pPr>
            <w:hyperlink r:id="rId8" w:history="1">
              <w:r w:rsidRPr="00AE1818">
                <w:rPr>
                  <w:b/>
                  <w:bCs/>
                  <w:color w:val="0000FF"/>
                  <w:sz w:val="26"/>
                  <w:szCs w:val="26"/>
                  <w:u w:val="single"/>
                  <w:rtl/>
                </w:rPr>
                <w:t>ת"פ 19437-08-19</w:t>
              </w:r>
            </w:hyperlink>
            <w:r w:rsidR="000E3494" w:rsidRPr="00AE1818">
              <w:rPr>
                <w:b/>
                <w:bCs/>
                <w:sz w:val="26"/>
                <w:szCs w:val="26"/>
                <w:rtl/>
              </w:rPr>
              <w:t xml:space="preserve"> מדינת ישראל נ' קראוס(עציר)</w:t>
            </w:r>
          </w:p>
          <w:p w14:paraId="31FB2078" w14:textId="77777777" w:rsidR="000E3494" w:rsidRPr="00AE1818" w:rsidRDefault="000E3494" w:rsidP="00621BF3">
            <w:pPr>
              <w:rPr>
                <w:rtl/>
              </w:rPr>
            </w:pPr>
          </w:p>
          <w:p w14:paraId="0A1959B7" w14:textId="77777777" w:rsidR="000E3494" w:rsidRPr="00AE1818" w:rsidRDefault="000E3494" w:rsidP="00621BF3">
            <w:pPr>
              <w:rPr>
                <w:rtl/>
              </w:rPr>
            </w:pPr>
            <w:r w:rsidRPr="00AE1818">
              <w:rPr>
                <w:rFonts w:hint="cs"/>
                <w:sz w:val="20"/>
                <w:szCs w:val="20"/>
                <w:rtl/>
              </w:rPr>
              <w:t>תיק חיצוני</w:t>
            </w:r>
            <w:r w:rsidRPr="00AE1818">
              <w:rPr>
                <w:rFonts w:hint="cs"/>
                <w:rtl/>
              </w:rPr>
              <w:t xml:space="preserve">: </w:t>
            </w:r>
            <w:r w:rsidRPr="00AE1818">
              <w:rPr>
                <w:sz w:val="20"/>
                <w:szCs w:val="20"/>
              </w:rPr>
              <w:t>775368/2020</w:t>
            </w:r>
          </w:p>
        </w:tc>
      </w:tr>
    </w:tbl>
    <w:p w14:paraId="7690A87A" w14:textId="77777777" w:rsidR="000E3494" w:rsidRPr="00AE1818" w:rsidRDefault="000E3494" w:rsidP="000E3494">
      <w:pPr>
        <w:pStyle w:val="a3"/>
        <w:rPr>
          <w:rtl/>
        </w:rPr>
      </w:pPr>
      <w:r w:rsidRPr="00AE1818">
        <w:rPr>
          <w:rtl/>
        </w:rPr>
        <w:t xml:space="preserve"> </w:t>
      </w:r>
    </w:p>
    <w:p w14:paraId="269C53BF" w14:textId="77777777" w:rsidR="000E3494" w:rsidRPr="00AE1818" w:rsidRDefault="000E3494" w:rsidP="000E3494">
      <w:pPr>
        <w:suppressLineNumbers/>
        <w:rPr>
          <w:rtl/>
        </w:rPr>
      </w:pPr>
    </w:p>
    <w:p w14:paraId="564590F0" w14:textId="77777777" w:rsidR="000E3494" w:rsidRPr="00AE1818" w:rsidRDefault="000E3494" w:rsidP="000E3494">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E3494" w:rsidRPr="00AE1818" w14:paraId="5EB7D4C6" w14:textId="77777777" w:rsidTr="000E3494">
        <w:trPr>
          <w:jc w:val="center"/>
        </w:trPr>
        <w:tc>
          <w:tcPr>
            <w:tcW w:w="743" w:type="dxa"/>
            <w:shd w:val="clear" w:color="auto" w:fill="auto"/>
          </w:tcPr>
          <w:p w14:paraId="45D63D20" w14:textId="77777777" w:rsidR="000E3494" w:rsidRPr="00AE1818" w:rsidRDefault="000E3494" w:rsidP="000E3494">
            <w:pPr>
              <w:jc w:val="both"/>
              <w:rPr>
                <w:rFonts w:ascii="Arial" w:hAnsi="Arial"/>
                <w:b/>
                <w:bCs/>
              </w:rPr>
            </w:pPr>
            <w:r w:rsidRPr="00AE1818">
              <w:rPr>
                <w:rFonts w:ascii="Arial" w:hAnsi="Arial" w:hint="cs"/>
                <w:b/>
                <w:bCs/>
                <w:rtl/>
              </w:rPr>
              <w:t>לפני</w:t>
            </w:r>
          </w:p>
        </w:tc>
        <w:tc>
          <w:tcPr>
            <w:tcW w:w="8077" w:type="dxa"/>
            <w:gridSpan w:val="2"/>
            <w:shd w:val="clear" w:color="auto" w:fill="auto"/>
          </w:tcPr>
          <w:p w14:paraId="46F3CAB8" w14:textId="77777777" w:rsidR="000E3494" w:rsidRPr="00AE1818" w:rsidRDefault="000E3494" w:rsidP="00621BF3">
            <w:pPr>
              <w:rPr>
                <w:rFonts w:ascii="Arial" w:hAnsi="Arial"/>
                <w:b/>
                <w:bCs/>
                <w:rtl/>
              </w:rPr>
            </w:pPr>
            <w:r w:rsidRPr="00AE1818">
              <w:rPr>
                <w:rFonts w:ascii="Arial" w:hAnsi="Arial" w:hint="cs"/>
                <w:b/>
                <w:bCs/>
                <w:rtl/>
              </w:rPr>
              <w:t>כב' ה</w:t>
            </w:r>
            <w:r w:rsidRPr="00AE1818">
              <w:rPr>
                <w:rFonts w:ascii="Arial" w:hAnsi="Arial"/>
                <w:b/>
                <w:bCs/>
                <w:rtl/>
              </w:rPr>
              <w:t>שופט</w:t>
            </w:r>
            <w:r w:rsidRPr="00AE1818">
              <w:rPr>
                <w:rFonts w:ascii="Arial" w:hAnsi="Arial" w:hint="cs"/>
                <w:b/>
                <w:bCs/>
                <w:rtl/>
              </w:rPr>
              <w:t xml:space="preserve">  </w:t>
            </w:r>
            <w:r w:rsidRPr="00AE1818">
              <w:rPr>
                <w:rFonts w:ascii="Arial" w:hAnsi="Arial"/>
                <w:b/>
                <w:bCs/>
                <w:rtl/>
              </w:rPr>
              <w:t>רון סולקין</w:t>
            </w:r>
          </w:p>
          <w:p w14:paraId="11B4C35F" w14:textId="77777777" w:rsidR="000E3494" w:rsidRPr="00AE1818" w:rsidRDefault="000E3494" w:rsidP="00621BF3">
            <w:pPr>
              <w:rPr>
                <w:rFonts w:ascii="Arial" w:hAnsi="Arial" w:cs="FrankRuehl"/>
                <w:sz w:val="28"/>
                <w:szCs w:val="28"/>
                <w:highlight w:val="yellow"/>
              </w:rPr>
            </w:pPr>
          </w:p>
        </w:tc>
      </w:tr>
      <w:tr w:rsidR="000E3494" w:rsidRPr="00AE1818" w14:paraId="0A171004" w14:textId="77777777" w:rsidTr="000E3494">
        <w:trPr>
          <w:jc w:val="center"/>
        </w:trPr>
        <w:tc>
          <w:tcPr>
            <w:tcW w:w="3249" w:type="dxa"/>
            <w:gridSpan w:val="2"/>
            <w:shd w:val="clear" w:color="auto" w:fill="auto"/>
          </w:tcPr>
          <w:p w14:paraId="4D6A91C9" w14:textId="77777777" w:rsidR="000E3494" w:rsidRPr="00AE1818" w:rsidRDefault="000E3494" w:rsidP="000E3494">
            <w:pPr>
              <w:bidi w:val="0"/>
              <w:jc w:val="right"/>
              <w:rPr>
                <w:rFonts w:ascii="Arial" w:hAnsi="Arial"/>
                <w:b/>
                <w:bCs/>
                <w:sz w:val="26"/>
                <w:szCs w:val="26"/>
              </w:rPr>
            </w:pPr>
            <w:bookmarkStart w:id="2" w:name="FirstAppellant"/>
          </w:p>
          <w:p w14:paraId="0C67AE67" w14:textId="77777777" w:rsidR="000E3494" w:rsidRPr="00AE1818" w:rsidRDefault="000E3494" w:rsidP="000E3494">
            <w:pPr>
              <w:bidi w:val="0"/>
              <w:jc w:val="right"/>
              <w:rPr>
                <w:rFonts w:ascii="Arial" w:hAnsi="Arial"/>
                <w:b/>
                <w:bCs/>
                <w:sz w:val="26"/>
                <w:szCs w:val="26"/>
                <w:rtl/>
              </w:rPr>
            </w:pPr>
            <w:r w:rsidRPr="00AE1818">
              <w:rPr>
                <w:rFonts w:ascii="Arial" w:hAnsi="Arial" w:hint="cs"/>
                <w:b/>
                <w:bCs/>
                <w:sz w:val="26"/>
                <w:szCs w:val="26"/>
                <w:rtl/>
              </w:rPr>
              <w:t>המאשימה</w:t>
            </w:r>
          </w:p>
        </w:tc>
        <w:tc>
          <w:tcPr>
            <w:tcW w:w="5571" w:type="dxa"/>
            <w:shd w:val="clear" w:color="auto" w:fill="auto"/>
          </w:tcPr>
          <w:p w14:paraId="009A6BDB" w14:textId="77777777" w:rsidR="000E3494" w:rsidRPr="00AE1818" w:rsidRDefault="000E3494" w:rsidP="00621BF3">
            <w:pPr>
              <w:rPr>
                <w:rFonts w:ascii="Arial" w:hAnsi="Arial"/>
                <w:b/>
                <w:bCs/>
                <w:sz w:val="26"/>
                <w:szCs w:val="26"/>
                <w:rtl/>
              </w:rPr>
            </w:pPr>
          </w:p>
          <w:p w14:paraId="3F285A25" w14:textId="77777777" w:rsidR="000E3494" w:rsidRPr="00AE1818" w:rsidRDefault="000E3494" w:rsidP="00621BF3">
            <w:pPr>
              <w:rPr>
                <w:b/>
                <w:bCs/>
                <w:sz w:val="26"/>
                <w:szCs w:val="26"/>
              </w:rPr>
            </w:pPr>
            <w:r w:rsidRPr="00AE1818">
              <w:rPr>
                <w:rFonts w:ascii="Arial" w:hAnsi="Arial"/>
                <w:b/>
                <w:bCs/>
                <w:sz w:val="26"/>
                <w:szCs w:val="26"/>
                <w:rtl/>
              </w:rPr>
              <w:t>מדינת ישראל – פמ"</w:t>
            </w:r>
            <w:r w:rsidRPr="00AE1818">
              <w:rPr>
                <w:rFonts w:ascii="Arial" w:hAnsi="Arial" w:hint="cs"/>
                <w:b/>
                <w:bCs/>
                <w:sz w:val="26"/>
                <w:szCs w:val="26"/>
                <w:rtl/>
              </w:rPr>
              <w:t>ד</w:t>
            </w:r>
            <w:r w:rsidRPr="00AE1818">
              <w:rPr>
                <w:rFonts w:ascii="Arial" w:hAnsi="Arial"/>
                <w:b/>
                <w:bCs/>
                <w:sz w:val="26"/>
                <w:szCs w:val="26"/>
                <w:rtl/>
              </w:rPr>
              <w:br/>
            </w:r>
            <w:r w:rsidRPr="00AE1818">
              <w:rPr>
                <w:rFonts w:hint="cs"/>
                <w:rtl/>
              </w:rPr>
              <w:t>ע"י ב"כ עו"ד מיי אלחג'וג'</w:t>
            </w:r>
          </w:p>
        </w:tc>
      </w:tr>
      <w:bookmarkEnd w:id="2"/>
      <w:tr w:rsidR="000E3494" w:rsidRPr="00AE1818" w14:paraId="6A369CB5" w14:textId="77777777" w:rsidTr="000E3494">
        <w:trPr>
          <w:jc w:val="center"/>
        </w:trPr>
        <w:tc>
          <w:tcPr>
            <w:tcW w:w="8820" w:type="dxa"/>
            <w:gridSpan w:val="3"/>
            <w:shd w:val="clear" w:color="auto" w:fill="auto"/>
          </w:tcPr>
          <w:p w14:paraId="31CE2ED7" w14:textId="77777777" w:rsidR="000E3494" w:rsidRPr="00AE1818" w:rsidRDefault="000E3494" w:rsidP="00621BF3">
            <w:pPr>
              <w:rPr>
                <w:rFonts w:ascii="Arial" w:hAnsi="Arial"/>
                <w:b/>
                <w:bCs/>
                <w:sz w:val="26"/>
                <w:szCs w:val="26"/>
                <w:rtl/>
              </w:rPr>
            </w:pPr>
          </w:p>
          <w:p w14:paraId="4DE7A939" w14:textId="77777777" w:rsidR="000E3494" w:rsidRPr="00AE1818" w:rsidRDefault="000E3494" w:rsidP="000E3494">
            <w:pPr>
              <w:jc w:val="center"/>
              <w:rPr>
                <w:rFonts w:ascii="Arial" w:hAnsi="Arial"/>
                <w:b/>
                <w:bCs/>
                <w:sz w:val="26"/>
                <w:szCs w:val="26"/>
                <w:rtl/>
              </w:rPr>
            </w:pPr>
            <w:r w:rsidRPr="00AE1818">
              <w:rPr>
                <w:rFonts w:ascii="Arial" w:hAnsi="Arial"/>
                <w:b/>
                <w:bCs/>
                <w:sz w:val="26"/>
                <w:szCs w:val="26"/>
                <w:rtl/>
              </w:rPr>
              <w:t>נגד</w:t>
            </w:r>
          </w:p>
          <w:p w14:paraId="4B53D59C" w14:textId="77777777" w:rsidR="000E3494" w:rsidRPr="00AE1818" w:rsidRDefault="000E3494" w:rsidP="00621BF3">
            <w:pPr>
              <w:rPr>
                <w:rFonts w:ascii="Arial" w:hAnsi="Arial"/>
                <w:b/>
                <w:bCs/>
                <w:sz w:val="26"/>
                <w:szCs w:val="26"/>
              </w:rPr>
            </w:pPr>
          </w:p>
        </w:tc>
      </w:tr>
      <w:tr w:rsidR="000E3494" w:rsidRPr="00AE1818" w14:paraId="488C4FC9" w14:textId="77777777" w:rsidTr="000E3494">
        <w:trPr>
          <w:jc w:val="center"/>
        </w:trPr>
        <w:tc>
          <w:tcPr>
            <w:tcW w:w="3249" w:type="dxa"/>
            <w:gridSpan w:val="2"/>
            <w:shd w:val="clear" w:color="auto" w:fill="auto"/>
          </w:tcPr>
          <w:p w14:paraId="4C26C031" w14:textId="77777777" w:rsidR="000E3494" w:rsidRPr="00AE1818" w:rsidRDefault="000E3494" w:rsidP="00621BF3">
            <w:pPr>
              <w:rPr>
                <w:rFonts w:ascii="Arial" w:hAnsi="Arial"/>
                <w:b/>
                <w:bCs/>
                <w:sz w:val="26"/>
                <w:szCs w:val="26"/>
                <w:rtl/>
              </w:rPr>
            </w:pPr>
          </w:p>
          <w:p w14:paraId="05A7FBFC" w14:textId="77777777" w:rsidR="000E3494" w:rsidRPr="00AE1818" w:rsidRDefault="000E3494" w:rsidP="00621BF3">
            <w:pPr>
              <w:rPr>
                <w:rFonts w:ascii="Arial" w:hAnsi="Arial"/>
                <w:b/>
                <w:bCs/>
                <w:sz w:val="26"/>
                <w:szCs w:val="26"/>
              </w:rPr>
            </w:pPr>
            <w:r w:rsidRPr="00AE1818">
              <w:rPr>
                <w:rFonts w:ascii="Arial" w:hAnsi="Arial" w:hint="cs"/>
                <w:b/>
                <w:bCs/>
                <w:sz w:val="26"/>
                <w:szCs w:val="26"/>
                <w:rtl/>
              </w:rPr>
              <w:t>הנאשם</w:t>
            </w:r>
          </w:p>
        </w:tc>
        <w:tc>
          <w:tcPr>
            <w:tcW w:w="5571" w:type="dxa"/>
            <w:shd w:val="clear" w:color="auto" w:fill="auto"/>
          </w:tcPr>
          <w:p w14:paraId="187AA068" w14:textId="77777777" w:rsidR="000E3494" w:rsidRPr="00AE1818" w:rsidRDefault="000E3494" w:rsidP="00621BF3">
            <w:pPr>
              <w:rPr>
                <w:rFonts w:ascii="Arial" w:hAnsi="Arial"/>
                <w:b/>
                <w:bCs/>
                <w:sz w:val="26"/>
                <w:szCs w:val="26"/>
                <w:rtl/>
              </w:rPr>
            </w:pPr>
          </w:p>
          <w:p w14:paraId="33686F8D" w14:textId="77777777" w:rsidR="000E3494" w:rsidRPr="00AE1818" w:rsidRDefault="000E3494" w:rsidP="00621BF3">
            <w:pPr>
              <w:rPr>
                <w:b/>
                <w:bCs/>
                <w:sz w:val="26"/>
                <w:szCs w:val="26"/>
                <w:rtl/>
              </w:rPr>
            </w:pPr>
            <w:r w:rsidRPr="00AE1818">
              <w:rPr>
                <w:rFonts w:ascii="Arial" w:hAnsi="Arial"/>
                <w:b/>
                <w:bCs/>
                <w:sz w:val="26"/>
                <w:szCs w:val="26"/>
                <w:rtl/>
              </w:rPr>
              <w:t xml:space="preserve">מרטין </w:t>
            </w:r>
            <w:r w:rsidRPr="00AE1818">
              <w:rPr>
                <w:rFonts w:ascii="Arial" w:hAnsi="Arial" w:hint="cs"/>
                <w:b/>
                <w:bCs/>
                <w:sz w:val="26"/>
                <w:szCs w:val="26"/>
                <w:rtl/>
              </w:rPr>
              <w:t xml:space="preserve">בן יבגני </w:t>
            </w:r>
            <w:r w:rsidRPr="00AE1818">
              <w:rPr>
                <w:rFonts w:ascii="Arial" w:hAnsi="Arial"/>
                <w:b/>
                <w:bCs/>
                <w:sz w:val="26"/>
                <w:szCs w:val="26"/>
                <w:rtl/>
              </w:rPr>
              <w:t>קראוס (עציר)</w:t>
            </w:r>
            <w:r w:rsidRPr="00AE1818">
              <w:rPr>
                <w:rtl/>
              </w:rPr>
              <w:br/>
            </w:r>
            <w:r w:rsidRPr="00AE1818">
              <w:rPr>
                <w:rFonts w:hint="cs"/>
                <w:rtl/>
              </w:rPr>
              <w:t>ע"י ב"כ עו"ד נדב גרינוולד</w:t>
            </w:r>
          </w:p>
        </w:tc>
      </w:tr>
    </w:tbl>
    <w:p w14:paraId="49DDAA82" w14:textId="77777777" w:rsidR="000E3494" w:rsidRPr="00AE1818" w:rsidRDefault="000E3494" w:rsidP="000E3494">
      <w:pPr>
        <w:suppressLineNumbers/>
      </w:pPr>
    </w:p>
    <w:p w14:paraId="57E32AEC" w14:textId="77777777" w:rsidR="00AE1818" w:rsidRPr="00AE1818" w:rsidRDefault="00AE1818" w:rsidP="000E3494">
      <w:pPr>
        <w:suppressLineNumbers/>
        <w:rPr>
          <w:rtl/>
        </w:rPr>
      </w:pPr>
    </w:p>
    <w:p w14:paraId="40F27694" w14:textId="77777777" w:rsidR="00A375D4" w:rsidRPr="00A375D4" w:rsidRDefault="00A375D4" w:rsidP="00B441CC">
      <w:pPr>
        <w:suppressLineNumbers/>
        <w:rPr>
          <w:rtl/>
        </w:rPr>
      </w:pPr>
    </w:p>
    <w:p w14:paraId="30BBD340" w14:textId="77777777" w:rsidR="005A790B" w:rsidRPr="005A790B" w:rsidRDefault="005A790B" w:rsidP="00A375D4">
      <w:pPr>
        <w:suppressLineNumbers/>
        <w:rPr>
          <w:rtl/>
        </w:rPr>
      </w:pPr>
    </w:p>
    <w:p w14:paraId="30A3FCAB" w14:textId="77777777" w:rsidR="005A790B" w:rsidRPr="005A790B" w:rsidRDefault="005A790B" w:rsidP="005A790B">
      <w:pPr>
        <w:suppressLineNumbers/>
        <w:spacing w:after="120" w:line="240" w:lineRule="exact"/>
        <w:ind w:left="283" w:hanging="283"/>
        <w:jc w:val="both"/>
        <w:rPr>
          <w:rFonts w:ascii="FrankRuehl" w:hAnsi="FrankRuehl" w:cs="FrankRuehl"/>
        </w:rPr>
      </w:pPr>
      <w:bookmarkStart w:id="3" w:name="Links_Start"/>
      <w:bookmarkEnd w:id="3"/>
      <w:r w:rsidRPr="005A790B">
        <w:rPr>
          <w:rFonts w:ascii="FrankRuehl" w:hAnsi="FrankRuehl" w:cs="FrankRuehl"/>
          <w:rtl/>
        </w:rPr>
        <w:t>ספרות:</w:t>
      </w:r>
    </w:p>
    <w:p w14:paraId="1E20EB5D" w14:textId="77777777" w:rsidR="005A790B" w:rsidRPr="005A790B" w:rsidRDefault="005A790B" w:rsidP="005A790B">
      <w:pPr>
        <w:suppressLineNumbers/>
        <w:spacing w:after="120" w:line="240" w:lineRule="exact"/>
        <w:ind w:left="283" w:hanging="283"/>
        <w:jc w:val="both"/>
        <w:rPr>
          <w:rFonts w:ascii="FrankRuehl" w:hAnsi="FrankRuehl" w:cs="FrankRuehl"/>
          <w:color w:val="000000"/>
          <w:rtl/>
        </w:rPr>
      </w:pPr>
      <w:r w:rsidRPr="005A790B">
        <w:rPr>
          <w:rFonts w:ascii="FrankRuehl" w:hAnsi="FrankRuehl" w:cs="FrankRuehl"/>
          <w:color w:val="000000"/>
          <w:rtl/>
        </w:rPr>
        <w:t xml:space="preserve">יעקב קדמי  </w:t>
      </w:r>
      <w:r w:rsidRPr="005A790B">
        <w:rPr>
          <w:rFonts w:ascii="FrankRuehl" w:hAnsi="FrankRuehl" w:cs="FrankRuehl"/>
          <w:color w:val="000000"/>
        </w:rPr>
        <w:t xml:space="preserve"> </w:t>
      </w:r>
      <w:r w:rsidRPr="005A790B">
        <w:rPr>
          <w:rFonts w:ascii="FrankRuehl" w:hAnsi="FrankRuehl" w:cs="FrankRuehl"/>
          <w:b/>
          <w:bCs/>
          <w:color w:val="000000"/>
          <w:rtl/>
        </w:rPr>
        <w:t xml:space="preserve">על פקודת הסמים המסוכנים </w:t>
      </w:r>
    </w:p>
    <w:p w14:paraId="6FF20DF2" w14:textId="77777777" w:rsidR="005A790B" w:rsidRPr="005A790B" w:rsidRDefault="005A790B" w:rsidP="00A375D4">
      <w:pPr>
        <w:suppressLineNumbers/>
        <w:rPr>
          <w:color w:val="000000"/>
          <w:rtl/>
        </w:rPr>
      </w:pPr>
      <w:bookmarkStart w:id="4" w:name="Links_End"/>
      <w:bookmarkEnd w:id="4"/>
    </w:p>
    <w:p w14:paraId="340E01D7" w14:textId="77777777" w:rsidR="005A790B" w:rsidRDefault="005A790B" w:rsidP="005A790B">
      <w:pPr>
        <w:suppressLineNumbers/>
        <w:rPr>
          <w:rtl/>
        </w:rPr>
      </w:pPr>
      <w:bookmarkStart w:id="5" w:name="LawTable"/>
      <w:bookmarkEnd w:id="5"/>
    </w:p>
    <w:p w14:paraId="18695193"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p>
    <w:p w14:paraId="1B6B3E49"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p>
    <w:p w14:paraId="7C412DBD"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r w:rsidRPr="005A790B">
        <w:rPr>
          <w:rFonts w:ascii="FrankRuehl" w:hAnsi="FrankRuehl" w:cs="FrankRuehl"/>
          <w:rtl/>
        </w:rPr>
        <w:t xml:space="preserve">חקיקה שאוזכרה: </w:t>
      </w:r>
    </w:p>
    <w:p w14:paraId="6B84A6D7"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hyperlink r:id="rId9" w:history="1">
        <w:r w:rsidRPr="005A790B">
          <w:rPr>
            <w:rFonts w:ascii="FrankRuehl" w:hAnsi="FrankRuehl" w:cs="FrankRuehl"/>
            <w:color w:val="0000FF"/>
            <w:rtl/>
          </w:rPr>
          <w:t>פקודת הסמים המסוכנים [נוסח חדש], תשל"ג-1973</w:t>
        </w:r>
      </w:hyperlink>
      <w:r w:rsidRPr="005A790B">
        <w:rPr>
          <w:rFonts w:ascii="FrankRuehl" w:hAnsi="FrankRuehl" w:cs="FrankRuehl"/>
          <w:rtl/>
        </w:rPr>
        <w:t xml:space="preserve">: סע'  </w:t>
      </w:r>
      <w:hyperlink r:id="rId10" w:history="1">
        <w:r w:rsidRPr="005A790B">
          <w:rPr>
            <w:rFonts w:ascii="FrankRuehl" w:hAnsi="FrankRuehl" w:cs="FrankRuehl"/>
            <w:color w:val="0000FF"/>
            <w:rtl/>
          </w:rPr>
          <w:t>7(א)</w:t>
        </w:r>
      </w:hyperlink>
      <w:r w:rsidRPr="005A790B">
        <w:rPr>
          <w:rFonts w:ascii="FrankRuehl" w:hAnsi="FrankRuehl" w:cs="FrankRuehl"/>
          <w:rtl/>
        </w:rPr>
        <w:t xml:space="preserve">, </w:t>
      </w:r>
      <w:hyperlink r:id="rId11" w:history="1">
        <w:r w:rsidRPr="005A790B">
          <w:rPr>
            <w:rFonts w:ascii="FrankRuehl" w:hAnsi="FrankRuehl" w:cs="FrankRuehl"/>
            <w:color w:val="0000FF"/>
            <w:rtl/>
          </w:rPr>
          <w:t>7(ג)</w:t>
        </w:r>
      </w:hyperlink>
      <w:r w:rsidRPr="005A790B">
        <w:rPr>
          <w:rFonts w:ascii="FrankRuehl" w:hAnsi="FrankRuehl" w:cs="FrankRuehl"/>
          <w:rtl/>
        </w:rPr>
        <w:t xml:space="preserve">, </w:t>
      </w:r>
      <w:hyperlink r:id="rId12" w:history="1">
        <w:r w:rsidRPr="005A790B">
          <w:rPr>
            <w:rFonts w:ascii="FrankRuehl" w:hAnsi="FrankRuehl" w:cs="FrankRuehl"/>
            <w:color w:val="0000FF"/>
            <w:rtl/>
          </w:rPr>
          <w:t>10</w:t>
        </w:r>
      </w:hyperlink>
      <w:r w:rsidRPr="005A790B">
        <w:rPr>
          <w:rFonts w:ascii="FrankRuehl" w:hAnsi="FrankRuehl" w:cs="FrankRuehl"/>
          <w:rtl/>
        </w:rPr>
        <w:t xml:space="preserve">, </w:t>
      </w:r>
      <w:hyperlink r:id="rId13" w:history="1">
        <w:r w:rsidRPr="005A790B">
          <w:rPr>
            <w:rFonts w:ascii="FrankRuehl" w:hAnsi="FrankRuehl" w:cs="FrankRuehl"/>
            <w:color w:val="0000FF"/>
            <w:rtl/>
          </w:rPr>
          <w:t>37א(א1)</w:t>
        </w:r>
      </w:hyperlink>
    </w:p>
    <w:p w14:paraId="5B01779F"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hyperlink r:id="rId14" w:history="1">
        <w:r w:rsidRPr="005A790B">
          <w:rPr>
            <w:rFonts w:ascii="FrankRuehl" w:hAnsi="FrankRuehl" w:cs="FrankRuehl"/>
            <w:color w:val="0000FF"/>
            <w:rtl/>
          </w:rPr>
          <w:t>חוק העונשין, תשל"ז-1977</w:t>
        </w:r>
      </w:hyperlink>
    </w:p>
    <w:p w14:paraId="6256EFCB" w14:textId="77777777" w:rsidR="005A790B" w:rsidRPr="005A790B" w:rsidRDefault="005A790B" w:rsidP="005A790B">
      <w:pPr>
        <w:suppressLineNumbers/>
        <w:spacing w:before="120" w:after="120" w:line="240" w:lineRule="exact"/>
        <w:ind w:left="283" w:hanging="283"/>
        <w:jc w:val="both"/>
        <w:rPr>
          <w:rFonts w:ascii="FrankRuehl" w:hAnsi="FrankRuehl" w:cs="FrankRuehl"/>
          <w:rtl/>
        </w:rPr>
      </w:pPr>
      <w:hyperlink r:id="rId15" w:history="1">
        <w:r w:rsidRPr="005A790B">
          <w:rPr>
            <w:rFonts w:ascii="FrankRuehl" w:hAnsi="FrankRuehl" w:cs="FrankRuehl"/>
            <w:color w:val="0000FF"/>
            <w:rtl/>
          </w:rPr>
          <w:t>חוק המאבק בתופעת השימוש בחומרים מסכנים, תשע"ג-2013</w:t>
        </w:r>
      </w:hyperlink>
    </w:p>
    <w:p w14:paraId="3C3A2134" w14:textId="77777777" w:rsidR="005A790B" w:rsidRPr="005A790B" w:rsidRDefault="005A790B" w:rsidP="005A790B">
      <w:pPr>
        <w:suppressLineNumbers/>
        <w:rPr>
          <w:rtl/>
        </w:rPr>
      </w:pPr>
      <w:bookmarkStart w:id="6" w:name="LawTable_End"/>
      <w:bookmarkEnd w:id="6"/>
    </w:p>
    <w:p w14:paraId="1D18954B" w14:textId="77777777" w:rsidR="000E3494" w:rsidRPr="005A790B" w:rsidRDefault="000E3494" w:rsidP="00A375D4">
      <w:pPr>
        <w:suppressLineNumbers/>
      </w:pPr>
    </w:p>
    <w:tbl>
      <w:tblPr>
        <w:bidiVisual/>
        <w:tblW w:w="8820" w:type="dxa"/>
        <w:jc w:val="center"/>
        <w:tblLook w:val="01E0" w:firstRow="1" w:lastRow="1" w:firstColumn="1" w:lastColumn="1" w:noHBand="0" w:noVBand="0"/>
      </w:tblPr>
      <w:tblGrid>
        <w:gridCol w:w="8820"/>
      </w:tblGrid>
      <w:tr w:rsidR="000E3494" w14:paraId="13A77A99" w14:textId="77777777" w:rsidTr="000E3494">
        <w:trPr>
          <w:jc w:val="center"/>
        </w:trPr>
        <w:tc>
          <w:tcPr>
            <w:tcW w:w="8820" w:type="dxa"/>
            <w:shd w:val="clear" w:color="auto" w:fill="auto"/>
          </w:tcPr>
          <w:p w14:paraId="53242A13" w14:textId="77777777" w:rsidR="00AE1818" w:rsidRPr="00AE1818" w:rsidRDefault="00AE1818" w:rsidP="00AE1818">
            <w:pPr>
              <w:bidi w:val="0"/>
              <w:jc w:val="center"/>
              <w:rPr>
                <w:rFonts w:ascii="Arial" w:hAnsi="Arial"/>
                <w:b/>
                <w:bCs/>
                <w:sz w:val="28"/>
                <w:szCs w:val="28"/>
                <w:u w:val="single"/>
              </w:rPr>
            </w:pPr>
            <w:bookmarkStart w:id="7" w:name="PsakDin" w:colFirst="0" w:colLast="0"/>
            <w:bookmarkEnd w:id="0"/>
            <w:bookmarkEnd w:id="1"/>
            <w:r w:rsidRPr="00AE1818">
              <w:rPr>
                <w:rFonts w:ascii="Arial" w:hAnsi="Arial"/>
                <w:b/>
                <w:bCs/>
                <w:sz w:val="28"/>
                <w:szCs w:val="28"/>
                <w:u w:val="single"/>
                <w:rtl/>
              </w:rPr>
              <w:t>גזר דין</w:t>
            </w:r>
          </w:p>
          <w:p w14:paraId="2D6EEDD9" w14:textId="77777777" w:rsidR="000E3494" w:rsidRPr="00AE1818" w:rsidRDefault="000E3494" w:rsidP="00AE1818">
            <w:pPr>
              <w:bidi w:val="0"/>
              <w:jc w:val="center"/>
              <w:rPr>
                <w:rFonts w:ascii="Arial" w:hAnsi="Arial"/>
                <w:b/>
                <w:bCs/>
                <w:sz w:val="28"/>
                <w:szCs w:val="28"/>
                <w:u w:val="single"/>
              </w:rPr>
            </w:pPr>
          </w:p>
        </w:tc>
      </w:tr>
      <w:bookmarkEnd w:id="7"/>
    </w:tbl>
    <w:p w14:paraId="1B16EE1D" w14:textId="77777777" w:rsidR="000E3494" w:rsidRDefault="000E3494" w:rsidP="000E3494">
      <w:pPr>
        <w:spacing w:line="360" w:lineRule="auto"/>
        <w:jc w:val="both"/>
        <w:rPr>
          <w:rFonts w:ascii="Arial" w:hAnsi="Arial"/>
          <w:rtl/>
        </w:rPr>
      </w:pPr>
    </w:p>
    <w:p w14:paraId="59B9A0A8" w14:textId="77777777" w:rsidR="000E3494" w:rsidRDefault="000E3494" w:rsidP="000E3494">
      <w:pPr>
        <w:spacing w:line="360" w:lineRule="auto"/>
        <w:jc w:val="both"/>
        <w:rPr>
          <w:rFonts w:ascii="Arial" w:hAnsi="Arial"/>
          <w:rtl/>
        </w:rPr>
      </w:pPr>
    </w:p>
    <w:p w14:paraId="415529DE" w14:textId="77777777" w:rsidR="000E3494" w:rsidRDefault="000E3494" w:rsidP="000E3494">
      <w:pPr>
        <w:spacing w:line="360" w:lineRule="auto"/>
        <w:jc w:val="both"/>
        <w:rPr>
          <w:rFonts w:ascii="Arial" w:hAnsi="Arial"/>
          <w:rtl/>
        </w:rPr>
      </w:pPr>
      <w:r>
        <w:rPr>
          <w:rFonts w:ascii="Arial" w:hAnsi="Arial" w:hint="cs"/>
          <w:b/>
          <w:bCs/>
          <w:rtl/>
        </w:rPr>
        <w:t>כתב האישום והסדר הטיעון</w:t>
      </w:r>
    </w:p>
    <w:p w14:paraId="7B340582" w14:textId="77777777" w:rsidR="000E3494" w:rsidRDefault="000E3494" w:rsidP="000E3494">
      <w:pPr>
        <w:spacing w:line="360" w:lineRule="auto"/>
        <w:jc w:val="both"/>
        <w:rPr>
          <w:rFonts w:ascii="Arial" w:hAnsi="Arial"/>
          <w:rtl/>
        </w:rPr>
      </w:pPr>
    </w:p>
    <w:p w14:paraId="15C44098" w14:textId="77777777" w:rsidR="000E3494" w:rsidRDefault="000E3494" w:rsidP="000E3494">
      <w:pPr>
        <w:spacing w:line="360" w:lineRule="auto"/>
        <w:jc w:val="both"/>
        <w:rPr>
          <w:rFonts w:ascii="Arial" w:hAnsi="Arial"/>
          <w:rtl/>
        </w:rPr>
      </w:pPr>
      <w:r>
        <w:rPr>
          <w:rFonts w:ascii="Arial" w:hAnsi="Arial" w:hint="cs"/>
          <w:rtl/>
        </w:rPr>
        <w:t>הנאשם שלפני נותן את הדין בגין העבירות כדלקמן:</w:t>
      </w:r>
    </w:p>
    <w:p w14:paraId="24EEBE25" w14:textId="77777777" w:rsidR="000E3494" w:rsidRDefault="000E3494" w:rsidP="000E3494">
      <w:pPr>
        <w:spacing w:line="360" w:lineRule="auto"/>
        <w:jc w:val="both"/>
        <w:rPr>
          <w:rFonts w:ascii="Arial" w:hAnsi="Arial"/>
          <w:rtl/>
        </w:rPr>
      </w:pPr>
    </w:p>
    <w:p w14:paraId="76014A62" w14:textId="77777777" w:rsidR="000E3494" w:rsidRDefault="000E3494" w:rsidP="000E3494">
      <w:pPr>
        <w:pStyle w:val="a9"/>
        <w:numPr>
          <w:ilvl w:val="0"/>
          <w:numId w:val="1"/>
        </w:numPr>
        <w:spacing w:line="360" w:lineRule="auto"/>
        <w:jc w:val="both"/>
        <w:rPr>
          <w:rFonts w:ascii="David" w:eastAsia="David" w:hAnsi="David"/>
        </w:rPr>
      </w:pPr>
      <w:r w:rsidRPr="00750957">
        <w:rPr>
          <w:rFonts w:ascii="David" w:eastAsia="David" w:hAnsi="David" w:hint="cs"/>
          <w:rtl/>
        </w:rPr>
        <w:t xml:space="preserve">החזקת סמים מסוכנים שלא לצריכה עצמית,  בניגוד </w:t>
      </w:r>
      <w:hyperlink r:id="rId16" w:history="1">
        <w:r w:rsidR="00B441CC" w:rsidRPr="00B441CC">
          <w:rPr>
            <w:rStyle w:val="Hyperlink"/>
            <w:rFonts w:ascii="David" w:eastAsia="David" w:hAnsi="David" w:hint="eastAsia"/>
            <w:rtl/>
          </w:rPr>
          <w:t>לסעיף</w:t>
        </w:r>
        <w:r w:rsidR="00B441CC" w:rsidRPr="00B441CC">
          <w:rPr>
            <w:rStyle w:val="Hyperlink"/>
            <w:rFonts w:ascii="David" w:eastAsia="David" w:hAnsi="David"/>
            <w:rtl/>
          </w:rPr>
          <w:t xml:space="preserve"> 7(א)</w:t>
        </w:r>
      </w:hyperlink>
      <w:r w:rsidRPr="00750957">
        <w:rPr>
          <w:rFonts w:ascii="David" w:eastAsia="David" w:hAnsi="David" w:hint="cs"/>
          <w:rtl/>
        </w:rPr>
        <w:t xml:space="preserve"> </w:t>
      </w:r>
      <w:r>
        <w:rPr>
          <w:rFonts w:ascii="David" w:eastAsia="David" w:hAnsi="David" w:hint="cs"/>
          <w:rtl/>
        </w:rPr>
        <w:t>ו-</w:t>
      </w:r>
      <w:hyperlink r:id="rId17" w:history="1">
        <w:r w:rsidR="00B441CC" w:rsidRPr="00B441CC">
          <w:rPr>
            <w:rStyle w:val="Hyperlink"/>
            <w:rFonts w:ascii="David" w:eastAsia="David" w:hAnsi="David"/>
            <w:rtl/>
          </w:rPr>
          <w:t>7(ג)</w:t>
        </w:r>
      </w:hyperlink>
      <w:r w:rsidRPr="00750957">
        <w:rPr>
          <w:rFonts w:ascii="David" w:eastAsia="David" w:hAnsi="David" w:hint="cs"/>
          <w:rtl/>
        </w:rPr>
        <w:t xml:space="preserve"> רישא ל</w:t>
      </w:r>
      <w:hyperlink r:id="rId18" w:history="1">
        <w:r w:rsidR="00AE1818" w:rsidRPr="00AE1818">
          <w:rPr>
            <w:rFonts w:ascii="David" w:eastAsia="David" w:hAnsi="David"/>
            <w:color w:val="0000FF"/>
            <w:u w:val="single"/>
            <w:rtl/>
          </w:rPr>
          <w:t>פקודת הסמים המסוכנים</w:t>
        </w:r>
      </w:hyperlink>
      <w:r w:rsidRPr="00750957">
        <w:rPr>
          <w:rFonts w:ascii="David" w:eastAsia="David" w:hAnsi="David" w:hint="cs"/>
          <w:rtl/>
        </w:rPr>
        <w:t xml:space="preserve"> [נוסח חדש] התשל"ג – 1973 (להלן: הפקודה);</w:t>
      </w:r>
    </w:p>
    <w:p w14:paraId="2A8F939B" w14:textId="77777777" w:rsidR="000E3494" w:rsidRPr="00750957" w:rsidRDefault="000E3494" w:rsidP="000E3494">
      <w:pPr>
        <w:pStyle w:val="a9"/>
        <w:numPr>
          <w:ilvl w:val="0"/>
          <w:numId w:val="1"/>
        </w:numPr>
        <w:spacing w:line="360" w:lineRule="auto"/>
        <w:jc w:val="both"/>
        <w:rPr>
          <w:rFonts w:ascii="David" w:eastAsia="David" w:hAnsi="David"/>
          <w:rtl/>
        </w:rPr>
      </w:pPr>
      <w:r>
        <w:rPr>
          <w:rFonts w:hint="cs"/>
          <w:rtl/>
        </w:rPr>
        <w:t>ה</w:t>
      </w:r>
      <w:r>
        <w:rPr>
          <w:rtl/>
        </w:rPr>
        <w:t xml:space="preserve">חזקת סם מסוכן לצריכה עצמית, בניגוד </w:t>
      </w:r>
      <w:hyperlink r:id="rId19" w:history="1">
        <w:r w:rsidR="00B441CC" w:rsidRPr="00B441CC">
          <w:rPr>
            <w:rStyle w:val="Hyperlink"/>
            <w:rtl/>
          </w:rPr>
          <w:t>לסעיף 7(א)</w:t>
        </w:r>
      </w:hyperlink>
      <w:r>
        <w:rPr>
          <w:rtl/>
        </w:rPr>
        <w:t xml:space="preserve"> ו-</w:t>
      </w:r>
      <w:hyperlink r:id="rId20" w:history="1">
        <w:r w:rsidR="00B441CC" w:rsidRPr="00B441CC">
          <w:rPr>
            <w:rStyle w:val="Hyperlink"/>
            <w:rtl/>
          </w:rPr>
          <w:t>(ג)</w:t>
        </w:r>
      </w:hyperlink>
      <w:r>
        <w:rPr>
          <w:rtl/>
        </w:rPr>
        <w:t xml:space="preserve"> סיפא לפקוד</w:t>
      </w:r>
      <w:r>
        <w:rPr>
          <w:rFonts w:ascii="David" w:eastAsia="David" w:hAnsi="David" w:hint="cs"/>
          <w:rtl/>
        </w:rPr>
        <w:t>ה;</w:t>
      </w:r>
    </w:p>
    <w:p w14:paraId="611E5A7A" w14:textId="77777777" w:rsidR="000E3494" w:rsidRDefault="000E3494" w:rsidP="000E3494">
      <w:pPr>
        <w:pStyle w:val="a9"/>
        <w:numPr>
          <w:ilvl w:val="0"/>
          <w:numId w:val="1"/>
        </w:numPr>
        <w:spacing w:line="360" w:lineRule="auto"/>
        <w:jc w:val="both"/>
        <w:rPr>
          <w:rFonts w:ascii="David" w:eastAsia="David" w:hAnsi="David"/>
        </w:rPr>
      </w:pPr>
      <w:r w:rsidRPr="00750957">
        <w:rPr>
          <w:rFonts w:ascii="David" w:eastAsia="David" w:hAnsi="David" w:hint="cs"/>
          <w:rtl/>
        </w:rPr>
        <w:t xml:space="preserve">החזקת כלים, בניגוד </w:t>
      </w:r>
      <w:hyperlink r:id="rId21" w:history="1">
        <w:r w:rsidR="00B441CC" w:rsidRPr="00B441CC">
          <w:rPr>
            <w:rStyle w:val="Hyperlink"/>
            <w:rFonts w:ascii="David" w:eastAsia="David" w:hAnsi="David" w:hint="eastAsia"/>
            <w:rtl/>
          </w:rPr>
          <w:t>לסעיף</w:t>
        </w:r>
        <w:r w:rsidR="00B441CC" w:rsidRPr="00B441CC">
          <w:rPr>
            <w:rStyle w:val="Hyperlink"/>
            <w:rFonts w:ascii="David" w:eastAsia="David" w:hAnsi="David"/>
            <w:rtl/>
          </w:rPr>
          <w:t xml:space="preserve"> 10</w:t>
        </w:r>
      </w:hyperlink>
      <w:r w:rsidRPr="00750957">
        <w:rPr>
          <w:rFonts w:ascii="David" w:eastAsia="David" w:hAnsi="David" w:hint="cs"/>
          <w:rtl/>
        </w:rPr>
        <w:t xml:space="preserve"> לפקודה</w:t>
      </w:r>
      <w:r>
        <w:rPr>
          <w:rFonts w:ascii="David" w:eastAsia="David" w:hAnsi="David" w:hint="cs"/>
          <w:rtl/>
        </w:rPr>
        <w:t>.</w:t>
      </w:r>
    </w:p>
    <w:p w14:paraId="6481EADC" w14:textId="77777777" w:rsidR="000E3494" w:rsidRDefault="000E3494" w:rsidP="000E3494">
      <w:pPr>
        <w:spacing w:line="360" w:lineRule="auto"/>
        <w:jc w:val="both"/>
        <w:rPr>
          <w:rFonts w:ascii="David" w:eastAsia="David" w:hAnsi="David"/>
          <w:rtl/>
        </w:rPr>
      </w:pPr>
    </w:p>
    <w:p w14:paraId="671BF361" w14:textId="77777777" w:rsidR="000E3494" w:rsidRDefault="000E3494" w:rsidP="000E3494">
      <w:pPr>
        <w:spacing w:line="360" w:lineRule="auto"/>
        <w:jc w:val="both"/>
        <w:rPr>
          <w:rFonts w:ascii="David" w:eastAsia="David" w:hAnsi="David"/>
          <w:rtl/>
        </w:rPr>
      </w:pPr>
      <w:bookmarkStart w:id="8" w:name="ABSTRACT_START"/>
      <w:bookmarkEnd w:id="8"/>
      <w:r>
        <w:rPr>
          <w:rFonts w:ascii="David" w:eastAsia="David" w:hAnsi="David" w:hint="cs"/>
          <w:rtl/>
        </w:rPr>
        <w:t>נגד הנאשם הוגשו שני כתבי האישום שבכותרת, המייחסים לו עבירות של החזקת סם מסוכן וכלים.</w:t>
      </w:r>
    </w:p>
    <w:p w14:paraId="3654BAF0" w14:textId="77777777" w:rsidR="000E3494" w:rsidRDefault="000E3494" w:rsidP="000E3494">
      <w:pPr>
        <w:spacing w:line="360" w:lineRule="auto"/>
        <w:jc w:val="both"/>
        <w:rPr>
          <w:rFonts w:ascii="David" w:eastAsia="David" w:hAnsi="David"/>
          <w:rtl/>
        </w:rPr>
      </w:pPr>
      <w:bookmarkStart w:id="9" w:name="ABSTRACT_END"/>
      <w:bookmarkEnd w:id="9"/>
    </w:p>
    <w:p w14:paraId="6B9455D6" w14:textId="77777777" w:rsidR="000E3494" w:rsidRDefault="00AE1818" w:rsidP="000E3494">
      <w:pPr>
        <w:spacing w:line="360" w:lineRule="auto"/>
        <w:jc w:val="both"/>
        <w:rPr>
          <w:rFonts w:ascii="David" w:eastAsia="David" w:hAnsi="David"/>
          <w:rtl/>
        </w:rPr>
      </w:pPr>
      <w:hyperlink r:id="rId22" w:history="1">
        <w:r w:rsidRPr="00AE1818">
          <w:rPr>
            <w:rFonts w:ascii="David" w:eastAsia="David" w:hAnsi="David"/>
            <w:color w:val="0000FF"/>
            <w:u w:val="single"/>
            <w:rtl/>
          </w:rPr>
          <w:t>ת"פ 15063-11-20</w:t>
        </w:r>
        <w:r w:rsidRPr="00AE1818">
          <w:rPr>
            <w:rFonts w:ascii="David" w:eastAsia="David" w:hAnsi="David"/>
            <w:color w:val="0000FF"/>
            <w:u w:val="single"/>
            <w:rtl/>
          </w:rPr>
          <w:cr/>
        </w:r>
      </w:hyperlink>
    </w:p>
    <w:p w14:paraId="34ADEBFA" w14:textId="77777777" w:rsidR="000E3494" w:rsidRDefault="000E3494" w:rsidP="000E3494">
      <w:pPr>
        <w:spacing w:line="360" w:lineRule="auto"/>
        <w:jc w:val="both"/>
        <w:rPr>
          <w:rFonts w:ascii="David" w:eastAsia="David" w:hAnsi="David"/>
          <w:rtl/>
        </w:rPr>
      </w:pPr>
      <w:r>
        <w:rPr>
          <w:rFonts w:ascii="David" w:eastAsia="David" w:hAnsi="David" w:hint="cs"/>
          <w:rtl/>
        </w:rPr>
        <w:t>בהתאם לעובדות כתב האישום המתוקן, במסגרת הסדר טיעון, ביום 21.10.20, נתפס הנאשם, בביתו, מחזיק סמים מסוכנים, שלא לצריכה עצמית, כמפורט להלן:</w:t>
      </w:r>
    </w:p>
    <w:p w14:paraId="0F42ABC4" w14:textId="77777777" w:rsidR="000E3494" w:rsidRDefault="000E3494" w:rsidP="000E3494">
      <w:pPr>
        <w:pStyle w:val="a9"/>
        <w:numPr>
          <w:ilvl w:val="0"/>
          <w:numId w:val="1"/>
        </w:numPr>
        <w:spacing w:line="360" w:lineRule="auto"/>
        <w:jc w:val="both"/>
        <w:rPr>
          <w:rFonts w:ascii="David" w:eastAsia="David" w:hAnsi="David"/>
        </w:rPr>
      </w:pPr>
      <w:r>
        <w:rPr>
          <w:rFonts w:ascii="David" w:eastAsia="David" w:hAnsi="David" w:hint="cs"/>
          <w:rtl/>
        </w:rPr>
        <w:t xml:space="preserve">בחלק הימני של ארון הבגדים בחדרו של הנאשם, החזיק שתי שקיות שהכילו סם מסוכן מסוג </w:t>
      </w:r>
      <w:r w:rsidRPr="00631ADB">
        <w:rPr>
          <w:rFonts w:ascii="David" w:eastAsia="David" w:hAnsi="David" w:hint="cs"/>
          <w:rtl/>
        </w:rPr>
        <w:t xml:space="preserve"> </w:t>
      </w:r>
      <w:r>
        <w:rPr>
          <w:rFonts w:ascii="David" w:eastAsia="David" w:hAnsi="David"/>
        </w:rPr>
        <w:t>P METHYLMETHCATHINONE</w:t>
      </w:r>
      <w:r>
        <w:rPr>
          <w:rFonts w:ascii="David" w:eastAsia="David" w:hAnsi="David" w:hint="cs"/>
          <w:rtl/>
        </w:rPr>
        <w:t xml:space="preserve">, במשקל כולל של כ-90 גרם, שקית שהכילה סם מסוכן מסוג קוקאין במשקל של כ-8.6 גרם, שקית שהכילה סם מסוכן מסוג </w:t>
      </w:r>
      <w:r>
        <w:rPr>
          <w:rFonts w:ascii="David" w:eastAsia="David" w:hAnsi="David" w:hint="cs"/>
        </w:rPr>
        <w:t>KETAMINE</w:t>
      </w:r>
      <w:r>
        <w:rPr>
          <w:rFonts w:ascii="David" w:eastAsia="David" w:hAnsi="David" w:hint="cs"/>
          <w:rtl/>
        </w:rPr>
        <w:t xml:space="preserve"> במשקל של כ-5.4 גרם, שתי שקיות שהכילו כ-60 טבליות של סם מסוכן מסוג </w:t>
      </w:r>
      <w:r>
        <w:rPr>
          <w:rFonts w:ascii="David" w:eastAsia="David" w:hAnsi="David" w:hint="cs"/>
        </w:rPr>
        <w:t>MDMA</w:t>
      </w:r>
      <w:r>
        <w:rPr>
          <w:rFonts w:ascii="David" w:eastAsia="David" w:hAnsi="David" w:hint="cs"/>
          <w:rtl/>
        </w:rPr>
        <w:t xml:space="preserve"> במשקל של כ-5.5 גרם, וכן, אריזת נייר אלומיניום ובתוכה 20 ריבועי נייר ("בולים") שהכילו סם מסוכן מסוג </w:t>
      </w:r>
      <w:r>
        <w:rPr>
          <w:rFonts w:ascii="David" w:eastAsia="David" w:hAnsi="David" w:hint="cs"/>
        </w:rPr>
        <w:t>LSD</w:t>
      </w:r>
      <w:r>
        <w:rPr>
          <w:rFonts w:ascii="David" w:eastAsia="David" w:hAnsi="David" w:hint="cs"/>
          <w:rtl/>
        </w:rPr>
        <w:t>;</w:t>
      </w:r>
    </w:p>
    <w:p w14:paraId="0BC43ECB" w14:textId="77777777" w:rsidR="000E3494" w:rsidRDefault="000E3494" w:rsidP="000E3494">
      <w:pPr>
        <w:pStyle w:val="a9"/>
        <w:numPr>
          <w:ilvl w:val="0"/>
          <w:numId w:val="1"/>
        </w:numPr>
        <w:spacing w:line="360" w:lineRule="auto"/>
        <w:jc w:val="both"/>
        <w:rPr>
          <w:rFonts w:ascii="David" w:eastAsia="David" w:hAnsi="David"/>
        </w:rPr>
      </w:pPr>
      <w:r>
        <w:rPr>
          <w:rFonts w:ascii="David" w:eastAsia="David" w:hAnsi="David" w:hint="cs"/>
          <w:rtl/>
        </w:rPr>
        <w:t xml:space="preserve">בחלקו השמאלי של ארון הבגדים בחדרו של הנאשם, החזיק הנאשם פיסת נייר אלומיניום שהכילה 54 ריבועי פלסטיק של סם מסוכן מסוג </w:t>
      </w:r>
      <w:r>
        <w:rPr>
          <w:rFonts w:ascii="David" w:eastAsia="David" w:hAnsi="David" w:hint="cs"/>
        </w:rPr>
        <w:t>LSD</w:t>
      </w:r>
      <w:r>
        <w:rPr>
          <w:rFonts w:ascii="David" w:eastAsia="David" w:hAnsi="David" w:hint="cs"/>
          <w:rtl/>
        </w:rPr>
        <w:t xml:space="preserve">, שקית שהכילה כ-29 טבליות מסוג </w:t>
      </w:r>
      <w:r>
        <w:rPr>
          <w:rFonts w:ascii="David" w:eastAsia="David" w:hAnsi="David" w:hint="cs"/>
        </w:rPr>
        <w:t>MDMA</w:t>
      </w:r>
      <w:r>
        <w:rPr>
          <w:rFonts w:ascii="David" w:eastAsia="David" w:hAnsi="David" w:hint="cs"/>
          <w:rtl/>
        </w:rPr>
        <w:t xml:space="preserve">, שתי שקיות שהכילו סם מסוכן מסוג </w:t>
      </w:r>
      <w:r w:rsidRPr="00631ADB">
        <w:rPr>
          <w:rFonts w:ascii="David" w:eastAsia="David" w:hAnsi="David" w:hint="cs"/>
          <w:rtl/>
        </w:rPr>
        <w:t xml:space="preserve"> </w:t>
      </w:r>
      <w:r>
        <w:rPr>
          <w:rFonts w:ascii="David" w:eastAsia="David" w:hAnsi="David"/>
        </w:rPr>
        <w:t>P METHYLMETHCATHINONE</w:t>
      </w:r>
      <w:r>
        <w:rPr>
          <w:rFonts w:ascii="David" w:eastAsia="David" w:hAnsi="David" w:hint="cs"/>
          <w:rtl/>
        </w:rPr>
        <w:t>, במשקל כולל של כ-1.26 גרם, וכן, שמונה שקיות ובתוכן פטריות שהכילו סם מסוכן מסוג פסילוצין במשקל כולל של כ-38 גרם;</w:t>
      </w:r>
    </w:p>
    <w:p w14:paraId="02A9BB41" w14:textId="77777777" w:rsidR="000E3494" w:rsidRDefault="000E3494" w:rsidP="000E3494">
      <w:pPr>
        <w:pStyle w:val="a9"/>
        <w:numPr>
          <w:ilvl w:val="0"/>
          <w:numId w:val="1"/>
        </w:numPr>
        <w:spacing w:line="360" w:lineRule="auto"/>
        <w:jc w:val="both"/>
        <w:rPr>
          <w:rFonts w:ascii="David" w:eastAsia="David" w:hAnsi="David"/>
        </w:rPr>
      </w:pPr>
      <w:r>
        <w:rPr>
          <w:rFonts w:ascii="David" w:eastAsia="David" w:hAnsi="David" w:hint="cs"/>
          <w:rtl/>
        </w:rPr>
        <w:t xml:space="preserve">במגירה במטבח הבית, החזיק הנאשם קופסה ממתכת, ובה 50 ריבועי נייר ("בולים") שהכילו סם מסוכן מסוג </w:t>
      </w:r>
      <w:r>
        <w:rPr>
          <w:rFonts w:ascii="David" w:eastAsia="David" w:hAnsi="David"/>
        </w:rPr>
        <w:t>LSD</w:t>
      </w:r>
      <w:r>
        <w:rPr>
          <w:rFonts w:ascii="David" w:eastAsia="David" w:hAnsi="David" w:hint="cs"/>
          <w:rtl/>
        </w:rPr>
        <w:t>.</w:t>
      </w:r>
    </w:p>
    <w:p w14:paraId="4481675B" w14:textId="77777777" w:rsidR="000E3494" w:rsidRDefault="000E3494" w:rsidP="000E3494">
      <w:pPr>
        <w:spacing w:line="360" w:lineRule="auto"/>
        <w:jc w:val="both"/>
        <w:rPr>
          <w:rFonts w:ascii="David" w:eastAsia="David" w:hAnsi="David"/>
          <w:rtl/>
        </w:rPr>
      </w:pPr>
    </w:p>
    <w:p w14:paraId="3366F77C" w14:textId="77777777" w:rsidR="000E3494" w:rsidRDefault="000E3494" w:rsidP="000E3494">
      <w:pPr>
        <w:spacing w:line="360" w:lineRule="auto"/>
        <w:jc w:val="both"/>
        <w:rPr>
          <w:rFonts w:ascii="David" w:eastAsia="David" w:hAnsi="David"/>
          <w:rtl/>
        </w:rPr>
      </w:pPr>
      <w:r>
        <w:rPr>
          <w:rFonts w:ascii="David" w:eastAsia="David" w:hAnsi="David" w:hint="cs"/>
          <w:rtl/>
        </w:rPr>
        <w:t>בנוסף לכך, החזיק הנאשם בחדרו שני מדי משקל אלקטרוניים, שקיות אריזה וכן שני אריזות בצורת קונוס ובתוכם ניירות גלגול, שכולם כלים לייצור או לאריזת סמים.</w:t>
      </w:r>
    </w:p>
    <w:p w14:paraId="10313055" w14:textId="77777777" w:rsidR="000E3494" w:rsidRDefault="000E3494" w:rsidP="000E3494">
      <w:pPr>
        <w:spacing w:line="360" w:lineRule="auto"/>
        <w:jc w:val="both"/>
        <w:rPr>
          <w:rFonts w:ascii="David" w:eastAsia="David" w:hAnsi="David"/>
          <w:rtl/>
        </w:rPr>
      </w:pPr>
    </w:p>
    <w:p w14:paraId="4A17F004" w14:textId="77777777" w:rsidR="000E3494" w:rsidRDefault="000E3494" w:rsidP="000E3494">
      <w:pPr>
        <w:spacing w:line="360" w:lineRule="auto"/>
        <w:jc w:val="both"/>
        <w:rPr>
          <w:rFonts w:ascii="David" w:eastAsia="David" w:hAnsi="David"/>
          <w:rtl/>
        </w:rPr>
      </w:pPr>
      <w:r>
        <w:rPr>
          <w:rFonts w:ascii="David" w:eastAsia="David" w:hAnsi="David" w:hint="cs"/>
          <w:rtl/>
        </w:rPr>
        <w:t>הנאשם הודה והורשע במסגרת הסדר טיעון (ת/1), אשר לא כלל הסכמה עונשית, ונשלח לקבלת תסקיר שירות המבחן למבוגרים לענין העונש.</w:t>
      </w:r>
    </w:p>
    <w:p w14:paraId="135F99B4" w14:textId="77777777" w:rsidR="000E3494" w:rsidRDefault="000E3494" w:rsidP="000E3494">
      <w:pPr>
        <w:spacing w:line="360" w:lineRule="auto"/>
        <w:jc w:val="both"/>
        <w:rPr>
          <w:rFonts w:ascii="David" w:eastAsia="David" w:hAnsi="David"/>
          <w:rtl/>
        </w:rPr>
      </w:pPr>
    </w:p>
    <w:p w14:paraId="55985678" w14:textId="77777777" w:rsidR="000E3494" w:rsidRDefault="000E3494" w:rsidP="000E3494">
      <w:pPr>
        <w:spacing w:line="360" w:lineRule="auto"/>
        <w:jc w:val="both"/>
        <w:rPr>
          <w:rFonts w:ascii="David" w:eastAsia="David" w:hAnsi="David"/>
          <w:rtl/>
        </w:rPr>
      </w:pPr>
      <w:r>
        <w:rPr>
          <w:rFonts w:ascii="David" w:eastAsia="David" w:hAnsi="David" w:hint="cs"/>
          <w:rtl/>
        </w:rPr>
        <w:lastRenderedPageBreak/>
        <w:t xml:space="preserve">לאחר קבלת התסקיר, במועד שמיעת פרשת העונש, ביקש הנאשם לצרף תיק נוסף, אשר התנהל לפני מותב אחר </w:t>
      </w:r>
      <w:r>
        <w:rPr>
          <w:rFonts w:ascii="David" w:eastAsia="David" w:hAnsi="David"/>
          <w:rtl/>
        </w:rPr>
        <w:t>–</w:t>
      </w:r>
      <w:r>
        <w:rPr>
          <w:rFonts w:ascii="David" w:eastAsia="David" w:hAnsi="David" w:hint="cs"/>
          <w:rtl/>
        </w:rPr>
        <w:t xml:space="preserve"> </w:t>
      </w:r>
      <w:hyperlink r:id="rId23" w:history="1">
        <w:r w:rsidR="00AE1818" w:rsidRPr="00AE1818">
          <w:rPr>
            <w:rFonts w:ascii="David" w:eastAsia="David" w:hAnsi="David"/>
            <w:color w:val="0000FF"/>
            <w:u w:val="single"/>
            <w:rtl/>
          </w:rPr>
          <w:t>ת"פ 19437-08-19</w:t>
        </w:r>
      </w:hyperlink>
      <w:r>
        <w:rPr>
          <w:rFonts w:ascii="David" w:eastAsia="David" w:hAnsi="David" w:hint="cs"/>
          <w:rtl/>
        </w:rPr>
        <w:t>.</w:t>
      </w:r>
    </w:p>
    <w:p w14:paraId="503A2FC1" w14:textId="77777777" w:rsidR="000E3494" w:rsidRDefault="000E3494" w:rsidP="000E3494">
      <w:pPr>
        <w:spacing w:line="360" w:lineRule="auto"/>
        <w:jc w:val="both"/>
        <w:rPr>
          <w:rFonts w:ascii="David" w:eastAsia="David" w:hAnsi="David"/>
          <w:rtl/>
        </w:rPr>
      </w:pPr>
    </w:p>
    <w:p w14:paraId="6346EA1C" w14:textId="77777777" w:rsidR="000E3494" w:rsidRDefault="000E3494" w:rsidP="000E3494">
      <w:pPr>
        <w:spacing w:line="360" w:lineRule="auto"/>
        <w:jc w:val="both"/>
        <w:rPr>
          <w:rFonts w:ascii="David" w:eastAsia="David" w:hAnsi="David"/>
          <w:rtl/>
        </w:rPr>
      </w:pPr>
      <w:r>
        <w:rPr>
          <w:rFonts w:ascii="David" w:eastAsia="David" w:hAnsi="David" w:hint="cs"/>
          <w:rtl/>
        </w:rPr>
        <w:t>בתיק הצירוף, הודה הנאשם בכתב האישום המתוקן (כא/1) , במסגרת הסדר טיעון.</w:t>
      </w:r>
    </w:p>
    <w:p w14:paraId="32901CB3" w14:textId="77777777" w:rsidR="000E3494" w:rsidRDefault="000E3494" w:rsidP="000E3494">
      <w:pPr>
        <w:spacing w:line="360" w:lineRule="auto"/>
        <w:jc w:val="both"/>
        <w:rPr>
          <w:rFonts w:ascii="David" w:eastAsia="David" w:hAnsi="David"/>
          <w:rtl/>
        </w:rPr>
      </w:pPr>
    </w:p>
    <w:p w14:paraId="5DA9C16A" w14:textId="77777777" w:rsidR="000E3494" w:rsidRDefault="000E3494" w:rsidP="000E3494">
      <w:pPr>
        <w:spacing w:line="360" w:lineRule="auto"/>
        <w:jc w:val="both"/>
        <w:rPr>
          <w:rFonts w:ascii="David" w:eastAsia="David" w:hAnsi="David"/>
          <w:rtl/>
        </w:rPr>
      </w:pPr>
      <w:r>
        <w:rPr>
          <w:rFonts w:ascii="David" w:eastAsia="David" w:hAnsi="David" w:hint="cs"/>
          <w:rtl/>
        </w:rPr>
        <w:t>לפי עובדות כתב האישום המתוקן, ביום 01.03.19, סמוך לשעה 22:37, בדירה אותה שכר הנאשם יחד עם המעורב הנוסף בכתב האישום, אשר דינו נגזר על ידי חברי, כב' השופט צ' פורר, החזיק הנאשם, ביחד עם אותו אחר, סם מסוכן מסוג חשיש במשקל של 0.7717 גרם לצריכתם העצמית.</w:t>
      </w:r>
    </w:p>
    <w:p w14:paraId="546DD6CC" w14:textId="77777777" w:rsidR="000E3494" w:rsidRDefault="000E3494" w:rsidP="000E3494">
      <w:pPr>
        <w:spacing w:line="360" w:lineRule="auto"/>
        <w:jc w:val="both"/>
        <w:rPr>
          <w:rFonts w:ascii="David" w:eastAsia="David" w:hAnsi="David"/>
          <w:rtl/>
        </w:rPr>
      </w:pPr>
    </w:p>
    <w:p w14:paraId="14D64167" w14:textId="77777777" w:rsidR="000E3494" w:rsidRDefault="000E3494" w:rsidP="000E3494">
      <w:pPr>
        <w:spacing w:line="360" w:lineRule="auto"/>
        <w:jc w:val="both"/>
        <w:rPr>
          <w:rFonts w:ascii="David" w:eastAsia="David" w:hAnsi="David"/>
          <w:rtl/>
        </w:rPr>
      </w:pPr>
      <w:r>
        <w:rPr>
          <w:rFonts w:ascii="David" w:eastAsia="David" w:hAnsi="David" w:hint="cs"/>
          <w:rtl/>
        </w:rPr>
        <w:t xml:space="preserve">בנוסף, באותו מעמד, החזיק הנאשם בסם מסוכן מסוג </w:t>
      </w:r>
      <w:r>
        <w:rPr>
          <w:rFonts w:ascii="David" w:eastAsia="David" w:hAnsi="David" w:hint="cs"/>
        </w:rPr>
        <w:t>KETAMINE</w:t>
      </w:r>
      <w:r>
        <w:rPr>
          <w:rFonts w:ascii="David" w:eastAsia="David" w:hAnsi="David" w:hint="cs"/>
          <w:rtl/>
        </w:rPr>
        <w:t xml:space="preserve"> במשקל של כ-2 גרם.</w:t>
      </w:r>
    </w:p>
    <w:p w14:paraId="7A97D878" w14:textId="77777777" w:rsidR="000E3494" w:rsidRDefault="000E3494" w:rsidP="000E3494">
      <w:pPr>
        <w:spacing w:line="360" w:lineRule="auto"/>
        <w:jc w:val="both"/>
        <w:rPr>
          <w:rFonts w:ascii="David" w:eastAsia="David" w:hAnsi="David"/>
          <w:rtl/>
        </w:rPr>
      </w:pPr>
    </w:p>
    <w:p w14:paraId="2E585B72" w14:textId="77777777" w:rsidR="000E3494" w:rsidRDefault="000E3494" w:rsidP="000E3494">
      <w:pPr>
        <w:spacing w:line="360" w:lineRule="auto"/>
        <w:jc w:val="both"/>
        <w:rPr>
          <w:rFonts w:ascii="David" w:eastAsia="David" w:hAnsi="David"/>
          <w:rtl/>
        </w:rPr>
      </w:pPr>
      <w:r>
        <w:rPr>
          <w:rFonts w:ascii="David" w:eastAsia="David" w:hAnsi="David" w:hint="cs"/>
          <w:rtl/>
        </w:rPr>
        <w:t>הנאשם הודה במסגרת הסדר טיעון וניתנה הכרעת דין על ידי חברי, כב' השופט א' כהן. במעמד הכרעת הדין, ביקש הנאשם לצרף תיק זה לתיק העיקרי והדיון בבקשה עבר לפני מותב זה.</w:t>
      </w:r>
    </w:p>
    <w:p w14:paraId="0EB8F4F7" w14:textId="77777777" w:rsidR="000E3494" w:rsidRDefault="000E3494" w:rsidP="000E3494">
      <w:pPr>
        <w:spacing w:line="360" w:lineRule="auto"/>
        <w:jc w:val="both"/>
        <w:rPr>
          <w:rFonts w:ascii="David" w:eastAsia="David" w:hAnsi="David"/>
          <w:rtl/>
        </w:rPr>
      </w:pPr>
    </w:p>
    <w:p w14:paraId="689A6552" w14:textId="77777777" w:rsidR="000E3494" w:rsidRDefault="000E3494" w:rsidP="000E3494">
      <w:pPr>
        <w:spacing w:line="360" w:lineRule="auto"/>
        <w:jc w:val="both"/>
        <w:rPr>
          <w:rFonts w:ascii="David" w:eastAsia="David" w:hAnsi="David"/>
          <w:rtl/>
        </w:rPr>
      </w:pPr>
      <w:r>
        <w:rPr>
          <w:rFonts w:ascii="David" w:eastAsia="David" w:hAnsi="David" w:hint="cs"/>
          <w:rtl/>
        </w:rPr>
        <w:t xml:space="preserve">מותב זה התיר צירוף התיקים ובאותו מועד, נשמעה פרשת העונש. </w:t>
      </w:r>
    </w:p>
    <w:p w14:paraId="062DE078" w14:textId="77777777" w:rsidR="000E3494" w:rsidRDefault="000E3494" w:rsidP="000E3494">
      <w:pPr>
        <w:spacing w:line="360" w:lineRule="auto"/>
        <w:jc w:val="both"/>
        <w:rPr>
          <w:rFonts w:ascii="David" w:eastAsia="David" w:hAnsi="David"/>
          <w:rtl/>
        </w:rPr>
      </w:pPr>
    </w:p>
    <w:p w14:paraId="290921BA" w14:textId="77777777" w:rsidR="000E3494" w:rsidRDefault="000E3494" w:rsidP="000E3494">
      <w:pPr>
        <w:spacing w:line="360" w:lineRule="auto"/>
        <w:jc w:val="both"/>
        <w:rPr>
          <w:rFonts w:ascii="David" w:eastAsia="David" w:hAnsi="David"/>
          <w:rtl/>
        </w:rPr>
      </w:pPr>
      <w:r>
        <w:rPr>
          <w:rFonts w:ascii="David" w:eastAsia="David" w:hAnsi="David" w:hint="cs"/>
          <w:rtl/>
        </w:rPr>
        <w:t xml:space="preserve">מכאן </w:t>
      </w:r>
      <w:r>
        <w:rPr>
          <w:rFonts w:ascii="David" w:eastAsia="David" w:hAnsi="David"/>
          <w:rtl/>
        </w:rPr>
        <w:t>–</w:t>
      </w:r>
      <w:r>
        <w:rPr>
          <w:rFonts w:ascii="David" w:eastAsia="David" w:hAnsi="David" w:hint="cs"/>
          <w:rtl/>
        </w:rPr>
        <w:t xml:space="preserve"> גזר דין זה.</w:t>
      </w:r>
    </w:p>
    <w:p w14:paraId="5E5FB702" w14:textId="77777777" w:rsidR="000E3494" w:rsidRDefault="000E3494" w:rsidP="000E3494">
      <w:pPr>
        <w:spacing w:line="360" w:lineRule="auto"/>
        <w:jc w:val="both"/>
        <w:rPr>
          <w:rFonts w:ascii="David" w:eastAsia="David" w:hAnsi="David"/>
          <w:rtl/>
        </w:rPr>
      </w:pPr>
    </w:p>
    <w:p w14:paraId="18FCAAC9" w14:textId="77777777" w:rsidR="000E3494" w:rsidRDefault="000E3494" w:rsidP="000E3494">
      <w:pPr>
        <w:spacing w:line="360" w:lineRule="auto"/>
        <w:jc w:val="both"/>
        <w:rPr>
          <w:rFonts w:ascii="David" w:eastAsia="David" w:hAnsi="David"/>
          <w:rtl/>
        </w:rPr>
      </w:pPr>
    </w:p>
    <w:p w14:paraId="30309971" w14:textId="77777777" w:rsidR="000E3494" w:rsidRDefault="000E3494" w:rsidP="000E3494">
      <w:pPr>
        <w:spacing w:line="360" w:lineRule="auto"/>
        <w:jc w:val="both"/>
        <w:rPr>
          <w:rFonts w:ascii="David" w:eastAsia="David" w:hAnsi="David"/>
          <w:rtl/>
        </w:rPr>
      </w:pPr>
      <w:r>
        <w:rPr>
          <w:rFonts w:ascii="David" w:eastAsia="David" w:hAnsi="David" w:hint="cs"/>
          <w:b/>
          <w:bCs/>
          <w:rtl/>
        </w:rPr>
        <w:t>ראיות לעונש</w:t>
      </w:r>
    </w:p>
    <w:p w14:paraId="537B5546" w14:textId="77777777" w:rsidR="000E3494" w:rsidRDefault="000E3494" w:rsidP="000E3494">
      <w:pPr>
        <w:spacing w:line="360" w:lineRule="auto"/>
        <w:jc w:val="both"/>
        <w:rPr>
          <w:rFonts w:ascii="David" w:eastAsia="David" w:hAnsi="David"/>
          <w:rtl/>
        </w:rPr>
      </w:pPr>
    </w:p>
    <w:p w14:paraId="3D83345F" w14:textId="77777777" w:rsidR="000E3494" w:rsidRDefault="000E3494" w:rsidP="000E3494">
      <w:pPr>
        <w:spacing w:line="360" w:lineRule="auto"/>
        <w:jc w:val="both"/>
        <w:rPr>
          <w:rFonts w:ascii="David" w:eastAsia="David" w:hAnsi="David"/>
          <w:rtl/>
        </w:rPr>
      </w:pPr>
      <w:r>
        <w:rPr>
          <w:rFonts w:ascii="David" w:eastAsia="David" w:hAnsi="David" w:hint="cs"/>
          <w:u w:val="single"/>
          <w:rtl/>
        </w:rPr>
        <w:t>התביעה</w:t>
      </w:r>
      <w:r>
        <w:rPr>
          <w:rFonts w:ascii="David" w:eastAsia="David" w:hAnsi="David" w:hint="cs"/>
          <w:rtl/>
        </w:rPr>
        <w:t xml:space="preserve"> הגישה, לענין העונש, גיליון הרשעות פלילי של הנאשם (ת/2) </w:t>
      </w:r>
      <w:r>
        <w:rPr>
          <w:rFonts w:ascii="David" w:eastAsia="David" w:hAnsi="David"/>
          <w:rtl/>
        </w:rPr>
        <w:t>–</w:t>
      </w:r>
      <w:r>
        <w:rPr>
          <w:rFonts w:ascii="David" w:eastAsia="David" w:hAnsi="David" w:hint="cs"/>
          <w:rtl/>
        </w:rPr>
        <w:t xml:space="preserve"> לחובת הנאשם הרשעה מיום 25.06.18, מבית דין צבאי מחוזי מרכז, בעבירה של שימוש בסמים לצריכה עצמית, במסגרתה נגזר על הנאשם עונש מאסר בפועל בן 28 יום וכן מאסר על תנאי.</w:t>
      </w:r>
    </w:p>
    <w:p w14:paraId="6D7D0776" w14:textId="77777777" w:rsidR="000E3494" w:rsidRDefault="000E3494" w:rsidP="000E3494">
      <w:pPr>
        <w:spacing w:line="360" w:lineRule="auto"/>
        <w:jc w:val="both"/>
        <w:rPr>
          <w:rFonts w:ascii="David" w:eastAsia="David" w:hAnsi="David"/>
          <w:rtl/>
        </w:rPr>
      </w:pPr>
    </w:p>
    <w:p w14:paraId="709429BC" w14:textId="77777777" w:rsidR="000E3494" w:rsidRDefault="000E3494" w:rsidP="000E3494">
      <w:pPr>
        <w:spacing w:line="360" w:lineRule="auto"/>
        <w:jc w:val="both"/>
        <w:rPr>
          <w:rFonts w:ascii="David" w:eastAsia="David" w:hAnsi="David"/>
          <w:rtl/>
        </w:rPr>
      </w:pPr>
      <w:r>
        <w:rPr>
          <w:rFonts w:ascii="David" w:eastAsia="David" w:hAnsi="David" w:hint="cs"/>
          <w:rtl/>
        </w:rPr>
        <w:t>לאחר שנשמעה פרשת העונש, הגישה התביעה, באמצעות מערכת נט המשפט, את הכרעת הדין וגזר הדין להוכחת המאסר המותנה.</w:t>
      </w:r>
    </w:p>
    <w:p w14:paraId="7F11F27A" w14:textId="77777777" w:rsidR="000E3494" w:rsidRDefault="000E3494" w:rsidP="000E3494">
      <w:pPr>
        <w:spacing w:line="360" w:lineRule="auto"/>
        <w:jc w:val="both"/>
        <w:rPr>
          <w:rFonts w:ascii="David" w:eastAsia="David" w:hAnsi="David"/>
          <w:rtl/>
        </w:rPr>
      </w:pPr>
    </w:p>
    <w:p w14:paraId="6E9022C9" w14:textId="77777777" w:rsidR="000E3494" w:rsidRDefault="000E3494" w:rsidP="000E3494">
      <w:pPr>
        <w:spacing w:line="360" w:lineRule="auto"/>
        <w:jc w:val="both"/>
        <w:rPr>
          <w:rFonts w:ascii="David" w:eastAsia="David" w:hAnsi="David"/>
          <w:rtl/>
        </w:rPr>
      </w:pPr>
      <w:r>
        <w:rPr>
          <w:rFonts w:ascii="David" w:eastAsia="David" w:hAnsi="David" w:hint="cs"/>
          <w:u w:val="single"/>
          <w:rtl/>
        </w:rPr>
        <w:t>ההגנה</w:t>
      </w:r>
      <w:r>
        <w:rPr>
          <w:rFonts w:ascii="David" w:eastAsia="David" w:hAnsi="David" w:hint="cs"/>
          <w:rtl/>
        </w:rPr>
        <w:t xml:space="preserve"> לא הגישה ראיות לענין העונש.</w:t>
      </w:r>
    </w:p>
    <w:p w14:paraId="2A936B96" w14:textId="77777777" w:rsidR="000E3494" w:rsidRDefault="000E3494" w:rsidP="000E3494">
      <w:pPr>
        <w:spacing w:line="360" w:lineRule="auto"/>
        <w:jc w:val="both"/>
        <w:rPr>
          <w:rFonts w:ascii="David" w:eastAsia="David" w:hAnsi="David"/>
          <w:rtl/>
        </w:rPr>
      </w:pPr>
    </w:p>
    <w:p w14:paraId="749328FD" w14:textId="77777777" w:rsidR="000E3494" w:rsidRDefault="000E3494" w:rsidP="000E3494">
      <w:pPr>
        <w:spacing w:line="360" w:lineRule="auto"/>
        <w:jc w:val="both"/>
        <w:rPr>
          <w:rFonts w:ascii="David" w:eastAsia="David" w:hAnsi="David"/>
          <w:rtl/>
        </w:rPr>
      </w:pPr>
    </w:p>
    <w:p w14:paraId="4C986766" w14:textId="77777777" w:rsidR="000E3494" w:rsidRDefault="000E3494" w:rsidP="000E3494">
      <w:pPr>
        <w:spacing w:line="360" w:lineRule="auto"/>
        <w:jc w:val="both"/>
        <w:rPr>
          <w:rFonts w:ascii="David" w:eastAsia="David" w:hAnsi="David"/>
          <w:rtl/>
        </w:rPr>
      </w:pPr>
      <w:r>
        <w:rPr>
          <w:rFonts w:ascii="David" w:eastAsia="David" w:hAnsi="David" w:hint="cs"/>
          <w:b/>
          <w:bCs/>
          <w:rtl/>
        </w:rPr>
        <w:t>הערכת שירות המבחן למבוגרים</w:t>
      </w:r>
    </w:p>
    <w:p w14:paraId="0DC386B4" w14:textId="77777777" w:rsidR="000E3494" w:rsidRDefault="000E3494" w:rsidP="000E3494">
      <w:pPr>
        <w:spacing w:line="360" w:lineRule="auto"/>
        <w:jc w:val="both"/>
        <w:rPr>
          <w:rFonts w:ascii="David" w:eastAsia="David" w:hAnsi="David"/>
          <w:rtl/>
        </w:rPr>
      </w:pPr>
    </w:p>
    <w:p w14:paraId="21136848" w14:textId="77777777" w:rsidR="000E3494" w:rsidRDefault="000E3494" w:rsidP="000E3494">
      <w:pPr>
        <w:spacing w:line="360" w:lineRule="auto"/>
        <w:jc w:val="both"/>
        <w:rPr>
          <w:rFonts w:ascii="David" w:eastAsia="David" w:hAnsi="David"/>
          <w:rtl/>
        </w:rPr>
      </w:pPr>
      <w:r>
        <w:rPr>
          <w:rFonts w:ascii="David" w:eastAsia="David" w:hAnsi="David" w:hint="cs"/>
          <w:rtl/>
        </w:rPr>
        <w:t>בענינו של הנאשם הוגש תסקיר המפרט את נסיבותיו האישיות, כבן 23, רווק, טרם מעצרו התגורר בבאר שבע ועבד כמשלוחן.</w:t>
      </w:r>
    </w:p>
    <w:p w14:paraId="0094512D" w14:textId="77777777" w:rsidR="000E3494" w:rsidRDefault="000E3494" w:rsidP="000E3494">
      <w:pPr>
        <w:spacing w:line="360" w:lineRule="auto"/>
        <w:jc w:val="both"/>
        <w:rPr>
          <w:rFonts w:ascii="David" w:eastAsia="David" w:hAnsi="David"/>
          <w:rtl/>
        </w:rPr>
      </w:pPr>
    </w:p>
    <w:p w14:paraId="54FAD59B" w14:textId="77777777" w:rsidR="000E3494" w:rsidRDefault="000E3494" w:rsidP="000E3494">
      <w:pPr>
        <w:spacing w:line="360" w:lineRule="auto"/>
        <w:jc w:val="both"/>
        <w:rPr>
          <w:rFonts w:ascii="David" w:eastAsia="David" w:hAnsi="David"/>
          <w:rtl/>
        </w:rPr>
      </w:pPr>
      <w:r>
        <w:rPr>
          <w:rFonts w:ascii="David" w:eastAsia="David" w:hAnsi="David" w:hint="cs"/>
          <w:rtl/>
        </w:rPr>
        <w:t>הנאשם סיים 11 שנות לימוד, עם תעודת בגרות חלקית, ללא בעיות משמעת או התנהגות.</w:t>
      </w:r>
    </w:p>
    <w:p w14:paraId="35E1863C" w14:textId="77777777" w:rsidR="000E3494" w:rsidRDefault="000E3494" w:rsidP="000E3494">
      <w:pPr>
        <w:spacing w:line="360" w:lineRule="auto"/>
        <w:jc w:val="both"/>
        <w:rPr>
          <w:rFonts w:ascii="David" w:eastAsia="David" w:hAnsi="David"/>
          <w:rtl/>
        </w:rPr>
      </w:pPr>
    </w:p>
    <w:p w14:paraId="27E77275" w14:textId="77777777" w:rsidR="000E3494" w:rsidRDefault="000E3494" w:rsidP="000E3494">
      <w:pPr>
        <w:spacing w:line="360" w:lineRule="auto"/>
        <w:jc w:val="both"/>
        <w:rPr>
          <w:rFonts w:ascii="David" w:eastAsia="David" w:hAnsi="David"/>
          <w:rtl/>
        </w:rPr>
      </w:pPr>
      <w:r>
        <w:rPr>
          <w:rFonts w:ascii="David" w:eastAsia="David" w:hAnsi="David" w:hint="cs"/>
          <w:rtl/>
        </w:rPr>
        <w:t>הנאשם שיתף, כי הוריו התגרשו כשהיה כבן 3, ובעקבות זאת, נקלע הבית למצוקה כלכלית.</w:t>
      </w:r>
    </w:p>
    <w:p w14:paraId="751EB0FE" w14:textId="77777777" w:rsidR="000E3494" w:rsidRDefault="000E3494" w:rsidP="000E3494">
      <w:pPr>
        <w:spacing w:line="360" w:lineRule="auto"/>
        <w:jc w:val="both"/>
        <w:rPr>
          <w:rFonts w:ascii="David" w:eastAsia="David" w:hAnsi="David"/>
          <w:rtl/>
        </w:rPr>
      </w:pPr>
    </w:p>
    <w:p w14:paraId="3578ECD8" w14:textId="77777777" w:rsidR="000E3494" w:rsidRDefault="000E3494" w:rsidP="000E3494">
      <w:pPr>
        <w:spacing w:line="360" w:lineRule="auto"/>
        <w:jc w:val="both"/>
        <w:rPr>
          <w:rFonts w:ascii="David" w:eastAsia="David" w:hAnsi="David"/>
          <w:rtl/>
        </w:rPr>
      </w:pPr>
      <w:r>
        <w:rPr>
          <w:rFonts w:ascii="David" w:eastAsia="David" w:hAnsi="David" w:hint="cs"/>
          <w:rtl/>
        </w:rPr>
        <w:t>הנאשם מתאר קשר טוב עם הוריו.</w:t>
      </w:r>
    </w:p>
    <w:p w14:paraId="7B22FBF2" w14:textId="77777777" w:rsidR="000E3494" w:rsidRDefault="000E3494" w:rsidP="000E3494">
      <w:pPr>
        <w:spacing w:line="360" w:lineRule="auto"/>
        <w:jc w:val="both"/>
        <w:rPr>
          <w:rFonts w:ascii="David" w:eastAsia="David" w:hAnsi="David"/>
          <w:rtl/>
        </w:rPr>
      </w:pPr>
    </w:p>
    <w:p w14:paraId="08287F2F" w14:textId="77777777" w:rsidR="000E3494" w:rsidRDefault="000E3494" w:rsidP="000E3494">
      <w:pPr>
        <w:spacing w:line="360" w:lineRule="auto"/>
        <w:jc w:val="both"/>
        <w:rPr>
          <w:rFonts w:ascii="David" w:eastAsia="David" w:hAnsi="David"/>
          <w:rtl/>
        </w:rPr>
      </w:pPr>
      <w:r>
        <w:rPr>
          <w:rFonts w:ascii="David" w:eastAsia="David" w:hAnsi="David" w:hint="cs"/>
          <w:rtl/>
        </w:rPr>
        <w:t>הנאשם הודה בעבירה בפני שירות המבחן למבוגרים, ולדבריו, רכש אותם לשימושו.</w:t>
      </w:r>
    </w:p>
    <w:p w14:paraId="14A3E2C0" w14:textId="77777777" w:rsidR="000E3494" w:rsidRDefault="000E3494" w:rsidP="000E3494">
      <w:pPr>
        <w:spacing w:line="360" w:lineRule="auto"/>
        <w:jc w:val="both"/>
        <w:rPr>
          <w:rFonts w:ascii="David" w:eastAsia="David" w:hAnsi="David"/>
          <w:rtl/>
        </w:rPr>
      </w:pPr>
    </w:p>
    <w:p w14:paraId="6E3EADD3" w14:textId="77777777" w:rsidR="000E3494" w:rsidRDefault="000E3494" w:rsidP="000E3494">
      <w:pPr>
        <w:spacing w:line="360" w:lineRule="auto"/>
        <w:jc w:val="both"/>
        <w:rPr>
          <w:rFonts w:ascii="David" w:eastAsia="David" w:hAnsi="David"/>
          <w:rtl/>
        </w:rPr>
      </w:pPr>
      <w:r>
        <w:rPr>
          <w:rFonts w:ascii="David" w:eastAsia="David" w:hAnsi="David" w:hint="cs"/>
          <w:rtl/>
        </w:rPr>
        <w:t xml:space="preserve">הנאשם אישר צריכת סמים, כאשר לדבריו, החל לצרוך סמים במהלך שירותו הצבאי, ולאחר שחרורו, המשיך לצרוך סמים בתדירות גבוהה. לדבריו, הולך למסיבות טבע עם חבריו ושם צורך גם סמים מסוג </w:t>
      </w:r>
      <w:r>
        <w:rPr>
          <w:rFonts w:ascii="David" w:eastAsia="David" w:hAnsi="David" w:hint="cs"/>
        </w:rPr>
        <w:t>LSD</w:t>
      </w:r>
      <w:r>
        <w:rPr>
          <w:rFonts w:ascii="David" w:eastAsia="David" w:hAnsi="David" w:hint="cs"/>
          <w:rtl/>
        </w:rPr>
        <w:t>, קטמין וקוקאין.</w:t>
      </w:r>
    </w:p>
    <w:p w14:paraId="759F5BD4" w14:textId="77777777" w:rsidR="000E3494" w:rsidRDefault="000E3494" w:rsidP="000E3494">
      <w:pPr>
        <w:spacing w:line="360" w:lineRule="auto"/>
        <w:jc w:val="both"/>
        <w:rPr>
          <w:rFonts w:ascii="David" w:eastAsia="David" w:hAnsi="David"/>
          <w:rtl/>
        </w:rPr>
      </w:pPr>
    </w:p>
    <w:p w14:paraId="7D92CEAB" w14:textId="77777777" w:rsidR="000E3494" w:rsidRDefault="000E3494" w:rsidP="000E3494">
      <w:pPr>
        <w:spacing w:line="360" w:lineRule="auto"/>
        <w:jc w:val="both"/>
        <w:rPr>
          <w:rFonts w:ascii="David" w:eastAsia="David" w:hAnsi="David"/>
          <w:rtl/>
        </w:rPr>
      </w:pPr>
      <w:r>
        <w:rPr>
          <w:rFonts w:ascii="David" w:eastAsia="David" w:hAnsi="David" w:hint="cs"/>
          <w:rtl/>
        </w:rPr>
        <w:t>הנאשם תיאר שימוש יום יומי בסם מסוג קטמין, וראה בסמים דרך לפריקת מתחים והוא מצא עצמו מתמכר לתחושה שלאחר השימוש.</w:t>
      </w:r>
    </w:p>
    <w:p w14:paraId="040F83AA" w14:textId="77777777" w:rsidR="000E3494" w:rsidRDefault="000E3494" w:rsidP="000E3494">
      <w:pPr>
        <w:spacing w:line="360" w:lineRule="auto"/>
        <w:jc w:val="both"/>
        <w:rPr>
          <w:rFonts w:ascii="David" w:eastAsia="David" w:hAnsi="David"/>
          <w:rtl/>
        </w:rPr>
      </w:pPr>
    </w:p>
    <w:p w14:paraId="623AC8E1" w14:textId="77777777" w:rsidR="000E3494" w:rsidRDefault="000E3494" w:rsidP="000E3494">
      <w:pPr>
        <w:spacing w:line="360" w:lineRule="auto"/>
        <w:jc w:val="both"/>
        <w:rPr>
          <w:rFonts w:ascii="David" w:eastAsia="David" w:hAnsi="David"/>
          <w:rtl/>
        </w:rPr>
      </w:pPr>
      <w:r>
        <w:rPr>
          <w:rFonts w:ascii="David" w:eastAsia="David" w:hAnsi="David" w:hint="cs"/>
          <w:rtl/>
        </w:rPr>
        <w:t>שירות המבחן התרשם, כי מדובר באדם הסובל מהתמכרות עמוקה לסמים מסוכנים.</w:t>
      </w:r>
    </w:p>
    <w:p w14:paraId="04393B74" w14:textId="77777777" w:rsidR="000E3494" w:rsidRDefault="000E3494" w:rsidP="000E3494">
      <w:pPr>
        <w:spacing w:line="360" w:lineRule="auto"/>
        <w:jc w:val="both"/>
        <w:rPr>
          <w:rFonts w:ascii="David" w:eastAsia="David" w:hAnsi="David"/>
          <w:rtl/>
        </w:rPr>
      </w:pPr>
    </w:p>
    <w:p w14:paraId="22AA9135" w14:textId="77777777" w:rsidR="000E3494" w:rsidRDefault="000E3494" w:rsidP="000E3494">
      <w:pPr>
        <w:spacing w:line="360" w:lineRule="auto"/>
        <w:jc w:val="both"/>
        <w:rPr>
          <w:rFonts w:ascii="David" w:eastAsia="David" w:hAnsi="David"/>
          <w:rtl/>
        </w:rPr>
      </w:pPr>
      <w:r>
        <w:rPr>
          <w:rFonts w:ascii="David" w:eastAsia="David" w:hAnsi="David" w:hint="cs"/>
          <w:rtl/>
        </w:rPr>
        <w:t>הנאשם שולב במסגרת של הכנה לגמילה במעצרו, אך לא עמד בתנאים הנדרשים.</w:t>
      </w:r>
    </w:p>
    <w:p w14:paraId="04915D59" w14:textId="77777777" w:rsidR="000E3494" w:rsidRDefault="000E3494" w:rsidP="000E3494">
      <w:pPr>
        <w:spacing w:line="360" w:lineRule="auto"/>
        <w:jc w:val="both"/>
        <w:rPr>
          <w:rFonts w:ascii="David" w:eastAsia="David" w:hAnsi="David"/>
          <w:rtl/>
        </w:rPr>
      </w:pPr>
    </w:p>
    <w:p w14:paraId="57B6D08F" w14:textId="77777777" w:rsidR="000E3494" w:rsidRDefault="000E3494" w:rsidP="000E3494">
      <w:pPr>
        <w:spacing w:line="360" w:lineRule="auto"/>
        <w:jc w:val="both"/>
        <w:rPr>
          <w:rFonts w:ascii="David" w:eastAsia="David" w:hAnsi="David"/>
          <w:rtl/>
        </w:rPr>
      </w:pPr>
      <w:r>
        <w:rPr>
          <w:rFonts w:ascii="David" w:eastAsia="David" w:hAnsi="David" w:hint="cs"/>
          <w:rtl/>
        </w:rPr>
        <w:t>במסגרת הליך המעצר, נבחנה עמו האפשרות לשלבו בקהילה טיפולית אינטנסיבית וסגורה על מנת לתת לו מענה לבעיית התמכרותו לסמים, אך הנאשם ביטא אמביוולנטיות כלפי מסגרת זו, ושירות המבחן לא מצא, כי הוא בעל מוטיבציה והכוחות הנדרשים לשם כך.</w:t>
      </w:r>
    </w:p>
    <w:p w14:paraId="1B6BE4C1" w14:textId="77777777" w:rsidR="000E3494" w:rsidRDefault="000E3494" w:rsidP="000E3494">
      <w:pPr>
        <w:spacing w:line="360" w:lineRule="auto"/>
        <w:jc w:val="both"/>
        <w:rPr>
          <w:rFonts w:ascii="David" w:eastAsia="David" w:hAnsi="David"/>
          <w:rtl/>
        </w:rPr>
      </w:pPr>
    </w:p>
    <w:p w14:paraId="15337BAF" w14:textId="77777777" w:rsidR="000E3494" w:rsidRDefault="000E3494" w:rsidP="000E3494">
      <w:pPr>
        <w:spacing w:line="360" w:lineRule="auto"/>
        <w:jc w:val="both"/>
        <w:rPr>
          <w:rFonts w:ascii="David" w:eastAsia="David" w:hAnsi="David"/>
          <w:rtl/>
        </w:rPr>
      </w:pPr>
      <w:r>
        <w:rPr>
          <w:rFonts w:ascii="David" w:eastAsia="David" w:hAnsi="David" w:hint="cs"/>
          <w:rtl/>
        </w:rPr>
        <w:t>שירות המבחן התרשם מחוסר יציבות בהתנהלות הנאשם; מערכות תמיכה חלשות; והיעדר דמות סמכותית עבורו.</w:t>
      </w:r>
    </w:p>
    <w:p w14:paraId="731CAB8F" w14:textId="77777777" w:rsidR="000E3494" w:rsidRDefault="000E3494" w:rsidP="000E3494">
      <w:pPr>
        <w:spacing w:line="360" w:lineRule="auto"/>
        <w:jc w:val="both"/>
        <w:rPr>
          <w:rFonts w:ascii="David" w:eastAsia="David" w:hAnsi="David"/>
          <w:rtl/>
        </w:rPr>
      </w:pPr>
    </w:p>
    <w:p w14:paraId="2DEE75A0" w14:textId="77777777" w:rsidR="000E3494" w:rsidRDefault="000E3494" w:rsidP="000E3494">
      <w:pPr>
        <w:spacing w:line="360" w:lineRule="auto"/>
        <w:jc w:val="both"/>
        <w:rPr>
          <w:rFonts w:ascii="David" w:eastAsia="David" w:hAnsi="David"/>
          <w:rtl/>
        </w:rPr>
      </w:pPr>
      <w:r>
        <w:rPr>
          <w:rFonts w:ascii="David" w:eastAsia="David" w:hAnsi="David" w:hint="cs"/>
          <w:rtl/>
        </w:rPr>
        <w:t>בשל סירובו של הנאשם להליך טיפולי, נמנע שירות המבחן מהמלצה שיקומית בענינו, ובא בהמלצה להשית עליו עונש מאסר בפועל.</w:t>
      </w:r>
    </w:p>
    <w:p w14:paraId="30234B86" w14:textId="77777777" w:rsidR="000E3494" w:rsidRDefault="000E3494" w:rsidP="000E3494">
      <w:pPr>
        <w:spacing w:line="360" w:lineRule="auto"/>
        <w:jc w:val="both"/>
        <w:rPr>
          <w:rFonts w:ascii="David" w:eastAsia="David" w:hAnsi="David"/>
          <w:rtl/>
        </w:rPr>
      </w:pPr>
    </w:p>
    <w:p w14:paraId="551529B2" w14:textId="77777777" w:rsidR="000E3494" w:rsidRDefault="000E3494" w:rsidP="000E3494">
      <w:pPr>
        <w:spacing w:line="360" w:lineRule="auto"/>
        <w:jc w:val="both"/>
        <w:rPr>
          <w:rFonts w:ascii="David" w:eastAsia="David" w:hAnsi="David"/>
          <w:rtl/>
        </w:rPr>
      </w:pPr>
    </w:p>
    <w:p w14:paraId="27ED7F96" w14:textId="77777777" w:rsidR="000E3494" w:rsidRDefault="000E3494" w:rsidP="000E3494">
      <w:pPr>
        <w:spacing w:line="360" w:lineRule="auto"/>
        <w:jc w:val="both"/>
        <w:rPr>
          <w:rFonts w:ascii="David" w:eastAsia="David" w:hAnsi="David"/>
          <w:rtl/>
        </w:rPr>
      </w:pPr>
    </w:p>
    <w:p w14:paraId="5D4462E0" w14:textId="77777777" w:rsidR="000E3494" w:rsidRDefault="000E3494" w:rsidP="000E3494">
      <w:pPr>
        <w:spacing w:line="360" w:lineRule="auto"/>
        <w:jc w:val="both"/>
        <w:rPr>
          <w:rFonts w:ascii="David" w:eastAsia="David" w:hAnsi="David"/>
          <w:rtl/>
        </w:rPr>
      </w:pPr>
      <w:r>
        <w:rPr>
          <w:rFonts w:ascii="David" w:eastAsia="David" w:hAnsi="David" w:hint="cs"/>
          <w:b/>
          <w:bCs/>
          <w:rtl/>
        </w:rPr>
        <w:t>טענות הצדדים</w:t>
      </w:r>
    </w:p>
    <w:p w14:paraId="23920CDC" w14:textId="77777777" w:rsidR="000E3494" w:rsidRDefault="000E3494" w:rsidP="000E3494">
      <w:pPr>
        <w:spacing w:line="360" w:lineRule="auto"/>
        <w:jc w:val="both"/>
        <w:rPr>
          <w:rFonts w:ascii="David" w:eastAsia="David" w:hAnsi="David"/>
          <w:rtl/>
        </w:rPr>
      </w:pPr>
    </w:p>
    <w:p w14:paraId="35041376" w14:textId="77777777" w:rsidR="000E3494" w:rsidRDefault="000E3494" w:rsidP="000E3494">
      <w:pPr>
        <w:spacing w:line="360" w:lineRule="auto"/>
        <w:jc w:val="both"/>
        <w:rPr>
          <w:rFonts w:ascii="David" w:eastAsia="David" w:hAnsi="David"/>
          <w:rtl/>
        </w:rPr>
      </w:pPr>
      <w:r w:rsidRPr="00673194">
        <w:rPr>
          <w:rFonts w:ascii="David" w:eastAsia="David" w:hAnsi="David" w:hint="cs"/>
          <w:u w:val="single"/>
          <w:rtl/>
        </w:rPr>
        <w:t>התביעה</w:t>
      </w:r>
      <w:r>
        <w:rPr>
          <w:rFonts w:ascii="David" w:eastAsia="David" w:hAnsi="David" w:hint="cs"/>
          <w:rtl/>
        </w:rPr>
        <w:t xml:space="preserve"> הגישה טיעוניה בכתב (ת/3) והשלימה אותן על פה.</w:t>
      </w:r>
    </w:p>
    <w:p w14:paraId="786B70E7" w14:textId="77777777" w:rsidR="000E3494" w:rsidRDefault="000E3494" w:rsidP="000E3494">
      <w:pPr>
        <w:spacing w:line="360" w:lineRule="auto"/>
        <w:jc w:val="both"/>
        <w:rPr>
          <w:rFonts w:ascii="David" w:eastAsia="David" w:hAnsi="David"/>
          <w:rtl/>
        </w:rPr>
      </w:pPr>
    </w:p>
    <w:p w14:paraId="4CD7425B" w14:textId="77777777" w:rsidR="000E3494" w:rsidRDefault="000E3494" w:rsidP="000E3494">
      <w:pPr>
        <w:spacing w:line="360" w:lineRule="auto"/>
        <w:jc w:val="both"/>
        <w:rPr>
          <w:rFonts w:ascii="David" w:eastAsia="David" w:hAnsi="David"/>
          <w:rtl/>
        </w:rPr>
      </w:pPr>
      <w:r>
        <w:rPr>
          <w:rFonts w:ascii="David" w:eastAsia="David" w:hAnsi="David" w:hint="cs"/>
          <w:rtl/>
        </w:rPr>
        <w:t>התביעה טענה, כי מעשי הנאשם פגעו בערכים המוגנים של אינטרס הציבור במיגור תופעת הסמים ושמירה על ערכי החברה.</w:t>
      </w:r>
    </w:p>
    <w:p w14:paraId="79198162" w14:textId="77777777" w:rsidR="000E3494" w:rsidRDefault="000E3494" w:rsidP="000E3494">
      <w:pPr>
        <w:spacing w:line="360" w:lineRule="auto"/>
        <w:jc w:val="both"/>
        <w:rPr>
          <w:rFonts w:ascii="David" w:eastAsia="David" w:hAnsi="David"/>
          <w:rtl/>
        </w:rPr>
      </w:pPr>
    </w:p>
    <w:p w14:paraId="6285951E" w14:textId="77777777" w:rsidR="000E3494" w:rsidRDefault="000E3494" w:rsidP="000E3494">
      <w:pPr>
        <w:spacing w:line="360" w:lineRule="auto"/>
        <w:jc w:val="both"/>
        <w:rPr>
          <w:rFonts w:ascii="David" w:eastAsia="David" w:hAnsi="David"/>
          <w:rtl/>
        </w:rPr>
      </w:pPr>
      <w:r>
        <w:rPr>
          <w:rFonts w:ascii="David" w:eastAsia="David" w:hAnsi="David" w:hint="cs"/>
          <w:rtl/>
        </w:rPr>
        <w:t>התביעה הדגישה הצורך להילחם בנגע הסמים.</w:t>
      </w:r>
    </w:p>
    <w:p w14:paraId="39B69E4E" w14:textId="77777777" w:rsidR="000E3494" w:rsidRDefault="000E3494" w:rsidP="000E3494">
      <w:pPr>
        <w:spacing w:line="360" w:lineRule="auto"/>
        <w:jc w:val="both"/>
        <w:rPr>
          <w:rFonts w:ascii="David" w:eastAsia="David" w:hAnsi="David"/>
          <w:rtl/>
        </w:rPr>
      </w:pPr>
    </w:p>
    <w:p w14:paraId="2DE3DA39" w14:textId="77777777" w:rsidR="000E3494" w:rsidRDefault="000E3494" w:rsidP="000E3494">
      <w:pPr>
        <w:spacing w:line="360" w:lineRule="auto"/>
        <w:jc w:val="both"/>
        <w:rPr>
          <w:rFonts w:ascii="David" w:eastAsia="David" w:hAnsi="David"/>
          <w:rtl/>
        </w:rPr>
      </w:pPr>
      <w:r>
        <w:rPr>
          <w:rFonts w:ascii="David" w:eastAsia="David" w:hAnsi="David" w:hint="cs"/>
          <w:rtl/>
        </w:rPr>
        <w:t>התביעה הדגישה סוגי הסם השונים שהחזיק הנאשם, אשר חלקם הם מהסמים הקשים שבפקודת הסמים, במשקל משמעותי.</w:t>
      </w:r>
    </w:p>
    <w:p w14:paraId="193785EA" w14:textId="77777777" w:rsidR="000E3494" w:rsidRDefault="000E3494" w:rsidP="000E3494">
      <w:pPr>
        <w:spacing w:line="360" w:lineRule="auto"/>
        <w:jc w:val="both"/>
        <w:rPr>
          <w:rFonts w:ascii="David" w:eastAsia="David" w:hAnsi="David"/>
          <w:rtl/>
        </w:rPr>
      </w:pPr>
    </w:p>
    <w:p w14:paraId="0219273F" w14:textId="77777777" w:rsidR="000E3494" w:rsidRDefault="000E3494" w:rsidP="000E3494">
      <w:pPr>
        <w:spacing w:line="360" w:lineRule="auto"/>
        <w:jc w:val="both"/>
        <w:rPr>
          <w:rFonts w:ascii="David" w:eastAsia="David" w:hAnsi="David"/>
          <w:rtl/>
        </w:rPr>
      </w:pPr>
      <w:r>
        <w:rPr>
          <w:rFonts w:ascii="David" w:eastAsia="David" w:hAnsi="David" w:hint="cs"/>
          <w:rtl/>
        </w:rPr>
        <w:t>התביעה הדגישה הנזקים הצפויים מהעבירה, שכן, עיסוק בסמים עלול לסכן חיי אדם ולפגוע בבריאות המשתמשים בו ופגיעה בחוסן הציבורי.</w:t>
      </w:r>
    </w:p>
    <w:p w14:paraId="1A034912" w14:textId="77777777" w:rsidR="000E3494" w:rsidRDefault="000E3494" w:rsidP="000E3494">
      <w:pPr>
        <w:spacing w:line="360" w:lineRule="auto"/>
        <w:jc w:val="both"/>
        <w:rPr>
          <w:rFonts w:ascii="David" w:eastAsia="David" w:hAnsi="David"/>
          <w:rtl/>
        </w:rPr>
      </w:pPr>
    </w:p>
    <w:p w14:paraId="0B16FF54" w14:textId="77777777" w:rsidR="000E3494" w:rsidRDefault="000E3494" w:rsidP="000E3494">
      <w:pPr>
        <w:spacing w:line="360" w:lineRule="auto"/>
        <w:jc w:val="both"/>
        <w:rPr>
          <w:rFonts w:ascii="David" w:eastAsia="David" w:hAnsi="David"/>
          <w:rtl/>
        </w:rPr>
      </w:pPr>
      <w:r>
        <w:rPr>
          <w:rFonts w:ascii="David" w:eastAsia="David" w:hAnsi="David" w:hint="cs"/>
          <w:rtl/>
        </w:rPr>
        <w:t>התביעה טענה, כי לנוכח כמות הסם והאופן בו הוחזק, מדובר ב"מינימרקט" לסמים.</w:t>
      </w:r>
    </w:p>
    <w:p w14:paraId="0C4DDE16" w14:textId="77777777" w:rsidR="000E3494" w:rsidRDefault="000E3494" w:rsidP="000E3494">
      <w:pPr>
        <w:spacing w:line="360" w:lineRule="auto"/>
        <w:jc w:val="both"/>
        <w:rPr>
          <w:rFonts w:ascii="David" w:eastAsia="David" w:hAnsi="David"/>
          <w:rtl/>
        </w:rPr>
      </w:pPr>
    </w:p>
    <w:p w14:paraId="224D97AF" w14:textId="77777777" w:rsidR="000E3494" w:rsidRDefault="000E3494" w:rsidP="000E3494">
      <w:pPr>
        <w:spacing w:line="360" w:lineRule="auto"/>
        <w:jc w:val="both"/>
        <w:rPr>
          <w:rFonts w:ascii="David" w:eastAsia="David" w:hAnsi="David"/>
          <w:rtl/>
        </w:rPr>
      </w:pPr>
      <w:r>
        <w:rPr>
          <w:rFonts w:ascii="David" w:eastAsia="David" w:hAnsi="David" w:hint="cs"/>
          <w:rtl/>
        </w:rPr>
        <w:t>התביעה עתרה למתחם ענישה הנע בין 30 ל-50 חודשי מאסר בפועל, וביקשה למקם עונשו של הנאשם קרוב לאמצע המתחם.</w:t>
      </w:r>
    </w:p>
    <w:p w14:paraId="15C0D610" w14:textId="77777777" w:rsidR="000E3494" w:rsidRDefault="000E3494" w:rsidP="000E3494">
      <w:pPr>
        <w:spacing w:line="360" w:lineRule="auto"/>
        <w:jc w:val="both"/>
        <w:rPr>
          <w:rFonts w:ascii="David" w:eastAsia="David" w:hAnsi="David"/>
          <w:rtl/>
        </w:rPr>
      </w:pPr>
    </w:p>
    <w:p w14:paraId="21E0F436" w14:textId="77777777" w:rsidR="000E3494" w:rsidRDefault="000E3494" w:rsidP="000E3494">
      <w:pPr>
        <w:spacing w:line="360" w:lineRule="auto"/>
        <w:jc w:val="both"/>
        <w:rPr>
          <w:rFonts w:ascii="David" w:eastAsia="David" w:hAnsi="David"/>
          <w:rtl/>
        </w:rPr>
      </w:pPr>
      <w:r>
        <w:rPr>
          <w:rFonts w:ascii="David" w:eastAsia="David" w:hAnsi="David" w:hint="cs"/>
          <w:rtl/>
        </w:rPr>
        <w:t>בנוסף, ביקשה התביעה להפעיל מאסר מותנה בן 3 חודשים שהוטל ב</w:t>
      </w:r>
      <w:hyperlink r:id="rId24" w:history="1">
        <w:r w:rsidR="00AE1818" w:rsidRPr="00AE1818">
          <w:rPr>
            <w:rFonts w:ascii="David" w:eastAsia="David" w:hAnsi="David"/>
            <w:color w:val="0000FF"/>
            <w:u w:val="single"/>
            <w:rtl/>
          </w:rPr>
          <w:t>ת"פ 207/18;</w:t>
        </w:r>
      </w:hyperlink>
      <w:r>
        <w:rPr>
          <w:rFonts w:ascii="David" w:eastAsia="David" w:hAnsi="David" w:hint="cs"/>
          <w:rtl/>
        </w:rPr>
        <w:t xml:space="preserve"> וכן להשית על הנאשם מאסר על תנאי בעבירות סמים; קנס כספי; פסילת רישיון נהיגה; חילוט סכומי כסף בסך 700 ₪ וכן 10,050 ₪; חילוט טלפון נייד מסוג "רדמי".</w:t>
      </w:r>
    </w:p>
    <w:p w14:paraId="4E0591A2" w14:textId="77777777" w:rsidR="000E3494" w:rsidRDefault="000E3494" w:rsidP="000E3494">
      <w:pPr>
        <w:spacing w:line="360" w:lineRule="auto"/>
        <w:jc w:val="both"/>
        <w:rPr>
          <w:rFonts w:ascii="David" w:eastAsia="David" w:hAnsi="David"/>
          <w:rtl/>
        </w:rPr>
      </w:pPr>
    </w:p>
    <w:p w14:paraId="46B0E1C5" w14:textId="77777777" w:rsidR="000E3494" w:rsidRDefault="000E3494" w:rsidP="000E3494">
      <w:pPr>
        <w:spacing w:line="360" w:lineRule="auto"/>
        <w:jc w:val="both"/>
        <w:rPr>
          <w:rFonts w:ascii="David" w:eastAsia="David" w:hAnsi="David"/>
          <w:rtl/>
        </w:rPr>
      </w:pPr>
      <w:r>
        <w:rPr>
          <w:rFonts w:ascii="David" w:eastAsia="David" w:hAnsi="David" w:hint="cs"/>
          <w:u w:val="single"/>
          <w:rtl/>
        </w:rPr>
        <w:t>ההגנה</w:t>
      </w:r>
      <w:r>
        <w:rPr>
          <w:rFonts w:ascii="David" w:eastAsia="David" w:hAnsi="David" w:hint="cs"/>
          <w:rtl/>
        </w:rPr>
        <w:t xml:space="preserve"> טענה, כי לא הוצגה אינדיקציה לפיה החזיק הנאשם בסמים המסוכנים במטרה למכרם.</w:t>
      </w:r>
    </w:p>
    <w:p w14:paraId="0AD22E51" w14:textId="77777777" w:rsidR="000E3494" w:rsidRDefault="000E3494" w:rsidP="000E3494">
      <w:pPr>
        <w:spacing w:line="360" w:lineRule="auto"/>
        <w:jc w:val="both"/>
        <w:rPr>
          <w:rFonts w:ascii="David" w:eastAsia="David" w:hAnsi="David"/>
          <w:rtl/>
        </w:rPr>
      </w:pPr>
    </w:p>
    <w:p w14:paraId="3C47948B" w14:textId="77777777" w:rsidR="000E3494" w:rsidRDefault="000E3494" w:rsidP="000E3494">
      <w:pPr>
        <w:spacing w:line="360" w:lineRule="auto"/>
        <w:jc w:val="both"/>
        <w:rPr>
          <w:rFonts w:ascii="David" w:eastAsia="David" w:hAnsi="David"/>
          <w:rtl/>
        </w:rPr>
      </w:pPr>
      <w:r>
        <w:rPr>
          <w:rFonts w:ascii="David" w:eastAsia="David" w:hAnsi="David" w:hint="cs"/>
          <w:rtl/>
        </w:rPr>
        <w:t>אמנם מדובר בכמות סמים גדולה, אך מדובר בנאשם הצורך סמים באופן יום יומי כדי לפרוק מתחים ומתוך התמכרות.</w:t>
      </w:r>
    </w:p>
    <w:p w14:paraId="211A7E67" w14:textId="77777777" w:rsidR="000E3494" w:rsidRDefault="000E3494" w:rsidP="000E3494">
      <w:pPr>
        <w:spacing w:line="360" w:lineRule="auto"/>
        <w:jc w:val="both"/>
        <w:rPr>
          <w:rFonts w:ascii="David" w:eastAsia="David" w:hAnsi="David"/>
          <w:rtl/>
        </w:rPr>
      </w:pPr>
    </w:p>
    <w:p w14:paraId="106FEA19" w14:textId="77777777" w:rsidR="000E3494" w:rsidRDefault="000E3494" w:rsidP="000E3494">
      <w:pPr>
        <w:spacing w:line="360" w:lineRule="auto"/>
        <w:jc w:val="both"/>
        <w:rPr>
          <w:rFonts w:ascii="David" w:eastAsia="David" w:hAnsi="David"/>
          <w:rtl/>
        </w:rPr>
      </w:pPr>
      <w:r>
        <w:rPr>
          <w:rFonts w:ascii="David" w:eastAsia="David" w:hAnsi="David" w:hint="cs"/>
          <w:rtl/>
        </w:rPr>
        <w:t>ההגנה טענה, כי מתחם העונש אליו עתרה התביעה אינו הולם, שכן, מדובר בעבירת החזקה ולא ייבוא או סחר.</w:t>
      </w:r>
    </w:p>
    <w:p w14:paraId="307468CC" w14:textId="77777777" w:rsidR="000E3494" w:rsidRDefault="000E3494" w:rsidP="000E3494">
      <w:pPr>
        <w:spacing w:line="360" w:lineRule="auto"/>
        <w:jc w:val="both"/>
        <w:rPr>
          <w:rFonts w:ascii="David" w:eastAsia="David" w:hAnsi="David"/>
          <w:rtl/>
        </w:rPr>
      </w:pPr>
    </w:p>
    <w:p w14:paraId="7CE517EC" w14:textId="77777777" w:rsidR="000E3494" w:rsidRDefault="000E3494" w:rsidP="000E3494">
      <w:pPr>
        <w:spacing w:line="360" w:lineRule="auto"/>
        <w:jc w:val="both"/>
        <w:rPr>
          <w:rFonts w:ascii="David" w:eastAsia="David" w:hAnsi="David"/>
          <w:rtl/>
        </w:rPr>
      </w:pPr>
      <w:r>
        <w:rPr>
          <w:rFonts w:ascii="David" w:eastAsia="David" w:hAnsi="David" w:hint="cs"/>
          <w:rtl/>
        </w:rPr>
        <w:t>ההגנה ביקשה לייחס משקל לנסיבותיו האישיות של הנאשם והדגישה, כי מדובר במי שניהל אורח חיים נורמטיבי למעט השימוש בסמים, ועבד עד ליום מעצרו.</w:t>
      </w:r>
    </w:p>
    <w:p w14:paraId="7BD3B350" w14:textId="77777777" w:rsidR="000E3494" w:rsidRDefault="000E3494" w:rsidP="000E3494">
      <w:pPr>
        <w:spacing w:line="360" w:lineRule="auto"/>
        <w:jc w:val="both"/>
        <w:rPr>
          <w:rFonts w:ascii="David" w:eastAsia="David" w:hAnsi="David"/>
          <w:rtl/>
        </w:rPr>
      </w:pPr>
    </w:p>
    <w:p w14:paraId="03930A90" w14:textId="77777777" w:rsidR="000E3494" w:rsidRDefault="000E3494" w:rsidP="000E3494">
      <w:pPr>
        <w:spacing w:line="360" w:lineRule="auto"/>
        <w:jc w:val="both"/>
        <w:rPr>
          <w:rFonts w:ascii="David" w:eastAsia="David" w:hAnsi="David"/>
          <w:rtl/>
        </w:rPr>
      </w:pPr>
      <w:r>
        <w:rPr>
          <w:rFonts w:ascii="David" w:eastAsia="David" w:hAnsi="David" w:hint="cs"/>
          <w:rtl/>
        </w:rPr>
        <w:t>ההגנה ביקשה ליתן משקל להודאת הנאשם באשמה ולחיסכון בזמן השיפוטי</w:t>
      </w:r>
    </w:p>
    <w:p w14:paraId="3B08EB96" w14:textId="77777777" w:rsidR="000E3494" w:rsidRDefault="000E3494" w:rsidP="000E3494">
      <w:pPr>
        <w:spacing w:line="360" w:lineRule="auto"/>
        <w:jc w:val="both"/>
        <w:rPr>
          <w:rFonts w:ascii="David" w:eastAsia="David" w:hAnsi="David"/>
          <w:rtl/>
        </w:rPr>
      </w:pPr>
    </w:p>
    <w:p w14:paraId="6042B8F3" w14:textId="77777777" w:rsidR="000E3494" w:rsidRDefault="000E3494" w:rsidP="000E3494">
      <w:pPr>
        <w:spacing w:line="360" w:lineRule="auto"/>
        <w:jc w:val="both"/>
        <w:rPr>
          <w:rFonts w:ascii="David" w:eastAsia="David" w:hAnsi="David"/>
          <w:rtl/>
        </w:rPr>
      </w:pPr>
      <w:r>
        <w:rPr>
          <w:rFonts w:ascii="David" w:eastAsia="David" w:hAnsi="David" w:hint="cs"/>
          <w:rtl/>
        </w:rPr>
        <w:t>ההגנה ביקשה לייחס משקל לתקופת מעצרו הארוכה של הנאשם.</w:t>
      </w:r>
    </w:p>
    <w:p w14:paraId="7ABE2BD9" w14:textId="77777777" w:rsidR="000E3494" w:rsidRDefault="000E3494" w:rsidP="000E3494">
      <w:pPr>
        <w:spacing w:line="360" w:lineRule="auto"/>
        <w:jc w:val="both"/>
        <w:rPr>
          <w:rFonts w:ascii="David" w:eastAsia="David" w:hAnsi="David"/>
          <w:rtl/>
        </w:rPr>
      </w:pPr>
    </w:p>
    <w:p w14:paraId="6CA52169" w14:textId="77777777" w:rsidR="000E3494" w:rsidRDefault="000E3494" w:rsidP="000E3494">
      <w:pPr>
        <w:spacing w:line="360" w:lineRule="auto"/>
        <w:jc w:val="both"/>
        <w:rPr>
          <w:rFonts w:ascii="David" w:eastAsia="David" w:hAnsi="David"/>
          <w:rtl/>
        </w:rPr>
      </w:pPr>
      <w:r>
        <w:rPr>
          <w:rFonts w:ascii="David" w:eastAsia="David" w:hAnsi="David" w:hint="cs"/>
          <w:rtl/>
        </w:rPr>
        <w:t>ההגנה ביקשה שהקנס שיוטל יהיה ברף הנמוך, וביקשה שבית המשפט ימנע מפסילת הרישיון הנהיגה של הנאשם.</w:t>
      </w:r>
    </w:p>
    <w:p w14:paraId="15FFA378" w14:textId="77777777" w:rsidR="000E3494" w:rsidRDefault="000E3494" w:rsidP="000E3494">
      <w:pPr>
        <w:spacing w:line="360" w:lineRule="auto"/>
        <w:jc w:val="both"/>
        <w:rPr>
          <w:rFonts w:ascii="David" w:eastAsia="David" w:hAnsi="David"/>
          <w:rtl/>
        </w:rPr>
      </w:pPr>
    </w:p>
    <w:p w14:paraId="0B2F02D8" w14:textId="77777777" w:rsidR="000E3494" w:rsidRDefault="000E3494" w:rsidP="000E3494">
      <w:pPr>
        <w:spacing w:line="360" w:lineRule="auto"/>
        <w:jc w:val="both"/>
        <w:rPr>
          <w:rFonts w:ascii="David" w:eastAsia="David" w:hAnsi="David"/>
          <w:rtl/>
        </w:rPr>
      </w:pPr>
      <w:r>
        <w:rPr>
          <w:rFonts w:ascii="David" w:eastAsia="David" w:hAnsi="David" w:hint="cs"/>
          <w:rtl/>
        </w:rPr>
        <w:t xml:space="preserve">ההגנה עתרה להסתפק במתחם ענישה, הנע בין 7 ועד 18 חודשי מאסר בפועל וביקשה למקם עונשו של הנאשם במרכז מתחם זה ולהטיל עליו שנת מאסר בפועל. </w:t>
      </w:r>
    </w:p>
    <w:p w14:paraId="258CE08D" w14:textId="77777777" w:rsidR="000E3494" w:rsidRDefault="000E3494" w:rsidP="000E3494">
      <w:pPr>
        <w:spacing w:line="360" w:lineRule="auto"/>
        <w:jc w:val="both"/>
        <w:rPr>
          <w:rFonts w:ascii="David" w:eastAsia="David" w:hAnsi="David"/>
          <w:rtl/>
        </w:rPr>
      </w:pPr>
    </w:p>
    <w:p w14:paraId="288F5106" w14:textId="77777777" w:rsidR="000E3494" w:rsidRDefault="000E3494" w:rsidP="000E3494">
      <w:pPr>
        <w:spacing w:line="360" w:lineRule="auto"/>
        <w:jc w:val="both"/>
        <w:rPr>
          <w:rFonts w:ascii="David" w:eastAsia="David" w:hAnsi="David"/>
          <w:rtl/>
        </w:rPr>
      </w:pPr>
    </w:p>
    <w:p w14:paraId="1D2417D1" w14:textId="77777777" w:rsidR="000E3494" w:rsidRDefault="000E3494" w:rsidP="000E3494">
      <w:pPr>
        <w:spacing w:line="360" w:lineRule="auto"/>
        <w:jc w:val="both"/>
        <w:rPr>
          <w:rFonts w:ascii="David" w:eastAsia="David" w:hAnsi="David"/>
          <w:rtl/>
        </w:rPr>
      </w:pPr>
      <w:r>
        <w:rPr>
          <w:rFonts w:ascii="David" w:eastAsia="David" w:hAnsi="David" w:hint="cs"/>
          <w:u w:val="single"/>
          <w:rtl/>
        </w:rPr>
        <w:t>בדברו האחרון של הנאשם</w:t>
      </w:r>
      <w:r>
        <w:rPr>
          <w:rFonts w:ascii="David" w:eastAsia="David" w:hAnsi="David" w:hint="cs"/>
          <w:rtl/>
        </w:rPr>
        <w:t xml:space="preserve"> מסר, כי הוא מתחרט על מעשיו, אשר נבעו משימוש ממושך בסמים. לדבריו, הוא עובר תקופה קשה במעצרו. הנאשם שיתף, כי הוא עבר מספר קבוצות במהלך מעצרו, למשל, שליטה בכעסים, נרקומנים אנונימיים, הכנה למקצוע וכלכלה. עוד שיתף, כי מאז מעצרו, הפסיק לצרוך סמים, וכיום מנהל אורח חיים בריא, מתאמן, והעלה במשקל. לדבריו, לא הצליח להשתלב בקבוצה טיפולית בכלא על רקע קשיים חברתיים. הנאשם ביקש שלא להסיג מצבו אחור ולהתחשב במצבו בעת גזירת עונשו.</w:t>
      </w:r>
    </w:p>
    <w:p w14:paraId="0CB26F17" w14:textId="77777777" w:rsidR="000E3494" w:rsidRDefault="000E3494" w:rsidP="000E3494">
      <w:pPr>
        <w:spacing w:line="360" w:lineRule="auto"/>
        <w:jc w:val="both"/>
        <w:rPr>
          <w:rFonts w:ascii="David" w:eastAsia="David" w:hAnsi="David"/>
          <w:rtl/>
        </w:rPr>
      </w:pPr>
    </w:p>
    <w:p w14:paraId="345C87BE" w14:textId="77777777" w:rsidR="000E3494" w:rsidRDefault="000E3494" w:rsidP="000E3494">
      <w:pPr>
        <w:spacing w:line="360" w:lineRule="auto"/>
        <w:jc w:val="both"/>
        <w:rPr>
          <w:rFonts w:ascii="David" w:eastAsia="David" w:hAnsi="David"/>
          <w:rtl/>
        </w:rPr>
      </w:pPr>
    </w:p>
    <w:p w14:paraId="5CD05B50" w14:textId="77777777" w:rsidR="000E3494" w:rsidRDefault="000E3494" w:rsidP="000E3494">
      <w:pPr>
        <w:spacing w:line="360" w:lineRule="auto"/>
        <w:jc w:val="both"/>
        <w:rPr>
          <w:rFonts w:ascii="David" w:eastAsia="David" w:hAnsi="David"/>
          <w:rtl/>
        </w:rPr>
      </w:pPr>
    </w:p>
    <w:p w14:paraId="404BFD5B" w14:textId="77777777" w:rsidR="000E3494" w:rsidRDefault="000E3494" w:rsidP="000E3494">
      <w:pPr>
        <w:spacing w:line="360" w:lineRule="auto"/>
        <w:jc w:val="both"/>
        <w:rPr>
          <w:rFonts w:ascii="David" w:eastAsia="David" w:hAnsi="David"/>
          <w:rtl/>
        </w:rPr>
      </w:pPr>
      <w:r>
        <w:rPr>
          <w:rFonts w:ascii="David" w:eastAsia="David" w:hAnsi="David" w:hint="cs"/>
          <w:b/>
          <w:bCs/>
          <w:rtl/>
        </w:rPr>
        <w:t>דיון והכרעה</w:t>
      </w:r>
    </w:p>
    <w:p w14:paraId="3E43581C" w14:textId="77777777" w:rsidR="000E3494" w:rsidRDefault="000E3494" w:rsidP="000E3494">
      <w:pPr>
        <w:spacing w:line="360" w:lineRule="auto"/>
        <w:jc w:val="both"/>
        <w:rPr>
          <w:rFonts w:ascii="David" w:eastAsia="David" w:hAnsi="David"/>
          <w:rtl/>
        </w:rPr>
      </w:pPr>
    </w:p>
    <w:p w14:paraId="38981206" w14:textId="77777777" w:rsidR="000E3494" w:rsidRDefault="000E3494" w:rsidP="000E3494">
      <w:pPr>
        <w:spacing w:line="360" w:lineRule="auto"/>
        <w:jc w:val="both"/>
        <w:rPr>
          <w:rFonts w:ascii="Arial" w:hAnsi="Arial"/>
          <w:rtl/>
        </w:rPr>
      </w:pPr>
      <w:r w:rsidRPr="00271ECA">
        <w:rPr>
          <w:rFonts w:ascii="Arial" w:hAnsi="Arial"/>
          <w:rtl/>
        </w:rPr>
        <w:t xml:space="preserve">העבירות שעבר הנאשם – אינן קלות. </w:t>
      </w:r>
    </w:p>
    <w:p w14:paraId="3CF84094" w14:textId="77777777" w:rsidR="000E3494" w:rsidRDefault="000E3494" w:rsidP="000E3494">
      <w:pPr>
        <w:spacing w:line="360" w:lineRule="auto"/>
        <w:jc w:val="both"/>
        <w:rPr>
          <w:rFonts w:ascii="Arial" w:hAnsi="Arial"/>
          <w:rtl/>
        </w:rPr>
      </w:pPr>
    </w:p>
    <w:p w14:paraId="1AD243C9" w14:textId="77777777" w:rsidR="000E3494" w:rsidRDefault="000E3494" w:rsidP="000E3494">
      <w:pPr>
        <w:spacing w:line="360" w:lineRule="auto"/>
        <w:rPr>
          <w:rFonts w:ascii="Arial" w:hAnsi="Arial"/>
        </w:rPr>
      </w:pPr>
      <w:r>
        <w:rPr>
          <w:rFonts w:ascii="Arial" w:hAnsi="Arial"/>
          <w:rtl/>
        </w:rPr>
        <w:t>מדובר בנגע המתפשט במהירות ומשחית חייהם של אנשים, בין אם זה ציבור המשתמשים בסמים ובין אם ציבור הנפגעים מעבירות הנעברות ע"י אלו המשתמשים בסמים.</w:t>
      </w:r>
    </w:p>
    <w:p w14:paraId="0F7F3D94" w14:textId="77777777" w:rsidR="000E3494" w:rsidRDefault="000E3494" w:rsidP="000E3494">
      <w:pPr>
        <w:spacing w:line="360" w:lineRule="auto"/>
        <w:rPr>
          <w:rFonts w:ascii="Arial" w:hAnsi="Arial"/>
          <w:rtl/>
        </w:rPr>
      </w:pPr>
    </w:p>
    <w:p w14:paraId="1F6A1C27" w14:textId="77777777" w:rsidR="000E3494" w:rsidRDefault="000E3494" w:rsidP="000E3494">
      <w:pPr>
        <w:spacing w:line="360" w:lineRule="auto"/>
        <w:rPr>
          <w:rFonts w:ascii="Arial" w:hAnsi="Arial"/>
          <w:rtl/>
        </w:rPr>
      </w:pPr>
      <w:r>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44C6BF49" w14:textId="77777777" w:rsidR="000E3494" w:rsidRDefault="000E3494" w:rsidP="000E3494">
      <w:pPr>
        <w:spacing w:line="360" w:lineRule="auto"/>
        <w:rPr>
          <w:rFonts w:ascii="Arial" w:hAnsi="Arial"/>
          <w:rtl/>
        </w:rPr>
      </w:pPr>
    </w:p>
    <w:p w14:paraId="17A5396D" w14:textId="77777777" w:rsidR="000E3494" w:rsidRDefault="000E3494" w:rsidP="000E3494">
      <w:pPr>
        <w:spacing w:line="360" w:lineRule="auto"/>
        <w:rPr>
          <w:rFonts w:ascii="Arial" w:hAnsi="Arial"/>
          <w:rtl/>
        </w:rPr>
      </w:pPr>
      <w:r>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3898BF46" w14:textId="77777777" w:rsidR="000E3494" w:rsidRDefault="000E3494" w:rsidP="000E3494">
      <w:pPr>
        <w:spacing w:line="360" w:lineRule="auto"/>
        <w:rPr>
          <w:rFonts w:ascii="Arial" w:hAnsi="Arial"/>
          <w:rtl/>
        </w:rPr>
      </w:pPr>
    </w:p>
    <w:p w14:paraId="56EEAE81" w14:textId="77777777" w:rsidR="000E3494" w:rsidRDefault="000E3494" w:rsidP="000E3494">
      <w:pPr>
        <w:spacing w:line="360" w:lineRule="auto"/>
        <w:rPr>
          <w:rFonts w:ascii="Arial" w:hAnsi="Arial"/>
          <w:rtl/>
        </w:rPr>
      </w:pPr>
      <w:r>
        <w:rPr>
          <w:rFonts w:ascii="Arial" w:hAnsi="Arial"/>
          <w:rtl/>
        </w:rPr>
        <w:t>כל זאת, בשל עבריינים המחזיקים או מפיצים את הסמים.</w:t>
      </w:r>
    </w:p>
    <w:p w14:paraId="1DA96F0B" w14:textId="77777777" w:rsidR="000E3494" w:rsidRDefault="000E3494" w:rsidP="000E3494">
      <w:pPr>
        <w:spacing w:line="360" w:lineRule="auto"/>
        <w:ind w:left="360"/>
        <w:rPr>
          <w:rFonts w:ascii="Arial" w:hAnsi="Arial"/>
          <w:rtl/>
        </w:rPr>
      </w:pPr>
    </w:p>
    <w:p w14:paraId="0815CD38" w14:textId="77777777" w:rsidR="000E3494" w:rsidRDefault="000E3494" w:rsidP="000E3494">
      <w:pPr>
        <w:spacing w:line="360" w:lineRule="auto"/>
        <w:rPr>
          <w:rFonts w:ascii="Arial" w:hAnsi="Arial"/>
          <w:rtl/>
        </w:rPr>
      </w:pPr>
      <w:r>
        <w:rPr>
          <w:rFonts w:ascii="Arial" w:hAnsi="Arial"/>
          <w:rtl/>
        </w:rPr>
        <w:t>על הצורך להילחם מלחמת חורמה בתופעה הזו, וחומרת הענישה שיש לנקוט כלפי המעורבים במערך הפצת הסמים, דובר רבות בפסיקה.</w:t>
      </w:r>
    </w:p>
    <w:p w14:paraId="476E971D" w14:textId="77777777" w:rsidR="000E3494" w:rsidRDefault="000E3494" w:rsidP="000E3494">
      <w:pPr>
        <w:spacing w:line="360" w:lineRule="auto"/>
        <w:ind w:left="360"/>
        <w:rPr>
          <w:rFonts w:ascii="Arial" w:hAnsi="Arial"/>
          <w:rtl/>
        </w:rPr>
      </w:pPr>
    </w:p>
    <w:p w14:paraId="78A80F18" w14:textId="77777777" w:rsidR="000E3494" w:rsidRDefault="000E3494" w:rsidP="000E3494">
      <w:pPr>
        <w:spacing w:line="360" w:lineRule="auto"/>
        <w:rPr>
          <w:rFonts w:ascii="Arial" w:hAnsi="Arial"/>
          <w:rtl/>
        </w:rPr>
      </w:pPr>
      <w:r>
        <w:rPr>
          <w:rFonts w:ascii="Arial" w:hAnsi="Arial"/>
          <w:rtl/>
        </w:rPr>
        <w:t xml:space="preserve">ראה </w:t>
      </w:r>
      <w:hyperlink r:id="rId25" w:history="1">
        <w:r w:rsidR="00AE1818" w:rsidRPr="00AE1818">
          <w:rPr>
            <w:rFonts w:ascii="Arial" w:hAnsi="Arial"/>
            <w:color w:val="0000FF"/>
            <w:u w:val="single"/>
            <w:rtl/>
          </w:rPr>
          <w:t>ע"פ 211/09</w:t>
        </w:r>
      </w:hyperlink>
      <w:r>
        <w:rPr>
          <w:rFonts w:ascii="Arial" w:hAnsi="Arial"/>
          <w:rtl/>
        </w:rPr>
        <w:t xml:space="preserve"> </w:t>
      </w:r>
      <w:r>
        <w:rPr>
          <w:rFonts w:ascii="Arial" w:hAnsi="Arial"/>
          <w:b/>
          <w:bCs/>
          <w:rtl/>
        </w:rPr>
        <w:t>אזולאי נ' מדינת ישראל</w:t>
      </w:r>
      <w:r>
        <w:rPr>
          <w:rFonts w:ascii="Arial" w:hAnsi="Arial"/>
          <w:rtl/>
        </w:rPr>
        <w:t xml:space="preserve"> (פורסם במאגרים):</w:t>
      </w:r>
    </w:p>
    <w:p w14:paraId="62580A92" w14:textId="77777777" w:rsidR="000E3494" w:rsidRDefault="000E3494" w:rsidP="000E3494">
      <w:pPr>
        <w:spacing w:line="360" w:lineRule="auto"/>
        <w:ind w:left="360"/>
        <w:rPr>
          <w:rFonts w:ascii="Arial" w:hAnsi="Arial"/>
          <w:rtl/>
        </w:rPr>
      </w:pPr>
    </w:p>
    <w:p w14:paraId="669A70CF" w14:textId="77777777" w:rsidR="000E3494" w:rsidRDefault="000E3494" w:rsidP="000E3494">
      <w:pPr>
        <w:spacing w:line="360" w:lineRule="auto"/>
        <w:rPr>
          <w:rFonts w:ascii="Arial" w:hAnsi="Arial" w:cs="Aharoni"/>
          <w:rtl/>
        </w:rPr>
      </w:pPr>
      <w:r>
        <w:rPr>
          <w:rFonts w:ascii="Arial" w:hAnsi="Arial" w:cs="Aharoni" w:hint="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DE69302" w14:textId="77777777" w:rsidR="000E3494" w:rsidRDefault="000E3494" w:rsidP="000E3494">
      <w:pPr>
        <w:spacing w:line="360" w:lineRule="auto"/>
        <w:rPr>
          <w:rFonts w:ascii="Arial" w:hAnsi="Arial" w:cs="Aharoni"/>
          <w:rtl/>
        </w:rPr>
      </w:pPr>
    </w:p>
    <w:p w14:paraId="21A29D74" w14:textId="77777777" w:rsidR="000E3494" w:rsidRDefault="000E3494" w:rsidP="000E3494">
      <w:pPr>
        <w:spacing w:line="360" w:lineRule="auto"/>
        <w:rPr>
          <w:rFonts w:ascii="Arial" w:hAnsi="Arial" w:cs="Aharoni"/>
          <w:rtl/>
        </w:rPr>
      </w:pPr>
    </w:p>
    <w:p w14:paraId="767F29ED" w14:textId="77777777" w:rsidR="000E3494" w:rsidRDefault="000E3494" w:rsidP="000E3494">
      <w:pPr>
        <w:spacing w:line="360" w:lineRule="auto"/>
        <w:rPr>
          <w:rFonts w:ascii="Arial" w:hAnsi="Arial" w:cs="Aharoni"/>
          <w:rtl/>
        </w:rPr>
      </w:pPr>
    </w:p>
    <w:p w14:paraId="0778718C" w14:textId="77777777" w:rsidR="000E3494" w:rsidRDefault="000E3494" w:rsidP="000E3494">
      <w:pPr>
        <w:spacing w:line="360" w:lineRule="auto"/>
        <w:jc w:val="both"/>
        <w:rPr>
          <w:rFonts w:ascii="Arial" w:eastAsia="David" w:hAnsi="Arial"/>
          <w:rtl/>
        </w:rPr>
      </w:pPr>
      <w:r>
        <w:rPr>
          <w:rFonts w:ascii="Arial" w:eastAsia="David" w:hAnsi="Arial"/>
          <w:rtl/>
        </w:rPr>
        <w:t xml:space="preserve">כן, ראה </w:t>
      </w:r>
      <w:hyperlink r:id="rId26" w:history="1">
        <w:r w:rsidR="00AE1818" w:rsidRPr="00AE1818">
          <w:rPr>
            <w:rFonts w:ascii="Arial" w:eastAsia="David" w:hAnsi="Arial"/>
            <w:color w:val="0000FF"/>
            <w:u w:val="single"/>
            <w:rtl/>
          </w:rPr>
          <w:t>בש"פ 10638/08</w:t>
        </w:r>
      </w:hyperlink>
      <w:r>
        <w:rPr>
          <w:rFonts w:ascii="Arial" w:eastAsia="David" w:hAnsi="Arial"/>
          <w:rtl/>
        </w:rPr>
        <w:t xml:space="preserve"> </w:t>
      </w:r>
      <w:r>
        <w:rPr>
          <w:rFonts w:ascii="Arial" w:eastAsia="David" w:hAnsi="Arial"/>
          <w:b/>
          <w:bCs/>
          <w:rtl/>
        </w:rPr>
        <w:t xml:space="preserve"> ויצמן נ' מ"י</w:t>
      </w:r>
      <w:r>
        <w:rPr>
          <w:rFonts w:ascii="Arial" w:eastAsia="David" w:hAnsi="Arial"/>
          <w:rtl/>
        </w:rPr>
        <w:t>:</w:t>
      </w:r>
    </w:p>
    <w:p w14:paraId="32A8B27F" w14:textId="77777777" w:rsidR="000E3494" w:rsidRDefault="000E3494" w:rsidP="000E3494">
      <w:pPr>
        <w:spacing w:line="360" w:lineRule="auto"/>
        <w:jc w:val="both"/>
        <w:rPr>
          <w:rFonts w:ascii="Arial" w:eastAsia="David" w:hAnsi="Arial"/>
          <w:rtl/>
        </w:rPr>
      </w:pPr>
    </w:p>
    <w:p w14:paraId="0CD4732E" w14:textId="77777777" w:rsidR="000E3494" w:rsidRDefault="000E3494" w:rsidP="000E3494">
      <w:pPr>
        <w:spacing w:line="360" w:lineRule="auto"/>
        <w:ind w:right="426"/>
        <w:jc w:val="both"/>
        <w:rPr>
          <w:rFonts w:ascii="Arial" w:eastAsia="David" w:hAnsi="Arial" w:cs="Aharoni"/>
          <w:rtl/>
        </w:rPr>
      </w:pPr>
      <w:r>
        <w:rPr>
          <w:rFonts w:ascii="Arial" w:eastAsia="David" w:hAnsi="Arial" w:cs="Aharoni" w:hint="cs"/>
          <w:b/>
          <w:bCs/>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בסעיף 16(א)(4)ל</w:t>
      </w:r>
      <w:hyperlink r:id="rId27" w:history="1">
        <w:r w:rsidR="00AE1818" w:rsidRPr="00AE1818">
          <w:rPr>
            <w:rFonts w:ascii="Arial" w:eastAsia="David" w:hAnsi="Arial" w:cs="Aharoni"/>
            <w:b/>
            <w:bCs/>
            <w:color w:val="0000FF"/>
            <w:u w:val="single"/>
            <w:rtl/>
          </w:rPr>
          <w:t>חוק העונשין</w:t>
        </w:r>
      </w:hyperlink>
      <w:r>
        <w:rPr>
          <w:rFonts w:ascii="Arial" w:eastAsia="David" w:hAnsi="Arial" w:cs="Aharoni" w:hint="cs"/>
          <w:b/>
          <w:bCs/>
          <w:rtl/>
        </w:rPr>
        <w:t xml:space="preserve">, תשל"ז-1977 (סעיף 7(ג)לפקודת הסמים לעניין החזקת סמים שלא לצריכה עצמית, וסעיף 19א לעניין יבוא וסחר). ראו גם קדמי, על </w:t>
      </w:r>
      <w:hyperlink r:id="rId28" w:history="1">
        <w:r w:rsidR="00AE1818" w:rsidRPr="00AE1818">
          <w:rPr>
            <w:rFonts w:ascii="Arial" w:eastAsia="David" w:hAnsi="Arial" w:cs="Aharoni"/>
            <w:b/>
            <w:bCs/>
            <w:color w:val="0000FF"/>
            <w:u w:val="single"/>
            <w:rtl/>
          </w:rPr>
          <w:t>פקודת הסמים המסוכנים</w:t>
        </w:r>
      </w:hyperlink>
      <w:r>
        <w:rPr>
          <w:rFonts w:ascii="Arial" w:eastAsia="David" w:hAnsi="Arial" w:cs="Aharoni" w:hint="cs"/>
          <w:b/>
          <w:bCs/>
          <w:rtl/>
        </w:rPr>
        <w:t>, הדין בראי הפסיקה, מהדורת תשס"ז – עמ' 86, 185, 198. הצד השווה בין שתי העבירות הוא הזיקה להפצת הסמים לזולת, בפוטנציאל או בפועל, בין בתמורה (סחר) ובין אם אחרת</w:t>
      </w:r>
      <w:r>
        <w:rPr>
          <w:rFonts w:ascii="Arial" w:eastAsia="David" w:hAnsi="Arial" w:cs="Aharoni" w:hint="cs"/>
          <w:rtl/>
        </w:rPr>
        <w:t>.</w:t>
      </w:r>
    </w:p>
    <w:p w14:paraId="4D53524C" w14:textId="77777777" w:rsidR="000E3494" w:rsidRDefault="000E3494" w:rsidP="000E3494">
      <w:pPr>
        <w:spacing w:line="360" w:lineRule="auto"/>
        <w:rPr>
          <w:rFonts w:ascii="Arial" w:hAnsi="Arial" w:cs="Aharoni"/>
        </w:rPr>
      </w:pPr>
    </w:p>
    <w:p w14:paraId="10891C5B" w14:textId="77777777" w:rsidR="000E3494" w:rsidRDefault="000E3494" w:rsidP="000E3494">
      <w:pPr>
        <w:spacing w:line="360" w:lineRule="auto"/>
        <w:rPr>
          <w:rFonts w:ascii="Arial" w:hAnsi="Arial"/>
          <w:rtl/>
        </w:rPr>
      </w:pPr>
      <w:r>
        <w:rPr>
          <w:rFonts w:ascii="Arial" w:hAnsi="Arial"/>
          <w:rtl/>
        </w:rPr>
        <w:t>בעבירה של החזקת סם מסוכן שלא לצריכה עצמית, קיים מנעד ענישה רחב. עם זאת, סקירת הפסיקה מובילה למסקנה, כי ככלל, בעבירות של החזקת סמים מסוכנים,</w:t>
      </w:r>
      <w:r>
        <w:rPr>
          <w:rFonts w:ascii="Arial" w:hAnsi="Arial" w:hint="cs"/>
          <w:rtl/>
        </w:rPr>
        <w:t xml:space="preserve"> מהסוגים ומהכמויות המפורטות בכתב האישום,</w:t>
      </w:r>
      <w:r>
        <w:rPr>
          <w:rFonts w:ascii="Arial" w:hAnsi="Arial"/>
          <w:rtl/>
        </w:rPr>
        <w:t xml:space="preserve"> דינם של הנאשמים הוא מאסר בפועל בכליאה ממשית.</w:t>
      </w:r>
    </w:p>
    <w:p w14:paraId="7711945D" w14:textId="77777777" w:rsidR="000E3494" w:rsidRPr="00271ECA" w:rsidRDefault="000E3494" w:rsidP="000E3494">
      <w:pPr>
        <w:spacing w:line="360" w:lineRule="auto"/>
        <w:rPr>
          <w:rFonts w:ascii="Arial" w:hAnsi="Arial"/>
          <w:rtl/>
        </w:rPr>
      </w:pPr>
    </w:p>
    <w:p w14:paraId="7875B4A9" w14:textId="77777777" w:rsidR="000E3494" w:rsidRPr="00271ECA" w:rsidRDefault="000E3494" w:rsidP="000E3494">
      <w:pPr>
        <w:spacing w:line="360" w:lineRule="auto"/>
        <w:jc w:val="both"/>
        <w:rPr>
          <w:rFonts w:ascii="Arial" w:hAnsi="Arial"/>
          <w:rtl/>
        </w:rPr>
      </w:pPr>
      <w:r w:rsidRPr="00271ECA">
        <w:rPr>
          <w:rFonts w:ascii="Arial" w:hAnsi="Arial"/>
          <w:rtl/>
        </w:rPr>
        <w:t>המדובר בהחזקת סמים מסוכנים מסוגים שונים, כשגם אם הוצגו נתונים על כך, שהנאשם עצמו מכור לסמים מסוכנים, ה</w:t>
      </w:r>
      <w:r>
        <w:rPr>
          <w:rFonts w:ascii="Arial" w:hAnsi="Arial"/>
          <w:rtl/>
        </w:rPr>
        <w:t>רי אופן החזקת הסמים</w:t>
      </w:r>
      <w:r>
        <w:rPr>
          <w:rFonts w:ascii="Arial" w:hAnsi="Arial" w:hint="cs"/>
          <w:rtl/>
        </w:rPr>
        <w:t>;</w:t>
      </w:r>
      <w:r>
        <w:rPr>
          <w:rFonts w:ascii="Arial" w:hAnsi="Arial"/>
          <w:rtl/>
        </w:rPr>
        <w:t xml:space="preserve"> כמות הסמים</w:t>
      </w:r>
      <w:r>
        <w:rPr>
          <w:rFonts w:ascii="Arial" w:hAnsi="Arial" w:hint="cs"/>
          <w:rtl/>
        </w:rPr>
        <w:t xml:space="preserve">; מגוון הסמים; אופן חלוקת הסמים; כלי הכנת הסם שנתפסו; סכומי הכסף המזומן שנתפסו </w:t>
      </w:r>
      <w:r>
        <w:rPr>
          <w:rFonts w:ascii="Arial" w:hAnsi="Arial"/>
          <w:rtl/>
        </w:rPr>
        <w:t>–</w:t>
      </w:r>
      <w:r>
        <w:rPr>
          <w:rFonts w:ascii="Arial" w:hAnsi="Arial" w:hint="cs"/>
          <w:rtl/>
        </w:rPr>
        <w:t xml:space="preserve"> מצביעים על כך, שמטרת החזקתם היתה, בין היתר, להפצה.</w:t>
      </w:r>
    </w:p>
    <w:p w14:paraId="56A0A16B" w14:textId="77777777" w:rsidR="000E3494" w:rsidRPr="00271ECA" w:rsidRDefault="000E3494" w:rsidP="000E3494">
      <w:pPr>
        <w:spacing w:line="360" w:lineRule="auto"/>
        <w:jc w:val="both"/>
        <w:rPr>
          <w:rFonts w:ascii="Arial" w:hAnsi="Arial"/>
          <w:rtl/>
        </w:rPr>
      </w:pPr>
    </w:p>
    <w:p w14:paraId="6B5D609B" w14:textId="77777777" w:rsidR="000E3494" w:rsidRDefault="000E3494" w:rsidP="000E3494">
      <w:pPr>
        <w:spacing w:line="360" w:lineRule="auto"/>
        <w:jc w:val="both"/>
        <w:rPr>
          <w:rFonts w:ascii="Arial" w:hAnsi="Arial"/>
          <w:rtl/>
        </w:rPr>
      </w:pPr>
      <w:r w:rsidRPr="00271ECA">
        <w:rPr>
          <w:rFonts w:ascii="Arial" w:hAnsi="Arial"/>
          <w:rtl/>
        </w:rPr>
        <w:t xml:space="preserve">המדובר בסמים שהם בעלי פוטנציאל לגרום נזק כבד, </w:t>
      </w:r>
      <w:r>
        <w:rPr>
          <w:rFonts w:ascii="Arial" w:hAnsi="Arial" w:hint="cs"/>
          <w:rtl/>
        </w:rPr>
        <w:t xml:space="preserve">לרבות פגיעה של ממש בחיי אדם. </w:t>
      </w:r>
      <w:r w:rsidRPr="00271ECA">
        <w:rPr>
          <w:rFonts w:ascii="Arial" w:hAnsi="Arial"/>
          <w:rtl/>
        </w:rPr>
        <w:t xml:space="preserve">רק לאחרונה, היו מספר מקרים בהם התמוטטו מבלים, או מבלות, במסיבות שונות, אשר נערכו תחת כיפת השמיים (המכונות: "מסיבות טבע") בשל שימוש בסמים </w:t>
      </w:r>
      <w:r>
        <w:rPr>
          <w:rFonts w:ascii="Arial" w:hAnsi="Arial" w:hint="cs"/>
          <w:rtl/>
        </w:rPr>
        <w:t>מסוגים</w:t>
      </w:r>
      <w:r w:rsidRPr="00271ECA">
        <w:rPr>
          <w:rFonts w:ascii="Arial" w:hAnsi="Arial"/>
          <w:rtl/>
        </w:rPr>
        <w:t xml:space="preserve"> דומים</w:t>
      </w:r>
      <w:r>
        <w:rPr>
          <w:rFonts w:ascii="Arial" w:hAnsi="Arial" w:hint="cs"/>
          <w:rtl/>
        </w:rPr>
        <w:t>.</w:t>
      </w:r>
      <w:r w:rsidRPr="00271ECA">
        <w:rPr>
          <w:rFonts w:ascii="Arial" w:hAnsi="Arial"/>
          <w:rtl/>
        </w:rPr>
        <w:t xml:space="preserve"> </w:t>
      </w:r>
    </w:p>
    <w:p w14:paraId="7850193C" w14:textId="77777777" w:rsidR="000E3494" w:rsidRPr="00271ECA" w:rsidRDefault="000E3494" w:rsidP="000E3494">
      <w:pPr>
        <w:spacing w:line="360" w:lineRule="auto"/>
        <w:jc w:val="both"/>
        <w:rPr>
          <w:rFonts w:ascii="Arial" w:hAnsi="Arial"/>
          <w:rtl/>
        </w:rPr>
      </w:pPr>
    </w:p>
    <w:p w14:paraId="33E5079C" w14:textId="77777777" w:rsidR="000E3494" w:rsidRPr="00271ECA" w:rsidRDefault="000E3494" w:rsidP="000E3494">
      <w:pPr>
        <w:spacing w:line="360" w:lineRule="auto"/>
        <w:jc w:val="both"/>
        <w:rPr>
          <w:rFonts w:ascii="Arial" w:hAnsi="Arial"/>
          <w:rtl/>
        </w:rPr>
      </w:pPr>
      <w:r w:rsidRPr="00271ECA">
        <w:rPr>
          <w:rFonts w:ascii="Arial" w:hAnsi="Arial"/>
          <w:rtl/>
        </w:rPr>
        <w:t xml:space="preserve">בנסיבות אלה, </w:t>
      </w:r>
      <w:r>
        <w:rPr>
          <w:rFonts w:ascii="Arial" w:hAnsi="Arial" w:hint="cs"/>
          <w:rtl/>
        </w:rPr>
        <w:t>מוצא בית המשפט לקבוע מתחם ענישה, הנע בין 20 ועד 50 חודשי מאסר בפועל</w:t>
      </w:r>
      <w:r w:rsidRPr="00271ECA">
        <w:rPr>
          <w:rFonts w:ascii="Arial" w:hAnsi="Arial"/>
          <w:rtl/>
        </w:rPr>
        <w:t>, בגין החזקת סמים מהסוגים שנתפסו, בכמויות שנתפסו</w:t>
      </w:r>
      <w:r>
        <w:rPr>
          <w:rFonts w:ascii="Arial" w:hAnsi="Arial" w:hint="cs"/>
          <w:rtl/>
        </w:rPr>
        <w:t>, הן לצריכה עצמית והן שלא לצריכה עצמית, לצד כלים להכנת סמים</w:t>
      </w:r>
      <w:r w:rsidRPr="00271ECA">
        <w:rPr>
          <w:rFonts w:ascii="Arial" w:hAnsi="Arial"/>
          <w:rtl/>
        </w:rPr>
        <w:t xml:space="preserve">. </w:t>
      </w:r>
    </w:p>
    <w:p w14:paraId="7461CC67" w14:textId="77777777" w:rsidR="000E3494" w:rsidRDefault="000E3494" w:rsidP="000E3494">
      <w:pPr>
        <w:spacing w:line="360" w:lineRule="auto"/>
        <w:jc w:val="both"/>
        <w:rPr>
          <w:rtl/>
        </w:rPr>
      </w:pPr>
    </w:p>
    <w:p w14:paraId="66EB785D" w14:textId="77777777" w:rsidR="000E3494" w:rsidRDefault="000E3494" w:rsidP="000E3494">
      <w:pPr>
        <w:spacing w:line="360" w:lineRule="auto"/>
        <w:jc w:val="both"/>
        <w:rPr>
          <w:rtl/>
        </w:rPr>
      </w:pPr>
    </w:p>
    <w:p w14:paraId="727565D1" w14:textId="77777777" w:rsidR="000E3494" w:rsidRDefault="000E3494" w:rsidP="000E3494">
      <w:pPr>
        <w:spacing w:line="360" w:lineRule="auto"/>
        <w:jc w:val="both"/>
        <w:rPr>
          <w:rtl/>
        </w:rPr>
      </w:pPr>
    </w:p>
    <w:p w14:paraId="1CD0018F" w14:textId="77777777" w:rsidR="000E3494" w:rsidRDefault="000E3494" w:rsidP="000E3494">
      <w:pPr>
        <w:spacing w:line="360" w:lineRule="auto"/>
        <w:jc w:val="both"/>
        <w:rPr>
          <w:rtl/>
        </w:rPr>
      </w:pPr>
    </w:p>
    <w:p w14:paraId="72D87D86" w14:textId="77777777" w:rsidR="000E3494" w:rsidRDefault="000E3494" w:rsidP="000E3494">
      <w:pPr>
        <w:spacing w:line="360" w:lineRule="auto"/>
        <w:jc w:val="both"/>
        <w:rPr>
          <w:b/>
          <w:bCs/>
          <w:rtl/>
        </w:rPr>
      </w:pPr>
      <w:r>
        <w:rPr>
          <w:rFonts w:hint="cs"/>
          <w:b/>
          <w:bCs/>
          <w:rtl/>
        </w:rPr>
        <w:t>קביעת הענישה הספציפית בתוך המתחם</w:t>
      </w:r>
    </w:p>
    <w:p w14:paraId="76546ED2" w14:textId="77777777" w:rsidR="000E3494" w:rsidRPr="00271ECA" w:rsidRDefault="000E3494" w:rsidP="000E3494">
      <w:pPr>
        <w:spacing w:line="360" w:lineRule="auto"/>
        <w:jc w:val="both"/>
        <w:rPr>
          <w:b/>
          <w:bCs/>
          <w:rtl/>
        </w:rPr>
      </w:pPr>
    </w:p>
    <w:p w14:paraId="202C52EC" w14:textId="77777777" w:rsidR="000E3494" w:rsidRDefault="000E3494" w:rsidP="000E3494">
      <w:pPr>
        <w:spacing w:line="360" w:lineRule="auto"/>
        <w:jc w:val="both"/>
        <w:rPr>
          <w:rtl/>
        </w:rPr>
      </w:pPr>
      <w:r w:rsidRPr="00271ECA">
        <w:rPr>
          <w:rtl/>
        </w:rPr>
        <w:t xml:space="preserve">לחובת הנאשם </w:t>
      </w:r>
      <w:r>
        <w:rPr>
          <w:rFonts w:hint="cs"/>
          <w:rtl/>
        </w:rPr>
        <w:t>הרשעה קודמת בעבירת סמים ואין מחלוקת, כי הנאשם סובל מהתמכרות לסמים.</w:t>
      </w:r>
      <w:r w:rsidRPr="00271ECA">
        <w:rPr>
          <w:rtl/>
        </w:rPr>
        <w:t xml:space="preserve"> </w:t>
      </w:r>
    </w:p>
    <w:p w14:paraId="5F75D91C" w14:textId="77777777" w:rsidR="000E3494" w:rsidRDefault="000E3494" w:rsidP="000E3494">
      <w:pPr>
        <w:spacing w:line="360" w:lineRule="auto"/>
        <w:jc w:val="both"/>
        <w:rPr>
          <w:rtl/>
        </w:rPr>
      </w:pPr>
    </w:p>
    <w:p w14:paraId="4716FBE9" w14:textId="77777777" w:rsidR="000E3494" w:rsidRPr="00271ECA" w:rsidRDefault="000E3494" w:rsidP="000E3494">
      <w:pPr>
        <w:spacing w:line="360" w:lineRule="auto"/>
        <w:jc w:val="both"/>
        <w:rPr>
          <w:rtl/>
        </w:rPr>
      </w:pPr>
      <w:r>
        <w:rPr>
          <w:rFonts w:hint="cs"/>
          <w:rtl/>
        </w:rPr>
        <w:t>הנאשם עבר העבירות, כאשר מעל ראשו תלוי ועומד מאסר מותנה בר הפעלה, ולא היה בכך כדי להרתיעו מלעבור העבירות.</w:t>
      </w:r>
    </w:p>
    <w:p w14:paraId="57CAF355" w14:textId="77777777" w:rsidR="000E3494" w:rsidRPr="00271ECA" w:rsidRDefault="000E3494" w:rsidP="000E3494">
      <w:pPr>
        <w:spacing w:line="360" w:lineRule="auto"/>
        <w:jc w:val="both"/>
        <w:rPr>
          <w:rtl/>
        </w:rPr>
      </w:pPr>
    </w:p>
    <w:p w14:paraId="1FE5EDFB" w14:textId="77777777" w:rsidR="000E3494" w:rsidRDefault="000E3494" w:rsidP="000E3494">
      <w:pPr>
        <w:spacing w:line="360" w:lineRule="auto"/>
        <w:jc w:val="both"/>
        <w:rPr>
          <w:rtl/>
        </w:rPr>
      </w:pPr>
      <w:r>
        <w:rPr>
          <w:rFonts w:hint="cs"/>
          <w:rtl/>
        </w:rPr>
        <w:t>הנאשם לא אזר כוחות להשתלב בהליך טיפולי.</w:t>
      </w:r>
    </w:p>
    <w:p w14:paraId="52E77173" w14:textId="77777777" w:rsidR="000E3494" w:rsidRDefault="000E3494" w:rsidP="000E3494">
      <w:pPr>
        <w:spacing w:line="360" w:lineRule="auto"/>
        <w:jc w:val="both"/>
        <w:rPr>
          <w:rtl/>
        </w:rPr>
      </w:pPr>
    </w:p>
    <w:p w14:paraId="13F83C9F" w14:textId="77777777" w:rsidR="000E3494" w:rsidRDefault="000E3494" w:rsidP="000E3494">
      <w:pPr>
        <w:spacing w:line="360" w:lineRule="auto"/>
        <w:jc w:val="both"/>
        <w:rPr>
          <w:rtl/>
        </w:rPr>
      </w:pPr>
      <w:r>
        <w:rPr>
          <w:rFonts w:hint="cs"/>
          <w:rtl/>
        </w:rPr>
        <w:t>הפרוגנוזה של שירות המבחן בענינו אינה חיובית, ואף נקבע, כי קיימת רמת סיכון גבוהה להישנות עבירות בתחום הסמים.</w:t>
      </w:r>
    </w:p>
    <w:p w14:paraId="353A4C32" w14:textId="77777777" w:rsidR="000E3494" w:rsidRDefault="000E3494" w:rsidP="000E3494">
      <w:pPr>
        <w:spacing w:line="360" w:lineRule="auto"/>
        <w:jc w:val="both"/>
        <w:rPr>
          <w:rtl/>
        </w:rPr>
      </w:pPr>
    </w:p>
    <w:p w14:paraId="1889E8FE" w14:textId="77777777" w:rsidR="000E3494" w:rsidRDefault="000E3494" w:rsidP="000E3494">
      <w:pPr>
        <w:spacing w:line="360" w:lineRule="auto"/>
        <w:jc w:val="both"/>
        <w:rPr>
          <w:rtl/>
        </w:rPr>
      </w:pPr>
      <w:r>
        <w:rPr>
          <w:rFonts w:hint="cs"/>
          <w:rtl/>
        </w:rPr>
        <w:t>מנגד, מדובר בנאשם צעיר, שנטל אחריות מלאה למעשיו והודה בהזדמנות הראשונה, בחקירתו במשטרה, ואף לפני בית המשפט.</w:t>
      </w:r>
    </w:p>
    <w:p w14:paraId="7DBC0F0B" w14:textId="77777777" w:rsidR="000E3494" w:rsidRDefault="000E3494" w:rsidP="000E3494">
      <w:pPr>
        <w:spacing w:line="360" w:lineRule="auto"/>
        <w:jc w:val="both"/>
        <w:rPr>
          <w:rtl/>
        </w:rPr>
      </w:pPr>
    </w:p>
    <w:p w14:paraId="329A10BC" w14:textId="77777777" w:rsidR="000E3494" w:rsidRDefault="000E3494" w:rsidP="000E3494">
      <w:pPr>
        <w:spacing w:line="360" w:lineRule="auto"/>
        <w:jc w:val="both"/>
        <w:rPr>
          <w:rtl/>
        </w:rPr>
      </w:pPr>
      <w:r>
        <w:rPr>
          <w:rFonts w:hint="cs"/>
          <w:rtl/>
        </w:rPr>
        <w:t xml:space="preserve">במכלול השיקולים, ראוי היה למקם עונשו של הנאשם בצד הבינוני של המתחם, אך לאור הנימוקים לקולה שהוצגו, וכן בהיעדר הרשעות קודמות מכבידות, יועמד עונשו על הצד הבינוני </w:t>
      </w:r>
      <w:r>
        <w:rPr>
          <w:rtl/>
        </w:rPr>
        <w:t>–</w:t>
      </w:r>
      <w:r>
        <w:rPr>
          <w:rFonts w:hint="cs"/>
          <w:rtl/>
        </w:rPr>
        <w:t xml:space="preserve"> נמוך.</w:t>
      </w:r>
    </w:p>
    <w:p w14:paraId="5B80B9F6" w14:textId="77777777" w:rsidR="000E3494" w:rsidRDefault="000E3494" w:rsidP="000E3494">
      <w:pPr>
        <w:spacing w:line="360" w:lineRule="auto"/>
        <w:jc w:val="both"/>
        <w:rPr>
          <w:rtl/>
        </w:rPr>
      </w:pPr>
    </w:p>
    <w:p w14:paraId="746AFF03" w14:textId="77777777" w:rsidR="000E3494" w:rsidRDefault="000E3494" w:rsidP="000E3494">
      <w:pPr>
        <w:spacing w:line="360" w:lineRule="auto"/>
        <w:jc w:val="both"/>
        <w:rPr>
          <w:rtl/>
        </w:rPr>
      </w:pPr>
      <w:r>
        <w:rPr>
          <w:rFonts w:hint="cs"/>
          <w:rtl/>
        </w:rPr>
        <w:t>בנוסף, מוצא בית המשפט להפעיל המאסר המותנה בן 3 חודשים, כשלאור הודאת הנאשם באשמה, תינתן הקלה, במסגרתה, יופעל, בחלקו, בחופף.</w:t>
      </w:r>
    </w:p>
    <w:p w14:paraId="47C5FE77" w14:textId="77777777" w:rsidR="000E3494" w:rsidRPr="00271ECA" w:rsidRDefault="000E3494" w:rsidP="000E3494">
      <w:pPr>
        <w:spacing w:line="360" w:lineRule="auto"/>
        <w:jc w:val="both"/>
        <w:rPr>
          <w:rFonts w:ascii="Arial" w:hAnsi="Arial"/>
          <w:rtl/>
        </w:rPr>
      </w:pPr>
    </w:p>
    <w:p w14:paraId="11BFF61F" w14:textId="77777777" w:rsidR="000E3494" w:rsidRDefault="000E3494" w:rsidP="000E3494">
      <w:pPr>
        <w:spacing w:line="360" w:lineRule="auto"/>
        <w:jc w:val="both"/>
        <w:rPr>
          <w:rFonts w:ascii="Arial" w:hAnsi="Arial"/>
          <w:rtl/>
        </w:rPr>
      </w:pPr>
      <w:r w:rsidRPr="00271ECA">
        <w:rPr>
          <w:rFonts w:ascii="Arial" w:hAnsi="Arial"/>
          <w:rtl/>
        </w:rPr>
        <w:t xml:space="preserve">עוד יושת על הנאשם עונש מאסר מותנה ארוך ומרתיע. </w:t>
      </w:r>
    </w:p>
    <w:p w14:paraId="0C51C367" w14:textId="77777777" w:rsidR="000E3494" w:rsidRPr="00271ECA" w:rsidRDefault="000E3494" w:rsidP="000E3494">
      <w:pPr>
        <w:spacing w:line="360" w:lineRule="auto"/>
        <w:jc w:val="both"/>
        <w:rPr>
          <w:rFonts w:ascii="Arial" w:hAnsi="Arial"/>
          <w:rtl/>
        </w:rPr>
      </w:pPr>
    </w:p>
    <w:p w14:paraId="37C20C7A" w14:textId="77777777" w:rsidR="000E3494" w:rsidRPr="00271ECA" w:rsidRDefault="000E3494" w:rsidP="000E3494">
      <w:pPr>
        <w:spacing w:line="360" w:lineRule="auto"/>
        <w:jc w:val="both"/>
        <w:rPr>
          <w:rFonts w:ascii="Arial" w:hAnsi="Arial"/>
          <w:rtl/>
        </w:rPr>
      </w:pPr>
      <w:r w:rsidRPr="00271ECA">
        <w:rPr>
          <w:rFonts w:ascii="Arial" w:hAnsi="Arial"/>
          <w:rtl/>
        </w:rPr>
        <w:t>לנוכח כמות הסם שנתפסה, שהוא בשווי כלכלי לא מבוטל וכן לצורך איזון התמונה העני</w:t>
      </w:r>
      <w:r>
        <w:rPr>
          <w:rFonts w:ascii="Arial" w:hAnsi="Arial"/>
          <w:rtl/>
        </w:rPr>
        <w:t xml:space="preserve">שתית – יושת גם עיצום כספי </w:t>
      </w:r>
      <w:r>
        <w:rPr>
          <w:rFonts w:ascii="Arial" w:hAnsi="Arial" w:hint="cs"/>
          <w:rtl/>
        </w:rPr>
        <w:t>וכן יורה בית המשפט על חילוט הכספים, שנתפסו אצל הנאשם.</w:t>
      </w:r>
      <w:r w:rsidRPr="00271ECA">
        <w:rPr>
          <w:rFonts w:ascii="Arial" w:hAnsi="Arial"/>
          <w:rtl/>
        </w:rPr>
        <w:t xml:space="preserve"> </w:t>
      </w:r>
    </w:p>
    <w:p w14:paraId="2A6577CB" w14:textId="77777777" w:rsidR="000E3494" w:rsidRPr="00271ECA" w:rsidRDefault="000E3494" w:rsidP="000E3494">
      <w:pPr>
        <w:spacing w:line="360" w:lineRule="auto"/>
        <w:jc w:val="both"/>
        <w:rPr>
          <w:rFonts w:ascii="Arial" w:hAnsi="Arial"/>
          <w:rtl/>
        </w:rPr>
      </w:pPr>
    </w:p>
    <w:p w14:paraId="11B16790" w14:textId="77777777" w:rsidR="000E3494" w:rsidRDefault="000E3494" w:rsidP="000E3494">
      <w:pPr>
        <w:spacing w:line="360" w:lineRule="auto"/>
        <w:jc w:val="both"/>
        <w:rPr>
          <w:rFonts w:ascii="Arial" w:hAnsi="Arial"/>
          <w:rtl/>
        </w:rPr>
      </w:pPr>
      <w:r w:rsidRPr="00271ECA">
        <w:rPr>
          <w:rFonts w:ascii="Arial" w:hAnsi="Arial"/>
          <w:rtl/>
        </w:rPr>
        <w:t xml:space="preserve">לנוכח הנתונים שהוצגו באשר </w:t>
      </w:r>
      <w:r>
        <w:rPr>
          <w:rFonts w:ascii="Arial" w:hAnsi="Arial" w:hint="cs"/>
          <w:rtl/>
        </w:rPr>
        <w:t>להתמכרותו העמוקה</w:t>
      </w:r>
      <w:r>
        <w:rPr>
          <w:rFonts w:ascii="Arial" w:hAnsi="Arial"/>
          <w:rtl/>
        </w:rPr>
        <w:t xml:space="preserve"> </w:t>
      </w:r>
      <w:r>
        <w:rPr>
          <w:rFonts w:ascii="Arial" w:hAnsi="Arial" w:hint="cs"/>
          <w:rtl/>
        </w:rPr>
        <w:t>לשימוש ב</w:t>
      </w:r>
      <w:r w:rsidRPr="00271ECA">
        <w:rPr>
          <w:rFonts w:ascii="Arial" w:hAnsi="Arial"/>
          <w:rtl/>
        </w:rPr>
        <w:t>סמים מסוכנים</w:t>
      </w:r>
      <w:r>
        <w:rPr>
          <w:rFonts w:ascii="Arial" w:hAnsi="Arial" w:hint="cs"/>
          <w:rtl/>
        </w:rPr>
        <w:t xml:space="preserve"> </w:t>
      </w:r>
      <w:r w:rsidRPr="00271ECA">
        <w:rPr>
          <w:rFonts w:ascii="Arial" w:hAnsi="Arial"/>
          <w:rtl/>
        </w:rPr>
        <w:t xml:space="preserve">– ישית בית המשפט על הנאשם גם פסילה מלנהוג, בפועל ועל תנאי, לתקופה ממושכת. </w:t>
      </w:r>
    </w:p>
    <w:p w14:paraId="5DDEB75B" w14:textId="77777777" w:rsidR="000E3494" w:rsidRDefault="000E3494" w:rsidP="000E3494">
      <w:pPr>
        <w:spacing w:line="360" w:lineRule="auto"/>
        <w:jc w:val="both"/>
        <w:rPr>
          <w:rFonts w:ascii="Arial" w:hAnsi="Arial"/>
          <w:rtl/>
        </w:rPr>
      </w:pPr>
    </w:p>
    <w:p w14:paraId="442D192A" w14:textId="77777777" w:rsidR="000E3494" w:rsidRDefault="000E3494" w:rsidP="000E3494">
      <w:pPr>
        <w:spacing w:line="360" w:lineRule="auto"/>
        <w:jc w:val="both"/>
        <w:rPr>
          <w:rFonts w:ascii="Arial" w:hAnsi="Arial"/>
          <w:rtl/>
        </w:rPr>
      </w:pPr>
      <w:r>
        <w:rPr>
          <w:rFonts w:ascii="Arial" w:hAnsi="Arial" w:hint="cs"/>
          <w:rtl/>
        </w:rPr>
        <w:t xml:space="preserve">לענין משך הפסילה, בהתאם להוראות </w:t>
      </w:r>
      <w:hyperlink r:id="rId29" w:history="1">
        <w:r w:rsidR="00B441CC" w:rsidRPr="00B441CC">
          <w:rPr>
            <w:rStyle w:val="Hyperlink"/>
            <w:rFonts w:ascii="Arial" w:hAnsi="Arial" w:hint="eastAsia"/>
            <w:rtl/>
          </w:rPr>
          <w:t>סעיף</w:t>
        </w:r>
        <w:r w:rsidR="00B441CC" w:rsidRPr="00B441CC">
          <w:rPr>
            <w:rStyle w:val="Hyperlink"/>
            <w:rFonts w:ascii="Arial" w:hAnsi="Arial"/>
            <w:rtl/>
          </w:rPr>
          <w:t xml:space="preserve"> 37א(א1)</w:t>
        </w:r>
      </w:hyperlink>
      <w:r>
        <w:rPr>
          <w:rFonts w:ascii="Arial" w:hAnsi="Arial" w:hint="cs"/>
          <w:rtl/>
        </w:rPr>
        <w:t xml:space="preserve"> לפקודה, מי שהורשע, בפעם השניה, בעבירה של החזקת סמים לשימוש עצמי </w:t>
      </w:r>
      <w:r>
        <w:rPr>
          <w:rFonts w:ascii="Arial" w:hAnsi="Arial"/>
          <w:rtl/>
        </w:rPr>
        <w:t>–</w:t>
      </w:r>
      <w:r>
        <w:rPr>
          <w:rFonts w:ascii="Arial" w:hAnsi="Arial" w:hint="cs"/>
          <w:rtl/>
        </w:rPr>
        <w:t xml:space="preserve"> על בית המשפט להשית עליו פסילת רישיון נהיגה לתקופה שלא תפחת משנתיים ימים, אלא בנסיבות חריגות.</w:t>
      </w:r>
    </w:p>
    <w:p w14:paraId="112B4ACF" w14:textId="77777777" w:rsidR="000E3494" w:rsidRDefault="000E3494" w:rsidP="000E3494">
      <w:pPr>
        <w:spacing w:line="360" w:lineRule="auto"/>
        <w:jc w:val="both"/>
        <w:rPr>
          <w:rFonts w:ascii="Arial" w:hAnsi="Arial"/>
          <w:rtl/>
        </w:rPr>
      </w:pPr>
    </w:p>
    <w:p w14:paraId="44E1A5EA" w14:textId="77777777" w:rsidR="000E3494" w:rsidRDefault="000E3494" w:rsidP="000E3494">
      <w:pPr>
        <w:spacing w:line="360" w:lineRule="auto"/>
        <w:jc w:val="both"/>
        <w:rPr>
          <w:rFonts w:ascii="Arial" w:hAnsi="Arial"/>
          <w:rtl/>
        </w:rPr>
      </w:pPr>
      <w:r>
        <w:rPr>
          <w:rFonts w:ascii="Arial" w:hAnsi="Arial" w:hint="cs"/>
          <w:rtl/>
        </w:rPr>
        <w:t>במקרה דנן, כמות הסמים וסוגם, ביחד עם הנתונים על עומק ההתמכרות של הנאשם, מחייבים השתת הפסילה לתקופה ארוכה אף יותר, שיהיה בה כדי להרחיק הנאשם מהכביש לשנים הקרובות ולמנוע סיכון עוברי הדרך. מי מאיתנו לא היה חץץ לעשות שימוש בדרך,  כשאדם בנתוניו של הנאשם יגיח ברכב ממולו.</w:t>
      </w:r>
    </w:p>
    <w:p w14:paraId="1FA6DD1F" w14:textId="77777777" w:rsidR="000E3494" w:rsidRDefault="000E3494" w:rsidP="000E3494">
      <w:pPr>
        <w:spacing w:line="360" w:lineRule="auto"/>
        <w:jc w:val="both"/>
        <w:rPr>
          <w:rFonts w:ascii="Arial" w:hAnsi="Arial"/>
          <w:rtl/>
        </w:rPr>
      </w:pPr>
    </w:p>
    <w:p w14:paraId="5F7DC34E" w14:textId="77777777" w:rsidR="000E3494" w:rsidRPr="00271ECA" w:rsidRDefault="000E3494" w:rsidP="000E3494">
      <w:pPr>
        <w:spacing w:line="360" w:lineRule="auto"/>
        <w:jc w:val="both"/>
        <w:rPr>
          <w:rFonts w:ascii="Arial" w:hAnsi="Arial"/>
          <w:rtl/>
        </w:rPr>
      </w:pPr>
      <w:r>
        <w:rPr>
          <w:rFonts w:ascii="Arial" w:hAnsi="Arial" w:hint="cs"/>
          <w:b/>
          <w:bCs/>
          <w:rtl/>
        </w:rPr>
        <w:t>סיכום</w:t>
      </w:r>
    </w:p>
    <w:p w14:paraId="76BA6764" w14:textId="77777777" w:rsidR="000E3494" w:rsidRPr="00271ECA" w:rsidRDefault="000E3494" w:rsidP="000E3494">
      <w:pPr>
        <w:spacing w:line="360" w:lineRule="auto"/>
        <w:jc w:val="both"/>
        <w:rPr>
          <w:rFonts w:ascii="Arial" w:hAnsi="Arial"/>
          <w:rtl/>
        </w:rPr>
      </w:pPr>
    </w:p>
    <w:p w14:paraId="681D6249" w14:textId="77777777" w:rsidR="000E3494" w:rsidRPr="00271ECA" w:rsidRDefault="000E3494" w:rsidP="000E3494">
      <w:pPr>
        <w:spacing w:line="360" w:lineRule="auto"/>
        <w:jc w:val="both"/>
        <w:rPr>
          <w:rFonts w:ascii="Arial" w:hAnsi="Arial"/>
          <w:rtl/>
        </w:rPr>
      </w:pPr>
      <w:r>
        <w:rPr>
          <w:rFonts w:ascii="Arial" w:hAnsi="Arial" w:hint="cs"/>
          <w:rtl/>
        </w:rPr>
        <w:t>לאחר שעיין בטענות התביעה בכתב; שמע טענות הצדדים על פה; עיין בראיות לעונש; עיין בפסיקה שהוגשה; עיין בתסקיר שירות המבחן למבוגרים; ולאחר ששמע דברו האחרון של הנאשם;</w:t>
      </w:r>
      <w:r w:rsidRPr="00271ECA">
        <w:rPr>
          <w:rFonts w:ascii="Arial" w:hAnsi="Arial"/>
          <w:rtl/>
        </w:rPr>
        <w:t xml:space="preserve"> </w:t>
      </w:r>
      <w:r>
        <w:rPr>
          <w:rFonts w:ascii="Arial" w:hAnsi="Arial" w:hint="cs"/>
          <w:rtl/>
        </w:rPr>
        <w:t>גוזר על</w:t>
      </w:r>
      <w:r>
        <w:rPr>
          <w:rFonts w:ascii="Arial" w:hAnsi="Arial"/>
          <w:rtl/>
        </w:rPr>
        <w:t xml:space="preserve"> הנאשם </w:t>
      </w:r>
      <w:r>
        <w:rPr>
          <w:rFonts w:ascii="Arial" w:hAnsi="Arial" w:hint="cs"/>
          <w:rtl/>
        </w:rPr>
        <w:t xml:space="preserve"> את </w:t>
      </w:r>
      <w:r w:rsidRPr="00271ECA">
        <w:rPr>
          <w:rFonts w:ascii="Arial" w:hAnsi="Arial"/>
          <w:rtl/>
        </w:rPr>
        <w:t xml:space="preserve">עונשים כדלקמן: </w:t>
      </w:r>
    </w:p>
    <w:p w14:paraId="4A506735" w14:textId="77777777" w:rsidR="000E3494" w:rsidRPr="00271ECA" w:rsidRDefault="000E3494" w:rsidP="000E3494">
      <w:pPr>
        <w:spacing w:line="360" w:lineRule="auto"/>
        <w:jc w:val="both"/>
        <w:rPr>
          <w:rFonts w:ascii="Arial" w:hAnsi="Arial"/>
          <w:rtl/>
        </w:rPr>
      </w:pPr>
    </w:p>
    <w:p w14:paraId="09942A2F" w14:textId="77777777" w:rsidR="000E3494" w:rsidRDefault="000E3494" w:rsidP="000E3494">
      <w:pPr>
        <w:numPr>
          <w:ilvl w:val="0"/>
          <w:numId w:val="2"/>
        </w:numPr>
        <w:spacing w:line="360" w:lineRule="auto"/>
        <w:contextualSpacing/>
        <w:jc w:val="both"/>
        <w:rPr>
          <w:rFonts w:ascii="Arial" w:hAnsi="Arial"/>
        </w:rPr>
      </w:pPr>
      <w:r>
        <w:rPr>
          <w:rFonts w:ascii="Arial" w:hAnsi="Arial" w:hint="cs"/>
          <w:rtl/>
        </w:rPr>
        <w:t>22</w:t>
      </w:r>
      <w:r w:rsidRPr="00271ECA">
        <w:rPr>
          <w:rFonts w:ascii="Arial" w:hAnsi="Arial"/>
          <w:rtl/>
        </w:rPr>
        <w:t xml:space="preserve"> חודשי מאסר בפועל;</w:t>
      </w:r>
    </w:p>
    <w:p w14:paraId="1422FCF5" w14:textId="77777777" w:rsidR="000E3494" w:rsidRDefault="000E3494" w:rsidP="000E3494">
      <w:pPr>
        <w:numPr>
          <w:ilvl w:val="0"/>
          <w:numId w:val="2"/>
        </w:numPr>
        <w:spacing w:line="360" w:lineRule="auto"/>
        <w:contextualSpacing/>
        <w:jc w:val="both"/>
        <w:rPr>
          <w:rFonts w:ascii="Arial" w:hAnsi="Arial"/>
        </w:rPr>
      </w:pPr>
      <w:r>
        <w:rPr>
          <w:rFonts w:ascii="Arial" w:hAnsi="Arial" w:hint="cs"/>
          <w:rtl/>
        </w:rPr>
        <w:t xml:space="preserve">הפעל מאסר מותנה מגזר הדין 207/18 (בית דין צבאי מחוזי מרכז) בן 3 חודשים, כך שחודשיים ממנו בחופף וחודש אחד </w:t>
      </w:r>
      <w:r>
        <w:rPr>
          <w:rFonts w:ascii="Arial" w:hAnsi="Arial"/>
          <w:rtl/>
        </w:rPr>
        <w:t>–</w:t>
      </w:r>
      <w:r>
        <w:rPr>
          <w:rFonts w:ascii="Arial" w:hAnsi="Arial" w:hint="cs"/>
          <w:rtl/>
        </w:rPr>
        <w:t xml:space="preserve"> במצטבר לתקופה שהושתה בהתאם לסעיף א' לעיל; </w:t>
      </w:r>
    </w:p>
    <w:p w14:paraId="1D4EF91B" w14:textId="77777777" w:rsidR="000E3494" w:rsidRPr="00271ECA" w:rsidRDefault="000E3494" w:rsidP="000E3494">
      <w:pPr>
        <w:numPr>
          <w:ilvl w:val="0"/>
          <w:numId w:val="2"/>
        </w:numPr>
        <w:spacing w:line="360" w:lineRule="auto"/>
        <w:contextualSpacing/>
        <w:jc w:val="both"/>
        <w:rPr>
          <w:rFonts w:ascii="Arial" w:hAnsi="Arial"/>
        </w:rPr>
      </w:pPr>
      <w:r>
        <w:rPr>
          <w:rFonts w:ascii="Arial" w:hAnsi="Arial" w:hint="cs"/>
          <w:rtl/>
        </w:rPr>
        <w:t>סך הכל, ירצה הנאשם 23 חודשי מאסר בפועל, בניכוי ימי מעצרו בשני התיקים שבכותרת בלבד;</w:t>
      </w:r>
    </w:p>
    <w:p w14:paraId="79B739D3" w14:textId="77777777" w:rsidR="000E3494" w:rsidRPr="00271ECA" w:rsidRDefault="000E3494" w:rsidP="000E3494">
      <w:pPr>
        <w:numPr>
          <w:ilvl w:val="0"/>
          <w:numId w:val="2"/>
        </w:numPr>
        <w:spacing w:line="360" w:lineRule="auto"/>
        <w:contextualSpacing/>
        <w:jc w:val="both"/>
        <w:rPr>
          <w:rFonts w:ascii="Arial" w:hAnsi="Arial"/>
        </w:rPr>
      </w:pPr>
      <w:r w:rsidRPr="00271ECA">
        <w:rPr>
          <w:rFonts w:ascii="Calibri" w:hAnsi="Calibri"/>
          <w:rtl/>
        </w:rPr>
        <w:t>12 חודשים מאסר על תנאי למשך שלוש שנים מ</w:t>
      </w:r>
      <w:r>
        <w:rPr>
          <w:rFonts w:ascii="Calibri" w:hAnsi="Calibri" w:hint="cs"/>
          <w:rtl/>
        </w:rPr>
        <w:t>יום שחרורו ממאסר</w:t>
      </w:r>
      <w:r w:rsidRPr="00271ECA">
        <w:rPr>
          <w:rFonts w:ascii="Calibri" w:hAnsi="Calibri"/>
          <w:rtl/>
        </w:rPr>
        <w:t>, והתנאי – שהנאשם לא יעבור עבירה מסוג פשע בניגוד ל</w:t>
      </w:r>
      <w:hyperlink r:id="rId30" w:history="1">
        <w:r w:rsidR="00AE1818" w:rsidRPr="00AE1818">
          <w:rPr>
            <w:rFonts w:ascii="Calibri" w:hAnsi="Calibri" w:hint="eastAsia"/>
            <w:color w:val="0000FF"/>
            <w:u w:val="single"/>
            <w:rtl/>
          </w:rPr>
          <w:t>פקודת</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הסמים</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המסוכנים</w:t>
        </w:r>
      </w:hyperlink>
      <w:r w:rsidRPr="00271ECA">
        <w:rPr>
          <w:rFonts w:ascii="Calibri" w:hAnsi="Calibri"/>
          <w:rtl/>
        </w:rPr>
        <w:t xml:space="preserve"> [נוסח חדש], תשל"ג – 1973, או עבירה מסוג פשע בניגוד ל</w:t>
      </w:r>
      <w:hyperlink r:id="rId31" w:history="1">
        <w:r w:rsidR="00AE1818" w:rsidRPr="00AE1818">
          <w:rPr>
            <w:rFonts w:ascii="Calibri" w:hAnsi="Calibri" w:hint="eastAsia"/>
            <w:color w:val="0000FF"/>
            <w:u w:val="single"/>
            <w:rtl/>
          </w:rPr>
          <w:t>חוק</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המאבק</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בתופעת</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השימוש</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בחומרים</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מסכנים</w:t>
        </w:r>
      </w:hyperlink>
      <w:r w:rsidRPr="00271ECA">
        <w:rPr>
          <w:rFonts w:ascii="Calibri" w:hAnsi="Calibri"/>
          <w:rtl/>
        </w:rPr>
        <w:t>, תשע"ג – 2013;</w:t>
      </w:r>
    </w:p>
    <w:p w14:paraId="05325CA0" w14:textId="77777777" w:rsidR="000E3494" w:rsidRPr="00271ECA" w:rsidRDefault="000E3494" w:rsidP="000E3494">
      <w:pPr>
        <w:numPr>
          <w:ilvl w:val="0"/>
          <w:numId w:val="2"/>
        </w:numPr>
        <w:spacing w:line="360" w:lineRule="auto"/>
        <w:contextualSpacing/>
        <w:jc w:val="both"/>
        <w:rPr>
          <w:rFonts w:ascii="Arial" w:hAnsi="Arial"/>
        </w:rPr>
      </w:pPr>
      <w:r w:rsidRPr="00271ECA">
        <w:rPr>
          <w:rFonts w:ascii="Calibri" w:hAnsi="Calibri"/>
          <w:rtl/>
        </w:rPr>
        <w:t xml:space="preserve"> </w:t>
      </w:r>
      <w:r w:rsidRPr="00271ECA">
        <w:rPr>
          <w:rFonts w:ascii="Calibri" w:hAnsi="Calibri" w:hint="cs"/>
          <w:rtl/>
        </w:rPr>
        <w:t>4 חודשים מאסר על תנאי למשך שלוש שנים מ</w:t>
      </w:r>
      <w:r>
        <w:rPr>
          <w:rFonts w:ascii="Calibri" w:hAnsi="Calibri" w:hint="cs"/>
          <w:rtl/>
        </w:rPr>
        <w:t>יום שחרורו ממאסר</w:t>
      </w:r>
      <w:r w:rsidRPr="00271ECA">
        <w:rPr>
          <w:rFonts w:ascii="Calibri" w:hAnsi="Calibri" w:hint="cs"/>
          <w:rtl/>
        </w:rPr>
        <w:t>, והתנאי – שהנאשם לא יעבור עבירה מסוג עוון בניגוד ל</w:t>
      </w:r>
      <w:hyperlink r:id="rId32" w:history="1">
        <w:r w:rsidR="00AE1818" w:rsidRPr="00AE1818">
          <w:rPr>
            <w:rFonts w:ascii="Calibri" w:hAnsi="Calibri" w:hint="eastAsia"/>
            <w:color w:val="0000FF"/>
            <w:u w:val="single"/>
            <w:rtl/>
          </w:rPr>
          <w:t>פקודת</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הסמים</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המסוכנים</w:t>
        </w:r>
      </w:hyperlink>
      <w:r w:rsidRPr="00271ECA">
        <w:rPr>
          <w:rFonts w:ascii="Calibri" w:hAnsi="Calibri" w:hint="cs"/>
          <w:rtl/>
        </w:rPr>
        <w:t xml:space="preserve"> [נוסח חדש], תשל"ג – 1973, או עבירה מסוג עוון בניגוד ל</w:t>
      </w:r>
      <w:hyperlink r:id="rId33" w:history="1">
        <w:r w:rsidR="00AE1818" w:rsidRPr="00AE1818">
          <w:rPr>
            <w:rFonts w:ascii="Calibri" w:hAnsi="Calibri" w:hint="eastAsia"/>
            <w:color w:val="0000FF"/>
            <w:u w:val="single"/>
            <w:rtl/>
          </w:rPr>
          <w:t>חוק</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המאבק</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בתופעת</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השימוש</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בחומרים</w:t>
        </w:r>
        <w:r w:rsidR="00AE1818" w:rsidRPr="00AE1818">
          <w:rPr>
            <w:rFonts w:ascii="Calibri" w:hAnsi="Calibri"/>
            <w:color w:val="0000FF"/>
            <w:u w:val="single"/>
            <w:rtl/>
          </w:rPr>
          <w:t xml:space="preserve"> </w:t>
        </w:r>
        <w:r w:rsidR="00AE1818" w:rsidRPr="00AE1818">
          <w:rPr>
            <w:rFonts w:ascii="Calibri" w:hAnsi="Calibri" w:hint="eastAsia"/>
            <w:color w:val="0000FF"/>
            <w:u w:val="single"/>
            <w:rtl/>
          </w:rPr>
          <w:t>מסכנים</w:t>
        </w:r>
      </w:hyperlink>
      <w:r w:rsidRPr="00271ECA">
        <w:rPr>
          <w:rFonts w:ascii="Calibri" w:hAnsi="Calibri" w:hint="cs"/>
          <w:rtl/>
        </w:rPr>
        <w:t>, תשע"ג – 2013;</w:t>
      </w:r>
    </w:p>
    <w:p w14:paraId="78181B19" w14:textId="77777777" w:rsidR="000E3494" w:rsidRPr="00271ECA" w:rsidRDefault="000E3494" w:rsidP="000E3494">
      <w:pPr>
        <w:numPr>
          <w:ilvl w:val="0"/>
          <w:numId w:val="2"/>
        </w:numPr>
        <w:spacing w:line="360" w:lineRule="auto"/>
        <w:contextualSpacing/>
        <w:jc w:val="both"/>
        <w:rPr>
          <w:rFonts w:ascii="Arial" w:hAnsi="Arial"/>
        </w:rPr>
      </w:pPr>
      <w:r w:rsidRPr="00271ECA">
        <w:rPr>
          <w:rFonts w:ascii="Arial" w:hAnsi="Arial"/>
          <w:rtl/>
        </w:rPr>
        <w:t xml:space="preserve">קנס בסך </w:t>
      </w:r>
      <w:r>
        <w:rPr>
          <w:rFonts w:ascii="Arial" w:hAnsi="Arial" w:hint="cs"/>
          <w:rtl/>
        </w:rPr>
        <w:t>8,000</w:t>
      </w:r>
      <w:r w:rsidRPr="00271ECA">
        <w:rPr>
          <w:rFonts w:ascii="Arial" w:hAnsi="Arial"/>
          <w:rtl/>
        </w:rPr>
        <w:t xml:space="preserve"> ₪ או 90 ימי מאסר תמורתו. הקנס ישולם ב-</w:t>
      </w:r>
      <w:r>
        <w:rPr>
          <w:rFonts w:ascii="Arial" w:hAnsi="Arial" w:hint="cs"/>
          <w:rtl/>
        </w:rPr>
        <w:t xml:space="preserve">8 </w:t>
      </w:r>
      <w:r w:rsidRPr="00271ECA">
        <w:rPr>
          <w:rFonts w:ascii="Arial" w:hAnsi="Arial"/>
          <w:rtl/>
        </w:rPr>
        <w:t>תשלומים שווים, החל מיום 15.0</w:t>
      </w:r>
      <w:r>
        <w:rPr>
          <w:rFonts w:ascii="Arial" w:hAnsi="Arial" w:hint="cs"/>
          <w:rtl/>
        </w:rPr>
        <w:t>8</w:t>
      </w:r>
      <w:r w:rsidRPr="00271ECA">
        <w:rPr>
          <w:rFonts w:ascii="Arial" w:hAnsi="Arial"/>
          <w:rtl/>
        </w:rPr>
        <w:t>.21 וב-15 לחודש שלאחר מכן. לא יועבר אחד התשלומים במועד – תעמוד היתרה לפירעון מידי;</w:t>
      </w:r>
    </w:p>
    <w:p w14:paraId="4FD47808" w14:textId="77777777" w:rsidR="000E3494" w:rsidRPr="00271ECA" w:rsidRDefault="000E3494" w:rsidP="000E3494">
      <w:pPr>
        <w:numPr>
          <w:ilvl w:val="0"/>
          <w:numId w:val="2"/>
        </w:numPr>
        <w:spacing w:line="360" w:lineRule="auto"/>
        <w:contextualSpacing/>
        <w:jc w:val="both"/>
        <w:rPr>
          <w:rFonts w:ascii="Arial" w:hAnsi="Arial"/>
        </w:rPr>
      </w:pPr>
      <w:r w:rsidRPr="00271ECA">
        <w:rPr>
          <w:rtl/>
        </w:rPr>
        <w:t xml:space="preserve">פסילה בפועל מקבל או מהחזיק רשיון נהיגה לרכב מנועי למשך </w:t>
      </w:r>
      <w:r>
        <w:rPr>
          <w:rFonts w:hint="cs"/>
          <w:rtl/>
        </w:rPr>
        <w:t>36</w:t>
      </w:r>
      <w:r w:rsidRPr="00271ECA">
        <w:rPr>
          <w:rtl/>
        </w:rPr>
        <w:t xml:space="preserve"> חדשים. על הנאשם להפקיד רשיונו, או תצהיר מתאים, במזכירות בית המשפט </w:t>
      </w:r>
      <w:r>
        <w:rPr>
          <w:rFonts w:hint="cs"/>
          <w:rtl/>
        </w:rPr>
        <w:t>ביום העסקים העוקב ליום שחרורו ממאסר</w:t>
      </w:r>
      <w:r w:rsidRPr="00271ECA">
        <w:rPr>
          <w:rtl/>
        </w:rPr>
        <w:t xml:space="preserve">. מובהר לנאשם, כי כל עוד לא הופקד הרשיון – יהיה פסול מלנהוג, אך הפסילה לא תימנה; </w:t>
      </w:r>
    </w:p>
    <w:p w14:paraId="250D9EC1" w14:textId="77777777" w:rsidR="000E3494" w:rsidRPr="00271ECA" w:rsidRDefault="000E3494" w:rsidP="000E3494">
      <w:pPr>
        <w:numPr>
          <w:ilvl w:val="0"/>
          <w:numId w:val="2"/>
        </w:numPr>
        <w:spacing w:line="360" w:lineRule="auto"/>
        <w:contextualSpacing/>
        <w:jc w:val="both"/>
        <w:rPr>
          <w:rFonts w:ascii="Arial" w:hAnsi="Arial"/>
        </w:rPr>
      </w:pPr>
      <w:r w:rsidRPr="00271ECA">
        <w:rPr>
          <w:rtl/>
        </w:rPr>
        <w:t xml:space="preserve">פסילה מקבל ומהחזיק רשיון נהיגה לרכב מנועי בת  </w:t>
      </w:r>
      <w:r>
        <w:rPr>
          <w:rFonts w:hint="cs"/>
          <w:rtl/>
        </w:rPr>
        <w:t xml:space="preserve">12 </w:t>
      </w:r>
      <w:r w:rsidRPr="00271ECA">
        <w:rPr>
          <w:rtl/>
        </w:rPr>
        <w:t xml:space="preserve">חודשים על תנאי, תקופת התנאי למשך 3 שנים מסיום הפסילה בפועל; </w:t>
      </w:r>
    </w:p>
    <w:p w14:paraId="16900F68" w14:textId="77777777" w:rsidR="000E3494" w:rsidRPr="00271ECA" w:rsidRDefault="000E3494" w:rsidP="000E3494">
      <w:pPr>
        <w:numPr>
          <w:ilvl w:val="0"/>
          <w:numId w:val="2"/>
        </w:numPr>
        <w:spacing w:line="360" w:lineRule="auto"/>
        <w:contextualSpacing/>
        <w:jc w:val="both"/>
      </w:pPr>
      <w:r>
        <w:rPr>
          <w:rFonts w:ascii="Calibri" w:hAnsi="Calibri" w:hint="cs"/>
          <w:rtl/>
        </w:rPr>
        <w:t xml:space="preserve">חילוט סכומי כסף שנתפסו בעת מעצרו של הנאשם בסך של 700 </w:t>
      </w:r>
      <w:r>
        <w:rPr>
          <w:rFonts w:ascii="Calibri" w:hAnsi="Calibri" w:hint="eastAsia"/>
          <w:rtl/>
        </w:rPr>
        <w:t>₪</w:t>
      </w:r>
      <w:r>
        <w:rPr>
          <w:rFonts w:ascii="Calibri" w:hAnsi="Calibri" w:hint="cs"/>
          <w:rtl/>
        </w:rPr>
        <w:t xml:space="preserve"> וכן סך של 10,050 </w:t>
      </w:r>
      <w:r>
        <w:rPr>
          <w:rFonts w:ascii="Calibri" w:hAnsi="Calibri" w:hint="eastAsia"/>
          <w:rtl/>
        </w:rPr>
        <w:t>₪</w:t>
      </w:r>
      <w:r>
        <w:rPr>
          <w:rFonts w:ascii="Calibri" w:hAnsi="Calibri" w:hint="cs"/>
          <w:rtl/>
        </w:rPr>
        <w:t>. לצורך כך, יכריז בית המשפט על הנאשם כ"סוחר סמים" ויורה על העברת הכספים לקרן החילוט שהוקמה בהתאם לפקודה;</w:t>
      </w:r>
    </w:p>
    <w:p w14:paraId="2FABD296" w14:textId="77777777" w:rsidR="000E3494" w:rsidRPr="00271ECA" w:rsidRDefault="000E3494" w:rsidP="000E3494">
      <w:pPr>
        <w:numPr>
          <w:ilvl w:val="0"/>
          <w:numId w:val="2"/>
        </w:numPr>
        <w:spacing w:line="480" w:lineRule="auto"/>
        <w:contextualSpacing/>
        <w:jc w:val="both"/>
      </w:pPr>
      <w:r w:rsidRPr="00271ECA">
        <w:rPr>
          <w:rtl/>
        </w:rPr>
        <w:t>המוצגים – סמים</w:t>
      </w:r>
      <w:r>
        <w:rPr>
          <w:rFonts w:hint="cs"/>
          <w:rtl/>
        </w:rPr>
        <w:t xml:space="preserve"> וכלים,</w:t>
      </w:r>
      <w:r w:rsidRPr="00271ECA">
        <w:rPr>
          <w:rtl/>
        </w:rPr>
        <w:t xml:space="preserve"> יושמדו בכפוף לחלוף תקופת הערעור, ואם יוגש ערעור בכפוף להחלטה בו.</w:t>
      </w:r>
    </w:p>
    <w:p w14:paraId="6DBA9B1B" w14:textId="77777777" w:rsidR="000E3494" w:rsidRPr="00271ECA" w:rsidRDefault="000E3494" w:rsidP="000E3494">
      <w:pPr>
        <w:spacing w:line="360" w:lineRule="auto"/>
        <w:jc w:val="both"/>
        <w:rPr>
          <w:rFonts w:ascii="David" w:eastAsia="David" w:hAnsi="David"/>
          <w:rtl/>
        </w:rPr>
      </w:pPr>
    </w:p>
    <w:p w14:paraId="2ADD5A1D" w14:textId="77777777" w:rsidR="000E3494" w:rsidRPr="00FD0AD8" w:rsidRDefault="00AE1818" w:rsidP="000E3494">
      <w:pPr>
        <w:spacing w:after="160" w:line="276" w:lineRule="auto"/>
        <w:rPr>
          <w:rFonts w:ascii="Calibri" w:hAnsi="Calibri"/>
          <w:rtl/>
        </w:rPr>
      </w:pPr>
      <w:r w:rsidRPr="00AE1818">
        <w:rPr>
          <w:rFonts w:ascii="Calibri" w:hAnsi="Calibri"/>
          <w:color w:val="FFFFFF"/>
          <w:sz w:val="2"/>
          <w:szCs w:val="2"/>
          <w:rtl/>
        </w:rPr>
        <w:t>5129371</w:t>
      </w:r>
      <w:r w:rsidR="000E3494" w:rsidRPr="00FD0AD8">
        <w:rPr>
          <w:rFonts w:ascii="Calibri" w:hAnsi="Calibri" w:hint="eastAsia"/>
          <w:rtl/>
        </w:rPr>
        <w:t>עותק</w:t>
      </w:r>
      <w:r w:rsidR="000E3494" w:rsidRPr="00FD0AD8">
        <w:rPr>
          <w:rFonts w:ascii="Calibri" w:hAnsi="Calibri"/>
          <w:rtl/>
        </w:rPr>
        <w:t xml:space="preserve"> </w:t>
      </w:r>
      <w:r w:rsidR="000E3494" w:rsidRPr="00FD0AD8">
        <w:rPr>
          <w:rFonts w:ascii="Calibri" w:hAnsi="Calibri" w:hint="eastAsia"/>
          <w:rtl/>
        </w:rPr>
        <w:t>גזר</w:t>
      </w:r>
      <w:r w:rsidR="000E3494" w:rsidRPr="00FD0AD8">
        <w:rPr>
          <w:rFonts w:ascii="Calibri" w:hAnsi="Calibri"/>
          <w:rtl/>
        </w:rPr>
        <w:t xml:space="preserve"> </w:t>
      </w:r>
      <w:r w:rsidR="000E3494" w:rsidRPr="00FD0AD8">
        <w:rPr>
          <w:rFonts w:ascii="Calibri" w:hAnsi="Calibri" w:hint="eastAsia"/>
          <w:rtl/>
        </w:rPr>
        <w:t>הדין</w:t>
      </w:r>
      <w:r w:rsidR="000E3494" w:rsidRPr="00FD0AD8">
        <w:rPr>
          <w:rFonts w:ascii="Calibri" w:hAnsi="Calibri"/>
          <w:rtl/>
        </w:rPr>
        <w:t xml:space="preserve"> </w:t>
      </w:r>
      <w:r w:rsidR="000E3494" w:rsidRPr="00FD0AD8">
        <w:rPr>
          <w:rFonts w:ascii="Calibri" w:hAnsi="Calibri" w:hint="eastAsia"/>
          <w:rtl/>
        </w:rPr>
        <w:t>יועבר</w:t>
      </w:r>
      <w:r w:rsidR="000E3494" w:rsidRPr="00FD0AD8">
        <w:rPr>
          <w:rFonts w:ascii="Calibri" w:hAnsi="Calibri"/>
          <w:rtl/>
        </w:rPr>
        <w:t xml:space="preserve"> </w:t>
      </w:r>
      <w:r w:rsidR="000E3494" w:rsidRPr="00FD0AD8">
        <w:rPr>
          <w:rFonts w:ascii="Calibri" w:hAnsi="Calibri" w:hint="eastAsia"/>
          <w:rtl/>
        </w:rPr>
        <w:t>לשירות</w:t>
      </w:r>
      <w:r w:rsidR="000E3494" w:rsidRPr="00FD0AD8">
        <w:rPr>
          <w:rFonts w:ascii="Calibri" w:hAnsi="Calibri"/>
          <w:rtl/>
        </w:rPr>
        <w:t xml:space="preserve"> </w:t>
      </w:r>
      <w:r w:rsidR="000E3494" w:rsidRPr="00FD0AD8">
        <w:rPr>
          <w:rFonts w:ascii="Calibri" w:hAnsi="Calibri" w:hint="eastAsia"/>
          <w:rtl/>
        </w:rPr>
        <w:t>המבחן</w:t>
      </w:r>
      <w:r w:rsidR="000E3494" w:rsidRPr="00FD0AD8">
        <w:rPr>
          <w:rFonts w:ascii="Calibri" w:hAnsi="Calibri"/>
          <w:rtl/>
        </w:rPr>
        <w:t xml:space="preserve"> </w:t>
      </w:r>
      <w:r w:rsidR="000E3494" w:rsidRPr="00FD0AD8">
        <w:rPr>
          <w:rFonts w:ascii="Calibri" w:hAnsi="Calibri" w:hint="eastAsia"/>
          <w:rtl/>
        </w:rPr>
        <w:t>למבוגרים</w:t>
      </w:r>
      <w:r w:rsidR="000E3494">
        <w:rPr>
          <w:rFonts w:ascii="Calibri" w:hAnsi="Calibri" w:hint="cs"/>
          <w:rtl/>
        </w:rPr>
        <w:t>.</w:t>
      </w:r>
      <w:r w:rsidR="000E3494" w:rsidRPr="00FD0AD8">
        <w:rPr>
          <w:rFonts w:ascii="Calibri" w:hAnsi="Calibri"/>
          <w:rtl/>
        </w:rPr>
        <w:t xml:space="preserve"> </w:t>
      </w:r>
    </w:p>
    <w:p w14:paraId="08D6D564" w14:textId="77777777" w:rsidR="000E3494" w:rsidRPr="00FD0AD8" w:rsidRDefault="00AE1818" w:rsidP="000E3494">
      <w:pPr>
        <w:spacing w:after="160" w:line="276" w:lineRule="auto"/>
        <w:rPr>
          <w:rFonts w:ascii="Calibri" w:hAnsi="Calibri"/>
          <w:rtl/>
        </w:rPr>
      </w:pPr>
      <w:r w:rsidRPr="00AE1818">
        <w:rPr>
          <w:rFonts w:ascii="Calibri" w:hAnsi="Calibri"/>
          <w:color w:val="FFFFFF"/>
          <w:sz w:val="2"/>
          <w:szCs w:val="2"/>
          <w:rtl/>
        </w:rPr>
        <w:t>54678313</w:t>
      </w:r>
      <w:r w:rsidR="000E3494" w:rsidRPr="00FD0AD8">
        <w:rPr>
          <w:rFonts w:ascii="Calibri" w:hAnsi="Calibri" w:hint="eastAsia"/>
          <w:rtl/>
        </w:rPr>
        <w:t>הודעה</w:t>
      </w:r>
      <w:r w:rsidR="000E3494" w:rsidRPr="00FD0AD8">
        <w:rPr>
          <w:rFonts w:ascii="Calibri" w:hAnsi="Calibri"/>
          <w:rtl/>
        </w:rPr>
        <w:t xml:space="preserve"> </w:t>
      </w:r>
      <w:r w:rsidR="000E3494" w:rsidRPr="00FD0AD8">
        <w:rPr>
          <w:rFonts w:ascii="Calibri" w:hAnsi="Calibri" w:hint="eastAsia"/>
          <w:rtl/>
        </w:rPr>
        <w:t>זכות</w:t>
      </w:r>
      <w:r w:rsidR="000E3494" w:rsidRPr="00FD0AD8">
        <w:rPr>
          <w:rFonts w:ascii="Calibri" w:hAnsi="Calibri"/>
          <w:rtl/>
        </w:rPr>
        <w:t xml:space="preserve"> </w:t>
      </w:r>
      <w:r w:rsidR="000E3494" w:rsidRPr="00FD0AD8">
        <w:rPr>
          <w:rFonts w:ascii="Calibri" w:hAnsi="Calibri" w:hint="eastAsia"/>
          <w:rtl/>
        </w:rPr>
        <w:t>הערעור</w:t>
      </w:r>
      <w:r w:rsidR="000E3494" w:rsidRPr="00FD0AD8">
        <w:rPr>
          <w:rFonts w:ascii="Calibri" w:hAnsi="Calibri"/>
          <w:rtl/>
        </w:rPr>
        <w:t>.</w:t>
      </w:r>
    </w:p>
    <w:p w14:paraId="34C5226A" w14:textId="77777777" w:rsidR="000E3494" w:rsidRDefault="000E3494" w:rsidP="000E3494">
      <w:pPr>
        <w:spacing w:line="360" w:lineRule="auto"/>
        <w:jc w:val="both"/>
        <w:rPr>
          <w:rFonts w:ascii="Arial" w:hAnsi="Arial"/>
          <w:rtl/>
        </w:rPr>
      </w:pPr>
    </w:p>
    <w:p w14:paraId="09C6021F" w14:textId="77777777" w:rsidR="000E3494" w:rsidRDefault="00AE1818" w:rsidP="000E3494">
      <w:pPr>
        <w:spacing w:line="360" w:lineRule="auto"/>
        <w:jc w:val="both"/>
        <w:rPr>
          <w:rFonts w:ascii="Arial" w:hAnsi="Arial"/>
          <w:rtl/>
        </w:rPr>
      </w:pPr>
      <w:bookmarkStart w:id="10" w:name="Nitan"/>
      <w:r>
        <w:rPr>
          <w:rFonts w:ascii="Arial" w:hAnsi="Arial"/>
          <w:rtl/>
        </w:rPr>
        <w:t xml:space="preserve">ניתנה היום, כ"ז תמוז תשפ"א, 07 יולי 2021, במעמד הצדדים. </w:t>
      </w:r>
      <w:bookmarkEnd w:id="10"/>
    </w:p>
    <w:p w14:paraId="0C4C08ED" w14:textId="77777777" w:rsidR="000E3494" w:rsidRDefault="000E3494" w:rsidP="000E3494">
      <w:pPr>
        <w:spacing w:line="360" w:lineRule="auto"/>
        <w:ind w:left="3600" w:firstLine="720"/>
        <w:jc w:val="center"/>
      </w:pPr>
    </w:p>
    <w:p w14:paraId="5BFF1F46" w14:textId="77777777" w:rsidR="000E3494" w:rsidRPr="00B441CC" w:rsidRDefault="00B441CC" w:rsidP="000E3494">
      <w:pPr>
        <w:spacing w:line="360" w:lineRule="auto"/>
        <w:ind w:left="3600" w:firstLine="720"/>
        <w:jc w:val="center"/>
        <w:rPr>
          <w:rFonts w:ascii="Arial" w:hAnsi="Arial"/>
          <w:color w:val="FFFFFF"/>
          <w:sz w:val="2"/>
          <w:szCs w:val="2"/>
          <w:rtl/>
        </w:rPr>
      </w:pPr>
      <w:r w:rsidRPr="00B441CC">
        <w:rPr>
          <w:rFonts w:ascii="Arial" w:hAnsi="Arial"/>
          <w:color w:val="FFFFFF"/>
          <w:sz w:val="2"/>
          <w:szCs w:val="2"/>
          <w:rtl/>
        </w:rPr>
        <w:t>5129371</w:t>
      </w:r>
    </w:p>
    <w:p w14:paraId="655F9C97" w14:textId="77777777" w:rsidR="00207917" w:rsidRPr="00B441CC" w:rsidRDefault="00B441CC" w:rsidP="00AE1818">
      <w:pPr>
        <w:keepNext/>
        <w:rPr>
          <w:rFonts w:ascii="David" w:hAnsi="David" w:hint="cs"/>
          <w:color w:val="FFFFFF"/>
          <w:sz w:val="2"/>
          <w:szCs w:val="2"/>
          <w:rtl/>
        </w:rPr>
      </w:pPr>
      <w:r w:rsidRPr="00B441CC">
        <w:rPr>
          <w:rFonts w:ascii="David" w:hAnsi="David"/>
          <w:color w:val="FFFFFF"/>
          <w:sz w:val="2"/>
          <w:szCs w:val="2"/>
          <w:rtl/>
        </w:rPr>
        <w:t>54678313</w:t>
      </w:r>
    </w:p>
    <w:p w14:paraId="200736BB" w14:textId="77777777" w:rsidR="00AE1818" w:rsidRPr="00AE1818" w:rsidRDefault="00AE1818" w:rsidP="00AE1818">
      <w:pPr>
        <w:keepNext/>
        <w:rPr>
          <w:rFonts w:ascii="David" w:hAnsi="David"/>
          <w:color w:val="000000"/>
          <w:sz w:val="22"/>
          <w:szCs w:val="22"/>
          <w:rtl/>
        </w:rPr>
      </w:pPr>
      <w:r w:rsidRPr="00AE1818">
        <w:rPr>
          <w:rFonts w:ascii="David" w:hAnsi="David"/>
          <w:color w:val="000000"/>
          <w:sz w:val="22"/>
          <w:szCs w:val="22"/>
          <w:rtl/>
        </w:rPr>
        <w:t>רון סולקין 54678313</w:t>
      </w:r>
    </w:p>
    <w:p w14:paraId="4FCB70A9" w14:textId="77777777" w:rsidR="00AE1818" w:rsidRDefault="00AE1818" w:rsidP="00AE1818">
      <w:r w:rsidRPr="00AE1818">
        <w:rPr>
          <w:color w:val="000000"/>
          <w:rtl/>
        </w:rPr>
        <w:t>נוסח מסמך זה כפוף לשינויי ניסוח ועריכה</w:t>
      </w:r>
    </w:p>
    <w:p w14:paraId="4AADDD3C" w14:textId="77777777" w:rsidR="00AE1818" w:rsidRDefault="00AE1818" w:rsidP="00AE1818">
      <w:pPr>
        <w:rPr>
          <w:rtl/>
        </w:rPr>
      </w:pPr>
    </w:p>
    <w:p w14:paraId="0B0D1879" w14:textId="77777777" w:rsidR="00AE1818" w:rsidRDefault="00AE1818" w:rsidP="00AE1818">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sectPr w:rsidR="00AE1818" w:rsidSect="00B441CC">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E9711" w14:textId="77777777" w:rsidR="0012795F" w:rsidRDefault="0012795F" w:rsidP="008731EC">
      <w:r>
        <w:separator/>
      </w:r>
    </w:p>
  </w:endnote>
  <w:endnote w:type="continuationSeparator" w:id="0">
    <w:p w14:paraId="31915B1F" w14:textId="77777777" w:rsidR="0012795F" w:rsidRDefault="0012795F" w:rsidP="0087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CFF9" w14:textId="77777777" w:rsidR="00B441CC" w:rsidRDefault="00B441CC" w:rsidP="00B441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F16996" w14:textId="77777777" w:rsidR="00AE1818" w:rsidRPr="00B441CC" w:rsidRDefault="00B441CC" w:rsidP="00B441CC">
    <w:pPr>
      <w:pStyle w:val="a5"/>
      <w:pBdr>
        <w:top w:val="single" w:sz="4" w:space="1" w:color="auto"/>
        <w:between w:val="single" w:sz="4" w:space="0" w:color="auto"/>
      </w:pBdr>
      <w:spacing w:after="60"/>
      <w:jc w:val="center"/>
      <w:rPr>
        <w:rFonts w:ascii="FrankRuehl" w:hAnsi="FrankRuehl" w:cs="FrankRuehl"/>
        <w:color w:val="000000"/>
      </w:rPr>
    </w:pPr>
    <w:r w:rsidRPr="00B441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BF9C" w14:textId="77777777" w:rsidR="00B441CC" w:rsidRDefault="00B441CC" w:rsidP="00B441C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52E1B">
      <w:rPr>
        <w:rStyle w:val="a8"/>
        <w:rFonts w:ascii="FrankRuehl" w:hAnsi="FrankRuehl" w:cs="FrankRuehl"/>
        <w:noProof/>
        <w:rtl/>
      </w:rPr>
      <w:t>1</w:t>
    </w:r>
    <w:r>
      <w:rPr>
        <w:rStyle w:val="a8"/>
        <w:rFonts w:ascii="FrankRuehl" w:hAnsi="FrankRuehl" w:cs="FrankRuehl"/>
        <w:rtl/>
      </w:rPr>
      <w:fldChar w:fldCharType="end"/>
    </w:r>
  </w:p>
  <w:p w14:paraId="674ECF56" w14:textId="77777777" w:rsidR="00621BF3" w:rsidRPr="00B441CC" w:rsidRDefault="00B441CC" w:rsidP="00B441C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441CC">
      <w:rPr>
        <w:rStyle w:val="a8"/>
        <w:rFonts w:ascii="FrankRuehl" w:hAnsi="FrankRuehl" w:cs="FrankRuehl" w:hint="cs"/>
        <w:color w:val="000000"/>
      </w:rPr>
      <w:pict w14:anchorId="4DF9F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D6DC6" w14:textId="77777777" w:rsidR="0012795F" w:rsidRDefault="0012795F" w:rsidP="008731EC">
      <w:r>
        <w:separator/>
      </w:r>
    </w:p>
  </w:footnote>
  <w:footnote w:type="continuationSeparator" w:id="0">
    <w:p w14:paraId="4991D58D" w14:textId="77777777" w:rsidR="0012795F" w:rsidRDefault="0012795F" w:rsidP="00873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A73E" w14:textId="77777777" w:rsidR="00AE1818" w:rsidRPr="00B441CC" w:rsidRDefault="00B441CC" w:rsidP="00B441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15063-11-20</w:t>
    </w:r>
    <w:r>
      <w:rPr>
        <w:rFonts w:ascii="David" w:hAnsi="David"/>
        <w:color w:val="000000"/>
        <w:sz w:val="22"/>
        <w:szCs w:val="22"/>
        <w:rtl/>
      </w:rPr>
      <w:tab/>
      <w:t xml:space="preserve"> מדינת ישראל פמ"ד נ' מרטין בן יבגני קראוס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00926" w14:textId="77777777" w:rsidR="00AE1818" w:rsidRPr="00B441CC" w:rsidRDefault="00B441CC" w:rsidP="00B441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15063-11-20</w:t>
    </w:r>
    <w:r>
      <w:rPr>
        <w:rFonts w:ascii="David" w:hAnsi="David"/>
        <w:color w:val="000000"/>
        <w:sz w:val="22"/>
        <w:szCs w:val="22"/>
        <w:rtl/>
      </w:rPr>
      <w:tab/>
      <w:t xml:space="preserve"> מדינת ישראל פמ"ד נ' מרטין בן יבגני קראוס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A0F0F"/>
    <w:multiLevelType w:val="hybridMultilevel"/>
    <w:tmpl w:val="0EEE1674"/>
    <w:lvl w:ilvl="0" w:tplc="5B4E3426">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4146C"/>
    <w:multiLevelType w:val="hybridMultilevel"/>
    <w:tmpl w:val="294A4826"/>
    <w:lvl w:ilvl="0" w:tplc="04090013">
      <w:start w:val="1"/>
      <w:numFmt w:val="hebrew1"/>
      <w:lvlText w:val="%1."/>
      <w:lvlJc w:val="center"/>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75392539">
    <w:abstractNumId w:val="0"/>
  </w:num>
  <w:num w:numId="2" w16cid:durableId="12053876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3494"/>
    <w:rsid w:val="000130FA"/>
    <w:rsid w:val="000E3494"/>
    <w:rsid w:val="0012795F"/>
    <w:rsid w:val="001B5A3B"/>
    <w:rsid w:val="00207917"/>
    <w:rsid w:val="00552E1B"/>
    <w:rsid w:val="00567972"/>
    <w:rsid w:val="005A790B"/>
    <w:rsid w:val="00621BF3"/>
    <w:rsid w:val="006D35DE"/>
    <w:rsid w:val="008731EC"/>
    <w:rsid w:val="00A375D4"/>
    <w:rsid w:val="00AE1818"/>
    <w:rsid w:val="00AF76E9"/>
    <w:rsid w:val="00B441CC"/>
    <w:rsid w:val="00DC30E0"/>
    <w:rsid w:val="00EE0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7DC811"/>
  <w15:chartTrackingRefBased/>
  <w15:docId w15:val="{C257FD63-1502-4DE7-A96B-FEC1CDEA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34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3494"/>
    <w:pPr>
      <w:tabs>
        <w:tab w:val="center" w:pos="4153"/>
        <w:tab w:val="right" w:pos="8306"/>
      </w:tabs>
    </w:pPr>
  </w:style>
  <w:style w:type="character" w:customStyle="1" w:styleId="a4">
    <w:name w:val="כותרת עליונה תו"/>
    <w:link w:val="a3"/>
    <w:rsid w:val="000E3494"/>
    <w:rPr>
      <w:rFonts w:ascii="Times New Roman" w:eastAsia="Times New Roman" w:hAnsi="Times New Roman" w:cs="David"/>
      <w:sz w:val="24"/>
      <w:szCs w:val="24"/>
    </w:rPr>
  </w:style>
  <w:style w:type="paragraph" w:styleId="a5">
    <w:name w:val="footer"/>
    <w:basedOn w:val="a"/>
    <w:link w:val="a6"/>
    <w:rsid w:val="000E3494"/>
    <w:pPr>
      <w:tabs>
        <w:tab w:val="center" w:pos="4153"/>
        <w:tab w:val="right" w:pos="8306"/>
      </w:tabs>
    </w:pPr>
  </w:style>
  <w:style w:type="character" w:customStyle="1" w:styleId="a6">
    <w:name w:val="כותרת תחתונה תו"/>
    <w:link w:val="a5"/>
    <w:rsid w:val="000E3494"/>
    <w:rPr>
      <w:rFonts w:ascii="Times New Roman" w:eastAsia="Times New Roman" w:hAnsi="Times New Roman" w:cs="David"/>
      <w:sz w:val="24"/>
      <w:szCs w:val="24"/>
    </w:rPr>
  </w:style>
  <w:style w:type="table" w:styleId="a7">
    <w:name w:val="Table Grid"/>
    <w:basedOn w:val="a1"/>
    <w:rsid w:val="000E34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3494"/>
    <w:rPr>
      <w:noProof w:val="0"/>
    </w:rPr>
  </w:style>
  <w:style w:type="paragraph" w:styleId="a9">
    <w:name w:val="List Paragraph"/>
    <w:basedOn w:val="a"/>
    <w:qFormat/>
    <w:rsid w:val="000E3494"/>
    <w:pPr>
      <w:ind w:left="720"/>
      <w:contextualSpacing/>
    </w:pPr>
  </w:style>
  <w:style w:type="character" w:styleId="aa">
    <w:name w:val="line number"/>
    <w:rsid w:val="000E3494"/>
  </w:style>
  <w:style w:type="character" w:styleId="Hyperlink">
    <w:name w:val="Hyperlink"/>
    <w:rsid w:val="00AE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6172713" TargetMode="External"/><Relationship Id="rId39" Type="http://schemas.openxmlformats.org/officeDocument/2006/relationships/fontTable" Target="fontTable.xml"/><Relationship Id="rId21" Type="http://schemas.openxmlformats.org/officeDocument/2006/relationships/hyperlink" Target="http://www.nevo.co.il/law/4216/1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7134515"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98919" TargetMode="External"/><Relationship Id="rId33" Type="http://schemas.openxmlformats.org/officeDocument/2006/relationships/hyperlink" Target="http://www.nevo.co.il/law/12762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4216/37a.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384875"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127622" TargetMode="External"/><Relationship Id="rId23" Type="http://schemas.openxmlformats.org/officeDocument/2006/relationships/hyperlink" Target="http://www.nevo.co.il/case/25938406" TargetMode="External"/><Relationship Id="rId28" Type="http://schemas.openxmlformats.org/officeDocument/2006/relationships/hyperlink" Target="http://www.nevo.co.il/law/4216"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13451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eader" Target="header1.xml"/><Relationship Id="rId8" Type="http://schemas.openxmlformats.org/officeDocument/2006/relationships/hyperlink" Target="http://www.nevo.co.il/case/2593840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2417</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14478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4980820</vt:i4>
      </vt:variant>
      <vt:variant>
        <vt:i4>78</vt:i4>
      </vt:variant>
      <vt:variant>
        <vt:i4>0</vt:i4>
      </vt:variant>
      <vt:variant>
        <vt:i4>5</vt:i4>
      </vt:variant>
      <vt:variant>
        <vt:lpwstr>http://www.nevo.co.il/law/127622</vt:lpwstr>
      </vt:variant>
      <vt:variant>
        <vt:lpwstr/>
      </vt:variant>
      <vt:variant>
        <vt:i4>8257637</vt:i4>
      </vt:variant>
      <vt:variant>
        <vt:i4>75</vt:i4>
      </vt:variant>
      <vt:variant>
        <vt:i4>0</vt:i4>
      </vt:variant>
      <vt:variant>
        <vt:i4>5</vt:i4>
      </vt:variant>
      <vt:variant>
        <vt:lpwstr>http://www.nevo.co.il/law/4216</vt:lpwstr>
      </vt:variant>
      <vt:variant>
        <vt:lpwstr/>
      </vt:variant>
      <vt:variant>
        <vt:i4>4980820</vt:i4>
      </vt:variant>
      <vt:variant>
        <vt:i4>72</vt:i4>
      </vt:variant>
      <vt:variant>
        <vt:i4>0</vt:i4>
      </vt:variant>
      <vt:variant>
        <vt:i4>5</vt:i4>
      </vt:variant>
      <vt:variant>
        <vt:lpwstr>http://www.nevo.co.il/law/127622</vt:lpwstr>
      </vt:variant>
      <vt:variant>
        <vt:lpwstr/>
      </vt:variant>
      <vt:variant>
        <vt:i4>8257637</vt:i4>
      </vt:variant>
      <vt:variant>
        <vt:i4>69</vt:i4>
      </vt:variant>
      <vt:variant>
        <vt:i4>0</vt:i4>
      </vt:variant>
      <vt:variant>
        <vt:i4>5</vt:i4>
      </vt:variant>
      <vt:variant>
        <vt:lpwstr>http://www.nevo.co.il/law/4216</vt:lpwstr>
      </vt:variant>
      <vt:variant>
        <vt:lpwstr/>
      </vt:variant>
      <vt:variant>
        <vt:i4>5046355</vt:i4>
      </vt:variant>
      <vt:variant>
        <vt:i4>66</vt:i4>
      </vt:variant>
      <vt:variant>
        <vt:i4>0</vt:i4>
      </vt:variant>
      <vt:variant>
        <vt:i4>5</vt:i4>
      </vt:variant>
      <vt:variant>
        <vt:lpwstr>http://www.nevo.co.il/law/4216/37a.a1</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3473526</vt:i4>
      </vt:variant>
      <vt:variant>
        <vt:i4>57</vt:i4>
      </vt:variant>
      <vt:variant>
        <vt:i4>0</vt:i4>
      </vt:variant>
      <vt:variant>
        <vt:i4>5</vt:i4>
      </vt:variant>
      <vt:variant>
        <vt:lpwstr>http://www.nevo.co.il/case/6172713</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3276913</vt:i4>
      </vt:variant>
      <vt:variant>
        <vt:i4>51</vt:i4>
      </vt:variant>
      <vt:variant>
        <vt:i4>0</vt:i4>
      </vt:variant>
      <vt:variant>
        <vt:i4>5</vt:i4>
      </vt:variant>
      <vt:variant>
        <vt:lpwstr>http://www.nevo.co.il/case/25384875</vt:lpwstr>
      </vt:variant>
      <vt:variant>
        <vt:lpwstr/>
      </vt:variant>
      <vt:variant>
        <vt:i4>3342454</vt:i4>
      </vt:variant>
      <vt:variant>
        <vt:i4>48</vt:i4>
      </vt:variant>
      <vt:variant>
        <vt:i4>0</vt:i4>
      </vt:variant>
      <vt:variant>
        <vt:i4>5</vt:i4>
      </vt:variant>
      <vt:variant>
        <vt:lpwstr>http://www.nevo.co.il/case/25938406</vt:lpwstr>
      </vt:variant>
      <vt:variant>
        <vt:lpwstr/>
      </vt:variant>
      <vt:variant>
        <vt:i4>3539061</vt:i4>
      </vt:variant>
      <vt:variant>
        <vt:i4>45</vt:i4>
      </vt:variant>
      <vt:variant>
        <vt:i4>0</vt:i4>
      </vt:variant>
      <vt:variant>
        <vt:i4>5</vt:i4>
      </vt:variant>
      <vt:variant>
        <vt:lpwstr>http://www.nevo.co.il/case/27134515</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4980820</vt:i4>
      </vt:variant>
      <vt:variant>
        <vt:i4>24</vt:i4>
      </vt:variant>
      <vt:variant>
        <vt:i4>0</vt:i4>
      </vt:variant>
      <vt:variant>
        <vt:i4>5</vt:i4>
      </vt:variant>
      <vt:variant>
        <vt:lpwstr>http://www.nevo.co.il/law/127622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3342454</vt:i4>
      </vt:variant>
      <vt:variant>
        <vt:i4>3</vt:i4>
      </vt:variant>
      <vt:variant>
        <vt:i4>0</vt:i4>
      </vt:variant>
      <vt:variant>
        <vt:i4>5</vt:i4>
      </vt:variant>
      <vt:variant>
        <vt:lpwstr>http://www.nevo.co.il/case/25938406</vt:lpwstr>
      </vt:variant>
      <vt:variant>
        <vt:lpwstr/>
      </vt:variant>
      <vt:variant>
        <vt:i4>3539061</vt:i4>
      </vt:variant>
      <vt:variant>
        <vt:i4>0</vt:i4>
      </vt:variant>
      <vt:variant>
        <vt:i4>0</vt:i4>
      </vt:variant>
      <vt:variant>
        <vt:i4>5</vt:i4>
      </vt:variant>
      <vt:variant>
        <vt:lpwstr>http://www.nevo.co.il/case/27134515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15063;19437</vt:lpwstr>
  </property>
  <property fmtid="{D5CDD505-2E9C-101B-9397-08002B2CF9AE}" pid="6" name="NEWPARTB">
    <vt:lpwstr>11;08</vt:lpwstr>
  </property>
  <property fmtid="{D5CDD505-2E9C-101B-9397-08002B2CF9AE}" pid="7" name="NEWPARTC">
    <vt:lpwstr>20;19</vt:lpwstr>
  </property>
  <property fmtid="{D5CDD505-2E9C-101B-9397-08002B2CF9AE}" pid="8" name="APPELLANT">
    <vt:lpwstr>מדינת ישראל פמ#ד</vt:lpwstr>
  </property>
  <property fmtid="{D5CDD505-2E9C-101B-9397-08002B2CF9AE}" pid="9" name="APPELLEE">
    <vt:lpwstr>מרטין בן יבגני קראוס</vt:lpwstr>
  </property>
  <property fmtid="{D5CDD505-2E9C-101B-9397-08002B2CF9AE}" pid="10" name="LAWYER">
    <vt:lpwstr>מיי אלחג'וג';נדב גרינוולד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20210707</vt:lpwstr>
  </property>
  <property fmtid="{D5CDD505-2E9C-101B-9397-08002B2CF9AE}" pid="14" name="TYPE_N_DATE">
    <vt:lpwstr>38020210707</vt:lpwstr>
  </property>
  <property fmtid="{D5CDD505-2E9C-101B-9397-08002B2CF9AE}" pid="15" name="WORDNUMPAGES">
    <vt:lpwstr>10</vt:lpwstr>
  </property>
  <property fmtid="{D5CDD505-2E9C-101B-9397-08002B2CF9AE}" pid="16" name="TYPE_ABS_DATE">
    <vt:lpwstr>380020210707</vt:lpwstr>
  </property>
  <property fmtid="{D5CDD505-2E9C-101B-9397-08002B2CF9AE}" pid="17" name="ISABSTRACT">
    <vt:lpwstr>Y</vt:lpwstr>
  </property>
  <property fmtid="{D5CDD505-2E9C-101B-9397-08002B2CF9AE}" pid="18" name="CASESLISTTMP1">
    <vt:lpwstr>27134515:2;25938406:2;25384875;5698919;6172713</vt:lpwstr>
  </property>
  <property fmtid="{D5CDD505-2E9C-101B-9397-08002B2CF9AE}" pid="19" name="BOOKGROUPTMP1">
    <vt:lpwstr/>
  </property>
  <property fmtid="{D5CDD505-2E9C-101B-9397-08002B2CF9AE}" pid="20" name="NOBOOKNEVO">
    <vt:lpwstr>2392</vt:lpwstr>
  </property>
  <property fmtid="{D5CDD505-2E9C-101B-9397-08002B2CF9AE}" pid="21" name="LAWLISTTMP1">
    <vt:lpwstr>4216/007.a:2;007.c:2;010;037a.a1</vt:lpwstr>
  </property>
  <property fmtid="{D5CDD505-2E9C-101B-9397-08002B2CF9AE}" pid="22" name="LAWLISTTMP2">
    <vt:lpwstr>70301</vt:lpwstr>
  </property>
  <property fmtid="{D5CDD505-2E9C-101B-9397-08002B2CF9AE}" pid="23" name="LAWLISTTMP3">
    <vt:lpwstr>127622:2</vt:lpwstr>
  </property>
</Properties>
</file>