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E50CAF" w:rsidRPr="003325CE" w14:paraId="603E699F" w14:textId="77777777" w:rsidTr="00F67E80">
        <w:trPr>
          <w:trHeight w:hRule="exact" w:val="418"/>
          <w:jc w:val="center"/>
        </w:trPr>
        <w:tc>
          <w:tcPr>
            <w:tcW w:w="8721" w:type="dxa"/>
            <w:gridSpan w:val="2"/>
          </w:tcPr>
          <w:p w14:paraId="71763E3C" w14:textId="77777777" w:rsidR="00E50CAF" w:rsidRPr="003325CE" w:rsidRDefault="00E50CAF" w:rsidP="000E3D0E">
            <w:pPr>
              <w:pStyle w:val="a3"/>
              <w:jc w:val="center"/>
              <w:rPr>
                <w:rFonts w:ascii="Tahoma" w:hAnsi="Tahoma" w:cs="Tahoma"/>
                <w:color w:val="000080"/>
                <w:rtl/>
              </w:rPr>
            </w:pPr>
            <w:r w:rsidRPr="003325CE">
              <w:rPr>
                <w:rFonts w:ascii="Tahoma" w:hAnsi="Tahoma" w:cs="Tahoma"/>
                <w:b/>
                <w:bCs/>
                <w:color w:val="000080"/>
                <w:rtl/>
              </w:rPr>
              <w:t>בית משפט השלום באשקלון</w:t>
            </w:r>
          </w:p>
        </w:tc>
      </w:tr>
      <w:tr w:rsidR="00E50CAF" w:rsidRPr="003325CE" w14:paraId="409E4104" w14:textId="77777777" w:rsidTr="00F67E80">
        <w:trPr>
          <w:trHeight w:val="337"/>
          <w:jc w:val="center"/>
        </w:trPr>
        <w:tc>
          <w:tcPr>
            <w:tcW w:w="5057" w:type="dxa"/>
          </w:tcPr>
          <w:p w14:paraId="5566F345" w14:textId="77777777" w:rsidR="00E50CAF" w:rsidRPr="003325CE" w:rsidRDefault="00E50CAF" w:rsidP="000E3D0E">
            <w:pPr>
              <w:rPr>
                <w:rFonts w:cs="FrankRuehl"/>
                <w:sz w:val="28"/>
                <w:szCs w:val="28"/>
                <w:rtl/>
              </w:rPr>
            </w:pPr>
            <w:r w:rsidRPr="003325CE">
              <w:rPr>
                <w:rFonts w:cs="FrankRuehl"/>
                <w:sz w:val="28"/>
                <w:szCs w:val="28"/>
                <w:rtl/>
              </w:rPr>
              <w:t>ת"פ</w:t>
            </w:r>
            <w:r w:rsidRPr="003325CE">
              <w:rPr>
                <w:rFonts w:cs="FrankRuehl" w:hint="cs"/>
                <w:sz w:val="28"/>
                <w:szCs w:val="28"/>
                <w:rtl/>
              </w:rPr>
              <w:t xml:space="preserve"> </w:t>
            </w:r>
            <w:hyperlink r:id="rId7" w:history="1">
              <w:r w:rsidR="000A44FD" w:rsidRPr="000A44FD">
                <w:rPr>
                  <w:rFonts w:cs="FrankRuehl"/>
                  <w:color w:val="0000FF"/>
                  <w:sz w:val="28"/>
                  <w:szCs w:val="28"/>
                  <w:u w:val="single"/>
                  <w:rtl/>
                </w:rPr>
                <w:t>15208-11-20</w:t>
              </w:r>
            </w:hyperlink>
            <w:r w:rsidRPr="003325CE">
              <w:rPr>
                <w:rFonts w:cs="FrankRuehl" w:hint="cs"/>
                <w:sz w:val="28"/>
                <w:szCs w:val="28"/>
                <w:rtl/>
              </w:rPr>
              <w:t xml:space="preserve"> </w:t>
            </w:r>
            <w:r w:rsidRPr="003325CE">
              <w:rPr>
                <w:rFonts w:cs="FrankRuehl"/>
                <w:sz w:val="28"/>
                <w:szCs w:val="28"/>
                <w:rtl/>
              </w:rPr>
              <w:t>מדינת ישראל נ' בן לולו(עציר)</w:t>
            </w:r>
          </w:p>
          <w:p w14:paraId="698F773B" w14:textId="77777777" w:rsidR="00E50CAF" w:rsidRPr="003325CE" w:rsidRDefault="00E50CAF" w:rsidP="000E3D0E">
            <w:pPr>
              <w:pStyle w:val="a3"/>
              <w:rPr>
                <w:rFonts w:cs="FrankRuehl"/>
                <w:sz w:val="28"/>
                <w:szCs w:val="28"/>
                <w:rtl/>
              </w:rPr>
            </w:pPr>
          </w:p>
        </w:tc>
        <w:tc>
          <w:tcPr>
            <w:tcW w:w="3664" w:type="dxa"/>
          </w:tcPr>
          <w:p w14:paraId="3FDDF21E" w14:textId="77777777" w:rsidR="00E50CAF" w:rsidRPr="003325CE" w:rsidRDefault="00E50CAF" w:rsidP="000E3D0E">
            <w:pPr>
              <w:pStyle w:val="a3"/>
              <w:jc w:val="right"/>
              <w:rPr>
                <w:rFonts w:cs="FrankRuehl"/>
                <w:sz w:val="28"/>
                <w:szCs w:val="28"/>
                <w:rtl/>
              </w:rPr>
            </w:pPr>
          </w:p>
        </w:tc>
      </w:tr>
    </w:tbl>
    <w:p w14:paraId="1231014F" w14:textId="77777777" w:rsidR="00E50CAF" w:rsidRPr="003325CE" w:rsidRDefault="00E50CAF" w:rsidP="00E50CAF">
      <w:pPr>
        <w:pStyle w:val="a3"/>
        <w:rPr>
          <w:rtl/>
        </w:rPr>
      </w:pPr>
      <w:r w:rsidRPr="003325CE">
        <w:rPr>
          <w:rFonts w:hint="cs"/>
          <w:rtl/>
        </w:rPr>
        <w:t xml:space="preserve"> </w:t>
      </w:r>
    </w:p>
    <w:p w14:paraId="7D0BF8C8" w14:textId="77777777" w:rsidR="00E50CAF" w:rsidRPr="003325CE" w:rsidRDefault="00E50CAF" w:rsidP="00E50CAF">
      <w:pPr>
        <w:rPr>
          <w:rtl/>
        </w:rPr>
      </w:pPr>
    </w:p>
    <w:p w14:paraId="4F53FCA1" w14:textId="77777777" w:rsidR="00E50CAF" w:rsidRPr="003325CE" w:rsidRDefault="00E50CAF" w:rsidP="00E50CAF">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E50CAF" w:rsidRPr="003325CE" w14:paraId="06DF674F" w14:textId="77777777" w:rsidTr="00E50CAF">
        <w:trPr>
          <w:trHeight w:val="295"/>
          <w:jc w:val="center"/>
        </w:trPr>
        <w:tc>
          <w:tcPr>
            <w:tcW w:w="923" w:type="dxa"/>
            <w:tcBorders>
              <w:top w:val="nil"/>
              <w:left w:val="nil"/>
              <w:bottom w:val="nil"/>
              <w:right w:val="nil"/>
            </w:tcBorders>
            <w:shd w:val="clear" w:color="auto" w:fill="auto"/>
          </w:tcPr>
          <w:p w14:paraId="640F7C96" w14:textId="77777777" w:rsidR="00E50CAF" w:rsidRPr="003325CE" w:rsidRDefault="00E50CAF" w:rsidP="00E50CAF">
            <w:pPr>
              <w:jc w:val="both"/>
              <w:rPr>
                <w:rFonts w:ascii="David" w:hAnsi="David"/>
                <w:sz w:val="26"/>
                <w:szCs w:val="26"/>
              </w:rPr>
            </w:pPr>
            <w:r w:rsidRPr="003325CE">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412B6700" w14:textId="77777777" w:rsidR="00E50CAF" w:rsidRPr="003325CE" w:rsidRDefault="00E50CAF" w:rsidP="000E3D0E">
            <w:pPr>
              <w:rPr>
                <w:rFonts w:ascii="David" w:hAnsi="David"/>
                <w:b/>
                <w:bCs/>
                <w:sz w:val="26"/>
                <w:szCs w:val="26"/>
                <w:rtl/>
              </w:rPr>
            </w:pPr>
            <w:r w:rsidRPr="003325CE">
              <w:rPr>
                <w:rFonts w:ascii="David" w:hAnsi="David"/>
                <w:b/>
                <w:bCs/>
                <w:sz w:val="26"/>
                <w:szCs w:val="26"/>
                <w:rtl/>
              </w:rPr>
              <w:t>כבוד השופטת, סגנית הנשיא  נועה חקלאי</w:t>
            </w:r>
          </w:p>
          <w:p w14:paraId="391B430B" w14:textId="77777777" w:rsidR="00E50CAF" w:rsidRPr="003325CE" w:rsidRDefault="00E50CAF" w:rsidP="000E3D0E">
            <w:pPr>
              <w:rPr>
                <w:rFonts w:ascii="David" w:hAnsi="David"/>
                <w:sz w:val="26"/>
                <w:szCs w:val="26"/>
                <w:rtl/>
              </w:rPr>
            </w:pPr>
          </w:p>
          <w:p w14:paraId="65E7C0E1" w14:textId="77777777" w:rsidR="00E50CAF" w:rsidRPr="003325CE" w:rsidRDefault="00E50CAF" w:rsidP="00E50CAF">
            <w:pPr>
              <w:jc w:val="both"/>
              <w:rPr>
                <w:rFonts w:ascii="David" w:hAnsi="David"/>
                <w:sz w:val="26"/>
                <w:szCs w:val="26"/>
              </w:rPr>
            </w:pPr>
          </w:p>
        </w:tc>
      </w:tr>
      <w:tr w:rsidR="00E50CAF" w:rsidRPr="003325CE" w14:paraId="752C6D88" w14:textId="77777777" w:rsidTr="00E50CAF">
        <w:trPr>
          <w:trHeight w:val="355"/>
          <w:jc w:val="center"/>
        </w:trPr>
        <w:tc>
          <w:tcPr>
            <w:tcW w:w="923" w:type="dxa"/>
            <w:tcBorders>
              <w:top w:val="nil"/>
              <w:left w:val="nil"/>
              <w:bottom w:val="nil"/>
              <w:right w:val="nil"/>
            </w:tcBorders>
            <w:shd w:val="clear" w:color="auto" w:fill="auto"/>
          </w:tcPr>
          <w:p w14:paraId="438B06EF" w14:textId="77777777" w:rsidR="00E50CAF" w:rsidRPr="003325CE" w:rsidRDefault="00E50CAF" w:rsidP="00E50CAF">
            <w:pPr>
              <w:jc w:val="both"/>
              <w:rPr>
                <w:rFonts w:ascii="David" w:hAnsi="David"/>
                <w:sz w:val="26"/>
                <w:szCs w:val="26"/>
              </w:rPr>
            </w:pPr>
            <w:bookmarkStart w:id="0" w:name="FirstAppellant"/>
            <w:bookmarkStart w:id="1" w:name="LastJudge"/>
            <w:bookmarkEnd w:id="1"/>
            <w:r w:rsidRPr="003325CE">
              <w:rPr>
                <w:rFonts w:ascii="David" w:hAnsi="David"/>
                <w:sz w:val="26"/>
                <w:szCs w:val="26"/>
                <w:rtl/>
              </w:rPr>
              <w:t>בעניין:</w:t>
            </w:r>
          </w:p>
        </w:tc>
        <w:tc>
          <w:tcPr>
            <w:tcW w:w="4126" w:type="dxa"/>
            <w:tcBorders>
              <w:top w:val="nil"/>
              <w:left w:val="nil"/>
              <w:bottom w:val="nil"/>
              <w:right w:val="nil"/>
            </w:tcBorders>
            <w:shd w:val="clear" w:color="auto" w:fill="auto"/>
          </w:tcPr>
          <w:p w14:paraId="4795D25E" w14:textId="77777777" w:rsidR="00E50CAF" w:rsidRPr="003325CE" w:rsidRDefault="00E50CAF" w:rsidP="000E3D0E">
            <w:pPr>
              <w:rPr>
                <w:rFonts w:ascii="David" w:hAnsi="David"/>
                <w:sz w:val="26"/>
                <w:szCs w:val="26"/>
              </w:rPr>
            </w:pPr>
            <w:r w:rsidRPr="003325CE">
              <w:rPr>
                <w:rFonts w:ascii="David" w:hAnsi="David"/>
                <w:sz w:val="26"/>
                <w:szCs w:val="26"/>
                <w:rtl/>
              </w:rPr>
              <w:t>מדינת ישראל</w:t>
            </w:r>
          </w:p>
        </w:tc>
        <w:tc>
          <w:tcPr>
            <w:tcW w:w="3771" w:type="dxa"/>
            <w:tcBorders>
              <w:top w:val="nil"/>
              <w:left w:val="nil"/>
              <w:bottom w:val="nil"/>
              <w:right w:val="nil"/>
            </w:tcBorders>
            <w:shd w:val="clear" w:color="auto" w:fill="auto"/>
          </w:tcPr>
          <w:p w14:paraId="59B44E4B" w14:textId="77777777" w:rsidR="00E50CAF" w:rsidRPr="003325CE" w:rsidRDefault="00E50CAF" w:rsidP="00E50CAF">
            <w:pPr>
              <w:jc w:val="both"/>
              <w:rPr>
                <w:rFonts w:ascii="David" w:hAnsi="David"/>
                <w:sz w:val="26"/>
                <w:szCs w:val="26"/>
              </w:rPr>
            </w:pPr>
          </w:p>
        </w:tc>
      </w:tr>
      <w:bookmarkEnd w:id="0"/>
      <w:tr w:rsidR="00E50CAF" w:rsidRPr="003325CE" w14:paraId="0F0243E0" w14:textId="77777777" w:rsidTr="00E50CAF">
        <w:trPr>
          <w:trHeight w:val="355"/>
          <w:jc w:val="center"/>
        </w:trPr>
        <w:tc>
          <w:tcPr>
            <w:tcW w:w="923" w:type="dxa"/>
            <w:tcBorders>
              <w:top w:val="nil"/>
              <w:left w:val="nil"/>
              <w:bottom w:val="nil"/>
              <w:right w:val="nil"/>
            </w:tcBorders>
            <w:shd w:val="clear" w:color="auto" w:fill="auto"/>
          </w:tcPr>
          <w:p w14:paraId="4472F5E3" w14:textId="77777777" w:rsidR="00E50CAF" w:rsidRPr="003325CE" w:rsidRDefault="00E50CAF" w:rsidP="00E50CAF">
            <w:pPr>
              <w:jc w:val="both"/>
              <w:rPr>
                <w:rFonts w:ascii="David" w:hAnsi="David"/>
                <w:sz w:val="26"/>
                <w:szCs w:val="26"/>
                <w:rtl/>
              </w:rPr>
            </w:pPr>
          </w:p>
        </w:tc>
        <w:tc>
          <w:tcPr>
            <w:tcW w:w="4126" w:type="dxa"/>
            <w:tcBorders>
              <w:top w:val="nil"/>
              <w:left w:val="nil"/>
              <w:bottom w:val="nil"/>
              <w:right w:val="nil"/>
            </w:tcBorders>
            <w:shd w:val="clear" w:color="auto" w:fill="auto"/>
          </w:tcPr>
          <w:p w14:paraId="094FEC7F" w14:textId="77777777" w:rsidR="00E50CAF" w:rsidRPr="003325CE" w:rsidRDefault="00E50CAF" w:rsidP="00E50CAF">
            <w:pPr>
              <w:jc w:val="both"/>
              <w:rPr>
                <w:rFonts w:ascii="David" w:hAnsi="David"/>
                <w:sz w:val="26"/>
                <w:szCs w:val="26"/>
                <w:rtl/>
              </w:rPr>
            </w:pPr>
          </w:p>
        </w:tc>
        <w:tc>
          <w:tcPr>
            <w:tcW w:w="3771" w:type="dxa"/>
            <w:tcBorders>
              <w:top w:val="nil"/>
              <w:left w:val="nil"/>
              <w:bottom w:val="nil"/>
              <w:right w:val="nil"/>
            </w:tcBorders>
            <w:shd w:val="clear" w:color="auto" w:fill="auto"/>
          </w:tcPr>
          <w:p w14:paraId="5A306E3F" w14:textId="77777777" w:rsidR="00E50CAF" w:rsidRPr="003325CE" w:rsidRDefault="00E50CAF" w:rsidP="00E50CAF">
            <w:pPr>
              <w:jc w:val="right"/>
              <w:rPr>
                <w:rFonts w:ascii="David" w:hAnsi="David"/>
                <w:sz w:val="26"/>
                <w:szCs w:val="26"/>
                <w:rtl/>
              </w:rPr>
            </w:pPr>
            <w:r w:rsidRPr="003325CE">
              <w:rPr>
                <w:rFonts w:ascii="David" w:hAnsi="David"/>
                <w:sz w:val="26"/>
                <w:szCs w:val="26"/>
                <w:rtl/>
              </w:rPr>
              <w:t>המאשימה</w:t>
            </w:r>
          </w:p>
        </w:tc>
      </w:tr>
      <w:tr w:rsidR="00E50CAF" w:rsidRPr="003325CE" w14:paraId="032D7359" w14:textId="77777777" w:rsidTr="00E50CAF">
        <w:trPr>
          <w:trHeight w:val="355"/>
          <w:jc w:val="center"/>
        </w:trPr>
        <w:tc>
          <w:tcPr>
            <w:tcW w:w="923" w:type="dxa"/>
            <w:tcBorders>
              <w:top w:val="nil"/>
              <w:left w:val="nil"/>
              <w:bottom w:val="nil"/>
              <w:right w:val="nil"/>
            </w:tcBorders>
            <w:shd w:val="clear" w:color="auto" w:fill="auto"/>
          </w:tcPr>
          <w:p w14:paraId="64F2ABCF" w14:textId="77777777" w:rsidR="00E50CAF" w:rsidRPr="003325CE" w:rsidRDefault="00E50CAF" w:rsidP="00E50CAF">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4CB61052" w14:textId="77777777" w:rsidR="00E50CAF" w:rsidRPr="003325CE" w:rsidRDefault="00E50CAF" w:rsidP="00E50CAF">
            <w:pPr>
              <w:jc w:val="center"/>
              <w:rPr>
                <w:rFonts w:ascii="David" w:hAnsi="David"/>
                <w:b/>
                <w:bCs/>
                <w:sz w:val="26"/>
                <w:szCs w:val="26"/>
                <w:rtl/>
              </w:rPr>
            </w:pPr>
          </w:p>
          <w:p w14:paraId="7F9CF7BF" w14:textId="77777777" w:rsidR="00E50CAF" w:rsidRPr="003325CE" w:rsidRDefault="00E50CAF" w:rsidP="00E50CAF">
            <w:pPr>
              <w:jc w:val="center"/>
              <w:rPr>
                <w:rFonts w:ascii="David" w:hAnsi="David"/>
                <w:b/>
                <w:bCs/>
                <w:sz w:val="26"/>
                <w:szCs w:val="26"/>
                <w:rtl/>
              </w:rPr>
            </w:pPr>
            <w:r w:rsidRPr="003325CE">
              <w:rPr>
                <w:rFonts w:ascii="David" w:hAnsi="David"/>
                <w:b/>
                <w:bCs/>
                <w:sz w:val="26"/>
                <w:szCs w:val="26"/>
                <w:rtl/>
              </w:rPr>
              <w:t>נגד</w:t>
            </w:r>
          </w:p>
          <w:p w14:paraId="43D9520C" w14:textId="77777777" w:rsidR="00E50CAF" w:rsidRPr="003325CE" w:rsidRDefault="00E50CAF" w:rsidP="00E50CAF">
            <w:pPr>
              <w:jc w:val="both"/>
              <w:rPr>
                <w:rFonts w:ascii="David" w:hAnsi="David"/>
                <w:sz w:val="26"/>
                <w:szCs w:val="26"/>
              </w:rPr>
            </w:pPr>
          </w:p>
        </w:tc>
      </w:tr>
      <w:tr w:rsidR="00E50CAF" w:rsidRPr="003325CE" w14:paraId="02470D21" w14:textId="77777777" w:rsidTr="00E50CAF">
        <w:trPr>
          <w:trHeight w:val="355"/>
          <w:jc w:val="center"/>
        </w:trPr>
        <w:tc>
          <w:tcPr>
            <w:tcW w:w="923" w:type="dxa"/>
            <w:tcBorders>
              <w:top w:val="nil"/>
              <w:left w:val="nil"/>
              <w:bottom w:val="nil"/>
              <w:right w:val="nil"/>
            </w:tcBorders>
            <w:shd w:val="clear" w:color="auto" w:fill="auto"/>
          </w:tcPr>
          <w:p w14:paraId="01AEE0C6" w14:textId="77777777" w:rsidR="00E50CAF" w:rsidRPr="003325CE" w:rsidRDefault="00E50CAF" w:rsidP="000E3D0E">
            <w:pPr>
              <w:rPr>
                <w:rFonts w:ascii="David" w:hAnsi="David"/>
                <w:sz w:val="26"/>
                <w:szCs w:val="26"/>
                <w:rtl/>
              </w:rPr>
            </w:pPr>
          </w:p>
        </w:tc>
        <w:tc>
          <w:tcPr>
            <w:tcW w:w="4126" w:type="dxa"/>
            <w:tcBorders>
              <w:top w:val="nil"/>
              <w:left w:val="nil"/>
              <w:bottom w:val="nil"/>
              <w:right w:val="nil"/>
            </w:tcBorders>
            <w:shd w:val="clear" w:color="auto" w:fill="auto"/>
          </w:tcPr>
          <w:p w14:paraId="2CF1AB54" w14:textId="77777777" w:rsidR="00E50CAF" w:rsidRPr="003325CE" w:rsidRDefault="00E50CAF" w:rsidP="000E3D0E">
            <w:pPr>
              <w:rPr>
                <w:rFonts w:ascii="David" w:hAnsi="David"/>
                <w:sz w:val="26"/>
                <w:szCs w:val="26"/>
                <w:rtl/>
              </w:rPr>
            </w:pPr>
            <w:r w:rsidRPr="003325CE">
              <w:rPr>
                <w:rFonts w:ascii="David" w:hAnsi="David"/>
                <w:sz w:val="26"/>
                <w:szCs w:val="26"/>
                <w:rtl/>
              </w:rPr>
              <w:t>שמעון בן לולו (עציר)</w:t>
            </w:r>
          </w:p>
        </w:tc>
        <w:tc>
          <w:tcPr>
            <w:tcW w:w="3771" w:type="dxa"/>
            <w:tcBorders>
              <w:top w:val="nil"/>
              <w:left w:val="nil"/>
              <w:bottom w:val="nil"/>
              <w:right w:val="nil"/>
            </w:tcBorders>
            <w:shd w:val="clear" w:color="auto" w:fill="auto"/>
          </w:tcPr>
          <w:p w14:paraId="4E46841C" w14:textId="77777777" w:rsidR="00E50CAF" w:rsidRPr="003325CE" w:rsidRDefault="00E50CAF" w:rsidP="00E50CAF">
            <w:pPr>
              <w:jc w:val="right"/>
              <w:rPr>
                <w:rFonts w:ascii="David" w:hAnsi="David"/>
                <w:sz w:val="26"/>
                <w:szCs w:val="26"/>
              </w:rPr>
            </w:pPr>
          </w:p>
        </w:tc>
      </w:tr>
      <w:tr w:rsidR="00E50CAF" w:rsidRPr="003325CE" w14:paraId="629517F6" w14:textId="77777777" w:rsidTr="00E50CAF">
        <w:trPr>
          <w:trHeight w:val="355"/>
          <w:jc w:val="center"/>
        </w:trPr>
        <w:tc>
          <w:tcPr>
            <w:tcW w:w="923" w:type="dxa"/>
            <w:tcBorders>
              <w:top w:val="nil"/>
              <w:left w:val="nil"/>
              <w:bottom w:val="nil"/>
              <w:right w:val="nil"/>
            </w:tcBorders>
            <w:shd w:val="clear" w:color="auto" w:fill="auto"/>
          </w:tcPr>
          <w:p w14:paraId="7ACF4E20" w14:textId="77777777" w:rsidR="00E50CAF" w:rsidRPr="003325CE" w:rsidRDefault="00E50CAF" w:rsidP="00E50CAF">
            <w:pPr>
              <w:jc w:val="both"/>
              <w:rPr>
                <w:rFonts w:ascii="David" w:hAnsi="David"/>
                <w:sz w:val="26"/>
                <w:szCs w:val="26"/>
                <w:rtl/>
              </w:rPr>
            </w:pPr>
          </w:p>
        </w:tc>
        <w:tc>
          <w:tcPr>
            <w:tcW w:w="4126" w:type="dxa"/>
            <w:tcBorders>
              <w:top w:val="nil"/>
              <w:left w:val="nil"/>
              <w:bottom w:val="nil"/>
              <w:right w:val="nil"/>
            </w:tcBorders>
            <w:shd w:val="clear" w:color="auto" w:fill="auto"/>
          </w:tcPr>
          <w:p w14:paraId="7DF52918" w14:textId="77777777" w:rsidR="00E50CAF" w:rsidRPr="003325CE" w:rsidRDefault="00E50CAF" w:rsidP="00E50CAF">
            <w:pPr>
              <w:jc w:val="both"/>
              <w:rPr>
                <w:rFonts w:ascii="David" w:hAnsi="David"/>
                <w:sz w:val="26"/>
                <w:szCs w:val="26"/>
                <w:rtl/>
              </w:rPr>
            </w:pPr>
          </w:p>
        </w:tc>
        <w:tc>
          <w:tcPr>
            <w:tcW w:w="3771" w:type="dxa"/>
            <w:tcBorders>
              <w:top w:val="nil"/>
              <w:left w:val="nil"/>
              <w:bottom w:val="nil"/>
              <w:right w:val="nil"/>
            </w:tcBorders>
            <w:shd w:val="clear" w:color="auto" w:fill="auto"/>
          </w:tcPr>
          <w:p w14:paraId="41367E39" w14:textId="77777777" w:rsidR="00E50CAF" w:rsidRPr="003325CE" w:rsidRDefault="00E50CAF" w:rsidP="00E50CAF">
            <w:pPr>
              <w:jc w:val="right"/>
              <w:rPr>
                <w:rFonts w:ascii="David" w:hAnsi="David"/>
                <w:sz w:val="26"/>
                <w:szCs w:val="26"/>
              </w:rPr>
            </w:pPr>
            <w:r w:rsidRPr="003325CE">
              <w:rPr>
                <w:rFonts w:ascii="David" w:hAnsi="David"/>
                <w:sz w:val="26"/>
                <w:szCs w:val="26"/>
                <w:rtl/>
              </w:rPr>
              <w:t>הנאשמים</w:t>
            </w:r>
          </w:p>
        </w:tc>
      </w:tr>
    </w:tbl>
    <w:p w14:paraId="0CC52E9C" w14:textId="77777777" w:rsidR="00E50CAF" w:rsidRPr="003325CE" w:rsidRDefault="00E50CAF" w:rsidP="00E50CAF">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50CAF" w:rsidRPr="003325CE" w14:paraId="16A071B3" w14:textId="77777777" w:rsidTr="00E50CAF">
        <w:trPr>
          <w:trHeight w:val="355"/>
          <w:jc w:val="center"/>
        </w:trPr>
        <w:tc>
          <w:tcPr>
            <w:tcW w:w="8820" w:type="dxa"/>
            <w:tcBorders>
              <w:top w:val="nil"/>
              <w:left w:val="nil"/>
              <w:bottom w:val="nil"/>
              <w:right w:val="nil"/>
            </w:tcBorders>
            <w:shd w:val="clear" w:color="auto" w:fill="auto"/>
          </w:tcPr>
          <w:p w14:paraId="0399BBEA" w14:textId="77777777" w:rsidR="00E50CAF" w:rsidRPr="003325CE" w:rsidRDefault="00E50CAF" w:rsidP="00E50CAF">
            <w:pPr>
              <w:jc w:val="center"/>
              <w:rPr>
                <w:rFonts w:ascii="David" w:hAnsi="David"/>
                <w:b/>
                <w:bCs/>
                <w:sz w:val="32"/>
                <w:szCs w:val="32"/>
                <w:rtl/>
              </w:rPr>
            </w:pPr>
            <w:bookmarkStart w:id="2" w:name="FirstLawyer"/>
          </w:p>
          <w:p w14:paraId="3BCABE0D" w14:textId="77777777" w:rsidR="00E50CAF" w:rsidRPr="003325CE" w:rsidRDefault="00E50CAF" w:rsidP="000E3D0E">
            <w:pPr>
              <w:rPr>
                <w:rFonts w:ascii="David" w:hAnsi="David"/>
                <w:b/>
                <w:bCs/>
                <w:sz w:val="32"/>
                <w:szCs w:val="32"/>
                <w:rtl/>
              </w:rPr>
            </w:pPr>
            <w:r w:rsidRPr="003325CE">
              <w:rPr>
                <w:rFonts w:ascii="David" w:hAnsi="David" w:hint="cs"/>
                <w:b/>
                <w:bCs/>
                <w:sz w:val="32"/>
                <w:szCs w:val="32"/>
                <w:rtl/>
              </w:rPr>
              <w:t>נוכחים:</w:t>
            </w:r>
          </w:p>
          <w:p w14:paraId="6BE9BB7B" w14:textId="77777777" w:rsidR="00E50CAF" w:rsidRPr="003325CE" w:rsidRDefault="00E50CAF" w:rsidP="000E3D0E">
            <w:pPr>
              <w:rPr>
                <w:rFonts w:ascii="David" w:hAnsi="David"/>
                <w:rtl/>
              </w:rPr>
            </w:pPr>
            <w:r w:rsidRPr="003325CE">
              <w:rPr>
                <w:rFonts w:ascii="David" w:hAnsi="David" w:hint="cs"/>
                <w:rtl/>
              </w:rPr>
              <w:t>ב"כ המאשימה  - עו"ד קטיה הכן</w:t>
            </w:r>
          </w:p>
          <w:p w14:paraId="00CA57D2" w14:textId="77777777" w:rsidR="00E50CAF" w:rsidRPr="003325CE" w:rsidRDefault="00E50CAF" w:rsidP="000E3D0E">
            <w:pPr>
              <w:rPr>
                <w:rFonts w:ascii="David" w:hAnsi="David"/>
                <w:rtl/>
              </w:rPr>
            </w:pPr>
            <w:r w:rsidRPr="003325CE">
              <w:rPr>
                <w:rFonts w:ascii="David" w:hAnsi="David" w:hint="cs"/>
                <w:rtl/>
              </w:rPr>
              <w:t>הנאשם באמצעות שב"ס</w:t>
            </w:r>
          </w:p>
          <w:p w14:paraId="6D97C9C2" w14:textId="77777777" w:rsidR="00E50CAF" w:rsidRPr="003325CE" w:rsidRDefault="00E50CAF" w:rsidP="000E3D0E">
            <w:pPr>
              <w:rPr>
                <w:rFonts w:ascii="David" w:hAnsi="David"/>
                <w:rtl/>
              </w:rPr>
            </w:pPr>
            <w:r w:rsidRPr="003325CE">
              <w:rPr>
                <w:rFonts w:ascii="David" w:hAnsi="David" w:hint="cs"/>
                <w:rtl/>
              </w:rPr>
              <w:t xml:space="preserve">ב"כ הנאשם </w:t>
            </w:r>
            <w:r w:rsidRPr="003325CE">
              <w:rPr>
                <w:rFonts w:ascii="David" w:hAnsi="David"/>
                <w:rtl/>
              </w:rPr>
              <w:t>–</w:t>
            </w:r>
            <w:r w:rsidRPr="003325CE">
              <w:rPr>
                <w:rFonts w:ascii="David" w:hAnsi="David" w:hint="cs"/>
                <w:rtl/>
              </w:rPr>
              <w:t xml:space="preserve"> עו"ד דוגמן</w:t>
            </w:r>
          </w:p>
          <w:p w14:paraId="732419B3" w14:textId="77777777" w:rsidR="00E50CAF" w:rsidRPr="003325CE" w:rsidRDefault="00E50CAF" w:rsidP="00E50CAF">
            <w:pPr>
              <w:jc w:val="center"/>
              <w:rPr>
                <w:rFonts w:ascii="David" w:hAnsi="David"/>
                <w:b/>
                <w:bCs/>
                <w:sz w:val="32"/>
                <w:szCs w:val="32"/>
                <w:rtl/>
              </w:rPr>
            </w:pPr>
          </w:p>
          <w:p w14:paraId="4AFAE7EE" w14:textId="77777777" w:rsidR="00E50CAF" w:rsidRPr="003325CE" w:rsidRDefault="00E50CAF" w:rsidP="00E50CAF">
            <w:pPr>
              <w:jc w:val="center"/>
              <w:rPr>
                <w:rFonts w:ascii="David" w:hAnsi="David"/>
                <w:sz w:val="32"/>
                <w:szCs w:val="32"/>
                <w:rtl/>
              </w:rPr>
            </w:pPr>
          </w:p>
        </w:tc>
      </w:tr>
      <w:bookmarkEnd w:id="2"/>
    </w:tbl>
    <w:p w14:paraId="2436AA82" w14:textId="77777777" w:rsidR="00E50CAF" w:rsidRPr="003325CE" w:rsidRDefault="00E50CAF" w:rsidP="00E50CAF">
      <w:pPr>
        <w:rPr>
          <w:rFonts w:ascii="David" w:hAnsi="David"/>
          <w:sz w:val="26"/>
          <w:szCs w:val="26"/>
          <w:rtl/>
        </w:rPr>
      </w:pPr>
    </w:p>
    <w:p w14:paraId="603805D5" w14:textId="77777777" w:rsidR="000A44FD" w:rsidRPr="000A44FD" w:rsidRDefault="000A44FD" w:rsidP="00E50CAF">
      <w:pPr>
        <w:spacing w:line="360" w:lineRule="auto"/>
        <w:rPr>
          <w:b/>
          <w:bCs/>
          <w:sz w:val="26"/>
          <w:szCs w:val="26"/>
          <w:rtl/>
        </w:rPr>
      </w:pPr>
    </w:p>
    <w:p w14:paraId="60449697" w14:textId="77777777" w:rsidR="00757034" w:rsidRPr="00757034" w:rsidRDefault="00757034" w:rsidP="000A44FD">
      <w:pPr>
        <w:spacing w:line="360" w:lineRule="auto"/>
        <w:rPr>
          <w:sz w:val="26"/>
          <w:szCs w:val="26"/>
          <w:rtl/>
        </w:rPr>
      </w:pPr>
    </w:p>
    <w:p w14:paraId="4252135F" w14:textId="77777777" w:rsidR="00757034" w:rsidRPr="00757034" w:rsidRDefault="00757034" w:rsidP="00757034">
      <w:pPr>
        <w:spacing w:after="120" w:line="240" w:lineRule="exact"/>
        <w:ind w:left="283" w:hanging="283"/>
        <w:jc w:val="both"/>
        <w:rPr>
          <w:rFonts w:ascii="FrankRuehl" w:hAnsi="FrankRuehl" w:cs="FrankRuehl"/>
          <w:rtl/>
        </w:rPr>
      </w:pPr>
      <w:bookmarkStart w:id="3" w:name="Links_Start"/>
      <w:bookmarkEnd w:id="3"/>
      <w:r w:rsidRPr="00757034">
        <w:rPr>
          <w:rFonts w:ascii="FrankRuehl" w:hAnsi="FrankRuehl" w:cs="FrankRuehl"/>
          <w:rtl/>
        </w:rPr>
        <w:t>ספרות:</w:t>
      </w:r>
    </w:p>
    <w:p w14:paraId="61BDE84B" w14:textId="77777777" w:rsidR="00757034" w:rsidRPr="00757034" w:rsidRDefault="00757034" w:rsidP="00757034">
      <w:pPr>
        <w:spacing w:after="120" w:line="240" w:lineRule="exact"/>
        <w:ind w:left="283" w:hanging="283"/>
        <w:jc w:val="both"/>
        <w:rPr>
          <w:rFonts w:ascii="FrankRuehl" w:hAnsi="FrankRuehl" w:cs="FrankRuehl"/>
          <w:color w:val="000000"/>
          <w:rtl/>
        </w:rPr>
      </w:pPr>
      <w:r w:rsidRPr="00757034">
        <w:rPr>
          <w:rFonts w:ascii="FrankRuehl" w:hAnsi="FrankRuehl" w:cs="FrankRuehl"/>
          <w:color w:val="000000"/>
          <w:rtl/>
        </w:rPr>
        <w:t xml:space="preserve">יעקב קדמי  </w:t>
      </w:r>
      <w:r w:rsidRPr="00757034">
        <w:rPr>
          <w:rFonts w:ascii="FrankRuehl" w:hAnsi="FrankRuehl" w:cs="FrankRuehl"/>
          <w:color w:val="000000"/>
        </w:rPr>
        <w:t xml:space="preserve"> </w:t>
      </w:r>
      <w:r w:rsidRPr="00757034">
        <w:rPr>
          <w:rFonts w:ascii="FrankRuehl" w:hAnsi="FrankRuehl" w:cs="FrankRuehl"/>
          <w:b/>
          <w:bCs/>
          <w:color w:val="000000"/>
          <w:rtl/>
        </w:rPr>
        <w:t xml:space="preserve">על פקודת הסמים המסוכנים </w:t>
      </w:r>
    </w:p>
    <w:p w14:paraId="4D857BB5" w14:textId="77777777" w:rsidR="00757034" w:rsidRPr="00757034" w:rsidRDefault="00757034" w:rsidP="000A44FD">
      <w:pPr>
        <w:spacing w:line="360" w:lineRule="auto"/>
        <w:rPr>
          <w:color w:val="000000"/>
          <w:sz w:val="26"/>
          <w:szCs w:val="26"/>
          <w:rtl/>
        </w:rPr>
      </w:pPr>
      <w:bookmarkStart w:id="4" w:name="Links_End"/>
      <w:bookmarkEnd w:id="4"/>
    </w:p>
    <w:p w14:paraId="14E7AF44" w14:textId="77777777" w:rsidR="00757034" w:rsidRDefault="00757034" w:rsidP="00757034">
      <w:pPr>
        <w:spacing w:line="360" w:lineRule="auto"/>
        <w:rPr>
          <w:sz w:val="26"/>
          <w:szCs w:val="26"/>
          <w:rtl/>
        </w:rPr>
      </w:pPr>
      <w:bookmarkStart w:id="5" w:name="LawTable"/>
      <w:bookmarkEnd w:id="5"/>
    </w:p>
    <w:p w14:paraId="173B7562" w14:textId="77777777" w:rsidR="00757034" w:rsidRPr="00757034" w:rsidRDefault="00757034" w:rsidP="00757034">
      <w:pPr>
        <w:spacing w:before="120" w:after="120" w:line="240" w:lineRule="exact"/>
        <w:ind w:left="283" w:hanging="283"/>
        <w:jc w:val="both"/>
        <w:rPr>
          <w:rFonts w:ascii="FrankRuehl" w:hAnsi="FrankRuehl" w:cs="FrankRuehl"/>
          <w:rtl/>
        </w:rPr>
      </w:pPr>
    </w:p>
    <w:p w14:paraId="5F12F47C" w14:textId="77777777" w:rsidR="00757034" w:rsidRPr="00757034" w:rsidRDefault="00757034" w:rsidP="00757034">
      <w:pPr>
        <w:spacing w:before="120" w:after="120" w:line="240" w:lineRule="exact"/>
        <w:ind w:left="283" w:hanging="283"/>
        <w:jc w:val="both"/>
        <w:rPr>
          <w:rFonts w:ascii="FrankRuehl" w:hAnsi="FrankRuehl" w:cs="FrankRuehl"/>
          <w:rtl/>
        </w:rPr>
      </w:pPr>
    </w:p>
    <w:p w14:paraId="753A289D" w14:textId="77777777" w:rsidR="00757034" w:rsidRPr="00757034" w:rsidRDefault="00757034" w:rsidP="00757034">
      <w:pPr>
        <w:spacing w:before="120" w:after="120" w:line="240" w:lineRule="exact"/>
        <w:ind w:left="283" w:hanging="283"/>
        <w:jc w:val="both"/>
        <w:rPr>
          <w:rFonts w:ascii="FrankRuehl" w:hAnsi="FrankRuehl" w:cs="FrankRuehl"/>
          <w:rtl/>
        </w:rPr>
      </w:pPr>
      <w:r w:rsidRPr="00757034">
        <w:rPr>
          <w:rFonts w:ascii="FrankRuehl" w:hAnsi="FrankRuehl" w:cs="FrankRuehl"/>
          <w:rtl/>
        </w:rPr>
        <w:t xml:space="preserve">חקיקה שאוזכרה: </w:t>
      </w:r>
    </w:p>
    <w:p w14:paraId="5334FAA2" w14:textId="77777777" w:rsidR="00757034" w:rsidRPr="00757034" w:rsidRDefault="00757034" w:rsidP="00757034">
      <w:pPr>
        <w:spacing w:before="120" w:after="120" w:line="240" w:lineRule="exact"/>
        <w:ind w:left="283" w:hanging="283"/>
        <w:jc w:val="both"/>
        <w:rPr>
          <w:rFonts w:ascii="FrankRuehl" w:hAnsi="FrankRuehl" w:cs="FrankRuehl"/>
          <w:rtl/>
        </w:rPr>
      </w:pPr>
      <w:hyperlink r:id="rId8" w:history="1">
        <w:r w:rsidRPr="00757034">
          <w:rPr>
            <w:rFonts w:ascii="FrankRuehl" w:hAnsi="FrankRuehl" w:cs="FrankRuehl"/>
            <w:color w:val="0000FF"/>
            <w:rtl/>
          </w:rPr>
          <w:t>פקודת הסמים המסוכנים [נוסח חדש], תשל"ג-1973</w:t>
        </w:r>
      </w:hyperlink>
      <w:r w:rsidRPr="00757034">
        <w:rPr>
          <w:rFonts w:ascii="FrankRuehl" w:hAnsi="FrankRuehl" w:cs="FrankRuehl"/>
          <w:rtl/>
        </w:rPr>
        <w:t xml:space="preserve">: סע'  </w:t>
      </w:r>
      <w:hyperlink r:id="rId9" w:history="1">
        <w:r w:rsidRPr="00757034">
          <w:rPr>
            <w:rFonts w:ascii="FrankRuehl" w:hAnsi="FrankRuehl" w:cs="FrankRuehl"/>
            <w:color w:val="0000FF"/>
            <w:rtl/>
          </w:rPr>
          <w:t>7(א)</w:t>
        </w:r>
      </w:hyperlink>
      <w:r w:rsidRPr="00757034">
        <w:rPr>
          <w:rFonts w:ascii="FrankRuehl" w:hAnsi="FrankRuehl" w:cs="FrankRuehl"/>
          <w:rtl/>
        </w:rPr>
        <w:t xml:space="preserve">, </w:t>
      </w:r>
      <w:hyperlink r:id="rId10" w:history="1">
        <w:r w:rsidRPr="00757034">
          <w:rPr>
            <w:rFonts w:ascii="FrankRuehl" w:hAnsi="FrankRuehl" w:cs="FrankRuehl"/>
            <w:color w:val="0000FF"/>
            <w:rtl/>
          </w:rPr>
          <w:t>7(ג)</w:t>
        </w:r>
      </w:hyperlink>
    </w:p>
    <w:p w14:paraId="327FEC66" w14:textId="77777777" w:rsidR="00757034" w:rsidRPr="00757034" w:rsidRDefault="00757034" w:rsidP="00757034">
      <w:pPr>
        <w:spacing w:before="120" w:after="120" w:line="240" w:lineRule="exact"/>
        <w:ind w:left="283" w:hanging="283"/>
        <w:jc w:val="both"/>
        <w:rPr>
          <w:rFonts w:ascii="FrankRuehl" w:hAnsi="FrankRuehl" w:cs="FrankRuehl"/>
          <w:rtl/>
        </w:rPr>
      </w:pPr>
      <w:hyperlink r:id="rId11" w:history="1">
        <w:r w:rsidRPr="00757034">
          <w:rPr>
            <w:rFonts w:ascii="FrankRuehl" w:hAnsi="FrankRuehl" w:cs="FrankRuehl"/>
            <w:color w:val="0000FF"/>
            <w:rtl/>
          </w:rPr>
          <w:t>חוק העונשין, תשל"ז-1977</w:t>
        </w:r>
      </w:hyperlink>
      <w:r w:rsidRPr="00757034">
        <w:rPr>
          <w:rFonts w:ascii="FrankRuehl" w:hAnsi="FrankRuehl" w:cs="FrankRuehl"/>
          <w:rtl/>
        </w:rPr>
        <w:t xml:space="preserve">: סע'  </w:t>
      </w:r>
      <w:hyperlink r:id="rId12" w:history="1">
        <w:r w:rsidRPr="00757034">
          <w:rPr>
            <w:rFonts w:ascii="FrankRuehl" w:hAnsi="FrankRuehl" w:cs="FrankRuehl"/>
            <w:color w:val="0000FF"/>
            <w:rtl/>
          </w:rPr>
          <w:t>58</w:t>
        </w:r>
      </w:hyperlink>
      <w:r w:rsidRPr="00757034">
        <w:rPr>
          <w:rFonts w:ascii="FrankRuehl" w:hAnsi="FrankRuehl" w:cs="FrankRuehl"/>
          <w:rtl/>
        </w:rPr>
        <w:t xml:space="preserve">, </w:t>
      </w:r>
      <w:hyperlink r:id="rId13" w:history="1">
        <w:r w:rsidRPr="00757034">
          <w:rPr>
            <w:rFonts w:ascii="FrankRuehl" w:hAnsi="FrankRuehl" w:cs="FrankRuehl"/>
            <w:color w:val="0000FF"/>
            <w:rtl/>
          </w:rPr>
          <w:t>275</w:t>
        </w:r>
      </w:hyperlink>
      <w:r w:rsidRPr="00757034">
        <w:rPr>
          <w:rFonts w:ascii="FrankRuehl" w:hAnsi="FrankRuehl" w:cs="FrankRuehl"/>
          <w:rtl/>
        </w:rPr>
        <w:t xml:space="preserve">, </w:t>
      </w:r>
      <w:hyperlink r:id="rId14" w:history="1">
        <w:r w:rsidRPr="00757034">
          <w:rPr>
            <w:rFonts w:ascii="FrankRuehl" w:hAnsi="FrankRuehl" w:cs="FrankRuehl"/>
            <w:color w:val="0000FF"/>
            <w:rtl/>
          </w:rPr>
          <w:t>40יא(9)</w:t>
        </w:r>
      </w:hyperlink>
    </w:p>
    <w:p w14:paraId="709CCCD5" w14:textId="77777777" w:rsidR="00757034" w:rsidRPr="00757034" w:rsidRDefault="00757034" w:rsidP="00757034">
      <w:pPr>
        <w:spacing w:line="360" w:lineRule="auto"/>
        <w:rPr>
          <w:sz w:val="26"/>
          <w:szCs w:val="26"/>
          <w:rtl/>
        </w:rPr>
      </w:pPr>
      <w:bookmarkStart w:id="6" w:name="LawTable_End"/>
      <w:bookmarkEnd w:id="6"/>
    </w:p>
    <w:p w14:paraId="4A6B0808" w14:textId="77777777" w:rsidR="00E50CAF" w:rsidRPr="00757034" w:rsidRDefault="00E50CAF" w:rsidP="000A44FD">
      <w:pPr>
        <w:spacing w:line="360" w:lineRule="auto"/>
        <w:rPr>
          <w:rFonts w:hint="cs"/>
          <w:sz w:val="26"/>
          <w:szCs w:val="26"/>
          <w:rtl/>
        </w:rPr>
      </w:pPr>
    </w:p>
    <w:p w14:paraId="071FF01B" w14:textId="77777777" w:rsidR="00F67E80" w:rsidRPr="003325CE" w:rsidRDefault="00F67E80" w:rsidP="00F67E80">
      <w:pPr>
        <w:spacing w:line="360" w:lineRule="auto"/>
        <w:jc w:val="center"/>
        <w:rPr>
          <w:rFonts w:hint="cs"/>
          <w:b/>
          <w:bCs/>
          <w:sz w:val="26"/>
          <w:szCs w:val="26"/>
          <w:rtl/>
        </w:rPr>
      </w:pPr>
      <w:bookmarkStart w:id="7" w:name="PsakDin"/>
      <w:r w:rsidRPr="003325CE">
        <w:rPr>
          <w:rFonts w:ascii="David" w:hAnsi="David"/>
          <w:b/>
          <w:bCs/>
          <w:sz w:val="32"/>
          <w:szCs w:val="32"/>
          <w:rtl/>
        </w:rPr>
        <w:t>גזר דין</w:t>
      </w:r>
    </w:p>
    <w:bookmarkEnd w:id="7"/>
    <w:p w14:paraId="6F4ADD13" w14:textId="77777777" w:rsidR="00E50CAF" w:rsidRPr="003325CE" w:rsidRDefault="00E50CAF" w:rsidP="00E50CAF">
      <w:pPr>
        <w:spacing w:line="360" w:lineRule="auto"/>
        <w:rPr>
          <w:b/>
          <w:bCs/>
          <w:sz w:val="26"/>
          <w:szCs w:val="26"/>
          <w:rtl/>
        </w:rPr>
      </w:pPr>
      <w:r w:rsidRPr="003325CE">
        <w:rPr>
          <w:b/>
          <w:bCs/>
          <w:sz w:val="26"/>
          <w:szCs w:val="26"/>
          <w:rtl/>
        </w:rPr>
        <w:lastRenderedPageBreak/>
        <w:t>רקע</w:t>
      </w:r>
    </w:p>
    <w:p w14:paraId="2610149F" w14:textId="77777777" w:rsidR="00E50CAF" w:rsidRPr="003325CE" w:rsidRDefault="00E50CAF" w:rsidP="00E50CAF">
      <w:pPr>
        <w:spacing w:line="360" w:lineRule="auto"/>
        <w:rPr>
          <w:b/>
          <w:bCs/>
          <w:sz w:val="26"/>
          <w:szCs w:val="26"/>
        </w:rPr>
      </w:pPr>
    </w:p>
    <w:p w14:paraId="51F3CED5" w14:textId="77777777" w:rsidR="00E50CAF" w:rsidRDefault="00E50CAF" w:rsidP="00E50CAF">
      <w:pPr>
        <w:pStyle w:val="aa"/>
        <w:numPr>
          <w:ilvl w:val="0"/>
          <w:numId w:val="1"/>
        </w:numPr>
        <w:spacing w:line="360" w:lineRule="auto"/>
        <w:jc w:val="both"/>
        <w:rPr>
          <w:rFonts w:cs="David"/>
          <w:sz w:val="24"/>
          <w:szCs w:val="24"/>
          <w:rtl/>
        </w:rPr>
      </w:pPr>
      <w:bookmarkStart w:id="8" w:name="ABSTRACT_START"/>
      <w:bookmarkEnd w:id="8"/>
      <w:r>
        <w:rPr>
          <w:rFonts w:cs="David"/>
          <w:sz w:val="24"/>
          <w:szCs w:val="24"/>
          <w:rtl/>
        </w:rPr>
        <w:t xml:space="preserve">הנאשם הורשע לאחר שמיעת הוכחות בעבירה של החזקת 4.92 גרם סם מסוכן מסוג הירואין, שלא לצריכה עצמית וללא היתר כדין בניגוד </w:t>
      </w:r>
      <w:hyperlink r:id="rId15" w:history="1">
        <w:r w:rsidR="00F67E80" w:rsidRPr="00F67E80">
          <w:rPr>
            <w:rStyle w:val="Hyperlink"/>
            <w:rFonts w:cs="David" w:hint="cs"/>
            <w:sz w:val="24"/>
            <w:szCs w:val="24"/>
            <w:rtl/>
          </w:rPr>
          <w:t>ל</w:t>
        </w:r>
        <w:bookmarkStart w:id="9" w:name="Seif3"/>
        <w:r w:rsidR="00F67E80" w:rsidRPr="00F67E80">
          <w:rPr>
            <w:rStyle w:val="Hyperlink"/>
            <w:rFonts w:cs="David" w:hint="cs"/>
            <w:sz w:val="24"/>
            <w:szCs w:val="24"/>
            <w:rtl/>
          </w:rPr>
          <w:t>סעיף</w:t>
        </w:r>
        <w:r w:rsidR="00F67E80" w:rsidRPr="00F67E80">
          <w:rPr>
            <w:rStyle w:val="Hyperlink"/>
            <w:rFonts w:cs="David"/>
            <w:sz w:val="24"/>
            <w:szCs w:val="24"/>
            <w:rtl/>
          </w:rPr>
          <w:t xml:space="preserve"> </w:t>
        </w:r>
        <w:bookmarkEnd w:id="9"/>
        <w:r w:rsidR="00F67E80" w:rsidRPr="00F67E80">
          <w:rPr>
            <w:rStyle w:val="Hyperlink"/>
            <w:rFonts w:cs="David"/>
            <w:sz w:val="24"/>
            <w:szCs w:val="24"/>
            <w:rtl/>
          </w:rPr>
          <w:t>7(</w:t>
        </w:r>
        <w:r w:rsidR="00F67E80" w:rsidRPr="00F67E80">
          <w:rPr>
            <w:rStyle w:val="Hyperlink"/>
            <w:rFonts w:cs="David" w:hint="cs"/>
            <w:sz w:val="24"/>
            <w:szCs w:val="24"/>
            <w:rtl/>
          </w:rPr>
          <w:t>א</w:t>
        </w:r>
        <w:r w:rsidR="00F67E80" w:rsidRPr="00F67E80">
          <w:rPr>
            <w:rStyle w:val="Hyperlink"/>
            <w:rFonts w:cs="David"/>
            <w:sz w:val="24"/>
            <w:szCs w:val="24"/>
            <w:rtl/>
          </w:rPr>
          <w:t>)</w:t>
        </w:r>
      </w:hyperlink>
      <w:r>
        <w:rPr>
          <w:rFonts w:cs="David"/>
          <w:sz w:val="24"/>
          <w:szCs w:val="24"/>
          <w:rtl/>
        </w:rPr>
        <w:t xml:space="preserve"> ו-</w:t>
      </w:r>
      <w:hyperlink r:id="rId16" w:history="1">
        <w:r w:rsidR="00F67E80" w:rsidRPr="00F67E80">
          <w:rPr>
            <w:rStyle w:val="Hyperlink"/>
            <w:rFonts w:cs="David"/>
            <w:sz w:val="24"/>
            <w:szCs w:val="24"/>
            <w:rtl/>
          </w:rPr>
          <w:t>7(</w:t>
        </w:r>
        <w:r w:rsidR="00F67E80" w:rsidRPr="00F67E80">
          <w:rPr>
            <w:rStyle w:val="Hyperlink"/>
            <w:rFonts w:cs="David" w:hint="cs"/>
            <w:sz w:val="24"/>
            <w:szCs w:val="24"/>
            <w:rtl/>
          </w:rPr>
          <w:t>ג</w:t>
        </w:r>
        <w:r w:rsidR="00F67E80" w:rsidRPr="00F67E80">
          <w:rPr>
            <w:rStyle w:val="Hyperlink"/>
            <w:rFonts w:cs="David"/>
            <w:sz w:val="24"/>
            <w:szCs w:val="24"/>
            <w:rtl/>
          </w:rPr>
          <w:t>)</w:t>
        </w:r>
      </w:hyperlink>
      <w:r>
        <w:rPr>
          <w:rFonts w:cs="David"/>
          <w:sz w:val="24"/>
          <w:szCs w:val="24"/>
          <w:rtl/>
        </w:rPr>
        <w:t xml:space="preserve"> רישא  ל</w:t>
      </w:r>
      <w:hyperlink r:id="rId17" w:history="1">
        <w:r w:rsidR="003325CE" w:rsidRPr="003325CE">
          <w:rPr>
            <w:rFonts w:cs="David" w:hint="cs"/>
            <w:color w:val="0000FF"/>
            <w:sz w:val="24"/>
            <w:szCs w:val="24"/>
            <w:u w:val="single"/>
            <w:rtl/>
          </w:rPr>
          <w:t>פקודת</w:t>
        </w:r>
        <w:r w:rsidR="003325CE" w:rsidRPr="003325CE">
          <w:rPr>
            <w:rFonts w:cs="David"/>
            <w:color w:val="0000FF"/>
            <w:sz w:val="24"/>
            <w:szCs w:val="24"/>
            <w:u w:val="single"/>
            <w:rtl/>
          </w:rPr>
          <w:t xml:space="preserve"> </w:t>
        </w:r>
        <w:r w:rsidR="003325CE" w:rsidRPr="003325CE">
          <w:rPr>
            <w:rFonts w:cs="David" w:hint="cs"/>
            <w:color w:val="0000FF"/>
            <w:sz w:val="24"/>
            <w:szCs w:val="24"/>
            <w:u w:val="single"/>
            <w:rtl/>
          </w:rPr>
          <w:t>הסמים</w:t>
        </w:r>
        <w:r w:rsidR="003325CE" w:rsidRPr="003325CE">
          <w:rPr>
            <w:rFonts w:cs="David"/>
            <w:color w:val="0000FF"/>
            <w:sz w:val="24"/>
            <w:szCs w:val="24"/>
            <w:u w:val="single"/>
            <w:rtl/>
          </w:rPr>
          <w:t xml:space="preserve"> </w:t>
        </w:r>
        <w:r w:rsidR="003325CE" w:rsidRPr="003325CE">
          <w:rPr>
            <w:rFonts w:cs="David" w:hint="cs"/>
            <w:color w:val="0000FF"/>
            <w:sz w:val="24"/>
            <w:szCs w:val="24"/>
            <w:u w:val="single"/>
            <w:rtl/>
          </w:rPr>
          <w:t>המסוכנים</w:t>
        </w:r>
      </w:hyperlink>
      <w:r>
        <w:rPr>
          <w:rFonts w:cs="David"/>
          <w:sz w:val="24"/>
          <w:szCs w:val="24"/>
          <w:rtl/>
        </w:rPr>
        <w:t xml:space="preserve"> (נוסח חדש) תשל"ג-1973 ובעבירה ששל הפרעה לשוטר במילוי תפקידו בכך שדרך על הסם לאחר שהפילו וזאת בניגוד </w:t>
      </w:r>
      <w:hyperlink r:id="rId18" w:history="1">
        <w:r w:rsidR="00F67E80" w:rsidRPr="00F67E80">
          <w:rPr>
            <w:rStyle w:val="Hyperlink"/>
            <w:rFonts w:cs="David" w:hint="cs"/>
            <w:sz w:val="24"/>
            <w:szCs w:val="24"/>
            <w:rtl/>
          </w:rPr>
          <w:t>ל</w:t>
        </w:r>
        <w:bookmarkStart w:id="10" w:name="Seif4"/>
        <w:r w:rsidR="00F67E80" w:rsidRPr="00F67E80">
          <w:rPr>
            <w:rStyle w:val="Hyperlink"/>
            <w:rFonts w:cs="David" w:hint="cs"/>
            <w:sz w:val="24"/>
            <w:szCs w:val="24"/>
            <w:rtl/>
          </w:rPr>
          <w:t>סעיף</w:t>
        </w:r>
        <w:r w:rsidR="00F67E80" w:rsidRPr="00F67E80">
          <w:rPr>
            <w:rStyle w:val="Hyperlink"/>
            <w:rFonts w:cs="David"/>
            <w:sz w:val="24"/>
            <w:szCs w:val="24"/>
            <w:rtl/>
          </w:rPr>
          <w:t xml:space="preserve"> </w:t>
        </w:r>
        <w:bookmarkEnd w:id="10"/>
        <w:r w:rsidR="00F67E80" w:rsidRPr="00F67E80">
          <w:rPr>
            <w:rStyle w:val="Hyperlink"/>
            <w:rFonts w:cs="David"/>
            <w:sz w:val="24"/>
            <w:szCs w:val="24"/>
            <w:rtl/>
          </w:rPr>
          <w:t>275</w:t>
        </w:r>
      </w:hyperlink>
      <w:r>
        <w:rPr>
          <w:rFonts w:cs="David"/>
          <w:sz w:val="24"/>
          <w:szCs w:val="24"/>
          <w:rtl/>
        </w:rPr>
        <w:t xml:space="preserve"> ל</w:t>
      </w:r>
      <w:hyperlink r:id="rId19" w:history="1">
        <w:r w:rsidR="003325CE" w:rsidRPr="003325CE">
          <w:rPr>
            <w:rFonts w:cs="David" w:hint="cs"/>
            <w:color w:val="0000FF"/>
            <w:sz w:val="24"/>
            <w:szCs w:val="24"/>
            <w:u w:val="single"/>
            <w:rtl/>
          </w:rPr>
          <w:t>חוק</w:t>
        </w:r>
        <w:r w:rsidR="003325CE" w:rsidRPr="003325CE">
          <w:rPr>
            <w:rFonts w:cs="David"/>
            <w:color w:val="0000FF"/>
            <w:sz w:val="24"/>
            <w:szCs w:val="24"/>
            <w:u w:val="single"/>
            <w:rtl/>
          </w:rPr>
          <w:t xml:space="preserve"> </w:t>
        </w:r>
        <w:r w:rsidR="003325CE" w:rsidRPr="003325CE">
          <w:rPr>
            <w:rFonts w:cs="David" w:hint="cs"/>
            <w:color w:val="0000FF"/>
            <w:sz w:val="24"/>
            <w:szCs w:val="24"/>
            <w:u w:val="single"/>
            <w:rtl/>
          </w:rPr>
          <w:t>העונשין</w:t>
        </w:r>
      </w:hyperlink>
      <w:r>
        <w:rPr>
          <w:rFonts w:cs="David"/>
          <w:sz w:val="24"/>
          <w:szCs w:val="24"/>
          <w:rtl/>
        </w:rPr>
        <w:t>, התשל"ז-1977.</w:t>
      </w:r>
      <w:r>
        <w:rPr>
          <w:rFonts w:cs="David" w:hint="cs"/>
          <w:sz w:val="24"/>
          <w:szCs w:val="24"/>
          <w:rtl/>
        </w:rPr>
        <w:t xml:space="preserve"> </w:t>
      </w:r>
      <w:r>
        <w:rPr>
          <w:rFonts w:cs="David"/>
          <w:sz w:val="24"/>
          <w:szCs w:val="24"/>
          <w:rtl/>
        </w:rPr>
        <w:t>עבירות מיום 30.10.20.</w:t>
      </w:r>
    </w:p>
    <w:p w14:paraId="1152AEA1" w14:textId="77777777" w:rsidR="00E50CAF" w:rsidRDefault="00E50CAF" w:rsidP="00E50CAF">
      <w:pPr>
        <w:pStyle w:val="aa"/>
        <w:spacing w:line="360" w:lineRule="auto"/>
        <w:ind w:left="360"/>
        <w:jc w:val="both"/>
        <w:rPr>
          <w:rFonts w:cs="David"/>
          <w:b/>
          <w:bCs/>
          <w:sz w:val="24"/>
          <w:szCs w:val="24"/>
          <w:u w:val="single"/>
        </w:rPr>
      </w:pPr>
    </w:p>
    <w:p w14:paraId="2C020386" w14:textId="77777777" w:rsidR="00E50CAF" w:rsidRDefault="00E50CAF" w:rsidP="00E50CAF">
      <w:pPr>
        <w:spacing w:line="360" w:lineRule="auto"/>
        <w:jc w:val="both"/>
        <w:rPr>
          <w:b/>
          <w:bCs/>
          <w:u w:val="single"/>
          <w:rtl/>
        </w:rPr>
      </w:pPr>
      <w:bookmarkStart w:id="11" w:name="ABSTRACT_END"/>
      <w:bookmarkEnd w:id="11"/>
      <w:r>
        <w:rPr>
          <w:b/>
          <w:bCs/>
          <w:u w:val="single"/>
          <w:rtl/>
        </w:rPr>
        <w:t>טיעוני הצדדים</w:t>
      </w:r>
    </w:p>
    <w:p w14:paraId="644DE586" w14:textId="77777777" w:rsidR="00E50CAF" w:rsidRDefault="00E50CAF" w:rsidP="00E50CAF">
      <w:pPr>
        <w:spacing w:line="360" w:lineRule="auto"/>
        <w:jc w:val="both"/>
        <w:rPr>
          <w:b/>
          <w:bCs/>
          <w:u w:val="single"/>
        </w:rPr>
      </w:pPr>
    </w:p>
    <w:p w14:paraId="1B6B2837" w14:textId="77777777" w:rsidR="00E50CAF" w:rsidRDefault="00E50CAF" w:rsidP="00E50CAF">
      <w:pPr>
        <w:pStyle w:val="aa"/>
        <w:numPr>
          <w:ilvl w:val="0"/>
          <w:numId w:val="1"/>
        </w:numPr>
        <w:spacing w:line="360" w:lineRule="auto"/>
        <w:jc w:val="both"/>
        <w:rPr>
          <w:rFonts w:cs="David"/>
          <w:sz w:val="24"/>
          <w:szCs w:val="24"/>
          <w:rtl/>
        </w:rPr>
      </w:pPr>
      <w:r>
        <w:rPr>
          <w:rFonts w:cs="David"/>
          <w:sz w:val="24"/>
          <w:szCs w:val="24"/>
          <w:rtl/>
        </w:rPr>
        <w:t>ב"כ המאשימה הפנתה לחומרת העבירות ולערכים החברתיים שנפגעו, לשיטתה מתחם העונש ההולם נע בין 8-18 חודשי מאסר בפועל וענישה נלווית. ב"כ המאשימה הגישה אסופת פסיקה התומכת בטיעוניה. ב"כ המאשימה ציינה  שהנאשם בחר לכפור במיוחס לו ולנהל הליך הוכחות, הפנתה לעברו המכביד, למאסרים המותנים שתלויים ועומדים נגדו, ועתרה להטיל על הנאשם מאסר ברף הגבוה של המתחם, להפעיל המאסרים המותנים במצטבר ולהטיל ענישה נוספת בדמות,  מאסר על תנאי, פסילת רישיון, פסילה מותנית וקנס משמעותי.</w:t>
      </w:r>
    </w:p>
    <w:p w14:paraId="78F273FC" w14:textId="77777777" w:rsidR="00E50CAF" w:rsidRDefault="00E50CAF" w:rsidP="00E50CAF">
      <w:pPr>
        <w:pStyle w:val="aa"/>
        <w:spacing w:line="360" w:lineRule="auto"/>
        <w:ind w:left="644"/>
        <w:jc w:val="both"/>
        <w:rPr>
          <w:rFonts w:cs="David"/>
          <w:sz w:val="24"/>
          <w:szCs w:val="24"/>
        </w:rPr>
      </w:pPr>
    </w:p>
    <w:p w14:paraId="0858789F" w14:textId="77777777" w:rsidR="00E50CAF" w:rsidRDefault="00E50CAF" w:rsidP="00E50CAF">
      <w:pPr>
        <w:pStyle w:val="aa"/>
        <w:numPr>
          <w:ilvl w:val="0"/>
          <w:numId w:val="1"/>
        </w:numPr>
        <w:spacing w:line="360" w:lineRule="auto"/>
        <w:jc w:val="both"/>
        <w:rPr>
          <w:rFonts w:cs="David"/>
          <w:sz w:val="24"/>
          <w:szCs w:val="24"/>
        </w:rPr>
      </w:pPr>
      <w:r>
        <w:rPr>
          <w:rFonts w:cs="David"/>
          <w:sz w:val="24"/>
          <w:szCs w:val="24"/>
          <w:rtl/>
        </w:rPr>
        <w:t>ב"כ הנאשם טען כי מתחם העונש ההולם נע בין 6-12 חודשי מאסר בפועל. ב"כ הנאשם ביקש להקל בעונשו של הנאשם לאור נסיבותיו האישיות, גילו, מצבו הבריאותי והמשפחתי וכן בשל מחדלי החקירה שפורטו בכתב האישום אשר יש בהם לשיטתו כדי להקל בעונשו של הנאשם.  ב"כ הנאשם הפנה לפסיקה הן ביחס למתחמי הענישה והן ביחס להקלה בעונש בשל מחדלי חקירה.</w:t>
      </w:r>
    </w:p>
    <w:p w14:paraId="451818CB" w14:textId="77777777" w:rsidR="00E50CAF" w:rsidRDefault="00E50CAF" w:rsidP="00E50CAF">
      <w:pPr>
        <w:pStyle w:val="aa"/>
        <w:rPr>
          <w:rFonts w:cs="David"/>
          <w:sz w:val="24"/>
          <w:szCs w:val="24"/>
        </w:rPr>
      </w:pPr>
    </w:p>
    <w:p w14:paraId="487C03F4" w14:textId="77777777" w:rsidR="00E50CAF" w:rsidRDefault="00E50CAF" w:rsidP="00E50CAF">
      <w:pPr>
        <w:pStyle w:val="aa"/>
        <w:numPr>
          <w:ilvl w:val="0"/>
          <w:numId w:val="1"/>
        </w:numPr>
        <w:spacing w:line="360" w:lineRule="auto"/>
        <w:jc w:val="both"/>
        <w:rPr>
          <w:rFonts w:cs="David"/>
          <w:sz w:val="24"/>
          <w:szCs w:val="24"/>
          <w:rtl/>
        </w:rPr>
      </w:pPr>
      <w:r>
        <w:rPr>
          <w:rFonts w:cs="David"/>
          <w:sz w:val="24"/>
          <w:szCs w:val="24"/>
          <w:rtl/>
        </w:rPr>
        <w:t>הנאשם בדבריו האחרונים ביקש את התחשבות בית המשפט בשל היותו חולה.</w:t>
      </w:r>
    </w:p>
    <w:p w14:paraId="58B08A2C" w14:textId="77777777" w:rsidR="00E50CAF" w:rsidRDefault="00E50CAF" w:rsidP="00E50CAF">
      <w:pPr>
        <w:pStyle w:val="aa"/>
        <w:spacing w:line="360" w:lineRule="auto"/>
        <w:rPr>
          <w:rFonts w:cs="David"/>
          <w:b/>
          <w:bCs/>
          <w:sz w:val="24"/>
          <w:szCs w:val="24"/>
          <w:u w:val="single"/>
        </w:rPr>
      </w:pPr>
    </w:p>
    <w:p w14:paraId="07B18E5B" w14:textId="77777777" w:rsidR="00E50CAF" w:rsidRDefault="00E50CAF" w:rsidP="00E50CAF">
      <w:pPr>
        <w:spacing w:line="360" w:lineRule="auto"/>
        <w:jc w:val="both"/>
        <w:rPr>
          <w:b/>
          <w:bCs/>
          <w:sz w:val="28"/>
          <w:szCs w:val="28"/>
          <w:u w:val="single"/>
          <w:rtl/>
        </w:rPr>
      </w:pPr>
      <w:r>
        <w:rPr>
          <w:b/>
          <w:bCs/>
          <w:sz w:val="28"/>
          <w:szCs w:val="28"/>
          <w:u w:val="single"/>
          <w:rtl/>
        </w:rPr>
        <w:t>דיון</w:t>
      </w:r>
    </w:p>
    <w:p w14:paraId="41AF00C4" w14:textId="77777777" w:rsidR="00E50CAF" w:rsidRDefault="00E50CAF" w:rsidP="00E50CAF">
      <w:pPr>
        <w:spacing w:line="360" w:lineRule="auto"/>
        <w:rPr>
          <w:b/>
          <w:bCs/>
          <w:u w:val="single"/>
          <w:rtl/>
        </w:rPr>
      </w:pPr>
    </w:p>
    <w:p w14:paraId="71BD3285" w14:textId="77777777" w:rsidR="00E50CAF" w:rsidRDefault="00E50CAF" w:rsidP="00E50CAF">
      <w:pPr>
        <w:spacing w:line="360" w:lineRule="auto"/>
        <w:rPr>
          <w:b/>
          <w:bCs/>
          <w:u w:val="single"/>
          <w:rtl/>
        </w:rPr>
      </w:pPr>
      <w:r>
        <w:rPr>
          <w:b/>
          <w:bCs/>
          <w:u w:val="single"/>
          <w:rtl/>
        </w:rPr>
        <w:t>מתחם העונש ההולם</w:t>
      </w:r>
    </w:p>
    <w:p w14:paraId="024817EC" w14:textId="77777777" w:rsidR="00E50CAF" w:rsidRDefault="00E50CAF" w:rsidP="00E50CAF">
      <w:pPr>
        <w:pStyle w:val="aa"/>
        <w:numPr>
          <w:ilvl w:val="0"/>
          <w:numId w:val="1"/>
        </w:numPr>
        <w:spacing w:before="100" w:beforeAutospacing="1" w:after="100" w:afterAutospacing="1" w:line="360" w:lineRule="auto"/>
        <w:jc w:val="both"/>
        <w:rPr>
          <w:rFonts w:ascii="David" w:hAnsi="David" w:cs="David"/>
          <w:sz w:val="24"/>
          <w:szCs w:val="24"/>
          <w:rtl/>
        </w:rPr>
      </w:pPr>
      <w:r>
        <w:rPr>
          <w:rFonts w:cs="David"/>
          <w:bCs/>
          <w:sz w:val="24"/>
          <w:szCs w:val="24"/>
          <w:rtl/>
          <w:lang w:eastAsia="he-IL"/>
        </w:rPr>
        <w:t>הערכים החברתיים</w:t>
      </w:r>
      <w:r>
        <w:rPr>
          <w:rFonts w:cs="David"/>
          <w:b/>
          <w:sz w:val="24"/>
          <w:szCs w:val="24"/>
          <w:rtl/>
          <w:lang w:eastAsia="he-IL"/>
        </w:rPr>
        <w:t xml:space="preserve"> אשר נפגעו הינם ההגנה מפני הנזקים הישירים והעקיפים אשר נגרמים עקב השימוש בסמים, שמירת הסדר הציבורי ויכולתם של גורמי אכיפת החוק לבצע עבודתם מבלי שיופרעו.</w:t>
      </w:r>
    </w:p>
    <w:p w14:paraId="22CA791A" w14:textId="77777777" w:rsidR="00E50CAF" w:rsidRDefault="00E50CAF" w:rsidP="00E50CAF">
      <w:pPr>
        <w:pStyle w:val="aa"/>
        <w:spacing w:after="0" w:line="360" w:lineRule="auto"/>
        <w:ind w:left="644"/>
        <w:jc w:val="both"/>
        <w:rPr>
          <w:rFonts w:ascii="David" w:eastAsia="David" w:hAnsi="David" w:cs="David"/>
          <w:sz w:val="24"/>
          <w:szCs w:val="24"/>
        </w:rPr>
      </w:pPr>
    </w:p>
    <w:p w14:paraId="4C948F0C" w14:textId="77777777" w:rsidR="00E50CAF" w:rsidRDefault="00E50CAF" w:rsidP="00E50CAF">
      <w:pPr>
        <w:pStyle w:val="aa"/>
        <w:numPr>
          <w:ilvl w:val="0"/>
          <w:numId w:val="1"/>
        </w:numPr>
        <w:spacing w:after="0" w:line="360" w:lineRule="auto"/>
        <w:jc w:val="both"/>
        <w:rPr>
          <w:rFonts w:ascii="David" w:eastAsia="David" w:hAnsi="David" w:cs="David"/>
          <w:sz w:val="24"/>
          <w:szCs w:val="24"/>
        </w:rPr>
      </w:pPr>
      <w:r>
        <w:rPr>
          <w:rFonts w:ascii="Arial" w:eastAsia="David" w:hAnsi="Arial" w:cs="David"/>
          <w:sz w:val="24"/>
          <w:szCs w:val="24"/>
          <w:rtl/>
        </w:rPr>
        <w:lastRenderedPageBreak/>
        <w:t>בית המשפט העליון עמד לא אחת על החומרה שבעבירות הסמים ועל  הצורך לשרש את נגע הסמים.</w:t>
      </w:r>
    </w:p>
    <w:p w14:paraId="7A409D77" w14:textId="77777777" w:rsidR="00E50CAF" w:rsidRDefault="00E50CAF" w:rsidP="00E50CAF">
      <w:pPr>
        <w:pStyle w:val="aa"/>
        <w:spacing w:line="360" w:lineRule="auto"/>
        <w:rPr>
          <w:rFonts w:ascii="Arial" w:eastAsia="David" w:hAnsi="Arial" w:cs="David"/>
          <w:sz w:val="24"/>
          <w:szCs w:val="24"/>
        </w:rPr>
      </w:pPr>
    </w:p>
    <w:p w14:paraId="1BE5E3D5" w14:textId="77777777" w:rsidR="00E50CAF" w:rsidRDefault="00E50CAF" w:rsidP="00E50CAF">
      <w:pPr>
        <w:pStyle w:val="aa"/>
        <w:spacing w:after="0" w:line="360" w:lineRule="auto"/>
        <w:ind w:left="360"/>
        <w:jc w:val="both"/>
        <w:rPr>
          <w:rFonts w:ascii="David" w:eastAsia="David" w:hAnsi="David" w:cs="David"/>
          <w:sz w:val="24"/>
          <w:szCs w:val="24"/>
          <w:rtl/>
        </w:rPr>
      </w:pPr>
      <w:r>
        <w:rPr>
          <w:rFonts w:ascii="Arial" w:eastAsia="David" w:hAnsi="Arial" w:cs="David"/>
          <w:sz w:val="24"/>
          <w:szCs w:val="24"/>
          <w:rtl/>
        </w:rPr>
        <w:t xml:space="preserve">ראו למשל דברי כב' הש' גובראן </w:t>
      </w:r>
      <w:r>
        <w:rPr>
          <w:rFonts w:ascii="Arial" w:eastAsia="David" w:hAnsi="Arial" w:cs="David"/>
          <w:sz w:val="24"/>
          <w:szCs w:val="24"/>
        </w:rPr>
        <w:t xml:space="preserve"> </w:t>
      </w:r>
      <w:r w:rsidRPr="003325CE">
        <w:rPr>
          <w:rFonts w:cs="David"/>
          <w:color w:val="000000"/>
          <w:spacing w:val="10"/>
          <w:sz w:val="24"/>
          <w:szCs w:val="24"/>
          <w:rtl/>
        </w:rPr>
        <w:t>ב</w:t>
      </w:r>
      <w:hyperlink r:id="rId20" w:history="1">
        <w:r w:rsidR="003325CE" w:rsidRPr="003325CE">
          <w:rPr>
            <w:rFonts w:cs="David" w:hint="cs"/>
            <w:color w:val="0000FF"/>
            <w:spacing w:val="10"/>
            <w:sz w:val="24"/>
            <w:szCs w:val="24"/>
            <w:u w:val="single"/>
            <w:rtl/>
          </w:rPr>
          <w:t>ע</w:t>
        </w:r>
        <w:r w:rsidR="003325CE" w:rsidRPr="003325CE">
          <w:rPr>
            <w:rFonts w:cs="David"/>
            <w:color w:val="0000FF"/>
            <w:spacing w:val="10"/>
            <w:sz w:val="24"/>
            <w:szCs w:val="24"/>
            <w:u w:val="single"/>
            <w:rtl/>
          </w:rPr>
          <w:t>"</w:t>
        </w:r>
        <w:r w:rsidR="003325CE" w:rsidRPr="003325CE">
          <w:rPr>
            <w:rFonts w:cs="David" w:hint="cs"/>
            <w:color w:val="0000FF"/>
            <w:spacing w:val="10"/>
            <w:sz w:val="24"/>
            <w:szCs w:val="24"/>
            <w:u w:val="single"/>
            <w:rtl/>
          </w:rPr>
          <w:t>פ</w:t>
        </w:r>
        <w:r w:rsidR="003325CE" w:rsidRPr="003325CE">
          <w:rPr>
            <w:rFonts w:cs="David"/>
            <w:color w:val="0000FF"/>
            <w:spacing w:val="10"/>
            <w:sz w:val="24"/>
            <w:szCs w:val="24"/>
            <w:u w:val="single"/>
            <w:rtl/>
          </w:rPr>
          <w:t xml:space="preserve"> 9482/09</w:t>
        </w:r>
      </w:hyperlink>
      <w:r>
        <w:rPr>
          <w:rFonts w:ascii="Franklin Gothic Medium" w:hAnsi="Franklin Gothic Medium" w:cs="David"/>
          <w:spacing w:val="10"/>
          <w:sz w:val="24"/>
          <w:szCs w:val="24"/>
          <w:rtl/>
        </w:rPr>
        <w:t xml:space="preserve"> </w:t>
      </w:r>
      <w:r>
        <w:rPr>
          <w:rFonts w:ascii="Franklin Gothic Medium" w:hAnsi="Franklin Gothic Medium" w:cs="David" w:hint="cs"/>
          <w:b/>
          <w:bCs/>
          <w:spacing w:val="10"/>
          <w:sz w:val="24"/>
          <w:szCs w:val="24"/>
          <w:rtl/>
        </w:rPr>
        <w:t>ביטון נ' מדינת ישראל</w:t>
      </w:r>
      <w:r>
        <w:rPr>
          <w:rFonts w:ascii="Franklin Gothic Medium" w:hAnsi="Franklin Gothic Medium" w:cs="David" w:hint="cs"/>
          <w:spacing w:val="10"/>
          <w:sz w:val="24"/>
          <w:szCs w:val="24"/>
          <w:rtl/>
        </w:rPr>
        <w:t xml:space="preserve"> (24.7.2011)</w:t>
      </w:r>
      <w:r>
        <w:rPr>
          <w:rFonts w:ascii="Franklin Gothic Medium" w:hAnsi="Franklin Gothic Medium" w:cs="David" w:hint="cs"/>
          <w:b/>
          <w:bCs/>
          <w:spacing w:val="10"/>
          <w:sz w:val="24"/>
          <w:szCs w:val="24"/>
          <w:rtl/>
        </w:rPr>
        <w:t>:</w:t>
      </w:r>
    </w:p>
    <w:p w14:paraId="5D6210C2" w14:textId="77777777" w:rsidR="00E50CAF" w:rsidRDefault="00E50CAF" w:rsidP="00E50CAF">
      <w:pPr>
        <w:pStyle w:val="aa"/>
        <w:spacing w:line="360" w:lineRule="auto"/>
        <w:rPr>
          <w:rFonts w:ascii="David" w:eastAsia="David" w:hAnsi="David" w:cs="David"/>
          <w:sz w:val="24"/>
          <w:szCs w:val="24"/>
        </w:rPr>
      </w:pPr>
    </w:p>
    <w:p w14:paraId="1629CD07" w14:textId="77777777" w:rsidR="00E50CAF" w:rsidRDefault="00E50CAF" w:rsidP="00E50CAF">
      <w:pPr>
        <w:spacing w:line="360" w:lineRule="auto"/>
        <w:ind w:left="1218" w:right="851"/>
        <w:jc w:val="both"/>
        <w:rPr>
          <w:rFonts w:ascii="Franklin Gothic Medium" w:eastAsia="David" w:hAnsi="Franklin Gothic Medium"/>
          <w:rtl/>
        </w:rPr>
      </w:pPr>
      <w:r>
        <w:rPr>
          <w:rFonts w:ascii="Franklin Gothic Medium" w:hAnsi="Franklin Gothic Medium"/>
          <w:spacing w:val="10"/>
          <w:rtl/>
        </w:rPr>
        <w:t xml:space="preserve">" נגע הסמים הפוגע קשות בחברתנו מחייב מלחמת חורמה והעונשים שיגזרו על ידי בתי המשפט בשל עבירות סמים צריכים להשתלב במאבק הכולל להדברת הנגע. על כן, יש ליתן משקל ממשי לשיקול ההרתעתי אל מול השיקולים האישיים, אשר משקלם יהיה נמוך יותר במקרים כגון אלה" </w:t>
      </w:r>
    </w:p>
    <w:p w14:paraId="5CAB4442" w14:textId="77777777" w:rsidR="00E50CAF" w:rsidRDefault="00E50CAF" w:rsidP="00E50CAF">
      <w:pPr>
        <w:spacing w:line="360" w:lineRule="auto"/>
        <w:jc w:val="both"/>
        <w:rPr>
          <w:rFonts w:ascii="David" w:eastAsia="David" w:hAnsi="David"/>
        </w:rPr>
      </w:pPr>
      <w:r>
        <w:rPr>
          <w:rFonts w:ascii="Franklin Gothic Medium" w:eastAsia="David" w:hAnsi="Franklin Gothic Medium"/>
          <w:rtl/>
        </w:rPr>
        <w:t xml:space="preserve"> </w:t>
      </w:r>
    </w:p>
    <w:p w14:paraId="31667317" w14:textId="77777777" w:rsidR="00E50CAF" w:rsidRDefault="00E50CAF" w:rsidP="00E50CAF">
      <w:pPr>
        <w:spacing w:line="360" w:lineRule="auto"/>
        <w:ind w:firstLine="720"/>
        <w:jc w:val="both"/>
        <w:rPr>
          <w:rFonts w:ascii="Arial" w:eastAsia="David" w:hAnsi="Arial"/>
          <w:rtl/>
        </w:rPr>
      </w:pPr>
      <w:r>
        <w:rPr>
          <w:rFonts w:ascii="Arial" w:eastAsia="David" w:hAnsi="Arial"/>
          <w:rtl/>
        </w:rPr>
        <w:t>ראו גם את דברי כב' השופט הנדל ב</w:t>
      </w:r>
      <w:hyperlink r:id="rId21" w:history="1">
        <w:r w:rsidR="003325CE" w:rsidRPr="003325CE">
          <w:rPr>
            <w:rFonts w:ascii="Arial" w:eastAsia="David" w:hAnsi="Arial"/>
            <w:color w:val="0000FF"/>
            <w:u w:val="single"/>
            <w:rtl/>
          </w:rPr>
          <w:t>ע"פ 972/11</w:t>
        </w:r>
      </w:hyperlink>
      <w:r>
        <w:rPr>
          <w:rFonts w:ascii="Arial" w:eastAsia="David" w:hAnsi="Arial"/>
          <w:rtl/>
        </w:rPr>
        <w:t xml:space="preserve"> </w:t>
      </w:r>
      <w:r>
        <w:rPr>
          <w:rFonts w:ascii="Arial" w:eastAsia="David" w:hAnsi="Arial"/>
          <w:b/>
          <w:bCs/>
          <w:rtl/>
        </w:rPr>
        <w:t>מדינת ישראל נ' יניב יונה</w:t>
      </w:r>
      <w:r>
        <w:rPr>
          <w:rFonts w:ascii="Arial" w:eastAsia="David" w:hAnsi="Arial"/>
          <w:rtl/>
        </w:rPr>
        <w:t xml:space="preserve"> (4.7.12):</w:t>
      </w:r>
    </w:p>
    <w:p w14:paraId="425A0E66" w14:textId="77777777" w:rsidR="00E50CAF" w:rsidRDefault="00E50CAF" w:rsidP="00E50CAF">
      <w:pPr>
        <w:spacing w:line="360" w:lineRule="auto"/>
        <w:jc w:val="both"/>
        <w:rPr>
          <w:rFonts w:ascii="Arial" w:eastAsia="David" w:hAnsi="Arial"/>
          <w:rtl/>
        </w:rPr>
      </w:pPr>
    </w:p>
    <w:p w14:paraId="13E73F1E" w14:textId="77777777" w:rsidR="00E50CAF" w:rsidRDefault="00E50CAF" w:rsidP="00E50CAF">
      <w:pPr>
        <w:spacing w:line="360" w:lineRule="auto"/>
        <w:ind w:left="1218" w:right="851"/>
        <w:jc w:val="both"/>
        <w:rPr>
          <w:rFonts w:ascii="Franklin Gothic Medium" w:hAnsi="Franklin Gothic Medium"/>
          <w:spacing w:val="10"/>
          <w:rtl/>
        </w:rPr>
      </w:pPr>
      <w:r>
        <w:rPr>
          <w:rFonts w:ascii="Franklin Gothic Medium" w:hAnsi="Franklin Gothic Medium"/>
          <w:spacing w:val="10"/>
          <w:rtl/>
        </w:rPr>
        <w:t xml:space="preserve">"את נגע הסמים יש לעקור מן השורש. ייצור, הפצה, סחר וכמובן גם שימוש בסמים – כל אלו מסבים נזק עצום. הנזק נגרם לא רק למעגל הסגור של המעורבים הישירים בביצוע העבירות, אלא גם לחברה בכללותה.. למאבק בנגע הסמים יש שותפים רבים.. אף בית המשפט נוטל </w:t>
      </w:r>
      <w:bookmarkStart w:id="12" w:name="Seif11"/>
      <w:r>
        <w:rPr>
          <w:rFonts w:ascii="Franklin Gothic Medium" w:hAnsi="Franklin Gothic Medium"/>
          <w:spacing w:val="10"/>
          <w:rtl/>
        </w:rPr>
        <w:t xml:space="preserve">חלק חשוב </w:t>
      </w:r>
      <w:bookmarkEnd w:id="12"/>
      <w:r>
        <w:rPr>
          <w:rFonts w:ascii="Franklin Gothic Medium" w:hAnsi="Franklin Gothic Medium"/>
          <w:spacing w:val="10"/>
          <w:rtl/>
        </w:rPr>
        <w:t>במאבק, באמצעות הטלת עונש מרתיע על מי שהורשע בעבירות סמים.. צו השעה הוא להחמיר בענישה בעבירות סמים.."</w:t>
      </w:r>
    </w:p>
    <w:p w14:paraId="296D1022" w14:textId="77777777" w:rsidR="00E50CAF" w:rsidRDefault="00E50CAF" w:rsidP="00E50CAF">
      <w:pPr>
        <w:spacing w:line="360" w:lineRule="auto"/>
        <w:ind w:left="720" w:firstLine="720"/>
        <w:jc w:val="both"/>
        <w:rPr>
          <w:rFonts w:ascii="Arial" w:eastAsia="David" w:hAnsi="Arial"/>
          <w:rtl/>
        </w:rPr>
      </w:pPr>
    </w:p>
    <w:p w14:paraId="58109E99" w14:textId="77777777" w:rsidR="00E50CAF" w:rsidRDefault="00E50CAF" w:rsidP="00E50CAF">
      <w:pPr>
        <w:spacing w:line="360" w:lineRule="auto"/>
        <w:ind w:left="720" w:firstLine="720"/>
        <w:jc w:val="both"/>
        <w:rPr>
          <w:rFonts w:ascii="Arial" w:eastAsia="David" w:hAnsi="Arial"/>
          <w:rtl/>
        </w:rPr>
      </w:pPr>
    </w:p>
    <w:p w14:paraId="10A140E8" w14:textId="77777777" w:rsidR="00E50CAF" w:rsidRDefault="00E50CAF" w:rsidP="00E50CAF">
      <w:pPr>
        <w:spacing w:line="360" w:lineRule="auto"/>
        <w:ind w:left="708"/>
        <w:jc w:val="both"/>
        <w:rPr>
          <w:rFonts w:ascii="Arial" w:eastAsia="David" w:hAnsi="Arial"/>
          <w:rtl/>
        </w:rPr>
      </w:pPr>
      <w:r>
        <w:rPr>
          <w:rFonts w:ascii="Arial" w:eastAsia="David" w:hAnsi="Arial"/>
          <w:rtl/>
        </w:rPr>
        <w:t>ראו גם מהעת האחרונה ב</w:t>
      </w:r>
      <w:hyperlink r:id="rId22" w:history="1">
        <w:r w:rsidR="003325CE" w:rsidRPr="003325CE">
          <w:rPr>
            <w:rFonts w:ascii="Arial" w:eastAsia="David" w:hAnsi="Arial"/>
            <w:color w:val="0000FF"/>
            <w:u w:val="single"/>
            <w:rtl/>
          </w:rPr>
          <w:t>ע"פ 4387/20</w:t>
        </w:r>
      </w:hyperlink>
      <w:r>
        <w:rPr>
          <w:rFonts w:ascii="Arial" w:eastAsia="David" w:hAnsi="Arial"/>
          <w:rtl/>
        </w:rPr>
        <w:t xml:space="preserve"> </w:t>
      </w:r>
      <w:r>
        <w:rPr>
          <w:rFonts w:ascii="Arial" w:eastAsia="David" w:hAnsi="Arial"/>
          <w:b/>
          <w:bCs/>
          <w:rtl/>
        </w:rPr>
        <w:t xml:space="preserve">מדינת ישראל נ' טל דרור ואח' </w:t>
      </w:r>
      <w:r>
        <w:rPr>
          <w:rFonts w:ascii="Arial" w:eastAsia="David" w:hAnsi="Arial"/>
          <w:rtl/>
        </w:rPr>
        <w:t>(8.2.21):</w:t>
      </w:r>
    </w:p>
    <w:p w14:paraId="1543B849" w14:textId="77777777" w:rsidR="00E50CAF" w:rsidRDefault="00E50CAF" w:rsidP="00E50CAF">
      <w:pPr>
        <w:spacing w:line="360" w:lineRule="auto"/>
        <w:ind w:left="708"/>
        <w:jc w:val="both"/>
        <w:rPr>
          <w:rFonts w:ascii="Arial" w:eastAsia="David" w:hAnsi="Arial"/>
          <w:rtl/>
        </w:rPr>
      </w:pPr>
    </w:p>
    <w:p w14:paraId="62017E3E" w14:textId="77777777" w:rsidR="00E50CAF" w:rsidRDefault="00E50CAF" w:rsidP="00E50CAF">
      <w:pPr>
        <w:spacing w:line="360" w:lineRule="auto"/>
        <w:ind w:left="1218" w:right="851"/>
        <w:jc w:val="both"/>
        <w:rPr>
          <w:rFonts w:ascii="Franklin Gothic Medium" w:hAnsi="Franklin Gothic Medium"/>
          <w:spacing w:val="10"/>
          <w:rtl/>
        </w:rPr>
      </w:pPr>
      <w:r>
        <w:rPr>
          <w:rFonts w:ascii="Franklin Gothic Medium" w:hAnsi="Franklin Gothic Medium"/>
          <w:spacing w:val="10"/>
          <w:rtl/>
        </w:rPr>
        <w:t>"בית משפט זה עמד לא אחת על חומרתן של עבירות הסמים והדגיש כי יש צורך בהטלת ענישה ממשית אשר תרתיע עבריינים פוטנציאליים מביצוען. זאת, בין היתר במטרה למגר את מעבדות הסמים הפועלת במדינה, המתפשטות כאש בשדה קוצים. רמת ענישה זו, כפי שמשתקפת במדיניות הענישה הנוהגת, אף יש בה כדי להביע מסר חד וברור כי ניסיונות להקמת מיזמים מן הסוג כמבקרה דנן, אינן בעלות תוחלת כלכלית".</w:t>
      </w:r>
    </w:p>
    <w:p w14:paraId="6E54F36D" w14:textId="77777777" w:rsidR="00E50CAF" w:rsidRDefault="00E50CAF" w:rsidP="00E50CAF">
      <w:pPr>
        <w:spacing w:line="360" w:lineRule="auto"/>
        <w:ind w:left="708" w:right="851"/>
        <w:jc w:val="both"/>
        <w:rPr>
          <w:rFonts w:ascii="Arial" w:eastAsia="David" w:hAnsi="Arial"/>
          <w:rtl/>
        </w:rPr>
      </w:pPr>
    </w:p>
    <w:p w14:paraId="4C0B93CF" w14:textId="77777777" w:rsidR="00E50CAF" w:rsidRDefault="00E50CAF" w:rsidP="00E50CAF">
      <w:pPr>
        <w:spacing w:line="360" w:lineRule="auto"/>
        <w:ind w:left="708"/>
        <w:jc w:val="both"/>
        <w:rPr>
          <w:rFonts w:ascii="Arial" w:eastAsia="David" w:hAnsi="Arial"/>
          <w:rtl/>
        </w:rPr>
      </w:pPr>
    </w:p>
    <w:p w14:paraId="733245BC" w14:textId="77777777" w:rsidR="00E50CAF" w:rsidRDefault="00E50CAF" w:rsidP="00E50CAF">
      <w:pPr>
        <w:spacing w:line="360" w:lineRule="auto"/>
        <w:ind w:left="708"/>
        <w:jc w:val="both"/>
        <w:rPr>
          <w:rFonts w:ascii="David" w:eastAsia="David" w:hAnsi="David"/>
          <w:rtl/>
        </w:rPr>
      </w:pPr>
      <w:r>
        <w:rPr>
          <w:rFonts w:ascii="Arial" w:eastAsia="David" w:hAnsi="Arial"/>
          <w:rtl/>
        </w:rPr>
        <w:t>לעניין עבירה של אחזקת סם שלא לצריכה עצמית, ראה דבריו של בית המשפט העליון ב</w:t>
      </w:r>
      <w:hyperlink r:id="rId23" w:history="1">
        <w:r w:rsidR="003325CE" w:rsidRPr="003325CE">
          <w:rPr>
            <w:rFonts w:ascii="Arial" w:eastAsia="David" w:hAnsi="Arial"/>
            <w:color w:val="0000FF"/>
            <w:u w:val="single"/>
            <w:rtl/>
          </w:rPr>
          <w:t>בש"פ 10638/08</w:t>
        </w:r>
      </w:hyperlink>
      <w:r>
        <w:rPr>
          <w:rFonts w:ascii="Arial" w:eastAsia="David" w:hAnsi="Arial"/>
          <w:rtl/>
        </w:rPr>
        <w:t xml:space="preserve"> </w:t>
      </w:r>
      <w:r>
        <w:rPr>
          <w:rFonts w:ascii="Arial" w:eastAsia="David" w:hAnsi="Arial" w:hint="cs"/>
          <w:b/>
          <w:bCs/>
          <w:rtl/>
        </w:rPr>
        <w:t>יפתח ויצמן נ' מדינת ישראל</w:t>
      </w:r>
      <w:r>
        <w:rPr>
          <w:rFonts w:ascii="Arial" w:eastAsia="David" w:hAnsi="Arial" w:hint="cs"/>
          <w:rtl/>
        </w:rPr>
        <w:t xml:space="preserve"> (23.12.08):</w:t>
      </w:r>
    </w:p>
    <w:p w14:paraId="6AAA3FD2" w14:textId="77777777" w:rsidR="00E50CAF" w:rsidRDefault="00E50CAF" w:rsidP="00E50CAF">
      <w:pPr>
        <w:spacing w:line="360" w:lineRule="auto"/>
        <w:ind w:left="720" w:firstLine="215"/>
        <w:jc w:val="both"/>
        <w:rPr>
          <w:rFonts w:ascii="Franklin Gothic Medium" w:hAnsi="Franklin Gothic Medium"/>
          <w:spacing w:val="10"/>
          <w:rtl/>
        </w:rPr>
      </w:pPr>
    </w:p>
    <w:p w14:paraId="205F4551" w14:textId="77777777" w:rsidR="00E50CAF" w:rsidRDefault="00E50CAF" w:rsidP="00E50CAF">
      <w:pPr>
        <w:spacing w:line="360" w:lineRule="auto"/>
        <w:ind w:left="1218" w:right="851"/>
        <w:jc w:val="both"/>
        <w:rPr>
          <w:rFonts w:ascii="Franklin Gothic Medium" w:hAnsi="Franklin Gothic Medium"/>
          <w:spacing w:val="10"/>
        </w:rPr>
      </w:pPr>
      <w:r>
        <w:rPr>
          <w:rFonts w:ascii="Franklin Gothic Medium" w:hAnsi="Franklin Gothic Medium"/>
          <w:spacing w:val="10"/>
          <w:rtl/>
        </w:rPr>
        <w:t>"העבירה של אחזקת סמים שלא לצריכה עצמית היא אחותה של עבירת הסחר בסמים, והעונש המרבי לגביהן שווה – עד עשרים שנות מאסר או קנס פי עשרים וחמישה מן הקנס האמור ב</w:t>
      </w:r>
      <w:bookmarkStart w:id="13" w:name="Seif5"/>
      <w:r>
        <w:rPr>
          <w:rFonts w:ascii="Franklin Gothic Medium" w:hAnsi="Franklin Gothic Medium"/>
          <w:spacing w:val="10"/>
          <w:rtl/>
        </w:rPr>
        <w:t xml:space="preserve">סעיף </w:t>
      </w:r>
      <w:bookmarkEnd w:id="13"/>
      <w:r>
        <w:rPr>
          <w:rFonts w:ascii="Franklin Gothic Medium" w:hAnsi="Franklin Gothic Medium"/>
          <w:spacing w:val="10"/>
          <w:rtl/>
        </w:rPr>
        <w:t>16(א)(4)ל</w:t>
      </w:r>
      <w:hyperlink r:id="rId24" w:history="1">
        <w:r w:rsidR="003325CE" w:rsidRPr="003325CE">
          <w:rPr>
            <w:rFonts w:ascii="Franklin Gothic Medium" w:hAnsi="Franklin Gothic Medium" w:hint="eastAsia"/>
            <w:color w:val="0000FF"/>
            <w:spacing w:val="10"/>
            <w:u w:val="single"/>
            <w:rtl/>
          </w:rPr>
          <w:t>חוק</w:t>
        </w:r>
        <w:r w:rsidR="003325CE" w:rsidRPr="003325CE">
          <w:rPr>
            <w:rFonts w:ascii="Franklin Gothic Medium" w:hAnsi="Franklin Gothic Medium"/>
            <w:color w:val="0000FF"/>
            <w:spacing w:val="10"/>
            <w:u w:val="single"/>
            <w:rtl/>
          </w:rPr>
          <w:t xml:space="preserve"> </w:t>
        </w:r>
        <w:r w:rsidR="003325CE" w:rsidRPr="003325CE">
          <w:rPr>
            <w:rFonts w:ascii="Franklin Gothic Medium" w:hAnsi="Franklin Gothic Medium" w:hint="eastAsia"/>
            <w:color w:val="0000FF"/>
            <w:spacing w:val="10"/>
            <w:u w:val="single"/>
            <w:rtl/>
          </w:rPr>
          <w:t>העונשין</w:t>
        </w:r>
      </w:hyperlink>
      <w:r>
        <w:rPr>
          <w:rFonts w:ascii="Franklin Gothic Medium" w:hAnsi="Franklin Gothic Medium"/>
          <w:spacing w:val="10"/>
          <w:rtl/>
        </w:rPr>
        <w:t>, תשל"ז-1977 (</w:t>
      </w:r>
      <w:bookmarkStart w:id="14" w:name="Seif6"/>
      <w:r>
        <w:rPr>
          <w:rFonts w:ascii="Franklin Gothic Medium" w:hAnsi="Franklin Gothic Medium"/>
          <w:spacing w:val="10"/>
          <w:rtl/>
        </w:rPr>
        <w:t xml:space="preserve">סעיף </w:t>
      </w:r>
      <w:bookmarkEnd w:id="14"/>
      <w:r>
        <w:rPr>
          <w:rFonts w:ascii="Franklin Gothic Medium" w:hAnsi="Franklin Gothic Medium"/>
          <w:spacing w:val="10"/>
          <w:rtl/>
        </w:rPr>
        <w:t>7(ג)לפקודת הסמים לעניין החזקת סמים שלא לצריכה עצמית, ו</w:t>
      </w:r>
      <w:bookmarkStart w:id="15" w:name="Seif7"/>
      <w:r>
        <w:rPr>
          <w:rFonts w:ascii="Franklin Gothic Medium" w:hAnsi="Franklin Gothic Medium"/>
          <w:spacing w:val="10"/>
          <w:rtl/>
        </w:rPr>
        <w:t xml:space="preserve">סעיף </w:t>
      </w:r>
      <w:bookmarkEnd w:id="15"/>
      <w:r>
        <w:rPr>
          <w:rFonts w:ascii="Franklin Gothic Medium" w:hAnsi="Franklin Gothic Medium"/>
          <w:spacing w:val="10"/>
          <w:rtl/>
        </w:rPr>
        <w:t xml:space="preserve">19א לעניין יבוא וסחר). ראו גם קדמי, על </w:t>
      </w:r>
      <w:hyperlink r:id="rId25" w:history="1">
        <w:r w:rsidR="003325CE" w:rsidRPr="003325CE">
          <w:rPr>
            <w:rFonts w:ascii="Franklin Gothic Medium" w:hAnsi="Franklin Gothic Medium" w:hint="eastAsia"/>
            <w:color w:val="0000FF"/>
            <w:spacing w:val="10"/>
            <w:u w:val="single"/>
            <w:rtl/>
          </w:rPr>
          <w:t>פקודת</w:t>
        </w:r>
        <w:r w:rsidR="003325CE" w:rsidRPr="003325CE">
          <w:rPr>
            <w:rFonts w:ascii="Franklin Gothic Medium" w:hAnsi="Franklin Gothic Medium"/>
            <w:color w:val="0000FF"/>
            <w:spacing w:val="10"/>
            <w:u w:val="single"/>
            <w:rtl/>
          </w:rPr>
          <w:t xml:space="preserve"> </w:t>
        </w:r>
        <w:r w:rsidR="003325CE" w:rsidRPr="003325CE">
          <w:rPr>
            <w:rFonts w:ascii="Franklin Gothic Medium" w:hAnsi="Franklin Gothic Medium" w:hint="eastAsia"/>
            <w:color w:val="0000FF"/>
            <w:spacing w:val="10"/>
            <w:u w:val="single"/>
            <w:rtl/>
          </w:rPr>
          <w:t>הסמים</w:t>
        </w:r>
        <w:r w:rsidR="003325CE" w:rsidRPr="003325CE">
          <w:rPr>
            <w:rFonts w:ascii="Franklin Gothic Medium" w:hAnsi="Franklin Gothic Medium"/>
            <w:color w:val="0000FF"/>
            <w:spacing w:val="10"/>
            <w:u w:val="single"/>
            <w:rtl/>
          </w:rPr>
          <w:t xml:space="preserve"> </w:t>
        </w:r>
        <w:r w:rsidR="003325CE" w:rsidRPr="003325CE">
          <w:rPr>
            <w:rFonts w:ascii="Franklin Gothic Medium" w:hAnsi="Franklin Gothic Medium" w:hint="eastAsia"/>
            <w:color w:val="0000FF"/>
            <w:spacing w:val="10"/>
            <w:u w:val="single"/>
            <w:rtl/>
          </w:rPr>
          <w:t>המסוכנים</w:t>
        </w:r>
      </w:hyperlink>
      <w:r>
        <w:rPr>
          <w:rFonts w:ascii="Franklin Gothic Medium" w:hAnsi="Franklin Gothic Medium"/>
          <w:spacing w:val="10"/>
          <w:rtl/>
        </w:rPr>
        <w:t>, הדין בראי הפסיקה, מהדורת תשס"ז – עמ' 86, 185, 198. הצד השווה בין שתי העבירות הוא הזיקה להפצת הסמים לזולת, בפוטנציאל או בפועל, בין בתמורה (סחר) ובין אם אחרת".</w:t>
      </w:r>
    </w:p>
    <w:p w14:paraId="01F2E8BB" w14:textId="77777777" w:rsidR="00E50CAF" w:rsidRDefault="00E50CAF" w:rsidP="00E50CAF">
      <w:pPr>
        <w:spacing w:line="360" w:lineRule="auto"/>
        <w:ind w:right="851" w:firstLine="215"/>
        <w:rPr>
          <w:rFonts w:ascii="David" w:eastAsia="David" w:hAnsi="David"/>
          <w:rtl/>
        </w:rPr>
      </w:pPr>
    </w:p>
    <w:p w14:paraId="5ED6F92A" w14:textId="77777777" w:rsidR="00E50CAF" w:rsidRDefault="00E50CAF" w:rsidP="00E50CAF">
      <w:pPr>
        <w:pStyle w:val="aa"/>
        <w:numPr>
          <w:ilvl w:val="0"/>
          <w:numId w:val="1"/>
        </w:numPr>
        <w:spacing w:line="360" w:lineRule="auto"/>
        <w:jc w:val="both"/>
        <w:rPr>
          <w:rFonts w:ascii="David" w:eastAsia="David" w:hAnsi="David" w:cs="David"/>
          <w:sz w:val="24"/>
          <w:szCs w:val="24"/>
          <w:rtl/>
        </w:rPr>
      </w:pPr>
      <w:r>
        <w:rPr>
          <w:rFonts w:ascii="David" w:eastAsia="David" w:hAnsi="David" w:cs="David"/>
          <w:b/>
          <w:bCs/>
          <w:sz w:val="24"/>
          <w:szCs w:val="24"/>
          <w:rtl/>
        </w:rPr>
        <w:t>מידת הפגיעה בערכים המוגנים</w:t>
      </w:r>
      <w:r>
        <w:rPr>
          <w:rFonts w:ascii="David" w:eastAsia="David" w:hAnsi="David" w:cs="David"/>
          <w:sz w:val="24"/>
          <w:szCs w:val="24"/>
          <w:rtl/>
        </w:rPr>
        <w:t>, בעבירת הסמים המיוחסת לנאשם היא משמעותית בשים לב לכמות הסם (4.92 גרם) לסוגו של הסם המסוכן (הרואין) ולכך שלא נועד לשימוש עצמי. מידת הפגיעה בערכים המוגנים בעבירה של הפרעה לשוטר במילוי תפקידו הינה ברף נמוך, בשים לב שההפרעה הסתכמה בדריכה על הסם שהפיל למרגלותיו.</w:t>
      </w:r>
    </w:p>
    <w:p w14:paraId="7821B90B" w14:textId="77777777" w:rsidR="00E50CAF" w:rsidRDefault="00E50CAF" w:rsidP="00E50CAF">
      <w:pPr>
        <w:pStyle w:val="aa"/>
        <w:spacing w:line="360" w:lineRule="auto"/>
        <w:ind w:left="360"/>
        <w:jc w:val="both"/>
        <w:rPr>
          <w:rFonts w:ascii="David" w:eastAsia="David" w:hAnsi="David" w:cs="David"/>
          <w:sz w:val="24"/>
          <w:szCs w:val="24"/>
        </w:rPr>
      </w:pPr>
    </w:p>
    <w:p w14:paraId="40C4C458" w14:textId="77777777" w:rsidR="00E50CAF" w:rsidRDefault="00E50CAF" w:rsidP="00E50CAF">
      <w:pPr>
        <w:pStyle w:val="aa"/>
        <w:numPr>
          <w:ilvl w:val="0"/>
          <w:numId w:val="1"/>
        </w:numPr>
        <w:spacing w:line="360" w:lineRule="auto"/>
        <w:jc w:val="both"/>
        <w:rPr>
          <w:rFonts w:ascii="David" w:eastAsia="David" w:hAnsi="David" w:cs="David"/>
          <w:sz w:val="24"/>
          <w:szCs w:val="24"/>
        </w:rPr>
      </w:pPr>
      <w:r>
        <w:rPr>
          <w:rFonts w:ascii="David" w:eastAsia="David" w:hAnsi="David" w:cs="David"/>
          <w:b/>
          <w:bCs/>
          <w:sz w:val="24"/>
          <w:szCs w:val="24"/>
          <w:rtl/>
        </w:rPr>
        <w:t>באשר לנסיבות ביצוע העבירות</w:t>
      </w:r>
      <w:r>
        <w:rPr>
          <w:rFonts w:ascii="David" w:eastAsia="David" w:hAnsi="David" w:cs="David"/>
          <w:sz w:val="24"/>
          <w:szCs w:val="24"/>
          <w:rtl/>
        </w:rPr>
        <w:t>, נתתי דעתי לכך שהנאשם החזיק את הסם בשעת לילה מאוחרת, בעודו יושב ברכב עם חברו, הסם לא היה מחולק, העבירה לא בוצעה בתחכום, נתתי דעתי לכמות הסם ולכך שלא היה מיועד לצריכה עצמית. נתתי דעתי לנזק שהיה צפוי להיגרם אילו הסם היה מועבר הלאה. נתתי דעתי לכך שהעבירה של הפרעה לשוטר במילוי תפקידו נמשכה כהרף עין, והתבטאה בדריכה רגעית על הסם. ללא תחכום, ללא תכנון מוקדם.</w:t>
      </w:r>
    </w:p>
    <w:p w14:paraId="57AD4CCB" w14:textId="77777777" w:rsidR="00E50CAF" w:rsidRDefault="00E50CAF" w:rsidP="00E50CAF">
      <w:pPr>
        <w:pStyle w:val="aa"/>
        <w:spacing w:line="360" w:lineRule="auto"/>
        <w:rPr>
          <w:rFonts w:ascii="David" w:eastAsia="David" w:hAnsi="David" w:cs="David"/>
          <w:b/>
          <w:bCs/>
          <w:sz w:val="24"/>
          <w:szCs w:val="24"/>
        </w:rPr>
      </w:pPr>
    </w:p>
    <w:p w14:paraId="2E67E602" w14:textId="77777777" w:rsidR="00E50CAF" w:rsidRDefault="00E50CAF" w:rsidP="00E50CAF">
      <w:pPr>
        <w:pStyle w:val="aa"/>
        <w:numPr>
          <w:ilvl w:val="0"/>
          <w:numId w:val="1"/>
        </w:numPr>
        <w:spacing w:line="360" w:lineRule="auto"/>
        <w:jc w:val="both"/>
        <w:rPr>
          <w:rFonts w:ascii="David" w:eastAsia="David" w:hAnsi="David" w:cs="David"/>
          <w:sz w:val="24"/>
          <w:szCs w:val="24"/>
          <w:rtl/>
        </w:rPr>
      </w:pPr>
      <w:r>
        <w:rPr>
          <w:rFonts w:ascii="David" w:eastAsia="David" w:hAnsi="David" w:cs="David"/>
          <w:b/>
          <w:bCs/>
          <w:sz w:val="24"/>
          <w:szCs w:val="24"/>
          <w:rtl/>
        </w:rPr>
        <w:t xml:space="preserve">בחינת מדיניות הענישה הנוהגת </w:t>
      </w:r>
      <w:r>
        <w:rPr>
          <w:rFonts w:ascii="David" w:eastAsia="David" w:hAnsi="David" w:cs="David"/>
          <w:sz w:val="24"/>
          <w:szCs w:val="24"/>
          <w:rtl/>
        </w:rPr>
        <w:t>בעבירות של החזקת סמים "קשים" שלא לצריכה עצמית בכמות דומה לזו שהוחזקה על ידי הנאשם (4.92 גרם)  מלמדת כי מתחם הענישה נע בין מספר חודשי מאסר ועד מספר שנות מאסר וענישה נלווית. ראו למשל:</w:t>
      </w:r>
    </w:p>
    <w:p w14:paraId="62EFA188" w14:textId="77777777" w:rsidR="00E50CAF" w:rsidRDefault="00E50CAF" w:rsidP="00E50CAF">
      <w:pPr>
        <w:pStyle w:val="aa"/>
        <w:spacing w:after="0" w:line="360" w:lineRule="auto"/>
        <w:jc w:val="both"/>
        <w:rPr>
          <w:rFonts w:ascii="David" w:eastAsia="David" w:hAnsi="David" w:cs="David"/>
          <w:sz w:val="24"/>
          <w:szCs w:val="24"/>
          <w:rtl/>
        </w:rPr>
      </w:pPr>
    </w:p>
    <w:p w14:paraId="1E14D133" w14:textId="77777777" w:rsidR="00E50CAF" w:rsidRDefault="00502B9F" w:rsidP="00E50CAF">
      <w:pPr>
        <w:pStyle w:val="aa"/>
        <w:numPr>
          <w:ilvl w:val="0"/>
          <w:numId w:val="2"/>
        </w:numPr>
        <w:spacing w:after="0" w:line="360" w:lineRule="auto"/>
        <w:jc w:val="both"/>
        <w:rPr>
          <w:rFonts w:ascii="David" w:eastAsia="David" w:hAnsi="David" w:cs="David"/>
          <w:b/>
          <w:bCs/>
          <w:sz w:val="24"/>
          <w:szCs w:val="24"/>
        </w:rPr>
      </w:pPr>
      <w:hyperlink r:id="rId26" w:history="1">
        <w:r w:rsidR="00E50CAF">
          <w:rPr>
            <w:rStyle w:val="Hyperlink"/>
            <w:rFonts w:ascii="Arial" w:eastAsia="David" w:hAnsi="Arial" w:cs="David"/>
            <w:sz w:val="24"/>
            <w:szCs w:val="24"/>
            <w:rtl/>
          </w:rPr>
          <w:t>רע"פ 5494/19</w:t>
        </w:r>
      </w:hyperlink>
      <w:r w:rsidR="00E50CAF">
        <w:rPr>
          <w:rFonts w:ascii="FrankRuehl" w:hAnsi="FrankRuehl" w:cs="David"/>
          <w:color w:val="000000"/>
          <w:sz w:val="24"/>
          <w:szCs w:val="24"/>
          <w:rtl/>
        </w:rPr>
        <w:t xml:space="preserve"> ‏</w:t>
      </w:r>
      <w:r w:rsidR="00E50CAF">
        <w:rPr>
          <w:rFonts w:ascii="FrankRuehl" w:hAnsi="FrankRuehl" w:cs="David"/>
          <w:b/>
          <w:bCs/>
          <w:color w:val="000000"/>
          <w:sz w:val="24"/>
          <w:szCs w:val="24"/>
          <w:rtl/>
        </w:rPr>
        <w:t>מרדכי רנד נ' מדינת ישראל</w:t>
      </w:r>
      <w:r w:rsidR="00E50CAF">
        <w:rPr>
          <w:rFonts w:ascii="David" w:eastAsia="David" w:hAnsi="David" w:cs="David"/>
          <w:b/>
          <w:bCs/>
          <w:sz w:val="24"/>
          <w:szCs w:val="24"/>
          <w:rtl/>
        </w:rPr>
        <w:t xml:space="preserve"> </w:t>
      </w:r>
      <w:r w:rsidR="00E50CAF">
        <w:rPr>
          <w:rFonts w:ascii="David" w:eastAsia="David" w:hAnsi="David" w:cs="David"/>
          <w:sz w:val="24"/>
          <w:szCs w:val="24"/>
          <w:rtl/>
        </w:rPr>
        <w:t>(22.8.19): המבקש הורשע על פי הודאתו בעבירה של סחר בסם מסוכן (3 יחידות "קריסטל" לשני "לקוחות" שונים) ובעבירה שלהחזקת סם שלא לצריכה עצמית – 14 "יחידות" הרואין במשקל של כ-11 גר' ו- 8 "יחידות" קוקאין במשקל של כ-1.9 גר'. בית משפט קמא קבע כי מתחם העונש ההולם נע  בין 6-18 חודשי מאסר וענישה נלווית וגזר על המבקש 6 חודשי עבודות שירות, מאסר על תנאי וענישה נלווית. בית משפט המחוזי דחה את ערעורו של המבקש תוך שקבע כי נעשה עם המבקש חסד גדול בכך שלא נשלח למאסר ממושך מאחורי סורג ובריח. בית המשפט העליון דחה את בקשת רשות הערעור באומרו כי העונש שהוטל על המבקש אינו חמור ואף מקל גם בהתחשב בנסיבותיו האישיות אשר הוענק להם משקל נכבד.</w:t>
      </w:r>
    </w:p>
    <w:p w14:paraId="1FAA4F7F" w14:textId="77777777" w:rsidR="00E50CAF" w:rsidRDefault="00502B9F" w:rsidP="00E50CAF">
      <w:pPr>
        <w:pStyle w:val="aa"/>
        <w:numPr>
          <w:ilvl w:val="0"/>
          <w:numId w:val="2"/>
        </w:numPr>
        <w:spacing w:after="0" w:line="360" w:lineRule="auto"/>
        <w:jc w:val="both"/>
        <w:rPr>
          <w:rFonts w:ascii="David" w:eastAsia="David" w:hAnsi="David" w:cs="David"/>
          <w:sz w:val="24"/>
          <w:szCs w:val="24"/>
        </w:rPr>
      </w:pPr>
      <w:hyperlink r:id="rId27" w:history="1">
        <w:r w:rsidR="00E50CAF">
          <w:rPr>
            <w:rStyle w:val="Hyperlink"/>
            <w:rFonts w:ascii="Arial" w:eastAsia="David" w:hAnsi="Arial" w:cs="David"/>
            <w:sz w:val="24"/>
            <w:szCs w:val="24"/>
            <w:rtl/>
          </w:rPr>
          <w:t>רע"פ 1122/17</w:t>
        </w:r>
      </w:hyperlink>
      <w:r w:rsidR="00E50CAF">
        <w:rPr>
          <w:rFonts w:ascii="Arial" w:eastAsia="David" w:hAnsi="Arial" w:cs="David"/>
          <w:b/>
          <w:bCs/>
          <w:color w:val="0000FF"/>
          <w:sz w:val="24"/>
          <w:szCs w:val="24"/>
          <w:rtl/>
        </w:rPr>
        <w:t xml:space="preserve"> </w:t>
      </w:r>
      <w:r w:rsidR="00E50CAF">
        <w:rPr>
          <w:rFonts w:ascii="Arial" w:eastAsia="David" w:hAnsi="Arial" w:cs="David"/>
          <w:b/>
          <w:bCs/>
          <w:sz w:val="24"/>
          <w:szCs w:val="24"/>
          <w:rtl/>
        </w:rPr>
        <w:t xml:space="preserve">אלון גולדשטיין נ' מדינת ישראל </w:t>
      </w:r>
      <w:r w:rsidR="00E50CAF">
        <w:rPr>
          <w:rFonts w:ascii="Arial" w:eastAsia="David" w:hAnsi="Arial" w:cs="David"/>
          <w:sz w:val="24"/>
          <w:szCs w:val="24"/>
          <w:rtl/>
        </w:rPr>
        <w:t xml:space="preserve">(5.7.17): המבקש </w:t>
      </w:r>
      <w:r w:rsidR="00E50CAF">
        <w:rPr>
          <w:rFonts w:ascii="David" w:eastAsia="David" w:hAnsi="David" w:cs="David"/>
          <w:sz w:val="24"/>
          <w:szCs w:val="24"/>
          <w:rtl/>
        </w:rPr>
        <w:t xml:space="preserve">הורשע על פי הודאתו בשני כתבי אישום הכוללים עבירה של נהיגה תחת השפעת סמים ושתי עבירות של החזקת סמים שלא לצריכה עצמית ( באחד האישומים החזיק קוקאין במשקל 5.28 גר', ובאישום השני החזיק - 9 מנות סם מסוג </w:t>
      </w:r>
      <w:r w:rsidR="00E50CAF">
        <w:rPr>
          <w:rFonts w:ascii="David" w:eastAsia="David" w:hAnsi="David" w:cs="David"/>
          <w:sz w:val="24"/>
          <w:szCs w:val="24"/>
        </w:rPr>
        <w:t>MDMA</w:t>
      </w:r>
      <w:r w:rsidR="00E50CAF">
        <w:rPr>
          <w:rFonts w:ascii="David" w:eastAsia="David" w:hAnsi="David" w:cs="David"/>
          <w:sz w:val="24"/>
          <w:szCs w:val="24"/>
          <w:rtl/>
        </w:rPr>
        <w:t xml:space="preserve"> </w:t>
      </w:r>
      <w:r w:rsidR="00E50CAF">
        <w:rPr>
          <w:rFonts w:ascii="David" w:eastAsia="David" w:hAnsi="David" w:cs="David" w:hint="cs"/>
          <w:sz w:val="24"/>
          <w:szCs w:val="24"/>
          <w:rtl/>
        </w:rPr>
        <w:t xml:space="preserve">במשקל של   5.5 גר' ו- 27 מנות קוקאין במשקל 13.3731 גרם שלא לצריכה עצמית. בית משפט קמא גזר על המבקש 6 חודשי מאסר שירוצו בעבודות שירות וענישה נלווית. בית המשפט המחוזי קבע כי המתחם נע בין 10-24 חודשי מאסר והחמיר את עונשו של המבקש, ל-10 חודשי מאסר בפועל. בקשת רשות ערעור נדחתה. </w:t>
      </w:r>
    </w:p>
    <w:p w14:paraId="63B876ED" w14:textId="77777777" w:rsidR="00E50CAF" w:rsidRDefault="003325CE" w:rsidP="00E50CAF">
      <w:pPr>
        <w:pStyle w:val="aa"/>
        <w:numPr>
          <w:ilvl w:val="0"/>
          <w:numId w:val="2"/>
        </w:numPr>
        <w:spacing w:after="0" w:line="360" w:lineRule="auto"/>
        <w:jc w:val="both"/>
        <w:rPr>
          <w:rFonts w:ascii="David" w:eastAsia="David" w:hAnsi="David" w:cs="David"/>
          <w:sz w:val="24"/>
          <w:szCs w:val="24"/>
        </w:rPr>
      </w:pPr>
      <w:hyperlink r:id="rId28" w:history="1">
        <w:r w:rsidRPr="003325CE">
          <w:rPr>
            <w:rFonts w:ascii="Arial" w:eastAsia="David" w:hAnsi="Arial" w:cs="David"/>
            <w:color w:val="0000FF"/>
            <w:sz w:val="24"/>
            <w:szCs w:val="24"/>
            <w:u w:val="single"/>
            <w:rtl/>
          </w:rPr>
          <w:t>רע"פ 747/14</w:t>
        </w:r>
      </w:hyperlink>
      <w:r w:rsidR="00E50CAF">
        <w:rPr>
          <w:rFonts w:ascii="Arial" w:eastAsia="David" w:hAnsi="Arial" w:cs="David"/>
          <w:sz w:val="24"/>
          <w:szCs w:val="24"/>
          <w:rtl/>
        </w:rPr>
        <w:t xml:space="preserve"> </w:t>
      </w:r>
      <w:r w:rsidR="00E50CAF">
        <w:rPr>
          <w:rFonts w:ascii="Arial" w:eastAsia="David" w:hAnsi="Arial" w:cs="David" w:hint="cs"/>
          <w:b/>
          <w:bCs/>
          <w:sz w:val="24"/>
          <w:szCs w:val="24"/>
          <w:rtl/>
        </w:rPr>
        <w:t>לוי נ' מדינת ישראל</w:t>
      </w:r>
      <w:r w:rsidR="00E50CAF">
        <w:rPr>
          <w:rFonts w:ascii="Arial" w:eastAsia="David" w:hAnsi="Arial" w:cs="David" w:hint="cs"/>
          <w:sz w:val="24"/>
          <w:szCs w:val="24"/>
          <w:rtl/>
        </w:rPr>
        <w:t xml:space="preserve"> (11.2.14): </w:t>
      </w:r>
      <w:r w:rsidR="00E50CAF">
        <w:rPr>
          <w:rFonts w:ascii="David" w:eastAsia="David" w:hAnsi="David" w:cs="David"/>
          <w:sz w:val="24"/>
          <w:szCs w:val="24"/>
          <w:rtl/>
        </w:rPr>
        <w:t xml:space="preserve">המבקש הורשע לאחר שמיעת הוכחות בעבירה של החזקת סמים שלא לצריכה עצמית – המבקש החזיק כ- 5  גר' הרואין מחולק ל- 6 מנות ו- 0.0.95 גרם קוקאין בית משפט קמא קבע כי מתחם העונש ההולם נע בין 8-18 חודשי מאסר בפועל וענישה נלווית. ערעור המבקש בבית המשפט המחוזי נדחה. </w:t>
      </w:r>
      <w:r w:rsidR="00E50CAF">
        <w:rPr>
          <w:rFonts w:ascii="Arial" w:eastAsia="David" w:hAnsi="Arial" w:cs="David"/>
          <w:sz w:val="24"/>
          <w:szCs w:val="24"/>
          <w:rtl/>
        </w:rPr>
        <w:t>בקשת רשות ערעור נדחתה.</w:t>
      </w:r>
    </w:p>
    <w:p w14:paraId="36B7605A" w14:textId="77777777" w:rsidR="00E50CAF" w:rsidRPr="00E50CAF" w:rsidRDefault="003325CE" w:rsidP="00E50CAF">
      <w:pPr>
        <w:pStyle w:val="aa"/>
        <w:numPr>
          <w:ilvl w:val="0"/>
          <w:numId w:val="2"/>
        </w:numPr>
        <w:spacing w:after="0" w:line="360" w:lineRule="auto"/>
        <w:jc w:val="both"/>
        <w:rPr>
          <w:rFonts w:cs="David"/>
          <w:sz w:val="24"/>
          <w:szCs w:val="24"/>
        </w:rPr>
      </w:pPr>
      <w:hyperlink r:id="rId29" w:history="1">
        <w:r w:rsidRPr="003325CE">
          <w:rPr>
            <w:rFonts w:cs="David" w:hint="cs"/>
            <w:color w:val="0000FF"/>
            <w:sz w:val="24"/>
            <w:szCs w:val="24"/>
            <w:u w:val="single"/>
            <w:rtl/>
          </w:rPr>
          <w:t>עפ</w:t>
        </w:r>
        <w:r w:rsidRPr="003325CE">
          <w:rPr>
            <w:rFonts w:cs="David"/>
            <w:color w:val="0000FF"/>
            <w:sz w:val="24"/>
            <w:szCs w:val="24"/>
            <w:u w:val="single"/>
            <w:rtl/>
          </w:rPr>
          <w:t>"</w:t>
        </w:r>
        <w:r w:rsidRPr="003325CE">
          <w:rPr>
            <w:rFonts w:cs="David" w:hint="cs"/>
            <w:color w:val="0000FF"/>
            <w:sz w:val="24"/>
            <w:szCs w:val="24"/>
            <w:u w:val="single"/>
            <w:rtl/>
          </w:rPr>
          <w:t>ג</w:t>
        </w:r>
        <w:r w:rsidRPr="003325CE">
          <w:rPr>
            <w:rFonts w:cs="David"/>
            <w:color w:val="0000FF"/>
            <w:sz w:val="24"/>
            <w:szCs w:val="24"/>
            <w:u w:val="single"/>
            <w:rtl/>
          </w:rPr>
          <w:t xml:space="preserve"> (</w:t>
        </w:r>
        <w:r w:rsidRPr="003325CE">
          <w:rPr>
            <w:rFonts w:cs="David" w:hint="cs"/>
            <w:color w:val="0000FF"/>
            <w:sz w:val="24"/>
            <w:szCs w:val="24"/>
            <w:u w:val="single"/>
            <w:rtl/>
          </w:rPr>
          <w:t>באר</w:t>
        </w:r>
        <w:r w:rsidRPr="003325CE">
          <w:rPr>
            <w:rFonts w:cs="David"/>
            <w:color w:val="0000FF"/>
            <w:sz w:val="24"/>
            <w:szCs w:val="24"/>
            <w:u w:val="single"/>
            <w:rtl/>
          </w:rPr>
          <w:t xml:space="preserve"> </w:t>
        </w:r>
        <w:r w:rsidRPr="003325CE">
          <w:rPr>
            <w:rFonts w:cs="David" w:hint="cs"/>
            <w:color w:val="0000FF"/>
            <w:sz w:val="24"/>
            <w:szCs w:val="24"/>
            <w:u w:val="single"/>
            <w:rtl/>
          </w:rPr>
          <w:t>שבע</w:t>
        </w:r>
        <w:r w:rsidRPr="003325CE">
          <w:rPr>
            <w:rFonts w:cs="David"/>
            <w:color w:val="0000FF"/>
            <w:sz w:val="24"/>
            <w:szCs w:val="24"/>
            <w:u w:val="single"/>
            <w:rtl/>
          </w:rPr>
          <w:t>)  34279-03-18</w:t>
        </w:r>
      </w:hyperlink>
      <w:r w:rsidR="00E50CAF">
        <w:rPr>
          <w:rFonts w:cs="David"/>
          <w:sz w:val="24"/>
          <w:szCs w:val="24"/>
          <w:rtl/>
        </w:rPr>
        <w:t xml:space="preserve">  </w:t>
      </w:r>
      <w:r w:rsidR="00E50CAF">
        <w:rPr>
          <w:rFonts w:cs="David"/>
          <w:b/>
          <w:bCs/>
          <w:sz w:val="24"/>
          <w:szCs w:val="24"/>
          <w:rtl/>
        </w:rPr>
        <w:t>גיהאד זייתון נ' מדינת ישראל</w:t>
      </w:r>
      <w:r w:rsidR="00E50CAF">
        <w:rPr>
          <w:rFonts w:cs="David"/>
          <w:sz w:val="24"/>
          <w:szCs w:val="24"/>
          <w:rtl/>
        </w:rPr>
        <w:t xml:space="preserve"> (13.5.18) המבקש הורשע בהחזקת סם מסוג קוקאין במשקל של 8.46 גרם, שלא לצריכה עצמית. בית משפט קמא קבע כי מתחם העונש ההולם נע בין 7-18 חודשי מאסר וגזר על המערער 8 חודשי מאסר תוך הפעלת 9 חודשי מאסר על תנאי לריצוי מרביתו בחופף כך שסך הכל ירצה 10 חודשי מאסר וענישה נלווית. בית המשפט המחוזי, בהסכמת הצדדים, הורה על חפיפה מלאה של המאסר המותנה כך שירצה 9 חודשי מאסר וענישה נלווית.</w:t>
      </w:r>
    </w:p>
    <w:p w14:paraId="33F83902" w14:textId="77777777" w:rsidR="00E50CAF" w:rsidRDefault="003325CE" w:rsidP="00E50CAF">
      <w:pPr>
        <w:pStyle w:val="aa"/>
        <w:numPr>
          <w:ilvl w:val="0"/>
          <w:numId w:val="2"/>
        </w:numPr>
        <w:spacing w:after="0" w:line="360" w:lineRule="auto"/>
        <w:jc w:val="both"/>
        <w:rPr>
          <w:rFonts w:cs="David"/>
          <w:sz w:val="24"/>
          <w:szCs w:val="24"/>
        </w:rPr>
      </w:pPr>
      <w:hyperlink r:id="rId30" w:history="1">
        <w:r w:rsidRPr="003325CE">
          <w:rPr>
            <w:rFonts w:cs="David" w:hint="cs"/>
            <w:color w:val="0000FF"/>
            <w:sz w:val="24"/>
            <w:szCs w:val="24"/>
            <w:u w:val="single"/>
            <w:rtl/>
          </w:rPr>
          <w:t>עפ</w:t>
        </w:r>
        <w:r w:rsidRPr="003325CE">
          <w:rPr>
            <w:rFonts w:cs="David"/>
            <w:color w:val="0000FF"/>
            <w:sz w:val="24"/>
            <w:szCs w:val="24"/>
            <w:u w:val="single"/>
            <w:rtl/>
          </w:rPr>
          <w:t>"</w:t>
        </w:r>
        <w:r w:rsidRPr="003325CE">
          <w:rPr>
            <w:rFonts w:cs="David" w:hint="cs"/>
            <w:color w:val="0000FF"/>
            <w:sz w:val="24"/>
            <w:szCs w:val="24"/>
            <w:u w:val="single"/>
            <w:rtl/>
          </w:rPr>
          <w:t>ג</w:t>
        </w:r>
        <w:r w:rsidRPr="003325CE">
          <w:rPr>
            <w:rFonts w:cs="David"/>
            <w:color w:val="0000FF"/>
            <w:sz w:val="24"/>
            <w:szCs w:val="24"/>
            <w:u w:val="single"/>
            <w:rtl/>
          </w:rPr>
          <w:t xml:space="preserve"> (</w:t>
        </w:r>
        <w:r w:rsidRPr="003325CE">
          <w:rPr>
            <w:rFonts w:cs="David" w:hint="cs"/>
            <w:color w:val="0000FF"/>
            <w:sz w:val="24"/>
            <w:szCs w:val="24"/>
            <w:u w:val="single"/>
            <w:rtl/>
          </w:rPr>
          <w:t>תל</w:t>
        </w:r>
        <w:r w:rsidRPr="003325CE">
          <w:rPr>
            <w:rFonts w:cs="David"/>
            <w:color w:val="0000FF"/>
            <w:sz w:val="24"/>
            <w:szCs w:val="24"/>
            <w:u w:val="single"/>
            <w:rtl/>
          </w:rPr>
          <w:t xml:space="preserve"> </w:t>
        </w:r>
        <w:r w:rsidRPr="003325CE">
          <w:rPr>
            <w:rFonts w:cs="David" w:hint="cs"/>
            <w:color w:val="0000FF"/>
            <w:sz w:val="24"/>
            <w:szCs w:val="24"/>
            <w:u w:val="single"/>
            <w:rtl/>
          </w:rPr>
          <w:t>אביב</w:t>
        </w:r>
        <w:r w:rsidRPr="003325CE">
          <w:rPr>
            <w:rFonts w:cs="David"/>
            <w:color w:val="0000FF"/>
            <w:sz w:val="24"/>
            <w:szCs w:val="24"/>
            <w:u w:val="single"/>
            <w:rtl/>
          </w:rPr>
          <w:t>) 6495-09-15</w:t>
        </w:r>
      </w:hyperlink>
      <w:r w:rsidR="00E50CAF">
        <w:rPr>
          <w:rFonts w:cs="David"/>
          <w:sz w:val="24"/>
          <w:szCs w:val="24"/>
          <w:rtl/>
        </w:rPr>
        <w:t xml:space="preserve">  </w:t>
      </w:r>
      <w:r w:rsidR="00E50CAF">
        <w:rPr>
          <w:rFonts w:cs="David"/>
          <w:b/>
          <w:bCs/>
          <w:sz w:val="24"/>
          <w:szCs w:val="24"/>
          <w:rtl/>
        </w:rPr>
        <w:t>מדינת ישראל נ' פאדי דחל</w:t>
      </w:r>
      <w:r w:rsidR="00E50CAF">
        <w:rPr>
          <w:rFonts w:cs="David"/>
          <w:sz w:val="24"/>
          <w:szCs w:val="24"/>
          <w:rtl/>
        </w:rPr>
        <w:t xml:space="preserve"> (2.12.15). המבקש הורשע בהחזקת סם מסוג הירואין במשקל של 5.04 גרם כשהוא מחולק ל-7 מנות,  שלא לצריכה עצמית. בית משפט קמא קבע כי מתחם העונש ההולם נע בין מאסר מותנה ועד שנת מאסר וגזר על הנאשם מאסר מותנה וענישה נלווית. בית המשפט המחוזי קיבל את ערעור המדינה, קבע כי מתחם העונש ההולם נע בין 6-18 חודשי מאסר והורה על קבלת תסקיר והחזרת עניינו של המערער לבית משפט קמא לצורך גזירת עונשו. (בין לבין, בעוד המערער ממתין לגזר דינו, ביצע עבירות נוספות של החזקת סמים מסוג הירואין (0.91 ג')  וקוקאין (0.66 ג') שיבוש מהלכי משפט והפרעה לשוטר ונדון במאוחד לשנת מאסר וענישה נלווית).</w:t>
      </w:r>
    </w:p>
    <w:p w14:paraId="54AFD32C" w14:textId="77777777" w:rsidR="00E50CAF" w:rsidRDefault="003325CE" w:rsidP="00E50CAF">
      <w:pPr>
        <w:pStyle w:val="aa"/>
        <w:numPr>
          <w:ilvl w:val="0"/>
          <w:numId w:val="2"/>
        </w:numPr>
        <w:spacing w:after="0" w:line="360" w:lineRule="auto"/>
        <w:jc w:val="both"/>
        <w:rPr>
          <w:rFonts w:cs="David"/>
          <w:sz w:val="24"/>
          <w:szCs w:val="24"/>
        </w:rPr>
      </w:pPr>
      <w:hyperlink r:id="rId31" w:history="1">
        <w:r w:rsidRPr="003325CE">
          <w:rPr>
            <w:rFonts w:cs="David" w:hint="cs"/>
            <w:color w:val="0000FF"/>
            <w:sz w:val="24"/>
            <w:szCs w:val="24"/>
            <w:u w:val="single"/>
            <w:rtl/>
          </w:rPr>
          <w:t>עפ</w:t>
        </w:r>
        <w:r w:rsidRPr="003325CE">
          <w:rPr>
            <w:rFonts w:cs="David"/>
            <w:color w:val="0000FF"/>
            <w:sz w:val="24"/>
            <w:szCs w:val="24"/>
            <w:u w:val="single"/>
            <w:rtl/>
          </w:rPr>
          <w:t>"</w:t>
        </w:r>
        <w:r w:rsidRPr="003325CE">
          <w:rPr>
            <w:rFonts w:cs="David" w:hint="cs"/>
            <w:color w:val="0000FF"/>
            <w:sz w:val="24"/>
            <w:szCs w:val="24"/>
            <w:u w:val="single"/>
            <w:rtl/>
          </w:rPr>
          <w:t>ג</w:t>
        </w:r>
        <w:r w:rsidRPr="003325CE">
          <w:rPr>
            <w:rFonts w:cs="David"/>
            <w:color w:val="0000FF"/>
            <w:sz w:val="24"/>
            <w:szCs w:val="24"/>
            <w:u w:val="single"/>
            <w:rtl/>
          </w:rPr>
          <w:t xml:space="preserve"> (</w:t>
        </w:r>
        <w:r w:rsidRPr="003325CE">
          <w:rPr>
            <w:rFonts w:cs="David" w:hint="cs"/>
            <w:color w:val="0000FF"/>
            <w:sz w:val="24"/>
            <w:szCs w:val="24"/>
            <w:u w:val="single"/>
            <w:rtl/>
          </w:rPr>
          <w:t>באר</w:t>
        </w:r>
        <w:r w:rsidRPr="003325CE">
          <w:rPr>
            <w:rFonts w:cs="David"/>
            <w:color w:val="0000FF"/>
            <w:sz w:val="24"/>
            <w:szCs w:val="24"/>
            <w:u w:val="single"/>
            <w:rtl/>
          </w:rPr>
          <w:t xml:space="preserve"> </w:t>
        </w:r>
        <w:r w:rsidRPr="003325CE">
          <w:rPr>
            <w:rFonts w:cs="David" w:hint="cs"/>
            <w:color w:val="0000FF"/>
            <w:sz w:val="24"/>
            <w:szCs w:val="24"/>
            <w:u w:val="single"/>
            <w:rtl/>
          </w:rPr>
          <w:t>שבע</w:t>
        </w:r>
        <w:r w:rsidRPr="003325CE">
          <w:rPr>
            <w:rFonts w:cs="David"/>
            <w:color w:val="0000FF"/>
            <w:sz w:val="24"/>
            <w:szCs w:val="24"/>
            <w:u w:val="single"/>
            <w:rtl/>
          </w:rPr>
          <w:t>) 22489-09-15</w:t>
        </w:r>
      </w:hyperlink>
      <w:r w:rsidR="00E50CAF">
        <w:rPr>
          <w:rFonts w:cs="David"/>
          <w:sz w:val="24"/>
          <w:szCs w:val="24"/>
          <w:rtl/>
        </w:rPr>
        <w:t xml:space="preserve"> </w:t>
      </w:r>
      <w:r w:rsidR="00E50CAF">
        <w:rPr>
          <w:rFonts w:cs="David"/>
          <w:b/>
          <w:bCs/>
          <w:sz w:val="24"/>
          <w:szCs w:val="24"/>
          <w:rtl/>
        </w:rPr>
        <w:t>ינון חיים נ' מדינת ישראל</w:t>
      </w:r>
      <w:r w:rsidR="00E50CAF">
        <w:rPr>
          <w:rFonts w:cs="David"/>
          <w:sz w:val="24"/>
          <w:szCs w:val="24"/>
          <w:rtl/>
        </w:rPr>
        <w:t xml:space="preserve"> (11.11.15) המערער הורשע על פי הודאתו </w:t>
      </w:r>
      <w:r w:rsidR="00E50CAF">
        <w:rPr>
          <w:rFonts w:ascii="Arial" w:eastAsia="David" w:hAnsi="Arial" w:cs="David"/>
          <w:sz w:val="24"/>
          <w:szCs w:val="24"/>
          <w:rtl/>
        </w:rPr>
        <w:t>בעבירה של החזקת סם מסוכן שלא לצריכה עצמית –המערער החזיק סם מסוכן מסוג הרואין במשקל של 4.6774 גר' נטו מחולק ל- 20 מנות. בית משפט קמא קבע כי מתחם העונש ההולם נע בין  9-18 חודשי מאסר וענישה נלווית וגזר על המערער 11 חודשי מאסר בפועל, הפעיל 3 חודשי מאסר מותנה לריצוי חלקו בחופף ובסך הכל 12 חודשי מאסר בפועל וענישה נלווית. בית המשפט המחוזי דחה את הערעור.</w:t>
      </w:r>
    </w:p>
    <w:p w14:paraId="784529D4" w14:textId="77777777" w:rsidR="00E50CAF" w:rsidRDefault="00502B9F" w:rsidP="00E50CAF">
      <w:pPr>
        <w:pStyle w:val="aa"/>
        <w:numPr>
          <w:ilvl w:val="0"/>
          <w:numId w:val="2"/>
        </w:numPr>
        <w:spacing w:after="0" w:line="360" w:lineRule="auto"/>
        <w:jc w:val="both"/>
        <w:rPr>
          <w:rFonts w:cs="David"/>
          <w:sz w:val="24"/>
          <w:szCs w:val="24"/>
        </w:rPr>
      </w:pPr>
      <w:hyperlink r:id="rId32" w:history="1">
        <w:r w:rsidR="00E50CAF">
          <w:rPr>
            <w:rStyle w:val="Hyperlink"/>
            <w:rFonts w:cs="David"/>
            <w:sz w:val="24"/>
            <w:szCs w:val="24"/>
            <w:rtl/>
          </w:rPr>
          <w:t>עפ"ג (חיפה) 12284-04-15</w:t>
        </w:r>
      </w:hyperlink>
      <w:r w:rsidR="00E50CAF">
        <w:rPr>
          <w:rFonts w:cs="David"/>
          <w:sz w:val="24"/>
          <w:szCs w:val="24"/>
          <w:rtl/>
        </w:rPr>
        <w:t xml:space="preserve"> </w:t>
      </w:r>
      <w:r w:rsidR="00E50CAF">
        <w:rPr>
          <w:rFonts w:cs="David" w:hint="cs"/>
          <w:b/>
          <w:bCs/>
          <w:sz w:val="24"/>
          <w:szCs w:val="24"/>
          <w:rtl/>
        </w:rPr>
        <w:t>פארס</w:t>
      </w:r>
      <w:r w:rsidR="00E50CAF">
        <w:rPr>
          <w:rFonts w:cs="David" w:hint="cs"/>
          <w:b/>
          <w:bCs/>
          <w:sz w:val="24"/>
          <w:szCs w:val="24"/>
        </w:rPr>
        <w:t xml:space="preserve"> </w:t>
      </w:r>
      <w:r w:rsidR="00E50CAF">
        <w:rPr>
          <w:rFonts w:cs="David"/>
          <w:b/>
          <w:bCs/>
          <w:sz w:val="24"/>
          <w:szCs w:val="24"/>
          <w:rtl/>
        </w:rPr>
        <w:t>חזימיה</w:t>
      </w:r>
      <w:r w:rsidR="00E50CAF">
        <w:rPr>
          <w:rFonts w:cs="David" w:hint="cs"/>
          <w:b/>
          <w:bCs/>
          <w:sz w:val="24"/>
          <w:szCs w:val="24"/>
        </w:rPr>
        <w:t xml:space="preserve"> </w:t>
      </w:r>
      <w:r w:rsidR="00E50CAF">
        <w:rPr>
          <w:rFonts w:cs="David"/>
          <w:b/>
          <w:bCs/>
          <w:sz w:val="24"/>
          <w:szCs w:val="24"/>
          <w:rtl/>
        </w:rPr>
        <w:t>נ' מדינת</w:t>
      </w:r>
      <w:r w:rsidR="00E50CAF">
        <w:rPr>
          <w:rFonts w:cs="David" w:hint="cs"/>
          <w:b/>
          <w:bCs/>
          <w:sz w:val="24"/>
          <w:szCs w:val="24"/>
        </w:rPr>
        <w:t xml:space="preserve"> </w:t>
      </w:r>
      <w:r w:rsidR="00E50CAF">
        <w:rPr>
          <w:rFonts w:cs="David"/>
          <w:b/>
          <w:bCs/>
          <w:sz w:val="24"/>
          <w:szCs w:val="24"/>
          <w:rtl/>
        </w:rPr>
        <w:t>ישראל</w:t>
      </w:r>
      <w:r w:rsidR="00E50CAF">
        <w:rPr>
          <w:rFonts w:cs="David"/>
          <w:sz w:val="24"/>
          <w:szCs w:val="24"/>
          <w:rtl/>
        </w:rPr>
        <w:t xml:space="preserve"> (17.06.15) המערער הורשע לאחר שמיעת הוכחות בהחזקת סם מסוג קוקאין במשקל</w:t>
      </w:r>
      <w:r w:rsidR="00E50CAF">
        <w:rPr>
          <w:rFonts w:cs="David" w:hint="cs"/>
          <w:sz w:val="24"/>
          <w:szCs w:val="24"/>
        </w:rPr>
        <w:t xml:space="preserve"> </w:t>
      </w:r>
      <w:r w:rsidR="00E50CAF">
        <w:rPr>
          <w:rFonts w:cs="David"/>
          <w:sz w:val="24"/>
          <w:szCs w:val="24"/>
          <w:rtl/>
        </w:rPr>
        <w:t>נטו</w:t>
      </w:r>
      <w:r w:rsidR="00E50CAF">
        <w:rPr>
          <w:rFonts w:cs="David" w:hint="cs"/>
          <w:sz w:val="24"/>
          <w:szCs w:val="24"/>
        </w:rPr>
        <w:t xml:space="preserve"> </w:t>
      </w:r>
      <w:r w:rsidR="00E50CAF">
        <w:rPr>
          <w:rFonts w:cs="David"/>
          <w:sz w:val="24"/>
          <w:szCs w:val="24"/>
          <w:rtl/>
        </w:rPr>
        <w:t>של 2.4291 גרם מחולק ל- 5 מנות. בית משפט קמא קבע כי  מתחם העונש ההולם נע בין 3-12 חודשי מאסר וענישה נלווית. המערער נדון למאסר מותנה, וענישה נלוות. ערעור המערער על הכרעת הדין נדחה.</w:t>
      </w:r>
    </w:p>
    <w:p w14:paraId="1062AAF8" w14:textId="77777777" w:rsidR="00E50CAF" w:rsidRDefault="00E50CAF" w:rsidP="00E50CAF">
      <w:pPr>
        <w:pStyle w:val="aa"/>
        <w:numPr>
          <w:ilvl w:val="0"/>
          <w:numId w:val="2"/>
        </w:numPr>
        <w:spacing w:after="0" w:line="360" w:lineRule="auto"/>
        <w:jc w:val="both"/>
        <w:rPr>
          <w:rFonts w:cs="David"/>
          <w:sz w:val="24"/>
          <w:szCs w:val="24"/>
        </w:rPr>
      </w:pPr>
      <w:r>
        <w:rPr>
          <w:rFonts w:cs="David"/>
          <w:sz w:val="24"/>
          <w:szCs w:val="24"/>
          <w:rtl/>
        </w:rPr>
        <w:t xml:space="preserve">עפ"ג (תל אביב) </w:t>
      </w:r>
      <w:hyperlink r:id="rId33" w:history="1">
        <w:r w:rsidR="000A44FD" w:rsidRPr="000A44FD">
          <w:rPr>
            <w:rFonts w:cs="David"/>
            <w:color w:val="0000FF"/>
            <w:sz w:val="24"/>
            <w:szCs w:val="24"/>
            <w:u w:val="single"/>
            <w:rtl/>
          </w:rPr>
          <w:t xml:space="preserve">6761-01-15  </w:t>
        </w:r>
      </w:hyperlink>
      <w:r>
        <w:rPr>
          <w:rFonts w:cs="David"/>
          <w:sz w:val="24"/>
          <w:szCs w:val="24"/>
          <w:rtl/>
        </w:rPr>
        <w:t xml:space="preserve"> </w:t>
      </w:r>
      <w:r>
        <w:rPr>
          <w:rFonts w:cs="David"/>
          <w:b/>
          <w:bCs/>
          <w:sz w:val="24"/>
          <w:szCs w:val="24"/>
          <w:rtl/>
        </w:rPr>
        <w:t>יאיר כהן נ' מדינת ישראל</w:t>
      </w:r>
      <w:r>
        <w:rPr>
          <w:rFonts w:cs="David"/>
          <w:sz w:val="24"/>
          <w:szCs w:val="24"/>
          <w:rtl/>
        </w:rPr>
        <w:t xml:space="preserve"> (29.4.15). המערער הורשע על פי הודאתו </w:t>
      </w:r>
      <w:r>
        <w:rPr>
          <w:rFonts w:ascii="Arial" w:eastAsia="David" w:hAnsi="Arial" w:cs="David"/>
          <w:sz w:val="24"/>
          <w:szCs w:val="24"/>
          <w:rtl/>
        </w:rPr>
        <w:t>בעבירה של החזקת סם מסוכן מסוג קוקאין במשקל של  4.98 גרם שלא לצריכה עצמית, ובהחזקת משקל אלקטרוני המשמש לשקילת הסם. בית משפט קמא קבע כי מתחם העונש ההולם נע בין  8-18 חודשי מאסר ווגזר על המערער 14 חודשי מאסר בפועל, 3 שנות פסילה וענישה נלווית. בית המשפט המחוזי, בהסכמת הצדדים, קיצר את הפסילה לשנה והותיר את יתר רכיבי הענישה ללא שינוי.</w:t>
      </w:r>
    </w:p>
    <w:p w14:paraId="3445B6CC" w14:textId="77777777" w:rsidR="00E50CAF" w:rsidRDefault="003325CE" w:rsidP="00E50CAF">
      <w:pPr>
        <w:pStyle w:val="aa"/>
        <w:numPr>
          <w:ilvl w:val="0"/>
          <w:numId w:val="2"/>
        </w:numPr>
        <w:spacing w:after="0" w:line="360" w:lineRule="auto"/>
        <w:jc w:val="both"/>
        <w:rPr>
          <w:rFonts w:cs="David"/>
          <w:sz w:val="24"/>
          <w:szCs w:val="24"/>
        </w:rPr>
      </w:pPr>
      <w:hyperlink r:id="rId34" w:history="1">
        <w:r w:rsidRPr="003325CE">
          <w:rPr>
            <w:rFonts w:cs="David" w:hint="cs"/>
            <w:color w:val="0000FF"/>
            <w:sz w:val="24"/>
            <w:szCs w:val="24"/>
            <w:u w:val="single"/>
            <w:rtl/>
          </w:rPr>
          <w:t>עפ</w:t>
        </w:r>
        <w:r w:rsidRPr="003325CE">
          <w:rPr>
            <w:rFonts w:cs="David"/>
            <w:color w:val="0000FF"/>
            <w:sz w:val="24"/>
            <w:szCs w:val="24"/>
            <w:u w:val="single"/>
            <w:rtl/>
          </w:rPr>
          <w:t>"</w:t>
        </w:r>
        <w:r w:rsidRPr="003325CE">
          <w:rPr>
            <w:rFonts w:cs="David" w:hint="cs"/>
            <w:color w:val="0000FF"/>
            <w:sz w:val="24"/>
            <w:szCs w:val="24"/>
            <w:u w:val="single"/>
            <w:rtl/>
          </w:rPr>
          <w:t>ג</w:t>
        </w:r>
        <w:r w:rsidRPr="003325CE">
          <w:rPr>
            <w:rFonts w:cs="David"/>
            <w:color w:val="0000FF"/>
            <w:sz w:val="24"/>
            <w:szCs w:val="24"/>
            <w:u w:val="single"/>
            <w:rtl/>
          </w:rPr>
          <w:t xml:space="preserve"> (</w:t>
        </w:r>
        <w:r w:rsidRPr="003325CE">
          <w:rPr>
            <w:rFonts w:cs="David" w:hint="cs"/>
            <w:color w:val="0000FF"/>
            <w:sz w:val="24"/>
            <w:szCs w:val="24"/>
            <w:u w:val="single"/>
            <w:rtl/>
          </w:rPr>
          <w:t>באר</w:t>
        </w:r>
        <w:r w:rsidRPr="003325CE">
          <w:rPr>
            <w:rFonts w:cs="David"/>
            <w:color w:val="0000FF"/>
            <w:sz w:val="24"/>
            <w:szCs w:val="24"/>
            <w:u w:val="single"/>
            <w:rtl/>
          </w:rPr>
          <w:t xml:space="preserve"> </w:t>
        </w:r>
        <w:r w:rsidRPr="003325CE">
          <w:rPr>
            <w:rFonts w:cs="David" w:hint="cs"/>
            <w:color w:val="0000FF"/>
            <w:sz w:val="24"/>
            <w:szCs w:val="24"/>
            <w:u w:val="single"/>
            <w:rtl/>
          </w:rPr>
          <w:t>שבע</w:t>
        </w:r>
        <w:r w:rsidRPr="003325CE">
          <w:rPr>
            <w:rFonts w:cs="David"/>
            <w:color w:val="0000FF"/>
            <w:sz w:val="24"/>
            <w:szCs w:val="24"/>
            <w:u w:val="single"/>
            <w:rtl/>
          </w:rPr>
          <w:t>) 42943-08-11</w:t>
        </w:r>
      </w:hyperlink>
      <w:r w:rsidR="00E50CAF">
        <w:rPr>
          <w:rFonts w:cs="David"/>
          <w:sz w:val="24"/>
          <w:szCs w:val="24"/>
          <w:rtl/>
        </w:rPr>
        <w:t xml:space="preserve"> </w:t>
      </w:r>
      <w:r w:rsidR="00E50CAF">
        <w:rPr>
          <w:rFonts w:cs="David"/>
          <w:b/>
          <w:bCs/>
          <w:sz w:val="24"/>
          <w:szCs w:val="24"/>
          <w:rtl/>
        </w:rPr>
        <w:t>רוני בן שושן נ' מדינת ישראל</w:t>
      </w:r>
      <w:r w:rsidR="00E50CAF">
        <w:rPr>
          <w:rFonts w:cs="David"/>
          <w:sz w:val="24"/>
          <w:szCs w:val="24"/>
          <w:rtl/>
        </w:rPr>
        <w:t xml:space="preserve"> (23.11.11). המערער הורשע לאחר שמיעת  הוכחות בהחזקת סם מסוג הירואין במשקל כולל של 6.68 גרם ובסם מסוכן מסוג קוקאין במשקל</w:t>
      </w:r>
      <w:r w:rsidR="00E50CAF">
        <w:rPr>
          <w:rFonts w:cs="David" w:hint="cs"/>
          <w:sz w:val="24"/>
          <w:szCs w:val="24"/>
        </w:rPr>
        <w:t xml:space="preserve"> </w:t>
      </w:r>
      <w:r w:rsidR="00E50CAF">
        <w:rPr>
          <w:rFonts w:cs="David"/>
          <w:sz w:val="24"/>
          <w:szCs w:val="24"/>
          <w:rtl/>
        </w:rPr>
        <w:t>נטו</w:t>
      </w:r>
      <w:r w:rsidR="00E50CAF">
        <w:rPr>
          <w:rFonts w:cs="David" w:hint="cs"/>
          <w:sz w:val="24"/>
          <w:szCs w:val="24"/>
        </w:rPr>
        <w:t xml:space="preserve"> </w:t>
      </w:r>
      <w:r w:rsidR="00E50CAF">
        <w:rPr>
          <w:rFonts w:cs="David"/>
          <w:sz w:val="24"/>
          <w:szCs w:val="24"/>
          <w:rtl/>
        </w:rPr>
        <w:t>של  0.37 גרם. בית משפט קמא גזר על המערער 18 חודשי מאסר וענישה נלווית. ערעורו נדחה.</w:t>
      </w:r>
    </w:p>
    <w:p w14:paraId="71828D9E" w14:textId="77777777" w:rsidR="00E50CAF" w:rsidRDefault="00E50CAF" w:rsidP="00E50CAF">
      <w:pPr>
        <w:pStyle w:val="aa"/>
        <w:spacing w:after="0" w:line="360" w:lineRule="auto"/>
        <w:jc w:val="both"/>
        <w:rPr>
          <w:rFonts w:cs="David"/>
          <w:sz w:val="24"/>
          <w:szCs w:val="24"/>
        </w:rPr>
      </w:pPr>
    </w:p>
    <w:p w14:paraId="387FDA9D" w14:textId="77777777" w:rsidR="00E50CAF" w:rsidRDefault="00E50CAF" w:rsidP="00E50CAF">
      <w:pPr>
        <w:spacing w:line="360" w:lineRule="auto"/>
        <w:ind w:left="360"/>
        <w:jc w:val="both"/>
      </w:pPr>
      <w:r>
        <w:rPr>
          <w:rtl/>
        </w:rPr>
        <w:t xml:space="preserve"> ראו גם </w:t>
      </w:r>
      <w:hyperlink r:id="rId35" w:history="1">
        <w:r w:rsidR="003325CE" w:rsidRPr="003325CE">
          <w:rPr>
            <w:rFonts w:ascii="Arial" w:hAnsi="Arial"/>
            <w:color w:val="0000FF"/>
            <w:u w:val="single"/>
            <w:rtl/>
          </w:rPr>
          <w:t>ת"פ (אשקלון) 27752-09-18</w:t>
        </w:r>
      </w:hyperlink>
      <w:r>
        <w:rPr>
          <w:rtl/>
        </w:rPr>
        <w:t xml:space="preserve"> </w:t>
      </w:r>
      <w:r>
        <w:rPr>
          <w:b/>
          <w:bCs/>
          <w:rtl/>
        </w:rPr>
        <w:t xml:space="preserve">מדינת ישראל נ' קופרמן </w:t>
      </w:r>
      <w:r>
        <w:rPr>
          <w:rtl/>
        </w:rPr>
        <w:t xml:space="preserve">(23.1.19): </w:t>
      </w:r>
      <w:hyperlink r:id="rId36" w:history="1">
        <w:r w:rsidR="003325CE" w:rsidRPr="003325CE">
          <w:rPr>
            <w:color w:val="0000FF"/>
            <w:u w:val="single"/>
            <w:rtl/>
          </w:rPr>
          <w:t>תפ"ק (רמלה) 41272-03-16</w:t>
        </w:r>
      </w:hyperlink>
      <w:r>
        <w:rPr>
          <w:rtl/>
        </w:rPr>
        <w:t xml:space="preserve"> </w:t>
      </w:r>
      <w:r>
        <w:rPr>
          <w:b/>
          <w:bCs/>
          <w:rtl/>
        </w:rPr>
        <w:t>מדינת ישראל נ' סברי אבו כאשף</w:t>
      </w:r>
      <w:r>
        <w:rPr>
          <w:rtl/>
        </w:rPr>
        <w:t xml:space="preserve"> (9.9.19); </w:t>
      </w:r>
      <w:hyperlink r:id="rId37" w:history="1">
        <w:r w:rsidR="003325CE" w:rsidRPr="003325CE">
          <w:rPr>
            <w:color w:val="0000FF"/>
            <w:u w:val="single"/>
            <w:rtl/>
          </w:rPr>
          <w:t>ת"פ (קרית שמונה) 48568-10-15</w:t>
        </w:r>
      </w:hyperlink>
      <w:r>
        <w:rPr>
          <w:rtl/>
        </w:rPr>
        <w:t xml:space="preserve"> </w:t>
      </w:r>
      <w:r>
        <w:rPr>
          <w:b/>
          <w:bCs/>
          <w:rtl/>
        </w:rPr>
        <w:t>מדינת ישראל נ' הרשברג ואח'</w:t>
      </w:r>
      <w:r>
        <w:rPr>
          <w:rtl/>
        </w:rPr>
        <w:t xml:space="preserve"> (6.12.17); ת"פ (ראשל"צ) </w:t>
      </w:r>
      <w:r>
        <w:rPr>
          <w:b/>
          <w:bCs/>
          <w:rtl/>
        </w:rPr>
        <w:t>מדינת ישראל נ' ודים קוצרוב</w:t>
      </w:r>
      <w:r>
        <w:rPr>
          <w:rtl/>
        </w:rPr>
        <w:t xml:space="preserve"> (9.1.14); </w:t>
      </w:r>
      <w:hyperlink r:id="rId38" w:history="1">
        <w:r w:rsidR="003325CE" w:rsidRPr="003325CE">
          <w:rPr>
            <w:color w:val="0000FF"/>
            <w:u w:val="single"/>
            <w:rtl/>
          </w:rPr>
          <w:t>ת"פ (באר שבע) 22722-05-13</w:t>
        </w:r>
      </w:hyperlink>
      <w:r>
        <w:rPr>
          <w:rtl/>
        </w:rPr>
        <w:t xml:space="preserve"> </w:t>
      </w:r>
      <w:r>
        <w:rPr>
          <w:b/>
          <w:bCs/>
          <w:rtl/>
        </w:rPr>
        <w:t>מדינת ישראל נ' אלאעסם</w:t>
      </w:r>
      <w:r>
        <w:rPr>
          <w:rtl/>
        </w:rPr>
        <w:t xml:space="preserve"> (13.4.14).</w:t>
      </w:r>
    </w:p>
    <w:p w14:paraId="1BF28863" w14:textId="77777777" w:rsidR="00E50CAF" w:rsidRDefault="00E50CAF" w:rsidP="00E50CAF">
      <w:pPr>
        <w:spacing w:line="360" w:lineRule="auto"/>
        <w:ind w:left="360" w:right="426"/>
        <w:jc w:val="both"/>
      </w:pPr>
    </w:p>
    <w:p w14:paraId="4266FF27" w14:textId="77777777" w:rsidR="00E50CAF" w:rsidRDefault="00E50CAF" w:rsidP="00E50CAF">
      <w:pPr>
        <w:pStyle w:val="aa"/>
        <w:numPr>
          <w:ilvl w:val="0"/>
          <w:numId w:val="1"/>
        </w:numPr>
        <w:spacing w:after="0" w:line="360" w:lineRule="auto"/>
        <w:jc w:val="both"/>
        <w:rPr>
          <w:rFonts w:ascii="David" w:eastAsia="David" w:hAnsi="David" w:cs="David"/>
          <w:sz w:val="24"/>
          <w:szCs w:val="24"/>
          <w:rtl/>
        </w:rPr>
      </w:pPr>
      <w:r>
        <w:rPr>
          <w:rFonts w:ascii="David" w:eastAsia="David" w:hAnsi="David" w:cs="David"/>
          <w:sz w:val="24"/>
          <w:szCs w:val="24"/>
          <w:rtl/>
        </w:rPr>
        <w:t xml:space="preserve">לאור כל המפורט לעיל, בשים לב לכמות הסם, לסוגו, ולכך שלא היה מחולק למנות, </w:t>
      </w:r>
      <w:r w:rsidR="003325CE">
        <w:rPr>
          <w:rFonts w:ascii="David" w:eastAsia="David" w:hAnsi="David" w:cs="David"/>
          <w:sz w:val="24"/>
          <w:szCs w:val="24"/>
          <w:rtl/>
        </w:rPr>
        <w:t xml:space="preserve"> </w:t>
      </w:r>
      <w:r>
        <w:rPr>
          <w:rFonts w:ascii="David" w:eastAsia="David" w:hAnsi="David" w:cs="David"/>
          <w:sz w:val="24"/>
          <w:szCs w:val="24"/>
          <w:rtl/>
        </w:rPr>
        <w:t xml:space="preserve">ובשים לב לנסיבות </w:t>
      </w:r>
      <w:r>
        <w:rPr>
          <w:rFonts w:ascii="David" w:eastAsia="David" w:hAnsi="David" w:cs="David" w:hint="cs"/>
          <w:sz w:val="24"/>
          <w:szCs w:val="24"/>
          <w:rtl/>
        </w:rPr>
        <w:t>ו</w:t>
      </w:r>
      <w:r>
        <w:rPr>
          <w:rFonts w:ascii="David" w:eastAsia="David" w:hAnsi="David" w:cs="David"/>
          <w:sz w:val="24"/>
          <w:szCs w:val="24"/>
          <w:rtl/>
        </w:rPr>
        <w:t>למהות ההפרעה לשוטר על דרך דריכת הנאשם על הסם, אני קובעת כי</w:t>
      </w:r>
      <w:r w:rsidR="003325CE">
        <w:rPr>
          <w:rFonts w:ascii="David" w:eastAsia="David" w:hAnsi="David" w:cs="David"/>
          <w:sz w:val="24"/>
          <w:szCs w:val="24"/>
          <w:rtl/>
        </w:rPr>
        <w:t xml:space="preserve"> </w:t>
      </w:r>
      <w:r>
        <w:rPr>
          <w:rFonts w:ascii="David" w:eastAsia="David" w:hAnsi="David" w:cs="David"/>
          <w:sz w:val="24"/>
          <w:szCs w:val="24"/>
          <w:rtl/>
        </w:rPr>
        <w:t>מתחם העונש ההולם</w:t>
      </w:r>
      <w:r w:rsidR="003325CE">
        <w:rPr>
          <w:rFonts w:ascii="David" w:eastAsia="David" w:hAnsi="David" w:cs="David"/>
          <w:sz w:val="24"/>
          <w:szCs w:val="24"/>
          <w:rtl/>
        </w:rPr>
        <w:t xml:space="preserve"> </w:t>
      </w:r>
      <w:r>
        <w:rPr>
          <w:rFonts w:ascii="David" w:eastAsia="David" w:hAnsi="David" w:cs="David"/>
          <w:sz w:val="24"/>
          <w:szCs w:val="24"/>
          <w:rtl/>
        </w:rPr>
        <w:t>לאירוע בכללותו נע בין 6-17 חודשי מאסר בפועל וענישה נלווית.</w:t>
      </w:r>
    </w:p>
    <w:p w14:paraId="0457560F" w14:textId="77777777" w:rsidR="00E50CAF" w:rsidRDefault="00E50CAF" w:rsidP="00E50CAF">
      <w:pPr>
        <w:spacing w:line="360" w:lineRule="auto"/>
        <w:jc w:val="both"/>
        <w:rPr>
          <w:rFonts w:ascii="David" w:eastAsia="David" w:hAnsi="David"/>
        </w:rPr>
      </w:pPr>
    </w:p>
    <w:p w14:paraId="258D3D97" w14:textId="77777777" w:rsidR="00E50CAF" w:rsidRDefault="00E50CAF" w:rsidP="00E50CAF">
      <w:pPr>
        <w:spacing w:line="360" w:lineRule="auto"/>
        <w:jc w:val="both"/>
        <w:rPr>
          <w:rFonts w:ascii="David" w:eastAsia="David" w:hAnsi="David"/>
          <w:b/>
          <w:bCs/>
          <w:u w:val="single"/>
          <w:rtl/>
        </w:rPr>
      </w:pPr>
      <w:r>
        <w:rPr>
          <w:rFonts w:ascii="David" w:eastAsia="David" w:hAnsi="David"/>
          <w:b/>
          <w:bCs/>
          <w:u w:val="single"/>
          <w:rtl/>
        </w:rPr>
        <w:t>שיקולים לגזירת עונשו של הנאשם בתוך מתחם העונש ההולם.</w:t>
      </w:r>
    </w:p>
    <w:p w14:paraId="36808FEA" w14:textId="77777777" w:rsidR="00E50CAF" w:rsidRDefault="00E50CAF" w:rsidP="00E50CAF">
      <w:pPr>
        <w:pStyle w:val="aa"/>
        <w:spacing w:after="0" w:line="360" w:lineRule="auto"/>
        <w:ind w:left="360"/>
        <w:jc w:val="both"/>
        <w:rPr>
          <w:rFonts w:ascii="David" w:eastAsia="David" w:hAnsi="David" w:cs="David"/>
          <w:sz w:val="24"/>
          <w:szCs w:val="24"/>
        </w:rPr>
      </w:pPr>
    </w:p>
    <w:p w14:paraId="7D1DD779" w14:textId="77777777" w:rsidR="00E50CAF" w:rsidRDefault="00E50CAF" w:rsidP="00E50CAF">
      <w:pPr>
        <w:pStyle w:val="aa"/>
        <w:numPr>
          <w:ilvl w:val="0"/>
          <w:numId w:val="1"/>
        </w:numPr>
        <w:spacing w:after="0" w:line="360" w:lineRule="auto"/>
        <w:jc w:val="both"/>
        <w:rPr>
          <w:rFonts w:ascii="David" w:eastAsia="David" w:hAnsi="David" w:cs="David"/>
          <w:sz w:val="24"/>
          <w:szCs w:val="24"/>
        </w:rPr>
      </w:pPr>
      <w:r>
        <w:rPr>
          <w:rFonts w:ascii="David" w:eastAsia="David" w:hAnsi="David" w:cs="David"/>
          <w:sz w:val="24"/>
          <w:szCs w:val="24"/>
          <w:rtl/>
        </w:rPr>
        <w:t>בעניינו של הנאשם אין הצדקה לחרוג לחומרה או לקולה ממתחם העונש ההולם, גם לא משיקולי שיקום. בעניינו של הנאשם לא הוצגו בפני שיקולי שיקום ואף לא התבקש תסקיר בעניינו.</w:t>
      </w:r>
    </w:p>
    <w:p w14:paraId="7CE04A7E" w14:textId="77777777" w:rsidR="00E50CAF" w:rsidRPr="00E50CAF" w:rsidRDefault="00E50CAF" w:rsidP="00E50CAF">
      <w:pPr>
        <w:pStyle w:val="aa"/>
        <w:spacing w:line="360" w:lineRule="auto"/>
        <w:ind w:left="360"/>
        <w:jc w:val="both"/>
        <w:rPr>
          <w:rFonts w:ascii="David" w:hAnsi="David" w:cs="David"/>
          <w:color w:val="000000"/>
          <w:sz w:val="24"/>
          <w:szCs w:val="24"/>
          <w:rtl/>
        </w:rPr>
      </w:pPr>
    </w:p>
    <w:p w14:paraId="4396C89F" w14:textId="77777777" w:rsidR="00E50CAF" w:rsidRDefault="00E50CAF" w:rsidP="00E50CAF">
      <w:pPr>
        <w:pStyle w:val="aa"/>
        <w:numPr>
          <w:ilvl w:val="0"/>
          <w:numId w:val="1"/>
        </w:numPr>
        <w:spacing w:before="100" w:beforeAutospacing="1" w:after="100" w:afterAutospacing="1" w:line="360" w:lineRule="auto"/>
        <w:jc w:val="both"/>
        <w:rPr>
          <w:color w:val="000000"/>
          <w:sz w:val="24"/>
          <w:szCs w:val="24"/>
        </w:rPr>
      </w:pPr>
      <w:r>
        <w:rPr>
          <w:rFonts w:ascii="David" w:hAnsi="David" w:cs="David"/>
          <w:color w:val="000000"/>
          <w:sz w:val="24"/>
          <w:szCs w:val="24"/>
          <w:rtl/>
        </w:rPr>
        <w:t xml:space="preserve">בבואי לגזור את עונשו של הנאשם בתוך מתחם העונש ההולם, לקחתי בחשבון את השיקולים </w:t>
      </w:r>
      <w:r>
        <w:rPr>
          <w:rFonts w:ascii="David" w:hAnsi="David" w:cs="David" w:hint="cs"/>
          <w:color w:val="000000"/>
          <w:sz w:val="24"/>
          <w:szCs w:val="24"/>
          <w:rtl/>
        </w:rPr>
        <w:t>שלהלן:</w:t>
      </w:r>
    </w:p>
    <w:p w14:paraId="0A9B578D" w14:textId="77777777" w:rsidR="00E50CAF" w:rsidRDefault="00E50CAF" w:rsidP="00E50CAF">
      <w:pPr>
        <w:pStyle w:val="aa"/>
        <w:spacing w:line="360" w:lineRule="auto"/>
        <w:rPr>
          <w:rFonts w:ascii="David" w:hAnsi="David" w:cs="David"/>
          <w:color w:val="000000"/>
          <w:sz w:val="24"/>
          <w:szCs w:val="24"/>
        </w:rPr>
      </w:pPr>
    </w:p>
    <w:p w14:paraId="047A8342" w14:textId="77777777" w:rsidR="00E50CAF" w:rsidRDefault="00E50CAF" w:rsidP="00E50CAF">
      <w:pPr>
        <w:pStyle w:val="aa"/>
        <w:numPr>
          <w:ilvl w:val="0"/>
          <w:numId w:val="4"/>
        </w:numPr>
        <w:spacing w:before="100" w:beforeAutospacing="1" w:after="100" w:afterAutospacing="1" w:line="360" w:lineRule="auto"/>
        <w:jc w:val="both"/>
        <w:rPr>
          <w:color w:val="000000"/>
          <w:sz w:val="24"/>
          <w:szCs w:val="24"/>
          <w:rtl/>
        </w:rPr>
      </w:pPr>
      <w:r>
        <w:rPr>
          <w:rFonts w:ascii="David" w:hAnsi="David" w:cs="David"/>
          <w:color w:val="000000"/>
          <w:sz w:val="24"/>
          <w:szCs w:val="24"/>
          <w:rtl/>
        </w:rPr>
        <w:t>לקחתי בחשבון שהנאשם לא לקח אחריות על מעשיו ובחר לנהל את משפטו עד תום. אין בכך כדי להביא החמרה בעונשו, אך בוודאי שאינו זכאי להקלה בענישה הניתנת לאלו הבוחרים לקחת אחריות על מעשיהם ולהודות בהזדמנות ראשונה.</w:t>
      </w:r>
    </w:p>
    <w:p w14:paraId="6B0A35F1" w14:textId="77777777" w:rsidR="00E50CAF" w:rsidRPr="00E50CAF" w:rsidRDefault="00E50CAF" w:rsidP="00E50CAF">
      <w:pPr>
        <w:pStyle w:val="aa"/>
        <w:spacing w:line="360" w:lineRule="auto"/>
        <w:rPr>
          <w:rFonts w:ascii="David" w:hAnsi="David" w:cs="David"/>
          <w:color w:val="000000"/>
          <w:sz w:val="24"/>
          <w:szCs w:val="24"/>
        </w:rPr>
      </w:pPr>
    </w:p>
    <w:p w14:paraId="01C45CE2" w14:textId="77777777" w:rsidR="00E50CAF" w:rsidRDefault="00E50CAF" w:rsidP="00E50CAF">
      <w:pPr>
        <w:pStyle w:val="aa"/>
        <w:numPr>
          <w:ilvl w:val="0"/>
          <w:numId w:val="4"/>
        </w:numPr>
        <w:spacing w:before="100" w:beforeAutospacing="1" w:after="100" w:afterAutospacing="1" w:line="360" w:lineRule="auto"/>
        <w:jc w:val="both"/>
        <w:rPr>
          <w:color w:val="000000"/>
          <w:sz w:val="24"/>
          <w:szCs w:val="24"/>
          <w:rtl/>
        </w:rPr>
      </w:pPr>
      <w:r>
        <w:rPr>
          <w:rFonts w:ascii="David" w:hAnsi="David" w:cs="David"/>
          <w:color w:val="000000"/>
          <w:sz w:val="24"/>
          <w:szCs w:val="24"/>
          <w:rtl/>
        </w:rPr>
        <w:t>זקפתי לחובתו של הנאשם את עברו המכביד: לנאשם 22 הרשעות קודמות בריבוי עבירות רכוש, סמים ואלימות. לנאשם ריבוי הרשעות בעבירות פשע בניגוד ל</w:t>
      </w:r>
      <w:hyperlink r:id="rId39" w:history="1">
        <w:r w:rsidR="003325CE" w:rsidRPr="003325CE">
          <w:rPr>
            <w:rFonts w:ascii="David" w:hAnsi="David" w:cs="David"/>
            <w:color w:val="0000FF"/>
            <w:sz w:val="24"/>
            <w:szCs w:val="24"/>
            <w:u w:val="single"/>
            <w:rtl/>
          </w:rPr>
          <w:t>פקודת הסמים המסוכנים</w:t>
        </w:r>
      </w:hyperlink>
      <w:r>
        <w:rPr>
          <w:rFonts w:ascii="David" w:hAnsi="David" w:cs="David"/>
          <w:color w:val="000000"/>
          <w:sz w:val="24"/>
          <w:szCs w:val="24"/>
          <w:rtl/>
        </w:rPr>
        <w:t>. הנאשם ריצה עונשי מאסר רבים וממושכים בעברו (9 ח' 24 ח' 4 ח', 42 ח' , 10 ח', 7 ח' , 6.5 ח' , 13 ח'  ו- 14 ח') סה"כ נדון הנאשם תשע פעמים לעונשי מאסר ובסה"כ נדון  ל-129.5 חודשי מאסר.</w:t>
      </w:r>
    </w:p>
    <w:p w14:paraId="652C072B" w14:textId="77777777" w:rsidR="00E50CAF" w:rsidRDefault="00E50CAF" w:rsidP="00E50CAF">
      <w:pPr>
        <w:pStyle w:val="aa"/>
        <w:spacing w:line="360" w:lineRule="auto"/>
        <w:rPr>
          <w:rFonts w:ascii="David" w:hAnsi="David" w:cs="David"/>
          <w:color w:val="000000"/>
          <w:sz w:val="24"/>
          <w:szCs w:val="24"/>
        </w:rPr>
      </w:pPr>
    </w:p>
    <w:p w14:paraId="651BD7E2" w14:textId="77777777" w:rsidR="00E50CAF" w:rsidRDefault="00E50CAF" w:rsidP="00E50CAF">
      <w:pPr>
        <w:pStyle w:val="aa"/>
        <w:spacing w:before="100" w:beforeAutospacing="1" w:after="100" w:afterAutospacing="1" w:line="360" w:lineRule="auto"/>
        <w:jc w:val="both"/>
        <w:rPr>
          <w:color w:val="000000"/>
          <w:sz w:val="24"/>
          <w:szCs w:val="24"/>
          <w:rtl/>
        </w:rPr>
      </w:pPr>
      <w:r>
        <w:rPr>
          <w:rFonts w:ascii="David" w:hAnsi="David" w:cs="David"/>
          <w:color w:val="000000"/>
          <w:sz w:val="24"/>
          <w:szCs w:val="24"/>
          <w:rtl/>
        </w:rPr>
        <w:t>בהרשעתו האחרונה מיום 18.12.19 נדון לתקופה של 14 חודשי מאסר בפועל והוטלו 2 מאסרים מותנים בני הפעלה, האחד בן 8 חודשים בגין עבירות סמים מסוג פשע והשני בן 4 חודשים בגין עבירה של הפרעה לשוטר, תנאים שלא היה בהם די כדי להרתיעו</w:t>
      </w:r>
      <w:r>
        <w:rPr>
          <w:rFonts w:ascii="David" w:hAnsi="David" w:cs="David"/>
          <w:color w:val="000000"/>
          <w:sz w:val="24"/>
          <w:szCs w:val="24"/>
        </w:rPr>
        <w:t>.</w:t>
      </w:r>
      <w:r>
        <w:rPr>
          <w:rFonts w:ascii="David" w:hAnsi="David" w:cs="David"/>
          <w:color w:val="000000"/>
          <w:sz w:val="24"/>
          <w:szCs w:val="24"/>
          <w:rtl/>
        </w:rPr>
        <w:t xml:space="preserve"> העבירות בתיק זה בוצעו חודשים ספורים לאחר שחרורו ממאסרו האחרון.</w:t>
      </w:r>
    </w:p>
    <w:p w14:paraId="7835F315" w14:textId="77777777" w:rsidR="00E50CAF" w:rsidRPr="00E50CAF" w:rsidRDefault="00E50CAF" w:rsidP="00E50CAF">
      <w:pPr>
        <w:pStyle w:val="aa"/>
        <w:rPr>
          <w:rFonts w:ascii="David" w:hAnsi="David" w:cs="David"/>
          <w:color w:val="000000"/>
          <w:sz w:val="24"/>
          <w:szCs w:val="24"/>
        </w:rPr>
      </w:pPr>
    </w:p>
    <w:p w14:paraId="48BB61BE" w14:textId="77777777" w:rsidR="00E50CAF" w:rsidRDefault="00E50CAF" w:rsidP="00E50CAF">
      <w:pPr>
        <w:pStyle w:val="aa"/>
        <w:rPr>
          <w:rFonts w:ascii="David" w:hAnsi="David" w:cs="David"/>
          <w:color w:val="000000"/>
          <w:sz w:val="24"/>
          <w:szCs w:val="24"/>
          <w:rtl/>
        </w:rPr>
      </w:pPr>
    </w:p>
    <w:p w14:paraId="57A18C44" w14:textId="77777777" w:rsidR="00E50CAF" w:rsidRDefault="00E50CAF" w:rsidP="00E50CAF">
      <w:pPr>
        <w:pStyle w:val="aa"/>
        <w:numPr>
          <w:ilvl w:val="0"/>
          <w:numId w:val="4"/>
        </w:numPr>
        <w:spacing w:before="100" w:beforeAutospacing="1" w:after="100" w:afterAutospacing="1" w:line="360" w:lineRule="auto"/>
        <w:jc w:val="both"/>
        <w:rPr>
          <w:color w:val="000000"/>
          <w:sz w:val="24"/>
          <w:szCs w:val="24"/>
          <w:rtl/>
        </w:rPr>
      </w:pPr>
      <w:r>
        <w:rPr>
          <w:rFonts w:ascii="David" w:hAnsi="David" w:cs="David"/>
          <w:color w:val="000000"/>
          <w:sz w:val="24"/>
          <w:szCs w:val="24"/>
          <w:rtl/>
        </w:rPr>
        <w:t xml:space="preserve">לקחתי בחשבון נסיבותיו האישיות של הנאשם. את גילו, מצבו הרפואי כפי </w:t>
      </w:r>
      <w:r>
        <w:rPr>
          <w:rFonts w:ascii="David" w:hAnsi="David" w:cs="David"/>
          <w:color w:val="000000"/>
          <w:sz w:val="24"/>
          <w:szCs w:val="24"/>
        </w:rPr>
        <w:t xml:space="preserve"> </w:t>
      </w:r>
      <w:r>
        <w:rPr>
          <w:rFonts w:ascii="David" w:hAnsi="David" w:cs="David"/>
          <w:color w:val="000000"/>
          <w:sz w:val="24"/>
          <w:szCs w:val="24"/>
          <w:rtl/>
        </w:rPr>
        <w:t>שעלה מטיעוני ההגנה ומהמידע הרפואי שהתקבל משב"ס.</w:t>
      </w:r>
    </w:p>
    <w:p w14:paraId="6B8EE92A" w14:textId="77777777" w:rsidR="00E50CAF" w:rsidRPr="00E50CAF" w:rsidRDefault="00E50CAF" w:rsidP="00E50CAF">
      <w:pPr>
        <w:pStyle w:val="aa"/>
        <w:rPr>
          <w:rFonts w:ascii="David" w:hAnsi="David" w:cs="David"/>
          <w:color w:val="000000"/>
          <w:sz w:val="24"/>
          <w:szCs w:val="24"/>
        </w:rPr>
      </w:pPr>
    </w:p>
    <w:p w14:paraId="6493CFA4" w14:textId="77777777" w:rsidR="00E50CAF" w:rsidRDefault="00E50CAF" w:rsidP="00E50CAF">
      <w:pPr>
        <w:pStyle w:val="aa"/>
        <w:rPr>
          <w:rFonts w:ascii="David" w:hAnsi="David" w:cs="David"/>
          <w:color w:val="000000"/>
          <w:sz w:val="24"/>
          <w:szCs w:val="24"/>
          <w:rtl/>
        </w:rPr>
      </w:pPr>
    </w:p>
    <w:p w14:paraId="1591A943" w14:textId="77777777" w:rsidR="00E50CAF" w:rsidRDefault="00E50CAF" w:rsidP="00E50CAF">
      <w:pPr>
        <w:pStyle w:val="aa"/>
        <w:numPr>
          <w:ilvl w:val="0"/>
          <w:numId w:val="1"/>
        </w:numPr>
        <w:spacing w:before="100" w:beforeAutospacing="1" w:after="100" w:afterAutospacing="1" w:line="360" w:lineRule="auto"/>
        <w:jc w:val="both"/>
        <w:rPr>
          <w:rFonts w:ascii="David" w:hAnsi="David" w:cs="David"/>
          <w:color w:val="000000"/>
          <w:sz w:val="24"/>
          <w:szCs w:val="24"/>
          <w:rtl/>
        </w:rPr>
      </w:pPr>
      <w:r>
        <w:rPr>
          <w:rFonts w:ascii="David" w:hAnsi="David" w:cs="David"/>
          <w:color w:val="000000"/>
          <w:sz w:val="24"/>
          <w:szCs w:val="24"/>
          <w:rtl/>
        </w:rPr>
        <w:t>לאחר שלקחתי בחשבון כל אלה, ובהתאם למדיניות הענישה עליה הורה בית המשפט העליון בשורה ארוכה של פסקי דין, מצאתי ליתן משקל משמעותי לשיקולי הגמול וההרתעה ומשקל מועט לנסיבותיו האישיות של הנאשם.</w:t>
      </w:r>
    </w:p>
    <w:p w14:paraId="10172B49" w14:textId="77777777" w:rsidR="00E50CAF" w:rsidRDefault="00E50CAF" w:rsidP="00E50CAF">
      <w:pPr>
        <w:pStyle w:val="aa"/>
        <w:spacing w:before="100" w:beforeAutospacing="1" w:after="100" w:afterAutospacing="1" w:line="360" w:lineRule="auto"/>
        <w:ind w:left="360"/>
        <w:jc w:val="both"/>
        <w:rPr>
          <w:rFonts w:ascii="David" w:hAnsi="David" w:cs="David"/>
          <w:color w:val="000000"/>
          <w:sz w:val="24"/>
          <w:szCs w:val="24"/>
        </w:rPr>
      </w:pPr>
    </w:p>
    <w:p w14:paraId="63E44EFB" w14:textId="77777777" w:rsidR="00E50CAF" w:rsidRDefault="00E50CAF" w:rsidP="00E50CAF">
      <w:pPr>
        <w:pStyle w:val="aa"/>
        <w:numPr>
          <w:ilvl w:val="0"/>
          <w:numId w:val="1"/>
        </w:numPr>
        <w:spacing w:before="100" w:beforeAutospacing="1" w:after="100" w:afterAutospacing="1" w:line="360" w:lineRule="auto"/>
        <w:jc w:val="both"/>
        <w:rPr>
          <w:rFonts w:ascii="David" w:hAnsi="David" w:cs="David"/>
          <w:color w:val="000000"/>
          <w:sz w:val="24"/>
          <w:szCs w:val="24"/>
        </w:rPr>
      </w:pPr>
      <w:r>
        <w:rPr>
          <w:rFonts w:ascii="David" w:hAnsi="David" w:cs="David"/>
          <w:color w:val="000000"/>
          <w:sz w:val="24"/>
          <w:szCs w:val="24"/>
          <w:rtl/>
        </w:rPr>
        <w:t>לאור כל האמור, בשים לב לעברו המכביד מאוד של הנאשם, ב</w:t>
      </w:r>
      <w:bookmarkStart w:id="16" w:name="Seif12"/>
      <w:r>
        <w:rPr>
          <w:rFonts w:ascii="David" w:hAnsi="David" w:cs="David"/>
          <w:color w:val="000000"/>
          <w:sz w:val="24"/>
          <w:szCs w:val="24"/>
          <w:rtl/>
        </w:rPr>
        <w:t xml:space="preserve">פרט בעבירות </w:t>
      </w:r>
      <w:bookmarkEnd w:id="16"/>
      <w:r>
        <w:rPr>
          <w:rFonts w:ascii="David" w:hAnsi="David" w:cs="David"/>
          <w:color w:val="000000"/>
          <w:sz w:val="24"/>
          <w:szCs w:val="24"/>
          <w:rtl/>
        </w:rPr>
        <w:t>על פקודת הסמים, מצאתי לגזור את עונשו של הנאשם ברף הבינוני – גבוה של מתחם העונש ההולם.</w:t>
      </w:r>
    </w:p>
    <w:p w14:paraId="48B6ED9E" w14:textId="77777777" w:rsidR="00E50CAF" w:rsidRDefault="00E50CAF" w:rsidP="00E50CAF">
      <w:pPr>
        <w:pStyle w:val="aa"/>
        <w:spacing w:before="100" w:beforeAutospacing="1" w:after="100" w:afterAutospacing="1" w:line="360" w:lineRule="auto"/>
        <w:ind w:left="360"/>
        <w:jc w:val="both"/>
        <w:rPr>
          <w:rFonts w:ascii="David" w:hAnsi="David" w:cs="David"/>
          <w:color w:val="000000"/>
          <w:sz w:val="24"/>
          <w:szCs w:val="24"/>
        </w:rPr>
      </w:pPr>
    </w:p>
    <w:p w14:paraId="2CC69899" w14:textId="77777777" w:rsidR="00E50CAF" w:rsidRDefault="00E50CAF" w:rsidP="00E50CAF">
      <w:pPr>
        <w:spacing w:before="100" w:beforeAutospacing="1" w:after="100" w:afterAutospacing="1" w:line="360" w:lineRule="auto"/>
        <w:jc w:val="both"/>
        <w:rPr>
          <w:rFonts w:ascii="David" w:hAnsi="David"/>
          <w:b/>
          <w:bCs/>
          <w:color w:val="000000"/>
          <w:u w:val="single"/>
          <w:rtl/>
        </w:rPr>
      </w:pPr>
      <w:r>
        <w:rPr>
          <w:rFonts w:ascii="David" w:hAnsi="David"/>
          <w:b/>
          <w:bCs/>
          <w:color w:val="000000"/>
          <w:u w:val="single"/>
          <w:rtl/>
        </w:rPr>
        <w:t>התנהגות רשויות אכיפת החוק</w:t>
      </w:r>
    </w:p>
    <w:p w14:paraId="59D8E306" w14:textId="77777777" w:rsidR="00E50CAF" w:rsidRDefault="00E50CAF" w:rsidP="00E50CAF">
      <w:pPr>
        <w:pStyle w:val="aa"/>
        <w:numPr>
          <w:ilvl w:val="0"/>
          <w:numId w:val="1"/>
        </w:numPr>
        <w:spacing w:before="100" w:beforeAutospacing="1" w:after="100" w:afterAutospacing="1" w:line="360" w:lineRule="auto"/>
        <w:jc w:val="both"/>
        <w:rPr>
          <w:rFonts w:ascii="David" w:hAnsi="David" w:cs="David"/>
          <w:color w:val="000000"/>
          <w:sz w:val="24"/>
          <w:szCs w:val="24"/>
        </w:rPr>
      </w:pPr>
      <w:r>
        <w:rPr>
          <w:rFonts w:ascii="David" w:hAnsi="David" w:cs="David"/>
          <w:color w:val="000000"/>
          <w:sz w:val="24"/>
          <w:szCs w:val="24"/>
          <w:rtl/>
        </w:rPr>
        <w:t xml:space="preserve">ב"כ הנאשם טען בפני כי בתוך מתחם העונש ההולם יש לקחת בחשבון את התנהגות רשויות אכיפת החוק כמפורט </w:t>
      </w:r>
      <w:hyperlink r:id="rId40" w:history="1">
        <w:r w:rsidR="00F67E80" w:rsidRPr="00F67E80">
          <w:rPr>
            <w:rStyle w:val="Hyperlink"/>
            <w:rFonts w:ascii="David" w:hAnsi="David" w:cs="David"/>
            <w:sz w:val="24"/>
            <w:szCs w:val="24"/>
            <w:rtl/>
          </w:rPr>
          <w:t>ב</w:t>
        </w:r>
        <w:bookmarkStart w:id="17" w:name="Seif8"/>
        <w:r w:rsidR="00F67E80" w:rsidRPr="00F67E80">
          <w:rPr>
            <w:rStyle w:val="Hyperlink"/>
            <w:rFonts w:ascii="David" w:hAnsi="David" w:cs="David"/>
            <w:sz w:val="24"/>
            <w:szCs w:val="24"/>
            <w:rtl/>
          </w:rPr>
          <w:t xml:space="preserve">סעיף </w:t>
        </w:r>
        <w:bookmarkEnd w:id="17"/>
        <w:r w:rsidR="00F67E80" w:rsidRPr="00F67E80">
          <w:rPr>
            <w:rStyle w:val="Hyperlink"/>
            <w:rFonts w:ascii="David" w:hAnsi="David" w:cs="David"/>
            <w:sz w:val="24"/>
            <w:szCs w:val="24"/>
            <w:rtl/>
          </w:rPr>
          <w:t>40יא(9)</w:t>
        </w:r>
      </w:hyperlink>
      <w:r>
        <w:rPr>
          <w:rFonts w:ascii="David" w:hAnsi="David" w:cs="David"/>
          <w:color w:val="000000"/>
          <w:sz w:val="24"/>
          <w:szCs w:val="24"/>
          <w:rtl/>
        </w:rPr>
        <w:t xml:space="preserve"> ל</w:t>
      </w:r>
      <w:hyperlink r:id="rId41" w:history="1">
        <w:r w:rsidR="003325CE" w:rsidRPr="003325CE">
          <w:rPr>
            <w:rFonts w:ascii="David" w:hAnsi="David" w:cs="David"/>
            <w:color w:val="0000FF"/>
            <w:sz w:val="24"/>
            <w:szCs w:val="24"/>
            <w:u w:val="single"/>
            <w:rtl/>
          </w:rPr>
          <w:t>חוק העונשין</w:t>
        </w:r>
      </w:hyperlink>
      <w:r>
        <w:rPr>
          <w:rFonts w:ascii="David" w:hAnsi="David" w:cs="David"/>
          <w:color w:val="000000"/>
          <w:sz w:val="24"/>
          <w:szCs w:val="24"/>
          <w:rtl/>
        </w:rPr>
        <w:t xml:space="preserve">, לדבריו מחדלי החקירה הרבים, כפי שפורטו בהכרעת הדין מצדיקים הקלה בעונשו של הנאשם מכח </w:t>
      </w:r>
      <w:hyperlink r:id="rId42" w:history="1">
        <w:bookmarkStart w:id="18" w:name="Seif9"/>
        <w:r w:rsidR="00F67E80" w:rsidRPr="00F67E80">
          <w:rPr>
            <w:rStyle w:val="Hyperlink"/>
            <w:rFonts w:ascii="David" w:hAnsi="David" w:cs="David"/>
            <w:sz w:val="24"/>
            <w:szCs w:val="24"/>
            <w:rtl/>
          </w:rPr>
          <w:t xml:space="preserve">סעיף </w:t>
        </w:r>
        <w:bookmarkEnd w:id="18"/>
        <w:r w:rsidR="00F67E80" w:rsidRPr="00F67E80">
          <w:rPr>
            <w:rStyle w:val="Hyperlink"/>
            <w:rFonts w:ascii="David" w:hAnsi="David" w:cs="David"/>
            <w:sz w:val="24"/>
            <w:szCs w:val="24"/>
            <w:rtl/>
          </w:rPr>
          <w:t>40יא(9)</w:t>
        </w:r>
      </w:hyperlink>
    </w:p>
    <w:p w14:paraId="708A34EB" w14:textId="77777777" w:rsidR="00E50CAF" w:rsidRDefault="00E50CAF" w:rsidP="00E50CAF">
      <w:pPr>
        <w:pStyle w:val="aa"/>
        <w:spacing w:line="360" w:lineRule="auto"/>
        <w:rPr>
          <w:rFonts w:ascii="David" w:hAnsi="David" w:cs="David"/>
          <w:color w:val="000000"/>
          <w:sz w:val="24"/>
          <w:szCs w:val="24"/>
        </w:rPr>
      </w:pPr>
    </w:p>
    <w:p w14:paraId="011D101D" w14:textId="77777777" w:rsidR="00E50CAF" w:rsidRDefault="00E50CAF" w:rsidP="00E50CAF">
      <w:pPr>
        <w:pStyle w:val="aa"/>
        <w:numPr>
          <w:ilvl w:val="0"/>
          <w:numId w:val="1"/>
        </w:numPr>
        <w:spacing w:before="100" w:beforeAutospacing="1" w:after="100" w:afterAutospacing="1" w:line="360" w:lineRule="auto"/>
        <w:jc w:val="both"/>
        <w:rPr>
          <w:rFonts w:ascii="David" w:hAnsi="David" w:cs="David"/>
          <w:color w:val="000000"/>
          <w:sz w:val="24"/>
          <w:szCs w:val="24"/>
          <w:rtl/>
        </w:rPr>
      </w:pPr>
      <w:r>
        <w:rPr>
          <w:rFonts w:ascii="David" w:hAnsi="David" w:cs="David"/>
          <w:color w:val="000000"/>
          <w:sz w:val="24"/>
          <w:szCs w:val="24"/>
          <w:rtl/>
        </w:rPr>
        <w:t>אינני מקבלת את הטענה כי מחדלי החקירה אשר פורטו בהכרעת הדין מלמדים על התנהגות בלתי ראויה של רשויות אכיפת החוק.</w:t>
      </w:r>
    </w:p>
    <w:p w14:paraId="52FFDC03" w14:textId="77777777" w:rsidR="00E50CAF" w:rsidRDefault="00E50CAF" w:rsidP="00E50CAF">
      <w:pPr>
        <w:pStyle w:val="aa"/>
        <w:spacing w:before="100" w:beforeAutospacing="1" w:after="100" w:afterAutospacing="1" w:line="360" w:lineRule="auto"/>
        <w:ind w:left="360"/>
        <w:jc w:val="both"/>
        <w:rPr>
          <w:rFonts w:ascii="David" w:hAnsi="David" w:cs="David"/>
          <w:color w:val="000000"/>
          <w:sz w:val="24"/>
          <w:szCs w:val="24"/>
        </w:rPr>
      </w:pPr>
    </w:p>
    <w:p w14:paraId="3CA830C3" w14:textId="77777777" w:rsidR="00E50CAF" w:rsidRDefault="00E50CAF" w:rsidP="00E50CAF">
      <w:pPr>
        <w:pStyle w:val="aa"/>
        <w:spacing w:before="100" w:beforeAutospacing="1" w:after="100" w:afterAutospacing="1" w:line="360" w:lineRule="auto"/>
        <w:ind w:left="360"/>
        <w:jc w:val="both"/>
        <w:rPr>
          <w:rFonts w:ascii="David" w:hAnsi="David" w:cs="David"/>
          <w:color w:val="000000"/>
          <w:sz w:val="24"/>
          <w:szCs w:val="24"/>
        </w:rPr>
      </w:pPr>
      <w:r>
        <w:rPr>
          <w:rFonts w:ascii="David" w:hAnsi="David" w:cs="David"/>
          <w:color w:val="000000"/>
          <w:sz w:val="24"/>
          <w:szCs w:val="24"/>
          <w:rtl/>
        </w:rPr>
        <w:t xml:space="preserve">עם זאת, מסכימה אני עם טיעוני ב"כ הנאשם כי יש מקום ליתן ביטוי מסויים בתוצאה העונשית למחדלי החקירה היותר משמעותיים, הגם שלא היה בהם כדי להביא לזיכויו של הנאשם. </w:t>
      </w:r>
    </w:p>
    <w:p w14:paraId="1B638DB2" w14:textId="77777777" w:rsidR="00E50CAF" w:rsidRDefault="00E50CAF" w:rsidP="00E50CAF">
      <w:pPr>
        <w:pStyle w:val="aa"/>
        <w:rPr>
          <w:rFonts w:ascii="David" w:hAnsi="David" w:cs="David"/>
          <w:color w:val="000000"/>
          <w:sz w:val="24"/>
          <w:szCs w:val="24"/>
        </w:rPr>
      </w:pPr>
    </w:p>
    <w:p w14:paraId="553FABDF" w14:textId="77777777" w:rsidR="00E50CAF" w:rsidRDefault="00E50CAF" w:rsidP="00E50CAF">
      <w:pPr>
        <w:pStyle w:val="aa"/>
        <w:numPr>
          <w:ilvl w:val="0"/>
          <w:numId w:val="1"/>
        </w:numPr>
        <w:spacing w:before="100" w:beforeAutospacing="1" w:after="100" w:afterAutospacing="1" w:line="360" w:lineRule="auto"/>
        <w:jc w:val="both"/>
        <w:rPr>
          <w:rFonts w:ascii="David" w:hAnsi="David" w:cs="David"/>
          <w:color w:val="000000"/>
          <w:sz w:val="24"/>
          <w:szCs w:val="24"/>
          <w:rtl/>
        </w:rPr>
      </w:pPr>
      <w:r>
        <w:rPr>
          <w:rFonts w:ascii="David" w:hAnsi="David" w:cs="David"/>
          <w:color w:val="000000"/>
          <w:sz w:val="24"/>
          <w:szCs w:val="24"/>
          <w:rtl/>
        </w:rPr>
        <w:t>בית המשפט העליון הכיר לא אחת בכך שבמקרים המתאימים יש מקום להקל במידה מסויימת בענישה, זאת בשל מחדלי חקירה.</w:t>
      </w:r>
    </w:p>
    <w:p w14:paraId="06B16B6C" w14:textId="77777777" w:rsidR="00E50CAF" w:rsidRDefault="00E50CAF" w:rsidP="00E50CAF">
      <w:pPr>
        <w:pStyle w:val="aa"/>
        <w:spacing w:before="100" w:beforeAutospacing="1" w:after="100" w:afterAutospacing="1" w:line="360" w:lineRule="auto"/>
        <w:ind w:left="360"/>
        <w:jc w:val="both"/>
        <w:rPr>
          <w:rFonts w:ascii="David" w:hAnsi="David" w:cs="David"/>
          <w:color w:val="000000"/>
          <w:sz w:val="24"/>
          <w:szCs w:val="24"/>
          <w:rtl/>
        </w:rPr>
      </w:pPr>
    </w:p>
    <w:p w14:paraId="5F72C6CE" w14:textId="77777777" w:rsidR="00E50CAF" w:rsidRDefault="00E50CAF" w:rsidP="00E50CAF">
      <w:pPr>
        <w:pStyle w:val="aa"/>
        <w:spacing w:before="100" w:beforeAutospacing="1" w:after="100" w:afterAutospacing="1" w:line="360" w:lineRule="auto"/>
        <w:ind w:left="360"/>
        <w:jc w:val="both"/>
        <w:rPr>
          <w:rFonts w:ascii="David" w:hAnsi="David" w:cs="David"/>
          <w:color w:val="000000"/>
          <w:sz w:val="24"/>
          <w:szCs w:val="24"/>
          <w:rtl/>
        </w:rPr>
      </w:pPr>
      <w:r>
        <w:rPr>
          <w:rFonts w:ascii="David" w:hAnsi="David" w:cs="David"/>
          <w:color w:val="000000"/>
          <w:sz w:val="24"/>
          <w:szCs w:val="24"/>
          <w:rtl/>
        </w:rPr>
        <w:t xml:space="preserve">ראו בעניין זה </w:t>
      </w:r>
      <w:hyperlink r:id="rId43" w:history="1">
        <w:r w:rsidR="003325CE" w:rsidRPr="003325CE">
          <w:rPr>
            <w:rFonts w:ascii="David" w:hAnsi="David" w:cs="David"/>
            <w:color w:val="0000FF"/>
            <w:spacing w:val="10"/>
            <w:sz w:val="24"/>
            <w:szCs w:val="24"/>
            <w:u w:val="single"/>
            <w:rtl/>
          </w:rPr>
          <w:t>ע"פ 1361/10</w:t>
        </w:r>
      </w:hyperlink>
      <w:r w:rsidR="003325CE">
        <w:rPr>
          <w:rFonts w:ascii="David" w:hAnsi="David" w:cs="David"/>
          <w:color w:val="000000"/>
          <w:spacing w:val="10"/>
          <w:sz w:val="24"/>
          <w:szCs w:val="24"/>
        </w:rPr>
        <w:t xml:space="preserve"> </w:t>
      </w:r>
      <w:r>
        <w:rPr>
          <w:rFonts w:ascii="David" w:hAnsi="David" w:cs="David"/>
          <w:b/>
          <w:bCs/>
          <w:color w:val="000000"/>
          <w:sz w:val="24"/>
          <w:szCs w:val="24"/>
          <w:rtl/>
        </w:rPr>
        <w:t>מדינת ישראל נ' יניב זגורי</w:t>
      </w:r>
      <w:r>
        <w:rPr>
          <w:rFonts w:ascii="David" w:hAnsi="David" w:cs="David"/>
          <w:b/>
          <w:bCs/>
          <w:color w:val="000000"/>
          <w:sz w:val="24"/>
          <w:szCs w:val="24"/>
        </w:rPr>
        <w:t xml:space="preserve"> </w:t>
      </w:r>
      <w:r>
        <w:rPr>
          <w:rFonts w:ascii="David" w:hAnsi="David" w:cs="David"/>
          <w:b/>
          <w:bCs/>
          <w:color w:val="000000"/>
          <w:sz w:val="24"/>
          <w:szCs w:val="24"/>
          <w:rtl/>
        </w:rPr>
        <w:t>ואח'</w:t>
      </w:r>
      <w:r>
        <w:rPr>
          <w:rFonts w:ascii="David" w:hAnsi="David" w:cs="David"/>
          <w:color w:val="000000"/>
          <w:sz w:val="24"/>
          <w:szCs w:val="24"/>
          <w:rtl/>
        </w:rPr>
        <w:t xml:space="preserve"> (2.6.11): שם בית המשפט העליון קבע כי: </w:t>
      </w:r>
    </w:p>
    <w:p w14:paraId="5141ABFE" w14:textId="77777777" w:rsidR="00E50CAF" w:rsidRDefault="00E50CAF" w:rsidP="00E50CAF">
      <w:pPr>
        <w:pStyle w:val="aa"/>
        <w:rPr>
          <w:rFonts w:ascii="David" w:hAnsi="David" w:cs="David"/>
          <w:sz w:val="24"/>
          <w:szCs w:val="24"/>
        </w:rPr>
      </w:pPr>
    </w:p>
    <w:p w14:paraId="5F702356" w14:textId="77777777" w:rsidR="00E50CAF" w:rsidRDefault="00E50CAF" w:rsidP="00E50CAF">
      <w:pPr>
        <w:pStyle w:val="aa"/>
        <w:spacing w:before="100" w:beforeAutospacing="1" w:after="100" w:afterAutospacing="1" w:line="360" w:lineRule="auto"/>
        <w:ind w:left="1033" w:right="709"/>
        <w:jc w:val="both"/>
        <w:rPr>
          <w:rFonts w:ascii="David" w:hAnsi="David" w:cs="David"/>
          <w:sz w:val="24"/>
          <w:szCs w:val="24"/>
          <w:rtl/>
        </w:rPr>
      </w:pPr>
      <w:r>
        <w:rPr>
          <w:rFonts w:ascii="David" w:hAnsi="David" w:cs="David"/>
          <w:sz w:val="24"/>
          <w:szCs w:val="24"/>
          <w:rtl/>
        </w:rPr>
        <w:t>" הגענו ל</w:t>
      </w:r>
      <w:bookmarkStart w:id="19" w:name="Seif14"/>
      <w:r>
        <w:rPr>
          <w:rFonts w:ascii="David" w:hAnsi="David" w:cs="David"/>
          <w:sz w:val="24"/>
          <w:szCs w:val="24"/>
          <w:rtl/>
        </w:rPr>
        <w:t xml:space="preserve">כלל מסקנה </w:t>
      </w:r>
      <w:bookmarkEnd w:id="19"/>
      <w:r>
        <w:rPr>
          <w:rFonts w:ascii="David" w:hAnsi="David" w:cs="David"/>
          <w:sz w:val="24"/>
          <w:szCs w:val="24"/>
          <w:rtl/>
        </w:rPr>
        <w:t xml:space="preserve">כי מחדלי החקירה והשלכותיהם על ההליך המשפטי מצדיקים הקלה מסוימת נוספת בעונשם של המערערים. כשם שישנו אינטרס ציבורי בהעמדת עבריינים מעין אלה לדין ובענישה ראויה, כך ישנו אינטרס ציבורי גדול בהתנהלות נכונה וראויה של חקירה." </w:t>
      </w:r>
    </w:p>
    <w:p w14:paraId="6C0881F1" w14:textId="77777777" w:rsidR="00E50CAF" w:rsidRDefault="00E50CAF" w:rsidP="00E50CAF">
      <w:pPr>
        <w:pStyle w:val="aa"/>
        <w:spacing w:before="100" w:beforeAutospacing="1" w:after="100" w:afterAutospacing="1" w:line="360" w:lineRule="auto"/>
        <w:ind w:left="1033" w:right="709"/>
        <w:jc w:val="both"/>
        <w:rPr>
          <w:rFonts w:ascii="David" w:hAnsi="David" w:cs="David"/>
          <w:sz w:val="24"/>
          <w:szCs w:val="24"/>
          <w:rtl/>
        </w:rPr>
      </w:pPr>
    </w:p>
    <w:p w14:paraId="1D6DE361" w14:textId="77777777" w:rsidR="00E50CAF" w:rsidRDefault="00E50CAF" w:rsidP="00E50CAF">
      <w:pPr>
        <w:pStyle w:val="aa"/>
        <w:spacing w:before="100" w:beforeAutospacing="1" w:after="100" w:afterAutospacing="1" w:line="360" w:lineRule="auto"/>
        <w:ind w:left="360"/>
        <w:jc w:val="both"/>
        <w:rPr>
          <w:rFonts w:ascii="David" w:hAnsi="David" w:cs="David"/>
          <w:color w:val="000000"/>
          <w:sz w:val="24"/>
          <w:szCs w:val="24"/>
          <w:rtl/>
        </w:rPr>
      </w:pPr>
      <w:r>
        <w:rPr>
          <w:rFonts w:ascii="David" w:hAnsi="David" w:cs="David"/>
          <w:sz w:val="24"/>
          <w:szCs w:val="24"/>
          <w:rtl/>
        </w:rPr>
        <w:t xml:space="preserve">שם בית המשפט העליון מצא להקל מעט בעונשם של המשיבים הגם שקבע כי </w:t>
      </w:r>
      <w:r>
        <w:rPr>
          <w:rFonts w:ascii="David" w:hAnsi="David" w:cs="David"/>
          <w:color w:val="000000"/>
          <w:sz w:val="24"/>
          <w:szCs w:val="24"/>
          <w:rtl/>
        </w:rPr>
        <w:t>ה</w:t>
      </w:r>
      <w:r>
        <w:rPr>
          <w:rFonts w:ascii="David" w:hAnsi="David" w:cs="David"/>
          <w:color w:val="000000"/>
          <w:spacing w:val="10"/>
          <w:sz w:val="24"/>
          <w:szCs w:val="24"/>
          <w:rtl/>
        </w:rPr>
        <w:t>פגמים שנפלו בחקירה "אינם יורדים לשורשו של ההליך באופ</w:t>
      </w:r>
      <w:r>
        <w:rPr>
          <w:rFonts w:ascii="David" w:hAnsi="David" w:cs="David"/>
          <w:color w:val="000000"/>
          <w:sz w:val="24"/>
          <w:szCs w:val="24"/>
          <w:rtl/>
        </w:rPr>
        <w:t>ן שמנע מן ההגנה לנהל הליך הוגן", אך מצא כי מחדלי החקירה הביאו להימשכות מיותרת של ההליך ועל כן נתן לכך ביטוי בהקלה בעונש.</w:t>
      </w:r>
    </w:p>
    <w:p w14:paraId="1BB8B836" w14:textId="77777777" w:rsidR="00E50CAF" w:rsidRDefault="00E50CAF" w:rsidP="00E50CAF">
      <w:pPr>
        <w:pStyle w:val="aa"/>
        <w:spacing w:line="360" w:lineRule="auto"/>
        <w:ind w:left="360"/>
        <w:jc w:val="both"/>
        <w:rPr>
          <w:rFonts w:ascii="David" w:hAnsi="David" w:cs="David"/>
          <w:color w:val="000000"/>
          <w:sz w:val="24"/>
          <w:szCs w:val="24"/>
          <w:highlight w:val="yellow"/>
          <w:rtl/>
        </w:rPr>
      </w:pPr>
    </w:p>
    <w:p w14:paraId="187FBD65" w14:textId="77777777" w:rsidR="00E50CAF" w:rsidRDefault="00E50CAF" w:rsidP="00E50CAF">
      <w:pPr>
        <w:pStyle w:val="aa"/>
        <w:spacing w:line="360" w:lineRule="auto"/>
        <w:ind w:left="360"/>
        <w:jc w:val="both"/>
        <w:rPr>
          <w:rFonts w:ascii="FrankRuehl" w:hAnsi="FrankRuehl" w:cs="FrankRuehl"/>
          <w:color w:val="000000"/>
          <w:spacing w:val="10"/>
          <w:sz w:val="28"/>
          <w:szCs w:val="28"/>
          <w:rtl/>
        </w:rPr>
      </w:pPr>
      <w:r>
        <w:rPr>
          <w:rFonts w:ascii="David" w:hAnsi="David" w:cs="David"/>
          <w:color w:val="000000"/>
          <w:sz w:val="24"/>
          <w:szCs w:val="24"/>
          <w:rtl/>
        </w:rPr>
        <w:t xml:space="preserve">ראו גם </w:t>
      </w:r>
      <w:hyperlink r:id="rId44" w:history="1">
        <w:r>
          <w:rPr>
            <w:rStyle w:val="Hyperlink"/>
            <w:rFonts w:ascii="David" w:hAnsi="David" w:cs="David"/>
            <w:spacing w:val="10"/>
            <w:sz w:val="24"/>
            <w:szCs w:val="24"/>
            <w:rtl/>
          </w:rPr>
          <w:t>ע"פ 1840/16</w:t>
        </w:r>
      </w:hyperlink>
      <w:r>
        <w:rPr>
          <w:rFonts w:ascii="David" w:hAnsi="David" w:cs="David"/>
          <w:color w:val="000000"/>
          <w:sz w:val="24"/>
          <w:szCs w:val="24"/>
          <w:rtl/>
        </w:rPr>
        <w:t xml:space="preserve"> </w:t>
      </w:r>
      <w:r>
        <w:rPr>
          <w:rFonts w:ascii="David" w:hAnsi="David" w:cs="David" w:hint="cs"/>
          <w:b/>
          <w:bCs/>
          <w:color w:val="000000"/>
          <w:sz w:val="24"/>
          <w:szCs w:val="24"/>
          <w:rtl/>
        </w:rPr>
        <w:t>יהודה אדרי נ' מדינת ישראל</w:t>
      </w:r>
      <w:r>
        <w:rPr>
          <w:rFonts w:ascii="David" w:hAnsi="David" w:cs="David" w:hint="cs"/>
          <w:color w:val="000000"/>
          <w:sz w:val="24"/>
          <w:szCs w:val="24"/>
          <w:rtl/>
        </w:rPr>
        <w:t xml:space="preserve"> (1.2.17) : </w:t>
      </w:r>
    </w:p>
    <w:p w14:paraId="779193FF" w14:textId="77777777" w:rsidR="00E50CAF" w:rsidRDefault="00E50CAF" w:rsidP="00E50CAF">
      <w:pPr>
        <w:pStyle w:val="aa"/>
        <w:spacing w:line="360" w:lineRule="auto"/>
        <w:ind w:left="1032" w:right="567"/>
        <w:jc w:val="both"/>
        <w:rPr>
          <w:rFonts w:ascii="David" w:hAnsi="David" w:cs="David"/>
          <w:color w:val="000000"/>
          <w:sz w:val="24"/>
          <w:szCs w:val="24"/>
          <w:rtl/>
        </w:rPr>
      </w:pPr>
      <w:r>
        <w:rPr>
          <w:rFonts w:ascii="David" w:hAnsi="David" w:cs="David" w:hint="cs"/>
          <w:color w:val="000000"/>
          <w:spacing w:val="10"/>
          <w:sz w:val="24"/>
          <w:szCs w:val="24"/>
          <w:rtl/>
        </w:rPr>
        <w:t>"</w:t>
      </w:r>
      <w:r>
        <w:rPr>
          <w:rFonts w:ascii="David" w:hAnsi="David" w:cs="David"/>
          <w:color w:val="000000"/>
          <w:spacing w:val="10"/>
          <w:sz w:val="24"/>
          <w:szCs w:val="24"/>
          <w:rtl/>
        </w:rPr>
        <w:t>היינו רוצים לקוות כי במקום שישנם מחדלים, גם אם אינם בזדון אך מגלים משגה מקצועי משמעותי, יזכו דברינו לטיפול ראוי, וחוששנו שאם לא יינתן לכך ביטוי בפסקי הדין תחלוף השיירה ותעבור, ועולם כמנהגו ינהג. על כן יש מקום, וכאמור גם אם אין זו "הגנה מן הצדק" בכל הדרה וחומרתה, להקלה מסוימת כדי להביא לתודעת הרשות את הבעיה. במקרה דנא היה הטיפול "ברגל שמאל" פעמיים בולטות – בצורך, המאוד לא שגרתי, לבטל את כתב האישום הראשון בשל מחדל שימוע, ובנושא הכפפה, שהיתה בו שגגה שיש בה תמיהה של אי סדר בולט. אכן, התוצאה בהרשעה נכונה כאמור, וכך גם העונש הבסיסי, אך מצאנו לנכון לנוכח האמור לבחון הקלת-מה בנושא הפעלת המאסרים על תנאי</w:t>
      </w:r>
      <w:r>
        <w:rPr>
          <w:rFonts w:ascii="David" w:hAnsi="David" w:cs="David"/>
          <w:color w:val="000000"/>
          <w:spacing w:val="10"/>
          <w:sz w:val="24"/>
          <w:szCs w:val="24"/>
        </w:rPr>
        <w:t>.</w:t>
      </w:r>
      <w:r>
        <w:rPr>
          <w:rFonts w:ascii="David" w:hAnsi="David" w:cs="David" w:hint="cs"/>
          <w:color w:val="000000"/>
          <w:sz w:val="24"/>
          <w:szCs w:val="24"/>
          <w:rtl/>
        </w:rPr>
        <w:t>"</w:t>
      </w:r>
    </w:p>
    <w:p w14:paraId="26E78258" w14:textId="77777777" w:rsidR="00E50CAF" w:rsidRDefault="00E50CAF" w:rsidP="00E50CAF">
      <w:pPr>
        <w:pStyle w:val="aa"/>
        <w:spacing w:line="360" w:lineRule="auto"/>
        <w:ind w:left="1032" w:right="567"/>
        <w:jc w:val="both"/>
        <w:rPr>
          <w:rFonts w:ascii="David" w:hAnsi="David" w:cs="David"/>
          <w:sz w:val="24"/>
          <w:szCs w:val="24"/>
          <w:rtl/>
        </w:rPr>
      </w:pPr>
    </w:p>
    <w:p w14:paraId="1A80223E" w14:textId="77777777" w:rsidR="00E50CAF" w:rsidRDefault="00E50CAF" w:rsidP="00E50CAF">
      <w:pPr>
        <w:pStyle w:val="aa"/>
        <w:spacing w:line="360" w:lineRule="auto"/>
        <w:ind w:left="360"/>
        <w:jc w:val="both"/>
        <w:rPr>
          <w:rFonts w:ascii="David" w:hAnsi="David" w:cs="David"/>
          <w:color w:val="000000"/>
          <w:sz w:val="24"/>
          <w:szCs w:val="24"/>
        </w:rPr>
      </w:pPr>
      <w:r>
        <w:rPr>
          <w:rFonts w:ascii="David" w:hAnsi="David" w:cs="David"/>
          <w:sz w:val="24"/>
          <w:szCs w:val="24"/>
          <w:rtl/>
        </w:rPr>
        <w:t xml:space="preserve">(ראו גם: </w:t>
      </w:r>
      <w:r>
        <w:rPr>
          <w:rStyle w:val="Hyperlink"/>
          <w:rFonts w:ascii="David" w:hAnsi="David" w:cs="David"/>
          <w:spacing w:val="10"/>
          <w:sz w:val="24"/>
          <w:szCs w:val="24"/>
          <w:rtl/>
        </w:rPr>
        <w:t>ע"פ</w:t>
      </w:r>
      <w:r>
        <w:rPr>
          <w:rFonts w:ascii="David" w:hAnsi="David" w:cs="David"/>
          <w:sz w:val="24"/>
          <w:szCs w:val="24"/>
          <w:rtl/>
        </w:rPr>
        <w:t xml:space="preserve">  </w:t>
      </w:r>
      <w:hyperlink r:id="rId45" w:history="1">
        <w:r>
          <w:rPr>
            <w:rStyle w:val="Hyperlink"/>
            <w:rFonts w:ascii="David" w:hAnsi="David" w:cs="David"/>
            <w:spacing w:val="10"/>
            <w:sz w:val="24"/>
            <w:szCs w:val="24"/>
            <w:rtl/>
          </w:rPr>
          <w:t>4855/02</w:t>
        </w:r>
      </w:hyperlink>
      <w:r>
        <w:rPr>
          <w:rFonts w:ascii="David" w:hAnsi="David" w:cs="David"/>
          <w:color w:val="000000"/>
          <w:sz w:val="24"/>
          <w:szCs w:val="24"/>
          <w:rtl/>
        </w:rPr>
        <w:t xml:space="preserve"> </w:t>
      </w:r>
      <w:r>
        <w:rPr>
          <w:rFonts w:ascii="David" w:hAnsi="David" w:cs="David" w:hint="cs"/>
          <w:b/>
          <w:bCs/>
          <w:color w:val="000000"/>
          <w:sz w:val="24"/>
          <w:szCs w:val="24"/>
          <w:rtl/>
        </w:rPr>
        <w:t>מדינת ישראל נ' ד"ר איתמר בורוביץ</w:t>
      </w:r>
      <w:r>
        <w:rPr>
          <w:rFonts w:ascii="David" w:hAnsi="David" w:cs="David" w:hint="cs"/>
          <w:color w:val="000000"/>
          <w:sz w:val="24"/>
          <w:szCs w:val="24"/>
          <w:rtl/>
        </w:rPr>
        <w:t xml:space="preserve"> (31.3.05), </w:t>
      </w:r>
      <w:hyperlink r:id="rId46" w:history="1">
        <w:r>
          <w:rPr>
            <w:rStyle w:val="Hyperlink"/>
            <w:rFonts w:ascii="David" w:hAnsi="David" w:cs="David"/>
            <w:spacing w:val="10"/>
            <w:sz w:val="24"/>
            <w:szCs w:val="24"/>
            <w:rtl/>
          </w:rPr>
          <w:t>ע"פ 10715/08</w:t>
        </w:r>
      </w:hyperlink>
      <w:r>
        <w:rPr>
          <w:rFonts w:ascii="David" w:hAnsi="David" w:cs="David"/>
          <w:color w:val="000000"/>
          <w:sz w:val="24"/>
          <w:szCs w:val="24"/>
          <w:rtl/>
        </w:rPr>
        <w:t xml:space="preserve"> </w:t>
      </w:r>
      <w:r>
        <w:rPr>
          <w:rFonts w:ascii="David" w:hAnsi="David" w:cs="David" w:hint="cs"/>
          <w:b/>
          <w:bCs/>
          <w:color w:val="000000"/>
          <w:sz w:val="24"/>
          <w:szCs w:val="24"/>
          <w:rtl/>
        </w:rPr>
        <w:t>ישראל אשר ולס נ' מדינת ישראל</w:t>
      </w:r>
      <w:r>
        <w:rPr>
          <w:rFonts w:ascii="David" w:hAnsi="David" w:cs="David" w:hint="cs"/>
          <w:color w:val="000000"/>
          <w:sz w:val="24"/>
          <w:szCs w:val="24"/>
          <w:rtl/>
        </w:rPr>
        <w:t xml:space="preserve"> (1.9.09).</w:t>
      </w:r>
    </w:p>
    <w:p w14:paraId="40AE67CF" w14:textId="77777777" w:rsidR="00E50CAF" w:rsidRDefault="00E50CAF" w:rsidP="00E50CAF">
      <w:pPr>
        <w:pStyle w:val="aa"/>
        <w:spacing w:before="100" w:beforeAutospacing="1" w:after="100" w:afterAutospacing="1" w:line="360" w:lineRule="auto"/>
        <w:ind w:left="360"/>
        <w:jc w:val="both"/>
        <w:rPr>
          <w:rFonts w:ascii="David" w:hAnsi="David" w:cs="David"/>
          <w:color w:val="000000"/>
          <w:sz w:val="24"/>
          <w:szCs w:val="24"/>
          <w:rtl/>
        </w:rPr>
      </w:pPr>
    </w:p>
    <w:p w14:paraId="7DD14E61" w14:textId="77777777" w:rsidR="00E50CAF" w:rsidRDefault="00E50CAF" w:rsidP="00E50CAF">
      <w:pPr>
        <w:pStyle w:val="aa"/>
        <w:numPr>
          <w:ilvl w:val="0"/>
          <w:numId w:val="1"/>
        </w:numPr>
        <w:spacing w:before="100" w:beforeAutospacing="1" w:after="100" w:afterAutospacing="1" w:line="360" w:lineRule="auto"/>
        <w:jc w:val="both"/>
        <w:rPr>
          <w:rFonts w:ascii="David" w:hAnsi="David" w:cs="David"/>
          <w:color w:val="000000"/>
          <w:sz w:val="24"/>
          <w:szCs w:val="24"/>
          <w:rtl/>
        </w:rPr>
      </w:pPr>
      <w:r>
        <w:rPr>
          <w:rFonts w:ascii="David" w:hAnsi="David" w:cs="David"/>
          <w:color w:val="000000"/>
          <w:sz w:val="24"/>
          <w:szCs w:val="24"/>
          <w:rtl/>
        </w:rPr>
        <w:t xml:space="preserve">בעניינו של הנאשם, המחדלים החקירתיים המהותיים בכל הנוגע לעבירת הסם – התבטאו בכך שהיחידה החוקרת לא הורידה את </w:t>
      </w:r>
      <w:r>
        <w:rPr>
          <w:rFonts w:ascii="David" w:hAnsi="David" w:cs="David" w:hint="cs"/>
          <w:color w:val="000000"/>
          <w:sz w:val="24"/>
          <w:szCs w:val="24"/>
          <w:rtl/>
        </w:rPr>
        <w:t>ה</w:t>
      </w:r>
      <w:r>
        <w:rPr>
          <w:rFonts w:ascii="David" w:hAnsi="David" w:cs="David"/>
          <w:color w:val="000000"/>
          <w:sz w:val="24"/>
          <w:szCs w:val="24"/>
          <w:rtl/>
        </w:rPr>
        <w:t xml:space="preserve">סרטון שתיעד את האירוע כפי שנתפס במצלמת האבטחה העירונית, סרטון שיכול והיה בו כדי לחזק את גרסת מי מהצדדים, היחידה החוקרת אף לא תיעדה את כל פעולות החקירה שבוצעו בנוגע למצלמה זו. כמו כן לא בוצעה בדיקת </w:t>
      </w:r>
      <w:r>
        <w:rPr>
          <w:rFonts w:ascii="David" w:hAnsi="David" w:cs="David"/>
          <w:color w:val="000000"/>
          <w:sz w:val="24"/>
          <w:szCs w:val="24"/>
        </w:rPr>
        <w:t>DNA</w:t>
      </w:r>
      <w:r>
        <w:rPr>
          <w:rFonts w:ascii="David" w:hAnsi="David" w:cs="David"/>
          <w:color w:val="000000"/>
          <w:sz w:val="24"/>
          <w:szCs w:val="24"/>
          <w:rtl/>
        </w:rPr>
        <w:t xml:space="preserve"> לשקית שעטפה את הסם שהפיל הנאשם הגם שהנאשם הכחיש כל קשר לסם והכחיש שהפילו. לא ניתן כל הסבר להימנעות מביצוע הבדיקה. מחדלים אלו מצדיקים חפיפה מסויימת של המאסר המותנה  שיופעל בעבירת הסמים.</w:t>
      </w:r>
    </w:p>
    <w:p w14:paraId="61B8EBCD" w14:textId="77777777" w:rsidR="00E50CAF" w:rsidRDefault="00E50CAF" w:rsidP="00E50CAF">
      <w:pPr>
        <w:pStyle w:val="aa"/>
        <w:spacing w:before="100" w:beforeAutospacing="1" w:after="100" w:afterAutospacing="1" w:line="360" w:lineRule="auto"/>
        <w:ind w:left="360"/>
        <w:jc w:val="both"/>
        <w:rPr>
          <w:rFonts w:ascii="David" w:hAnsi="David" w:cs="David"/>
          <w:color w:val="000000"/>
          <w:sz w:val="24"/>
          <w:szCs w:val="24"/>
        </w:rPr>
      </w:pPr>
    </w:p>
    <w:p w14:paraId="0E3B0E63" w14:textId="77777777" w:rsidR="00E50CAF" w:rsidRDefault="00E50CAF" w:rsidP="00E50CAF">
      <w:pPr>
        <w:pStyle w:val="aa"/>
        <w:spacing w:before="100" w:beforeAutospacing="1" w:after="100" w:afterAutospacing="1" w:line="360" w:lineRule="auto"/>
        <w:ind w:left="360"/>
        <w:jc w:val="both"/>
        <w:rPr>
          <w:rFonts w:ascii="David" w:hAnsi="David" w:cs="David"/>
          <w:color w:val="000000"/>
          <w:sz w:val="24"/>
          <w:szCs w:val="24"/>
        </w:rPr>
      </w:pPr>
      <w:r>
        <w:rPr>
          <w:rFonts w:ascii="David" w:hAnsi="David" w:cs="David"/>
          <w:color w:val="000000"/>
          <w:sz w:val="24"/>
          <w:szCs w:val="24"/>
          <w:rtl/>
        </w:rPr>
        <w:t xml:space="preserve">המחדל החקירתי המהותי בנוגע לעבירת ההפרעה לשוטר התבטא בכך שהנאשם </w:t>
      </w:r>
      <w:bookmarkStart w:id="20" w:name="Seif15"/>
      <w:r>
        <w:rPr>
          <w:rFonts w:ascii="David" w:hAnsi="David" w:cs="David"/>
          <w:color w:val="000000"/>
          <w:sz w:val="24"/>
          <w:szCs w:val="24"/>
          <w:rtl/>
        </w:rPr>
        <w:t xml:space="preserve">כלל לא </w:t>
      </w:r>
      <w:bookmarkEnd w:id="20"/>
      <w:r>
        <w:rPr>
          <w:rFonts w:ascii="David" w:hAnsi="David" w:cs="David"/>
          <w:color w:val="000000"/>
          <w:sz w:val="24"/>
          <w:szCs w:val="24"/>
          <w:rtl/>
        </w:rPr>
        <w:t>נחקר על ההפרעה שיוחסה לו בכתב האישום ולא נדרש למסור גרסה בגין אותה ההפרעה.</w:t>
      </w:r>
    </w:p>
    <w:p w14:paraId="0AA3A98F" w14:textId="77777777" w:rsidR="00E50CAF" w:rsidRDefault="00E50CAF" w:rsidP="00E50CAF">
      <w:pPr>
        <w:pStyle w:val="aa"/>
        <w:spacing w:before="100" w:beforeAutospacing="1" w:after="100" w:afterAutospacing="1" w:line="360" w:lineRule="auto"/>
        <w:ind w:left="360"/>
        <w:jc w:val="both"/>
        <w:rPr>
          <w:rFonts w:ascii="David" w:hAnsi="David" w:cs="David"/>
          <w:color w:val="000000"/>
          <w:sz w:val="24"/>
          <w:szCs w:val="24"/>
          <w:rtl/>
        </w:rPr>
      </w:pPr>
      <w:r>
        <w:rPr>
          <w:rFonts w:ascii="David" w:hAnsi="David" w:cs="David"/>
          <w:color w:val="000000"/>
          <w:sz w:val="24"/>
          <w:szCs w:val="24"/>
          <w:rtl/>
        </w:rPr>
        <w:t>מחדל זה, וב</w:t>
      </w:r>
      <w:bookmarkStart w:id="21" w:name="Seif13"/>
      <w:r>
        <w:rPr>
          <w:rFonts w:ascii="David" w:hAnsi="David" w:cs="David"/>
          <w:color w:val="000000"/>
          <w:sz w:val="24"/>
          <w:szCs w:val="24"/>
          <w:rtl/>
        </w:rPr>
        <w:t xml:space="preserve">פרט בשים </w:t>
      </w:r>
      <w:bookmarkEnd w:id="21"/>
      <w:r>
        <w:rPr>
          <w:rFonts w:ascii="David" w:hAnsi="David" w:cs="David"/>
          <w:color w:val="000000"/>
          <w:sz w:val="24"/>
          <w:szCs w:val="24"/>
          <w:rtl/>
        </w:rPr>
        <w:t>לב לטיבה של ההפרעה לשוטר ולנסיבותיה הקלות של עבירה זו, מצדיק  לטעמי חפיפה מלאה של המאסר המותנה שיופעל בגין עבירה זו.</w:t>
      </w:r>
    </w:p>
    <w:p w14:paraId="43AC9244" w14:textId="77777777" w:rsidR="00E50CAF" w:rsidRDefault="00E50CAF" w:rsidP="00E50CAF">
      <w:pPr>
        <w:spacing w:before="100" w:beforeAutospacing="1" w:after="100" w:afterAutospacing="1" w:line="360" w:lineRule="auto"/>
        <w:jc w:val="both"/>
        <w:rPr>
          <w:rFonts w:ascii="David" w:hAnsi="David"/>
          <w:b/>
          <w:bCs/>
          <w:color w:val="000000"/>
          <w:u w:val="single"/>
          <w:rtl/>
        </w:rPr>
      </w:pPr>
    </w:p>
    <w:p w14:paraId="4E7400D6" w14:textId="77777777" w:rsidR="00E50CAF" w:rsidRDefault="00E50CAF" w:rsidP="00E50CAF">
      <w:pPr>
        <w:spacing w:before="100" w:beforeAutospacing="1" w:after="100" w:afterAutospacing="1" w:line="360" w:lineRule="auto"/>
        <w:jc w:val="both"/>
        <w:rPr>
          <w:rFonts w:ascii="David" w:hAnsi="David"/>
          <w:b/>
          <w:bCs/>
          <w:color w:val="000000"/>
          <w:u w:val="single"/>
          <w:rtl/>
        </w:rPr>
      </w:pPr>
    </w:p>
    <w:p w14:paraId="5350EC2E" w14:textId="77777777" w:rsidR="00E50CAF" w:rsidRDefault="00E50CAF" w:rsidP="00E50CAF">
      <w:pPr>
        <w:spacing w:before="100" w:beforeAutospacing="1" w:after="100" w:afterAutospacing="1" w:line="360" w:lineRule="auto"/>
        <w:jc w:val="both"/>
        <w:rPr>
          <w:rFonts w:ascii="David" w:hAnsi="David"/>
          <w:color w:val="000000"/>
          <w:rtl/>
        </w:rPr>
      </w:pPr>
      <w:r>
        <w:rPr>
          <w:rFonts w:ascii="David" w:hAnsi="David"/>
          <w:b/>
          <w:bCs/>
          <w:color w:val="000000"/>
          <w:u w:val="single"/>
          <w:rtl/>
        </w:rPr>
        <w:t>אופן הפעלת המאסרים המותנים</w:t>
      </w:r>
    </w:p>
    <w:p w14:paraId="628183C4" w14:textId="77777777" w:rsidR="00E50CAF" w:rsidRDefault="00E50CAF" w:rsidP="00E50CAF">
      <w:pPr>
        <w:pStyle w:val="aa"/>
        <w:numPr>
          <w:ilvl w:val="0"/>
          <w:numId w:val="1"/>
        </w:numPr>
        <w:spacing w:before="100" w:beforeAutospacing="1" w:after="100" w:afterAutospacing="1" w:line="360" w:lineRule="auto"/>
        <w:jc w:val="both"/>
        <w:rPr>
          <w:rFonts w:ascii="David" w:hAnsi="David" w:cs="David"/>
          <w:color w:val="000000"/>
          <w:sz w:val="24"/>
          <w:szCs w:val="24"/>
        </w:rPr>
      </w:pPr>
      <w:r>
        <w:rPr>
          <w:rFonts w:ascii="David" w:hAnsi="David" w:cs="David"/>
          <w:color w:val="000000"/>
          <w:sz w:val="24"/>
          <w:szCs w:val="24"/>
          <w:rtl/>
        </w:rPr>
        <w:t xml:space="preserve">על פי הוראת </w:t>
      </w:r>
      <w:hyperlink r:id="rId47" w:history="1">
        <w:bookmarkStart w:id="22" w:name="Seif10"/>
        <w:r w:rsidR="00F67E80" w:rsidRPr="00F67E80">
          <w:rPr>
            <w:rStyle w:val="Hyperlink"/>
            <w:rFonts w:ascii="David" w:hAnsi="David" w:cs="David"/>
            <w:sz w:val="24"/>
            <w:szCs w:val="24"/>
            <w:rtl/>
          </w:rPr>
          <w:t xml:space="preserve">סעיף </w:t>
        </w:r>
        <w:bookmarkEnd w:id="22"/>
        <w:r w:rsidR="00F67E80" w:rsidRPr="00F67E80">
          <w:rPr>
            <w:rStyle w:val="Hyperlink"/>
            <w:rFonts w:ascii="David" w:hAnsi="David" w:cs="David"/>
            <w:sz w:val="24"/>
            <w:szCs w:val="24"/>
            <w:rtl/>
          </w:rPr>
          <w:t>58</w:t>
        </w:r>
      </w:hyperlink>
      <w:r>
        <w:rPr>
          <w:rFonts w:ascii="David" w:hAnsi="David" w:cs="David"/>
          <w:color w:val="000000"/>
          <w:sz w:val="24"/>
          <w:szCs w:val="24"/>
          <w:rtl/>
        </w:rPr>
        <w:t xml:space="preserve"> ל</w:t>
      </w:r>
      <w:hyperlink r:id="rId48" w:history="1">
        <w:r w:rsidR="003325CE" w:rsidRPr="003325CE">
          <w:rPr>
            <w:rFonts w:ascii="David" w:hAnsi="David" w:cs="David"/>
            <w:color w:val="0000FF"/>
            <w:sz w:val="24"/>
            <w:szCs w:val="24"/>
            <w:u w:val="single"/>
            <w:rtl/>
          </w:rPr>
          <w:t>חוק העונשין</w:t>
        </w:r>
      </w:hyperlink>
      <w:r>
        <w:rPr>
          <w:rFonts w:ascii="David" w:hAnsi="David" w:cs="David"/>
          <w:color w:val="000000"/>
          <w:sz w:val="24"/>
          <w:szCs w:val="24"/>
          <w:rtl/>
        </w:rPr>
        <w:t>, תשל"ז-1977, מי שהוטל עליו עונש מאסר בשל עבירה נוספת והופעל נגדו עונש המאסר על תנאי, ישא את שתי תקופות המאסר בזו אחר זו "זולת אם בית המשפט שהרשיעו בשל העבירה הנוספת, ציווה, מטעמים שירמו ששתי התקופות, כולן או מקצתן יהיו חופפות".</w:t>
      </w:r>
    </w:p>
    <w:p w14:paraId="1DA8D4FD" w14:textId="77777777" w:rsidR="00E50CAF" w:rsidRDefault="00E50CAF" w:rsidP="00E50CAF">
      <w:pPr>
        <w:pStyle w:val="aa"/>
        <w:spacing w:before="100" w:beforeAutospacing="1" w:after="100" w:afterAutospacing="1" w:line="360" w:lineRule="auto"/>
        <w:ind w:left="360"/>
        <w:jc w:val="both"/>
        <w:rPr>
          <w:rFonts w:ascii="David" w:hAnsi="David" w:cs="David"/>
          <w:color w:val="000000"/>
          <w:sz w:val="24"/>
          <w:szCs w:val="24"/>
        </w:rPr>
      </w:pPr>
    </w:p>
    <w:p w14:paraId="70FFBF21" w14:textId="77777777" w:rsidR="00E50CAF" w:rsidRDefault="00E50CAF" w:rsidP="00E50CAF">
      <w:pPr>
        <w:pStyle w:val="aa"/>
        <w:spacing w:before="100" w:beforeAutospacing="1" w:after="100" w:afterAutospacing="1" w:line="360" w:lineRule="auto"/>
        <w:ind w:left="360"/>
        <w:jc w:val="both"/>
        <w:rPr>
          <w:rFonts w:ascii="David" w:hAnsi="David" w:cs="David"/>
          <w:color w:val="000000"/>
          <w:sz w:val="24"/>
          <w:szCs w:val="24"/>
        </w:rPr>
      </w:pPr>
      <w:r>
        <w:rPr>
          <w:rFonts w:ascii="David" w:hAnsi="David" w:cs="David"/>
          <w:color w:val="000000"/>
          <w:sz w:val="24"/>
          <w:szCs w:val="24"/>
          <w:rtl/>
        </w:rPr>
        <w:t>ראו בעניין זה את פסיקתו של בית המשפט העליון ב</w:t>
      </w:r>
      <w:hyperlink r:id="rId49" w:history="1">
        <w:r w:rsidR="003325CE" w:rsidRPr="003325CE">
          <w:rPr>
            <w:rStyle w:val="Hyperlink"/>
            <w:rFonts w:ascii="David" w:hAnsi="David" w:cs="David"/>
            <w:sz w:val="24"/>
            <w:szCs w:val="24"/>
            <w:rtl/>
          </w:rPr>
          <w:t>ע"פ 3869/09</w:t>
        </w:r>
      </w:hyperlink>
      <w:r>
        <w:rPr>
          <w:rFonts w:ascii="David" w:hAnsi="David" w:cs="David"/>
          <w:color w:val="000000"/>
          <w:sz w:val="24"/>
          <w:szCs w:val="24"/>
          <w:rtl/>
        </w:rPr>
        <w:t xml:space="preserve"> </w:t>
      </w:r>
      <w:r>
        <w:rPr>
          <w:rFonts w:ascii="David" w:hAnsi="David" w:cs="David"/>
          <w:b/>
          <w:bCs/>
          <w:color w:val="000000"/>
          <w:sz w:val="24"/>
          <w:szCs w:val="24"/>
          <w:rtl/>
        </w:rPr>
        <w:t>סלימן נ' מדינת ישראל</w:t>
      </w:r>
      <w:r>
        <w:rPr>
          <w:rFonts w:ascii="David" w:hAnsi="David" w:cs="David"/>
          <w:color w:val="000000"/>
          <w:sz w:val="24"/>
          <w:szCs w:val="24"/>
          <w:rtl/>
        </w:rPr>
        <w:t xml:space="preserve"> (28.12.09):</w:t>
      </w:r>
    </w:p>
    <w:p w14:paraId="1E54514C" w14:textId="77777777" w:rsidR="00E50CAF" w:rsidRPr="00E50CAF" w:rsidRDefault="00E50CAF" w:rsidP="00E50CAF">
      <w:pPr>
        <w:spacing w:before="120" w:after="200" w:line="360" w:lineRule="auto"/>
        <w:ind w:left="793" w:right="993"/>
        <w:jc w:val="both"/>
        <w:rPr>
          <w:rFonts w:ascii="Calibri" w:hAnsi="Calibri" w:cs="Arial"/>
          <w:color w:val="000000"/>
          <w:rtl/>
        </w:rPr>
      </w:pPr>
      <w:r>
        <w:rPr>
          <w:rFonts w:ascii="David" w:hAnsi="David"/>
          <w:color w:val="000000"/>
          <w:rtl/>
        </w:rPr>
        <w:t>"רק בנסיבות מיוחדות רשאי בית המשפט לקבוע כי המאסר המותנה שהופעל ירוצה בחופף לעונש המאסר שנגזר בגין העבירה הנוספת. החוק דורש כי תקופות המאסר יחפפו רק אם קיימים "טעמים שיירשמו". "דרישת 'טעמים שיירשמו' מצמצמת את שיקול דעת בית המשפט, וזאת על מנת לא לפגוע בכוחו של עונש המאסר כעונש ממשי ומוחשי".</w:t>
      </w:r>
    </w:p>
    <w:p w14:paraId="23BF9146" w14:textId="77777777" w:rsidR="00E50CAF" w:rsidRDefault="00E50CAF" w:rsidP="00E50CAF">
      <w:pPr>
        <w:spacing w:before="120" w:after="200" w:line="360" w:lineRule="auto"/>
        <w:ind w:right="1418"/>
        <w:jc w:val="both"/>
        <w:rPr>
          <w:rFonts w:ascii="David" w:hAnsi="David"/>
          <w:b/>
          <w:bCs/>
          <w:color w:val="000000"/>
          <w:rtl/>
        </w:rPr>
      </w:pPr>
      <w:r>
        <w:rPr>
          <w:rFonts w:ascii="David" w:hAnsi="David"/>
          <w:color w:val="000000"/>
          <w:rtl/>
        </w:rPr>
        <w:t>ראו פסיקת בית המשפט העליון ב</w:t>
      </w:r>
      <w:hyperlink r:id="rId50" w:history="1">
        <w:r w:rsidR="003325CE" w:rsidRPr="003325CE">
          <w:rPr>
            <w:rFonts w:ascii="David" w:hAnsi="David"/>
            <w:color w:val="0000FF"/>
            <w:u w:val="single"/>
            <w:rtl/>
          </w:rPr>
          <w:t>ע"פ 4654/03</w:t>
        </w:r>
      </w:hyperlink>
      <w:r w:rsidR="003325CE">
        <w:rPr>
          <w:rFonts w:ascii="David" w:hAnsi="David"/>
          <w:color w:val="000000"/>
          <w:rtl/>
        </w:rPr>
        <w:t xml:space="preserve"> </w:t>
      </w:r>
      <w:r>
        <w:rPr>
          <w:rFonts w:ascii="David" w:hAnsi="David"/>
          <w:b/>
          <w:bCs/>
          <w:color w:val="000000"/>
          <w:rtl/>
        </w:rPr>
        <w:t>ווליד נ' מדינת ישראל</w:t>
      </w:r>
      <w:r>
        <w:rPr>
          <w:rFonts w:ascii="David" w:hAnsi="David"/>
          <w:color w:val="000000"/>
          <w:rtl/>
        </w:rPr>
        <w:t xml:space="preserve"> (26.6.06)</w:t>
      </w:r>
    </w:p>
    <w:p w14:paraId="0734FAE8" w14:textId="77777777" w:rsidR="00E50CAF" w:rsidRPr="00E50CAF" w:rsidRDefault="00E50CAF" w:rsidP="00E50CAF">
      <w:pPr>
        <w:spacing w:before="120" w:line="360" w:lineRule="auto"/>
        <w:ind w:left="793" w:right="993"/>
        <w:jc w:val="both"/>
        <w:rPr>
          <w:rFonts w:ascii="Calibri" w:hAnsi="Calibri" w:cs="Arial"/>
          <w:color w:val="000000"/>
          <w:rtl/>
        </w:rPr>
      </w:pPr>
      <w:r>
        <w:rPr>
          <w:rFonts w:ascii="David" w:hAnsi="David"/>
          <w:color w:val="000000"/>
          <w:rtl/>
        </w:rPr>
        <w:t>"עונש מאסר מותנה משמעו מאסר שהחברה נכונה לדחות ביצועו ובהמשך לוותר על ריצויו כליל אם לא יבצע הנידון עבירה נוספת בתקופת התנאי. מאחורי נכונות זו להקל עם מי שהורשע ונידון למאסר עומד, בין היתר, הרצון לאפשר לו לחזור אל מסלול חיים נורמטיבי וההכרה בכך שהתועלת שתצמח לחברה מהוצאתו מן המעגל העברייני עולה על התועלת מהשמתו מאחורי סורג ובריח כדי להשיב לו כגמולו. זאת, הגם שעונש מאסר על תנאי אינו כולל רכיב שיקומי של ממש אלא מהווה מתן הזדמנות חוזרת לנידון לתקן דרכיו ... המאסר המותנה הינו אם כן בבחינת כרטיס כניסה מחודש אל החברה. אולם, אם נכזבה הציפיה כי המאסר המותנה התלוי ועומד נגד הנידון ירתיעו מלשוב ולבצע עבירות, הרי שנחלש באופן ניכר משקלו של אינטרס השיקום וגובר משקלם של אינטרס הגמול, ההגנה על הציבור, הצורך בהרחקה מהציבור ושיקום בעת המאסר".</w:t>
      </w:r>
    </w:p>
    <w:p w14:paraId="168A4CE8" w14:textId="77777777" w:rsidR="00E50CAF" w:rsidRDefault="00E50CAF" w:rsidP="00E50CAF">
      <w:pPr>
        <w:pStyle w:val="aa"/>
        <w:numPr>
          <w:ilvl w:val="0"/>
          <w:numId w:val="1"/>
        </w:numPr>
        <w:spacing w:before="100" w:beforeAutospacing="1" w:after="100" w:afterAutospacing="1" w:line="360" w:lineRule="auto"/>
        <w:jc w:val="both"/>
        <w:rPr>
          <w:rFonts w:ascii="David" w:hAnsi="David" w:cs="David"/>
          <w:color w:val="000000"/>
          <w:sz w:val="24"/>
          <w:szCs w:val="24"/>
          <w:rtl/>
        </w:rPr>
      </w:pPr>
      <w:r>
        <w:rPr>
          <w:rFonts w:ascii="David" w:hAnsi="David" w:cs="David"/>
          <w:color w:val="000000"/>
          <w:sz w:val="24"/>
          <w:szCs w:val="24"/>
          <w:rtl/>
        </w:rPr>
        <w:t>בעניינו של הנאשם  כאמור נכזבה לחלוטין הציפיה כי המאסרים המותנים התלויים  ועומדים נגדו ירתיעוהו מלשוב לבצע עבירות. כך שעל פניו היה מקום להורות על הפעלת המאסרים המותנים במצטבר למאסר שיוטל בתיק זה ובמצטבר זה לזה.</w:t>
      </w:r>
    </w:p>
    <w:p w14:paraId="52B523B7" w14:textId="77777777" w:rsidR="00E50CAF" w:rsidRDefault="00E50CAF" w:rsidP="00E50CAF">
      <w:pPr>
        <w:pStyle w:val="aa"/>
        <w:spacing w:before="100" w:beforeAutospacing="1" w:after="100" w:afterAutospacing="1" w:line="360" w:lineRule="auto"/>
        <w:ind w:left="360"/>
        <w:jc w:val="both"/>
        <w:rPr>
          <w:rFonts w:ascii="David" w:hAnsi="David" w:cs="David"/>
          <w:color w:val="000000"/>
          <w:sz w:val="24"/>
          <w:szCs w:val="24"/>
        </w:rPr>
      </w:pPr>
      <w:r>
        <w:rPr>
          <w:rFonts w:ascii="David" w:hAnsi="David" w:cs="David"/>
          <w:color w:val="000000"/>
          <w:sz w:val="24"/>
          <w:szCs w:val="24"/>
          <w:rtl/>
        </w:rPr>
        <w:t>עם זאת, וכפי שפירטתי לעיל, ומאחר שמצאתי שיש מקום לתת ביטוי למחדלי החקירה בדמות הקלה בעונש, אורה על חפיפה חלקית של המאסר המותנה שיופעל בעבירת הסמים וחפיפה מלאה של המאסר המותנה שיופעל בעבירת ההפרעה לשוטר.</w:t>
      </w:r>
    </w:p>
    <w:p w14:paraId="0A280F9B" w14:textId="77777777" w:rsidR="00E50CAF" w:rsidRDefault="00E50CAF" w:rsidP="00E50CAF">
      <w:pPr>
        <w:spacing w:before="100" w:beforeAutospacing="1" w:after="100" w:afterAutospacing="1" w:line="360" w:lineRule="auto"/>
        <w:jc w:val="both"/>
        <w:rPr>
          <w:rFonts w:ascii="David" w:hAnsi="David"/>
          <w:color w:val="000000"/>
          <w:rtl/>
        </w:rPr>
      </w:pPr>
      <w:r>
        <w:rPr>
          <w:rFonts w:ascii="David" w:hAnsi="David"/>
          <w:b/>
          <w:bCs/>
          <w:color w:val="000000"/>
          <w:u w:val="single"/>
          <w:rtl/>
        </w:rPr>
        <w:t>עונשו של הנאשם</w:t>
      </w:r>
    </w:p>
    <w:p w14:paraId="3DEB64E8" w14:textId="77777777" w:rsidR="00E50CAF" w:rsidRDefault="00E50CAF" w:rsidP="00E50CAF">
      <w:pPr>
        <w:pStyle w:val="aa"/>
        <w:numPr>
          <w:ilvl w:val="0"/>
          <w:numId w:val="1"/>
        </w:numPr>
        <w:spacing w:before="100" w:beforeAutospacing="1" w:after="100" w:afterAutospacing="1" w:line="360" w:lineRule="auto"/>
        <w:jc w:val="both"/>
        <w:rPr>
          <w:rFonts w:ascii="David" w:hAnsi="David" w:cs="David"/>
          <w:color w:val="000000"/>
          <w:sz w:val="24"/>
          <w:szCs w:val="24"/>
          <w:rtl/>
        </w:rPr>
      </w:pPr>
      <w:r>
        <w:rPr>
          <w:rFonts w:ascii="David" w:hAnsi="David" w:cs="David"/>
          <w:color w:val="000000"/>
          <w:sz w:val="24"/>
          <w:szCs w:val="24"/>
          <w:rtl/>
        </w:rPr>
        <w:t>לאור כל המפורט לפיכך, מצאתי לנכון ולמידתי להטיל על הנאשם את העונשים הבאים:</w:t>
      </w:r>
    </w:p>
    <w:p w14:paraId="0A8AE995" w14:textId="77777777" w:rsidR="00E50CAF" w:rsidRDefault="00E50CAF" w:rsidP="00E50CAF">
      <w:pPr>
        <w:pStyle w:val="aa"/>
        <w:spacing w:before="100" w:beforeAutospacing="1" w:after="100" w:afterAutospacing="1" w:line="360" w:lineRule="auto"/>
        <w:ind w:left="360"/>
        <w:jc w:val="both"/>
        <w:rPr>
          <w:rFonts w:ascii="David" w:hAnsi="David" w:cs="David"/>
          <w:color w:val="000000"/>
          <w:sz w:val="24"/>
          <w:szCs w:val="24"/>
        </w:rPr>
      </w:pPr>
    </w:p>
    <w:p w14:paraId="0E2FAFAE" w14:textId="77777777" w:rsidR="00E50CAF" w:rsidRDefault="00E50CAF" w:rsidP="00E50CAF">
      <w:pPr>
        <w:pStyle w:val="aa"/>
        <w:numPr>
          <w:ilvl w:val="0"/>
          <w:numId w:val="3"/>
        </w:numPr>
        <w:spacing w:before="100" w:beforeAutospacing="1" w:after="100" w:afterAutospacing="1" w:line="360" w:lineRule="auto"/>
        <w:jc w:val="both"/>
        <w:rPr>
          <w:rFonts w:ascii="David" w:hAnsi="David" w:cs="David"/>
          <w:color w:val="000000"/>
          <w:sz w:val="24"/>
          <w:szCs w:val="24"/>
        </w:rPr>
      </w:pPr>
      <w:r>
        <w:rPr>
          <w:rFonts w:ascii="David" w:hAnsi="David" w:cs="David"/>
          <w:color w:val="000000"/>
          <w:sz w:val="24"/>
          <w:szCs w:val="24"/>
          <w:rtl/>
        </w:rPr>
        <w:t>14 חודשי מאסר בפועל. מתקופת המאסר ינוכו ימי המעצר שריצה הנאשם.</w:t>
      </w:r>
    </w:p>
    <w:p w14:paraId="567362AD" w14:textId="77777777" w:rsidR="00E50CAF" w:rsidRDefault="00E50CAF" w:rsidP="00E50CAF">
      <w:pPr>
        <w:pStyle w:val="aa"/>
        <w:spacing w:before="100" w:beforeAutospacing="1" w:after="100" w:afterAutospacing="1" w:line="360" w:lineRule="auto"/>
        <w:ind w:left="1080"/>
        <w:jc w:val="both"/>
        <w:rPr>
          <w:rFonts w:ascii="David" w:hAnsi="David" w:cs="David"/>
          <w:color w:val="000000"/>
          <w:sz w:val="24"/>
          <w:szCs w:val="24"/>
        </w:rPr>
      </w:pPr>
    </w:p>
    <w:p w14:paraId="239D7718" w14:textId="77777777" w:rsidR="00E50CAF" w:rsidRDefault="00E50CAF" w:rsidP="00E50CAF">
      <w:pPr>
        <w:pStyle w:val="aa"/>
        <w:numPr>
          <w:ilvl w:val="0"/>
          <w:numId w:val="3"/>
        </w:numPr>
        <w:spacing w:before="100" w:beforeAutospacing="1" w:after="100" w:afterAutospacing="1" w:line="360" w:lineRule="auto"/>
        <w:jc w:val="both"/>
        <w:rPr>
          <w:rFonts w:ascii="David" w:hAnsi="David" w:cs="David"/>
          <w:color w:val="000000"/>
          <w:sz w:val="24"/>
          <w:szCs w:val="24"/>
        </w:rPr>
      </w:pPr>
      <w:r>
        <w:rPr>
          <w:rFonts w:ascii="David" w:hAnsi="David" w:cs="David"/>
          <w:color w:val="000000"/>
          <w:sz w:val="24"/>
          <w:szCs w:val="24"/>
          <w:rtl/>
        </w:rPr>
        <w:t>מורה על הפעלת מאסר מותנה בן 8 חודשים כפי שהוטל על הנאשם בתיק 46824-07-19 בבית משפט השלום באשקלון ביום 18.12.2019. המאסר המותנה יופעל באופן ש- 5 חודשים ירוצו במצטבר ו- 3 חודשים ירוצו בחופף למאסר שהוטל בתיק זה.</w:t>
      </w:r>
    </w:p>
    <w:p w14:paraId="6AEE8AF0" w14:textId="77777777" w:rsidR="00E50CAF" w:rsidRDefault="00E50CAF" w:rsidP="00E50CAF">
      <w:pPr>
        <w:pStyle w:val="aa"/>
        <w:spacing w:line="360" w:lineRule="auto"/>
        <w:rPr>
          <w:rFonts w:ascii="David" w:hAnsi="David" w:cs="David"/>
          <w:color w:val="000000"/>
          <w:sz w:val="24"/>
          <w:szCs w:val="24"/>
        </w:rPr>
      </w:pPr>
    </w:p>
    <w:p w14:paraId="5C55145E" w14:textId="77777777" w:rsidR="00E50CAF" w:rsidRDefault="00E50CAF" w:rsidP="00E50CAF">
      <w:pPr>
        <w:pStyle w:val="aa"/>
        <w:numPr>
          <w:ilvl w:val="0"/>
          <w:numId w:val="3"/>
        </w:numPr>
        <w:spacing w:before="100" w:beforeAutospacing="1" w:after="100" w:afterAutospacing="1" w:line="360" w:lineRule="auto"/>
        <w:jc w:val="both"/>
        <w:rPr>
          <w:rFonts w:ascii="David" w:hAnsi="David" w:cs="David"/>
          <w:color w:val="000000"/>
          <w:sz w:val="24"/>
          <w:szCs w:val="24"/>
          <w:rtl/>
        </w:rPr>
      </w:pPr>
      <w:r>
        <w:rPr>
          <w:rFonts w:ascii="David" w:hAnsi="David" w:cs="David"/>
          <w:color w:val="000000"/>
          <w:sz w:val="24"/>
          <w:szCs w:val="24"/>
          <w:rtl/>
        </w:rPr>
        <w:t>מורה על הפעלת מאסר מותנה בן 4 חודשים כפי שהוטל על הנאשם בתיק 46824-07-19 בבית משפט השלום באשקלון ביום 18.12.2019 וזאת לריצוי בחופף למאסר שהוטל בתיק זה.</w:t>
      </w:r>
    </w:p>
    <w:p w14:paraId="46FB4BAA" w14:textId="77777777" w:rsidR="00E50CAF" w:rsidRDefault="00E50CAF" w:rsidP="00E50CAF">
      <w:pPr>
        <w:pStyle w:val="aa"/>
        <w:spacing w:before="100" w:beforeAutospacing="1" w:after="100" w:afterAutospacing="1" w:line="360" w:lineRule="auto"/>
        <w:ind w:left="1080"/>
        <w:jc w:val="both"/>
        <w:rPr>
          <w:rFonts w:ascii="David" w:hAnsi="David" w:cs="David"/>
          <w:color w:val="000000"/>
          <w:sz w:val="24"/>
          <w:szCs w:val="24"/>
        </w:rPr>
      </w:pPr>
    </w:p>
    <w:p w14:paraId="319299B7" w14:textId="77777777" w:rsidR="00E50CAF" w:rsidRDefault="00E50CAF" w:rsidP="00E50CAF">
      <w:pPr>
        <w:pStyle w:val="aa"/>
        <w:spacing w:before="100" w:beforeAutospacing="1" w:after="100" w:afterAutospacing="1" w:line="360" w:lineRule="auto"/>
        <w:ind w:left="1080"/>
        <w:jc w:val="both"/>
        <w:rPr>
          <w:rFonts w:ascii="David" w:hAnsi="David" w:cs="David"/>
          <w:color w:val="000000"/>
          <w:sz w:val="24"/>
          <w:szCs w:val="24"/>
        </w:rPr>
      </w:pPr>
      <w:r>
        <w:rPr>
          <w:rFonts w:ascii="David" w:hAnsi="David" w:cs="David"/>
          <w:color w:val="000000"/>
          <w:sz w:val="24"/>
          <w:szCs w:val="24"/>
          <w:rtl/>
        </w:rPr>
        <w:t>למען הסר ספק, על הנאשם לרצות בסך הכל 19 חודשי מאסר בניכוי ימי המעצר.</w:t>
      </w:r>
    </w:p>
    <w:p w14:paraId="601FDCF7" w14:textId="77777777" w:rsidR="00E50CAF" w:rsidRDefault="00E50CAF" w:rsidP="00E50CAF">
      <w:pPr>
        <w:pStyle w:val="aa"/>
        <w:spacing w:before="100" w:beforeAutospacing="1" w:after="100" w:afterAutospacing="1" w:line="360" w:lineRule="auto"/>
        <w:ind w:left="1080"/>
        <w:jc w:val="both"/>
        <w:rPr>
          <w:rFonts w:ascii="David" w:hAnsi="David" w:cs="David"/>
          <w:color w:val="000000"/>
          <w:sz w:val="24"/>
          <w:szCs w:val="24"/>
          <w:rtl/>
        </w:rPr>
      </w:pPr>
    </w:p>
    <w:p w14:paraId="416CE79E" w14:textId="77777777" w:rsidR="00E50CAF" w:rsidRDefault="00E50CAF" w:rsidP="00E50CAF">
      <w:pPr>
        <w:pStyle w:val="aa"/>
        <w:numPr>
          <w:ilvl w:val="0"/>
          <w:numId w:val="3"/>
        </w:numPr>
        <w:spacing w:before="100" w:beforeAutospacing="1" w:after="100" w:afterAutospacing="1" w:line="360" w:lineRule="auto"/>
        <w:jc w:val="both"/>
        <w:rPr>
          <w:rFonts w:ascii="David" w:hAnsi="David" w:cs="David"/>
          <w:color w:val="000000"/>
          <w:sz w:val="24"/>
          <w:szCs w:val="24"/>
          <w:rtl/>
        </w:rPr>
      </w:pPr>
      <w:r>
        <w:rPr>
          <w:rFonts w:ascii="David" w:hAnsi="David" w:cs="David"/>
          <w:color w:val="000000"/>
          <w:sz w:val="24"/>
          <w:szCs w:val="24"/>
          <w:rtl/>
        </w:rPr>
        <w:t xml:space="preserve">מאסר על תנאי בן 10 חודשים שלא יעבור עבירות מסוג פשע על </w:t>
      </w:r>
      <w:hyperlink r:id="rId51" w:history="1">
        <w:r w:rsidR="003325CE" w:rsidRPr="003325CE">
          <w:rPr>
            <w:rFonts w:ascii="David" w:hAnsi="David" w:cs="David"/>
            <w:color w:val="0000FF"/>
            <w:sz w:val="24"/>
            <w:szCs w:val="24"/>
            <w:u w:val="single"/>
            <w:rtl/>
          </w:rPr>
          <w:t>פקודת הסמים המסוכנים</w:t>
        </w:r>
      </w:hyperlink>
      <w:r>
        <w:rPr>
          <w:rFonts w:ascii="David" w:hAnsi="David" w:cs="David"/>
          <w:color w:val="000000"/>
          <w:sz w:val="24"/>
          <w:szCs w:val="24"/>
          <w:rtl/>
        </w:rPr>
        <w:t xml:space="preserve"> במשך 3 שנים  מיום שחרורו.</w:t>
      </w:r>
    </w:p>
    <w:p w14:paraId="09FE63DB" w14:textId="77777777" w:rsidR="00E50CAF" w:rsidRDefault="00E50CAF" w:rsidP="00E50CAF">
      <w:pPr>
        <w:pStyle w:val="aa"/>
        <w:spacing w:before="100" w:beforeAutospacing="1" w:after="100" w:afterAutospacing="1" w:line="360" w:lineRule="auto"/>
        <w:ind w:left="1080"/>
        <w:jc w:val="both"/>
        <w:rPr>
          <w:rFonts w:ascii="David" w:hAnsi="David" w:cs="David"/>
          <w:color w:val="000000"/>
          <w:sz w:val="24"/>
          <w:szCs w:val="24"/>
        </w:rPr>
      </w:pPr>
    </w:p>
    <w:p w14:paraId="7F4978A9" w14:textId="77777777" w:rsidR="00E50CAF" w:rsidRDefault="00E50CAF" w:rsidP="00E50CAF">
      <w:pPr>
        <w:pStyle w:val="aa"/>
        <w:numPr>
          <w:ilvl w:val="0"/>
          <w:numId w:val="3"/>
        </w:numPr>
        <w:spacing w:before="100" w:beforeAutospacing="1" w:after="100" w:afterAutospacing="1" w:line="360" w:lineRule="auto"/>
        <w:jc w:val="both"/>
        <w:rPr>
          <w:rFonts w:ascii="David" w:hAnsi="David" w:cs="David"/>
          <w:color w:val="000000"/>
          <w:sz w:val="24"/>
          <w:szCs w:val="24"/>
        </w:rPr>
      </w:pPr>
      <w:r>
        <w:rPr>
          <w:rFonts w:ascii="David" w:hAnsi="David" w:cs="David"/>
          <w:color w:val="000000"/>
          <w:sz w:val="24"/>
          <w:szCs w:val="24"/>
          <w:rtl/>
        </w:rPr>
        <w:t>מאסר על תנאי בן 3 חודשים שלא יעבור עבירה של הפרעה לשוטר במילוי תפקידו וזאת במשך 3 שנים מיום שחרורו.</w:t>
      </w:r>
    </w:p>
    <w:p w14:paraId="40A6DCC3" w14:textId="77777777" w:rsidR="00E50CAF" w:rsidRDefault="00E50CAF" w:rsidP="00E50CAF">
      <w:pPr>
        <w:pStyle w:val="aa"/>
        <w:spacing w:line="360" w:lineRule="auto"/>
        <w:rPr>
          <w:rFonts w:ascii="David" w:hAnsi="David" w:cs="David"/>
          <w:color w:val="000000"/>
          <w:sz w:val="24"/>
          <w:szCs w:val="24"/>
        </w:rPr>
      </w:pPr>
    </w:p>
    <w:p w14:paraId="5C6FF7EF" w14:textId="77777777" w:rsidR="00E50CAF" w:rsidRDefault="00E50CAF" w:rsidP="00E50CAF">
      <w:pPr>
        <w:pStyle w:val="aa"/>
        <w:numPr>
          <w:ilvl w:val="0"/>
          <w:numId w:val="3"/>
        </w:numPr>
        <w:spacing w:before="100" w:beforeAutospacing="1" w:after="100" w:afterAutospacing="1" w:line="360" w:lineRule="auto"/>
        <w:jc w:val="both"/>
        <w:rPr>
          <w:rFonts w:ascii="David" w:hAnsi="David" w:cs="David"/>
          <w:color w:val="000000"/>
          <w:sz w:val="24"/>
          <w:szCs w:val="24"/>
          <w:rtl/>
        </w:rPr>
      </w:pPr>
      <w:r>
        <w:rPr>
          <w:rFonts w:ascii="David" w:hAnsi="David" w:cs="David"/>
          <w:color w:val="000000"/>
          <w:sz w:val="24"/>
          <w:szCs w:val="24"/>
          <w:rtl/>
        </w:rPr>
        <w:t xml:space="preserve">קנס בסך 2,000 ₪ או </w:t>
      </w:r>
      <w:r>
        <w:rPr>
          <w:rFonts w:ascii="David" w:hAnsi="David" w:cs="David" w:hint="cs"/>
          <w:color w:val="000000"/>
          <w:sz w:val="24"/>
          <w:szCs w:val="24"/>
          <w:rtl/>
        </w:rPr>
        <w:t>1</w:t>
      </w:r>
      <w:r>
        <w:rPr>
          <w:rFonts w:ascii="David" w:hAnsi="David" w:cs="David"/>
          <w:color w:val="000000"/>
          <w:sz w:val="24"/>
          <w:szCs w:val="24"/>
          <w:rtl/>
        </w:rPr>
        <w:t>0 ימי מאסר תמורתו. הקנס ישולם ב-4 תשלומים שווים ורצופים, תשלום ראשון לא יאוחר מיום 1.1.22</w:t>
      </w:r>
    </w:p>
    <w:p w14:paraId="4E877686" w14:textId="77777777" w:rsidR="00E50CAF" w:rsidRDefault="00E50CAF" w:rsidP="00E50CAF">
      <w:pPr>
        <w:pStyle w:val="aa"/>
        <w:spacing w:before="100" w:beforeAutospacing="1" w:after="100" w:afterAutospacing="1" w:line="360" w:lineRule="auto"/>
        <w:ind w:left="1080"/>
        <w:jc w:val="both"/>
        <w:rPr>
          <w:rFonts w:ascii="David" w:hAnsi="David" w:cs="David"/>
          <w:color w:val="000000"/>
          <w:sz w:val="24"/>
          <w:szCs w:val="24"/>
        </w:rPr>
      </w:pPr>
    </w:p>
    <w:p w14:paraId="3DDABF55" w14:textId="77777777" w:rsidR="00E50CAF" w:rsidRDefault="00E50CAF" w:rsidP="00E50CAF">
      <w:pPr>
        <w:pStyle w:val="aa"/>
        <w:numPr>
          <w:ilvl w:val="0"/>
          <w:numId w:val="3"/>
        </w:numPr>
        <w:spacing w:before="100" w:beforeAutospacing="1" w:after="100" w:afterAutospacing="1" w:line="360" w:lineRule="auto"/>
        <w:jc w:val="both"/>
        <w:rPr>
          <w:rFonts w:ascii="David" w:hAnsi="David" w:cs="David"/>
          <w:color w:val="000000"/>
          <w:sz w:val="24"/>
          <w:szCs w:val="24"/>
          <w:rtl/>
        </w:rPr>
      </w:pPr>
      <w:r>
        <w:rPr>
          <w:rFonts w:ascii="David" w:hAnsi="David" w:cs="David"/>
          <w:color w:val="000000"/>
          <w:sz w:val="24"/>
          <w:szCs w:val="24"/>
          <w:rtl/>
        </w:rPr>
        <w:t xml:space="preserve">פסילה בפועל מלקבל או מהחזיק רישיון נהיגה לתקופה של 30 חודשים. הפסילה </w:t>
      </w:r>
    </w:p>
    <w:p w14:paraId="0BEAF2C1" w14:textId="77777777" w:rsidR="00E50CAF" w:rsidRDefault="00E50CAF" w:rsidP="00E50CAF">
      <w:pPr>
        <w:pStyle w:val="aa"/>
        <w:spacing w:before="100" w:beforeAutospacing="1" w:after="100" w:afterAutospacing="1" w:line="360" w:lineRule="auto"/>
        <w:ind w:left="1080"/>
        <w:jc w:val="both"/>
        <w:rPr>
          <w:rFonts w:ascii="David" w:hAnsi="David" w:cs="David"/>
          <w:color w:val="000000"/>
          <w:sz w:val="24"/>
          <w:szCs w:val="24"/>
        </w:rPr>
      </w:pPr>
      <w:r>
        <w:rPr>
          <w:rFonts w:ascii="David" w:hAnsi="David" w:cs="David"/>
          <w:color w:val="000000"/>
          <w:sz w:val="24"/>
          <w:szCs w:val="24"/>
          <w:rtl/>
        </w:rPr>
        <w:t xml:space="preserve">הפסילה תחל מיום שחרור הנאשם ממאסר. ותימנה במצטבר לכל פסילה אחרת שטרם סיים לרצות. </w:t>
      </w:r>
    </w:p>
    <w:p w14:paraId="4F6F858B" w14:textId="77777777" w:rsidR="00E50CAF" w:rsidRDefault="00E50CAF" w:rsidP="00E50CAF">
      <w:pPr>
        <w:pStyle w:val="aa"/>
        <w:spacing w:before="100" w:beforeAutospacing="1" w:after="100" w:afterAutospacing="1" w:line="360" w:lineRule="auto"/>
        <w:ind w:left="1080"/>
        <w:jc w:val="both"/>
        <w:rPr>
          <w:rFonts w:ascii="David" w:hAnsi="David" w:cs="David"/>
          <w:color w:val="000000"/>
          <w:sz w:val="24"/>
          <w:szCs w:val="24"/>
          <w:rtl/>
        </w:rPr>
      </w:pPr>
      <w:r>
        <w:rPr>
          <w:rFonts w:ascii="David" w:hAnsi="David" w:cs="David"/>
          <w:color w:val="000000"/>
          <w:sz w:val="24"/>
          <w:szCs w:val="24"/>
          <w:rtl/>
        </w:rPr>
        <w:t xml:space="preserve">המזכירות תנפיק אישור הפקדה ללא צורך בהפקדת רישיון. </w:t>
      </w:r>
    </w:p>
    <w:p w14:paraId="0462FE84" w14:textId="77777777" w:rsidR="00E50CAF" w:rsidRDefault="00E50CAF" w:rsidP="00E50CAF">
      <w:pPr>
        <w:pStyle w:val="aa"/>
        <w:spacing w:before="100" w:beforeAutospacing="1" w:after="100" w:afterAutospacing="1" w:line="360" w:lineRule="auto"/>
        <w:ind w:left="1080"/>
        <w:jc w:val="both"/>
        <w:rPr>
          <w:rFonts w:ascii="David" w:hAnsi="David" w:cs="David"/>
          <w:color w:val="000000"/>
          <w:sz w:val="24"/>
          <w:szCs w:val="24"/>
          <w:rtl/>
        </w:rPr>
      </w:pPr>
    </w:p>
    <w:p w14:paraId="64CAB956" w14:textId="77777777" w:rsidR="00E50CAF" w:rsidRDefault="00E50CAF" w:rsidP="00E50CAF">
      <w:pPr>
        <w:pStyle w:val="aa"/>
        <w:numPr>
          <w:ilvl w:val="0"/>
          <w:numId w:val="3"/>
        </w:numPr>
        <w:spacing w:before="100" w:beforeAutospacing="1" w:after="100" w:afterAutospacing="1" w:line="360" w:lineRule="auto"/>
        <w:jc w:val="both"/>
        <w:rPr>
          <w:rFonts w:ascii="David" w:hAnsi="David" w:cs="David"/>
          <w:color w:val="000000"/>
          <w:sz w:val="24"/>
          <w:szCs w:val="24"/>
          <w:rtl/>
        </w:rPr>
      </w:pPr>
      <w:r>
        <w:rPr>
          <w:rFonts w:ascii="David" w:hAnsi="David" w:cs="David"/>
          <w:color w:val="000000"/>
          <w:sz w:val="24"/>
          <w:szCs w:val="24"/>
          <w:rtl/>
        </w:rPr>
        <w:t xml:space="preserve">פסילה מלהחזיק ומלקבל רישיון נהיגה לתקופה של 12 חודשים וזאת על תנאי למשך 3 שנים </w:t>
      </w:r>
      <w:r>
        <w:rPr>
          <w:rFonts w:ascii="David" w:hAnsi="David" w:cs="David" w:hint="cs"/>
          <w:color w:val="000000"/>
          <w:sz w:val="24"/>
          <w:szCs w:val="24"/>
          <w:rtl/>
        </w:rPr>
        <w:t xml:space="preserve">מיום שחרורו של הנאשם ממאסר </w:t>
      </w:r>
      <w:r>
        <w:rPr>
          <w:rFonts w:ascii="David" w:hAnsi="David" w:cs="David"/>
          <w:color w:val="000000"/>
          <w:sz w:val="24"/>
          <w:szCs w:val="24"/>
          <w:rtl/>
        </w:rPr>
        <w:t>שהנאשם יעבור עבירה בניגוד ל</w:t>
      </w:r>
      <w:hyperlink r:id="rId52" w:history="1">
        <w:r w:rsidR="003325CE" w:rsidRPr="003325CE">
          <w:rPr>
            <w:rFonts w:ascii="David" w:hAnsi="David" w:cs="David"/>
            <w:color w:val="0000FF"/>
            <w:sz w:val="24"/>
            <w:szCs w:val="24"/>
            <w:u w:val="single"/>
            <w:rtl/>
          </w:rPr>
          <w:t>פקודת הסמים המסוכנים</w:t>
        </w:r>
      </w:hyperlink>
      <w:r>
        <w:rPr>
          <w:rFonts w:ascii="David" w:hAnsi="David" w:cs="David"/>
          <w:color w:val="000000"/>
          <w:sz w:val="24"/>
          <w:szCs w:val="24"/>
          <w:rtl/>
        </w:rPr>
        <w:t xml:space="preserve"> [נוסח חדש] התשל"ג 1973.</w:t>
      </w:r>
    </w:p>
    <w:p w14:paraId="5034F899" w14:textId="77777777" w:rsidR="00E50CAF" w:rsidRDefault="00E50CAF" w:rsidP="00E50CAF">
      <w:pPr>
        <w:pStyle w:val="aa"/>
        <w:spacing w:before="100" w:beforeAutospacing="1" w:after="100" w:afterAutospacing="1" w:line="360" w:lineRule="auto"/>
        <w:ind w:left="1080"/>
        <w:jc w:val="both"/>
        <w:rPr>
          <w:rFonts w:ascii="David" w:hAnsi="David" w:cs="David"/>
          <w:color w:val="000000"/>
          <w:sz w:val="24"/>
          <w:szCs w:val="24"/>
        </w:rPr>
      </w:pPr>
    </w:p>
    <w:p w14:paraId="1B31F60D" w14:textId="77777777" w:rsidR="00E50CAF" w:rsidRDefault="00E50CAF" w:rsidP="00E50CAF">
      <w:pPr>
        <w:spacing w:before="100" w:beforeAutospacing="1" w:after="100" w:afterAutospacing="1" w:line="360" w:lineRule="auto"/>
        <w:jc w:val="both"/>
        <w:rPr>
          <w:rFonts w:ascii="David" w:hAnsi="David"/>
          <w:color w:val="000000"/>
        </w:rPr>
      </w:pPr>
      <w:r>
        <w:rPr>
          <w:rFonts w:ascii="David" w:hAnsi="David"/>
          <w:color w:val="000000"/>
          <w:rtl/>
        </w:rPr>
        <w:t>בשים לב שלא הוגשה לעיוני ההתחייבות עליה חתם הנאשם  בתיק 46824-07-19 לא הוריתי על חילוטה.</w:t>
      </w:r>
    </w:p>
    <w:p w14:paraId="66B91CD9" w14:textId="77777777" w:rsidR="00E50CAF" w:rsidRDefault="003325CE" w:rsidP="00E50CAF">
      <w:pPr>
        <w:spacing w:before="100" w:beforeAutospacing="1" w:after="100" w:afterAutospacing="1" w:line="360" w:lineRule="auto"/>
        <w:jc w:val="both"/>
        <w:rPr>
          <w:rFonts w:ascii="David" w:hAnsi="David"/>
          <w:b/>
          <w:bCs/>
          <w:color w:val="000000"/>
        </w:rPr>
      </w:pPr>
      <w:r w:rsidRPr="003325CE">
        <w:rPr>
          <w:rFonts w:ascii="David" w:hAnsi="David"/>
          <w:b/>
          <w:bCs/>
          <w:color w:val="FFFFFF"/>
          <w:sz w:val="2"/>
          <w:szCs w:val="2"/>
          <w:rtl/>
        </w:rPr>
        <w:t>5129371</w:t>
      </w:r>
      <w:r w:rsidR="00E50CAF">
        <w:rPr>
          <w:rFonts w:ascii="David" w:hAnsi="David"/>
          <w:b/>
          <w:bCs/>
          <w:color w:val="000000"/>
          <w:rtl/>
        </w:rPr>
        <w:t>המוצגים יושמדו בכפוף לחלוף תקופת הערעור.</w:t>
      </w:r>
    </w:p>
    <w:p w14:paraId="66949FA6" w14:textId="77777777" w:rsidR="00E50CAF" w:rsidRDefault="003325CE" w:rsidP="00E50CAF">
      <w:pPr>
        <w:spacing w:before="100" w:beforeAutospacing="1" w:after="100" w:afterAutospacing="1" w:line="360" w:lineRule="auto"/>
        <w:jc w:val="both"/>
        <w:rPr>
          <w:rFonts w:ascii="David" w:hAnsi="David"/>
          <w:b/>
          <w:bCs/>
          <w:color w:val="000000"/>
          <w:rtl/>
        </w:rPr>
      </w:pPr>
      <w:r w:rsidRPr="003325CE">
        <w:rPr>
          <w:rFonts w:ascii="David" w:hAnsi="David"/>
          <w:b/>
          <w:bCs/>
          <w:color w:val="FFFFFF"/>
          <w:sz w:val="2"/>
          <w:szCs w:val="2"/>
          <w:rtl/>
        </w:rPr>
        <w:t>54678313</w:t>
      </w:r>
      <w:r w:rsidR="00E50CAF">
        <w:rPr>
          <w:rFonts w:ascii="David" w:hAnsi="David"/>
          <w:b/>
          <w:bCs/>
          <w:color w:val="000000"/>
          <w:rtl/>
        </w:rPr>
        <w:t>זכות ערעור תוך 45 יום לבית המשפט המחוזי.</w:t>
      </w:r>
    </w:p>
    <w:p w14:paraId="6EBD95F1" w14:textId="77777777" w:rsidR="00E50CAF" w:rsidRPr="002B7D23" w:rsidRDefault="00E50CAF" w:rsidP="00E50CAF">
      <w:pPr>
        <w:rPr>
          <w:rFonts w:ascii="David" w:hAnsi="David"/>
          <w:sz w:val="26"/>
          <w:szCs w:val="26"/>
          <w:rtl/>
        </w:rPr>
      </w:pPr>
    </w:p>
    <w:p w14:paraId="7A2E3B4E" w14:textId="77777777" w:rsidR="00E50CAF" w:rsidRPr="002B7D23" w:rsidRDefault="003325CE" w:rsidP="00E50CAF">
      <w:pPr>
        <w:rPr>
          <w:rFonts w:ascii="David" w:hAnsi="David"/>
          <w:sz w:val="26"/>
          <w:szCs w:val="26"/>
          <w:rtl/>
        </w:rPr>
      </w:pPr>
      <w:bookmarkStart w:id="23" w:name="Nitan"/>
      <w:r>
        <w:rPr>
          <w:rFonts w:ascii="David" w:hAnsi="David"/>
          <w:sz w:val="26"/>
          <w:szCs w:val="26"/>
          <w:rtl/>
        </w:rPr>
        <w:t xml:space="preserve">ניתן היום,  י"א אב תשפ"א, 20 יולי 2021, במעמד הצדדים. </w:t>
      </w:r>
      <w:bookmarkEnd w:id="23"/>
    </w:p>
    <w:p w14:paraId="5AA609CF" w14:textId="77777777" w:rsidR="00E50CAF" w:rsidRPr="002B7D23" w:rsidRDefault="00E50CAF" w:rsidP="003325CE">
      <w:pPr>
        <w:jc w:val="center"/>
      </w:pPr>
      <w:r w:rsidRPr="002B7D23">
        <w:rPr>
          <w:rFonts w:ascii="David" w:hAnsi="David"/>
          <w:sz w:val="26"/>
          <w:szCs w:val="26"/>
          <w:rtl/>
        </w:rPr>
        <w:t xml:space="preserve">   </w:t>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p>
    <w:p w14:paraId="2ED32863" w14:textId="77777777" w:rsidR="00E50CAF" w:rsidRPr="002B7D23" w:rsidRDefault="00E50CAF" w:rsidP="00E50CAF">
      <w:pPr>
        <w:jc w:val="center"/>
        <w:rPr>
          <w:rFonts w:ascii="David" w:hAnsi="David"/>
          <w:sz w:val="26"/>
          <w:szCs w:val="26"/>
          <w:rtl/>
        </w:rPr>
      </w:pPr>
    </w:p>
    <w:p w14:paraId="75C11DCD" w14:textId="77777777" w:rsidR="001D04E6" w:rsidRPr="003325CE" w:rsidRDefault="001D04E6" w:rsidP="003325CE">
      <w:pPr>
        <w:keepNext/>
        <w:rPr>
          <w:rFonts w:ascii="David" w:hAnsi="David"/>
          <w:color w:val="000000"/>
          <w:sz w:val="22"/>
          <w:szCs w:val="22"/>
          <w:rtl/>
        </w:rPr>
      </w:pPr>
    </w:p>
    <w:p w14:paraId="0CA13863" w14:textId="77777777" w:rsidR="003325CE" w:rsidRPr="003325CE" w:rsidRDefault="003325CE" w:rsidP="003325CE">
      <w:pPr>
        <w:keepNext/>
        <w:rPr>
          <w:rFonts w:ascii="David" w:hAnsi="David"/>
          <w:color w:val="000000"/>
          <w:sz w:val="22"/>
          <w:szCs w:val="22"/>
          <w:rtl/>
        </w:rPr>
      </w:pPr>
      <w:r w:rsidRPr="003325CE">
        <w:rPr>
          <w:rFonts w:ascii="David" w:hAnsi="David"/>
          <w:color w:val="000000"/>
          <w:sz w:val="22"/>
          <w:szCs w:val="22"/>
          <w:rtl/>
        </w:rPr>
        <w:t>נועה חקלאי 54678313</w:t>
      </w:r>
    </w:p>
    <w:p w14:paraId="1FFCEBA2" w14:textId="77777777" w:rsidR="003325CE" w:rsidRDefault="003325CE" w:rsidP="003325CE">
      <w:r w:rsidRPr="003325CE">
        <w:rPr>
          <w:color w:val="000000"/>
          <w:rtl/>
        </w:rPr>
        <w:t>נוסח מסמך זה כפוף לשינויי ניסוח ועריכה</w:t>
      </w:r>
    </w:p>
    <w:p w14:paraId="44E86C22" w14:textId="77777777" w:rsidR="003325CE" w:rsidRDefault="003325CE" w:rsidP="003325CE">
      <w:pPr>
        <w:rPr>
          <w:rtl/>
        </w:rPr>
      </w:pPr>
    </w:p>
    <w:p w14:paraId="23893CBB" w14:textId="77777777" w:rsidR="003325CE" w:rsidRDefault="003325CE" w:rsidP="003325CE">
      <w:pPr>
        <w:jc w:val="center"/>
        <w:rPr>
          <w:color w:val="0000FF"/>
          <w:u w:val="single"/>
        </w:rPr>
      </w:pPr>
      <w:hyperlink r:id="rId53" w:history="1">
        <w:r>
          <w:rPr>
            <w:color w:val="0000FF"/>
            <w:u w:val="single"/>
            <w:rtl/>
          </w:rPr>
          <w:t>בעניין עריכה ושינויים במסמכי פסיקה, חקיקה ועוד באתר נבו – הקש כאן</w:t>
        </w:r>
      </w:hyperlink>
    </w:p>
    <w:p w14:paraId="62EB8662" w14:textId="77777777" w:rsidR="003325CE" w:rsidRPr="003325CE" w:rsidRDefault="003325CE" w:rsidP="003325CE">
      <w:pPr>
        <w:jc w:val="center"/>
        <w:rPr>
          <w:color w:val="0000FF"/>
          <w:u w:val="single"/>
        </w:rPr>
      </w:pPr>
    </w:p>
    <w:sectPr w:rsidR="003325CE" w:rsidRPr="003325CE" w:rsidSect="003325CE">
      <w:headerReference w:type="even" r:id="rId54"/>
      <w:headerReference w:type="default" r:id="rId55"/>
      <w:footerReference w:type="even" r:id="rId56"/>
      <w:footerReference w:type="default" r:id="rId5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0A2FCB" w14:textId="77777777" w:rsidR="00147874" w:rsidRDefault="00147874" w:rsidP="00502B9F">
      <w:r>
        <w:separator/>
      </w:r>
    </w:p>
  </w:endnote>
  <w:endnote w:type="continuationSeparator" w:id="0">
    <w:p w14:paraId="69C0C9BD" w14:textId="77777777" w:rsidR="00147874" w:rsidRDefault="00147874" w:rsidP="00502B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Franklin Gothic Medium">
    <w:panose1 w:val="020B0603020102020204"/>
    <w:charset w:val="00"/>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5ABCF8" w14:textId="77777777" w:rsidR="003325CE" w:rsidRDefault="003325CE" w:rsidP="003325C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11</w:t>
    </w:r>
    <w:r>
      <w:rPr>
        <w:rFonts w:ascii="FrankRuehl" w:hAnsi="FrankRuehl" w:cs="FrankRuehl"/>
        <w:rtl/>
      </w:rPr>
      <w:fldChar w:fldCharType="end"/>
    </w:r>
  </w:p>
  <w:p w14:paraId="64106BBB" w14:textId="77777777" w:rsidR="000E3D0E" w:rsidRPr="003325CE" w:rsidRDefault="003325CE" w:rsidP="003325C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08F7B5" w14:textId="77777777" w:rsidR="003325CE" w:rsidRDefault="003325CE" w:rsidP="003325C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269D9">
      <w:rPr>
        <w:rFonts w:ascii="FrankRuehl" w:hAnsi="FrankRuehl" w:cs="FrankRuehl"/>
        <w:noProof/>
        <w:rtl/>
      </w:rPr>
      <w:t>1</w:t>
    </w:r>
    <w:r>
      <w:rPr>
        <w:rFonts w:ascii="FrankRuehl" w:hAnsi="FrankRuehl" w:cs="FrankRuehl"/>
        <w:rtl/>
      </w:rPr>
      <w:fldChar w:fldCharType="end"/>
    </w:r>
  </w:p>
  <w:p w14:paraId="43139247" w14:textId="77777777" w:rsidR="000E3D0E" w:rsidRPr="003325CE" w:rsidRDefault="003325CE" w:rsidP="003325C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D6705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2931E6" w14:textId="77777777" w:rsidR="00147874" w:rsidRDefault="00147874" w:rsidP="00502B9F">
      <w:r>
        <w:separator/>
      </w:r>
    </w:p>
  </w:footnote>
  <w:footnote w:type="continuationSeparator" w:id="0">
    <w:p w14:paraId="351473B8" w14:textId="77777777" w:rsidR="00147874" w:rsidRDefault="00147874" w:rsidP="00502B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DD9970" w14:textId="77777777" w:rsidR="003325CE" w:rsidRPr="003325CE" w:rsidRDefault="003325CE" w:rsidP="003325C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(אש') 15208-11-20</w:t>
    </w:r>
    <w:r>
      <w:rPr>
        <w:rFonts w:ascii="David" w:hAnsi="David"/>
        <w:color w:val="000000"/>
        <w:sz w:val="22"/>
        <w:szCs w:val="22"/>
        <w:rtl/>
      </w:rPr>
      <w:tab/>
      <w:t xml:space="preserve"> מדינת ישראל נ' שמעון בן לולו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BF8448" w14:textId="77777777" w:rsidR="003325CE" w:rsidRPr="003325CE" w:rsidRDefault="003325CE" w:rsidP="003325C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(אש') 15208-11-20</w:t>
    </w:r>
    <w:r>
      <w:rPr>
        <w:rFonts w:ascii="David" w:hAnsi="David"/>
        <w:color w:val="000000"/>
        <w:sz w:val="22"/>
        <w:szCs w:val="22"/>
        <w:rtl/>
      </w:rPr>
      <w:tab/>
      <w:t xml:space="preserve"> מדינת ישראל נ' שמעון בן לולו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576CD"/>
    <w:multiLevelType w:val="hybridMultilevel"/>
    <w:tmpl w:val="F29614DC"/>
    <w:lvl w:ilvl="0" w:tplc="C3868C92">
      <w:start w:val="1"/>
      <w:numFmt w:val="decimal"/>
      <w:lvlText w:val="%1."/>
      <w:lvlJc w:val="left"/>
      <w:pPr>
        <w:ind w:left="360" w:hanging="360"/>
      </w:pPr>
      <w:rPr>
        <w:rFonts w:ascii="David" w:hAnsi="David" w:cs="David" w:hint="default"/>
        <w:b w:val="0"/>
        <w:bCs w:val="0"/>
        <w:sz w:val="24"/>
        <w:szCs w:val="24"/>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start w:val="1"/>
      <w:numFmt w:val="decimal"/>
      <w:lvlText w:val="%7."/>
      <w:lvlJc w:val="left"/>
      <w:pPr>
        <w:ind w:left="4964" w:hanging="360"/>
      </w:pPr>
    </w:lvl>
    <w:lvl w:ilvl="7" w:tplc="04090019">
      <w:start w:val="1"/>
      <w:numFmt w:val="lowerLetter"/>
      <w:lvlText w:val="%8."/>
      <w:lvlJc w:val="left"/>
      <w:pPr>
        <w:ind w:left="5684" w:hanging="360"/>
      </w:pPr>
    </w:lvl>
    <w:lvl w:ilvl="8" w:tplc="0409001B">
      <w:start w:val="1"/>
      <w:numFmt w:val="lowerRoman"/>
      <w:lvlText w:val="%9."/>
      <w:lvlJc w:val="right"/>
      <w:pPr>
        <w:ind w:left="6404" w:hanging="180"/>
      </w:pPr>
    </w:lvl>
  </w:abstractNum>
  <w:abstractNum w:abstractNumId="1" w15:restartNumberingAfterBreak="0">
    <w:nsid w:val="33534232"/>
    <w:multiLevelType w:val="hybridMultilevel"/>
    <w:tmpl w:val="9DDA5C0C"/>
    <w:lvl w:ilvl="0" w:tplc="04090013">
      <w:start w:val="1"/>
      <w:numFmt w:val="hebrew1"/>
      <w:lvlText w:val="%1."/>
      <w:lvlJc w:val="center"/>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37E74A9E"/>
    <w:multiLevelType w:val="hybridMultilevel"/>
    <w:tmpl w:val="18BEA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3B5501B"/>
    <w:multiLevelType w:val="hybridMultilevel"/>
    <w:tmpl w:val="842AE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92750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94182066">
    <w:abstractNumId w:val="2"/>
  </w:num>
  <w:num w:numId="3" w16cid:durableId="8074362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903095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50CAF"/>
    <w:rsid w:val="000A44FD"/>
    <w:rsid w:val="000E3D0E"/>
    <w:rsid w:val="00147874"/>
    <w:rsid w:val="001B5A3B"/>
    <w:rsid w:val="001D04E6"/>
    <w:rsid w:val="002970AE"/>
    <w:rsid w:val="003325CE"/>
    <w:rsid w:val="00502B9F"/>
    <w:rsid w:val="005E00B4"/>
    <w:rsid w:val="00631061"/>
    <w:rsid w:val="00757034"/>
    <w:rsid w:val="00A269D9"/>
    <w:rsid w:val="00AC4E1C"/>
    <w:rsid w:val="00B9112A"/>
    <w:rsid w:val="00BB04E1"/>
    <w:rsid w:val="00E50CAF"/>
    <w:rsid w:val="00F67E8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F9BD251"/>
  <w15:chartTrackingRefBased/>
  <w15:docId w15:val="{32E7F006-76AA-44D0-B2EE-090FEB2BE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50CA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50CAF"/>
    <w:pPr>
      <w:tabs>
        <w:tab w:val="center" w:pos="4153"/>
        <w:tab w:val="right" w:pos="8306"/>
      </w:tabs>
    </w:pPr>
  </w:style>
  <w:style w:type="character" w:customStyle="1" w:styleId="a4">
    <w:name w:val="כותרת עליונה תו"/>
    <w:link w:val="a3"/>
    <w:rsid w:val="00E50CAF"/>
    <w:rPr>
      <w:rFonts w:ascii="Times New Roman" w:eastAsia="Times New Roman" w:hAnsi="Times New Roman" w:cs="David"/>
      <w:sz w:val="24"/>
      <w:szCs w:val="24"/>
    </w:rPr>
  </w:style>
  <w:style w:type="paragraph" w:styleId="a5">
    <w:name w:val="footer"/>
    <w:basedOn w:val="a"/>
    <w:link w:val="a6"/>
    <w:rsid w:val="00E50CAF"/>
    <w:pPr>
      <w:tabs>
        <w:tab w:val="center" w:pos="4153"/>
        <w:tab w:val="right" w:pos="8306"/>
      </w:tabs>
    </w:pPr>
  </w:style>
  <w:style w:type="character" w:customStyle="1" w:styleId="a6">
    <w:name w:val="כותרת תחתונה תו"/>
    <w:link w:val="a5"/>
    <w:rsid w:val="00E50CAF"/>
    <w:rPr>
      <w:rFonts w:ascii="Times New Roman" w:eastAsia="Times New Roman" w:hAnsi="Times New Roman" w:cs="David"/>
      <w:sz w:val="24"/>
      <w:szCs w:val="24"/>
    </w:rPr>
  </w:style>
  <w:style w:type="table" w:styleId="a7">
    <w:name w:val="Table Grid"/>
    <w:basedOn w:val="a1"/>
    <w:rsid w:val="00E50CA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50CAF"/>
  </w:style>
  <w:style w:type="character" w:styleId="Hyperlink">
    <w:name w:val="Hyperlink"/>
    <w:rsid w:val="00E50CAF"/>
    <w:rPr>
      <w:color w:val="0000FF"/>
      <w:u w:val="single"/>
    </w:rPr>
  </w:style>
  <w:style w:type="character" w:customStyle="1" w:styleId="a9">
    <w:name w:val="פיסקת רשימה תו"/>
    <w:link w:val="aa"/>
    <w:locked/>
    <w:rsid w:val="00E50CAF"/>
  </w:style>
  <w:style w:type="paragraph" w:styleId="aa">
    <w:name w:val="List Paragraph"/>
    <w:basedOn w:val="a"/>
    <w:link w:val="a9"/>
    <w:qFormat/>
    <w:rsid w:val="00E50CAF"/>
    <w:pPr>
      <w:spacing w:after="160" w:line="256" w:lineRule="auto"/>
      <w:ind w:left="720"/>
      <w:contextualSpacing/>
    </w:pPr>
    <w:rPr>
      <w:rFonts w:ascii="Calibri" w:eastAsia="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75" TargetMode="External"/><Relationship Id="rId18" Type="http://schemas.openxmlformats.org/officeDocument/2006/relationships/hyperlink" Target="http://www.nevo.co.il/law/70301/275" TargetMode="External"/><Relationship Id="rId26" Type="http://schemas.openxmlformats.org/officeDocument/2006/relationships/hyperlink" Target="https://www.nevo.co.il/psika_html/elyon/19054940-J01.htm" TargetMode="External"/><Relationship Id="rId39" Type="http://schemas.openxmlformats.org/officeDocument/2006/relationships/hyperlink" Target="http://www.nevo.co.il/law/4216" TargetMode="External"/><Relationship Id="rId21" Type="http://schemas.openxmlformats.org/officeDocument/2006/relationships/hyperlink" Target="http://www.nevo.co.il/case/5738608" TargetMode="External"/><Relationship Id="rId34" Type="http://schemas.openxmlformats.org/officeDocument/2006/relationships/hyperlink" Target="http://www.nevo.co.il/case/4553790" TargetMode="External"/><Relationship Id="rId42" Type="http://schemas.openxmlformats.org/officeDocument/2006/relationships/hyperlink" Target="http://www.nevo.co.il/law/70301/40ja.9" TargetMode="External"/><Relationship Id="rId47" Type="http://schemas.openxmlformats.org/officeDocument/2006/relationships/hyperlink" Target="http://www.nevo.co.il/law/70301/58" TargetMode="External"/><Relationship Id="rId50" Type="http://schemas.openxmlformats.org/officeDocument/2006/relationships/hyperlink" Target="http://www.nevo.co.il/case/5701345" TargetMode="External"/><Relationship Id="rId55" Type="http://schemas.openxmlformats.org/officeDocument/2006/relationships/header" Target="header2.xml"/><Relationship Id="rId7" Type="http://schemas.openxmlformats.org/officeDocument/2006/relationships/hyperlink" Target="http://www.nevo.co.il/case/27134689" TargetMode="External"/><Relationship Id="rId2" Type="http://schemas.openxmlformats.org/officeDocument/2006/relationships/styles" Target="styles.xml"/><Relationship Id="rId16" Type="http://schemas.openxmlformats.org/officeDocument/2006/relationships/hyperlink" Target="http://www.nevo.co.il/law/4216/7.c" TargetMode="External"/><Relationship Id="rId29" Type="http://schemas.openxmlformats.org/officeDocument/2006/relationships/hyperlink" Target="http://www.nevo.co.il/case/23792840" TargetMode="External"/><Relationship Id="rId11" Type="http://schemas.openxmlformats.org/officeDocument/2006/relationships/hyperlink" Target="http://www.nevo.co.il/law/70301" TargetMode="External"/><Relationship Id="rId24" Type="http://schemas.openxmlformats.org/officeDocument/2006/relationships/hyperlink" Target="http://www.nevo.co.il/law/70301" TargetMode="External"/><Relationship Id="rId32" Type="http://schemas.openxmlformats.org/officeDocument/2006/relationships/hyperlink" Target="https://www.nevo.co.il/psika_html/mechozi/ME-15-04-12284-314.htm" TargetMode="External"/><Relationship Id="rId37" Type="http://schemas.openxmlformats.org/officeDocument/2006/relationships/hyperlink" Target="http://www.nevo.co.il/case/20655985" TargetMode="External"/><Relationship Id="rId40" Type="http://schemas.openxmlformats.org/officeDocument/2006/relationships/hyperlink" Target="http://www.nevo.co.il/law/70301/40ja.9" TargetMode="External"/><Relationship Id="rId45" Type="http://schemas.openxmlformats.org/officeDocument/2006/relationships/hyperlink" Target="https://www.nevo.co.il/psika_html/shalom/sl024885.htm" TargetMode="External"/><Relationship Id="rId53" Type="http://schemas.openxmlformats.org/officeDocument/2006/relationships/hyperlink" Target="http://www.nevo.co.il/advertisements/nevo-100.doc" TargetMode="External"/><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70301/40ja.9" TargetMode="External"/><Relationship Id="rId22" Type="http://schemas.openxmlformats.org/officeDocument/2006/relationships/hyperlink" Target="http://www.nevo.co.il/case/26797877" TargetMode="External"/><Relationship Id="rId27" Type="http://schemas.openxmlformats.org/officeDocument/2006/relationships/hyperlink" Target="https://www.nevo.co.il/psika_html/elyon/17011220-k05.htm" TargetMode="External"/><Relationship Id="rId30" Type="http://schemas.openxmlformats.org/officeDocument/2006/relationships/hyperlink" Target="http://www.nevo.co.il/case/20551220" TargetMode="External"/><Relationship Id="rId35" Type="http://schemas.openxmlformats.org/officeDocument/2006/relationships/hyperlink" Target="http://www.nevo.co.il/case/24990022" TargetMode="External"/><Relationship Id="rId43" Type="http://schemas.openxmlformats.org/officeDocument/2006/relationships/hyperlink" Target="http://www.nevo.co.il/case/5716667" TargetMode="External"/><Relationship Id="rId48" Type="http://schemas.openxmlformats.org/officeDocument/2006/relationships/hyperlink" Target="http://www.nevo.co.il/law/70301" TargetMode="External"/><Relationship Id="rId56" Type="http://schemas.openxmlformats.org/officeDocument/2006/relationships/footer" Target="footer1.xml"/><Relationship Id="rId8" Type="http://schemas.openxmlformats.org/officeDocument/2006/relationships/hyperlink" Target="http://www.nevo.co.il/law/4216" TargetMode="External"/><Relationship Id="rId51" Type="http://schemas.openxmlformats.org/officeDocument/2006/relationships/hyperlink" Target="http://www.nevo.co.il/law/4216" TargetMode="External"/><Relationship Id="rId3" Type="http://schemas.openxmlformats.org/officeDocument/2006/relationships/settings" Target="settings.xml"/><Relationship Id="rId12" Type="http://schemas.openxmlformats.org/officeDocument/2006/relationships/hyperlink" Target="http://www.nevo.co.il/law/70301/58" TargetMode="External"/><Relationship Id="rId17" Type="http://schemas.openxmlformats.org/officeDocument/2006/relationships/hyperlink" Target="http://www.nevo.co.il/law/4216" TargetMode="External"/><Relationship Id="rId25" Type="http://schemas.openxmlformats.org/officeDocument/2006/relationships/hyperlink" Target="http://www.nevo.co.il/law/4216" TargetMode="External"/><Relationship Id="rId33" Type="http://schemas.openxmlformats.org/officeDocument/2006/relationships/hyperlink" Target="http://www.nevo.co.il/case/18790446" TargetMode="External"/><Relationship Id="rId38" Type="http://schemas.openxmlformats.org/officeDocument/2006/relationships/hyperlink" Target="http://www.nevo.co.il/case/7836882" TargetMode="External"/><Relationship Id="rId46" Type="http://schemas.openxmlformats.org/officeDocument/2006/relationships/hyperlink" Target="https://www.nevo.co.il/psika_html/elyon/08107150-o09.htm" TargetMode="External"/><Relationship Id="rId59" Type="http://schemas.openxmlformats.org/officeDocument/2006/relationships/theme" Target="theme/theme1.xml"/><Relationship Id="rId20" Type="http://schemas.openxmlformats.org/officeDocument/2006/relationships/hyperlink" Target="http://www.nevo.co.il/case/5726579" TargetMode="External"/><Relationship Id="rId41" Type="http://schemas.openxmlformats.org/officeDocument/2006/relationships/hyperlink" Target="http://www.nevo.co.il/law/70301" TargetMode="External"/><Relationship Id="rId54"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7.a" TargetMode="External"/><Relationship Id="rId23" Type="http://schemas.openxmlformats.org/officeDocument/2006/relationships/hyperlink" Target="http://www.nevo.co.il/case/6172713" TargetMode="External"/><Relationship Id="rId28" Type="http://schemas.openxmlformats.org/officeDocument/2006/relationships/hyperlink" Target="http://www.nevo.co.il/case/11279208" TargetMode="External"/><Relationship Id="rId36" Type="http://schemas.openxmlformats.org/officeDocument/2006/relationships/hyperlink" Target="http://www.nevo.co.il/case/21042415" TargetMode="External"/><Relationship Id="rId49" Type="http://schemas.openxmlformats.org/officeDocument/2006/relationships/hyperlink" Target="http://www.nevo.co.il/case/5920357" TargetMode="External"/><Relationship Id="rId57" Type="http://schemas.openxmlformats.org/officeDocument/2006/relationships/footer" Target="footer2.xml"/><Relationship Id="rId10" Type="http://schemas.openxmlformats.org/officeDocument/2006/relationships/hyperlink" Target="http://www.nevo.co.il/law/4216/7.c" TargetMode="External"/><Relationship Id="rId31" Type="http://schemas.openxmlformats.org/officeDocument/2006/relationships/hyperlink" Target="http://www.nevo.co.il/case/20569205" TargetMode="External"/><Relationship Id="rId44" Type="http://schemas.openxmlformats.org/officeDocument/2006/relationships/hyperlink" Target="https://www.nevo.co.il/psika_html/elyon/16018400-t08.htm" TargetMode="External"/><Relationship Id="rId52" Type="http://schemas.openxmlformats.org/officeDocument/2006/relationships/hyperlink" Target="http://www.nevo.co.il/law/421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3262</Words>
  <Characters>16312</Characters>
  <Application>Microsoft Office Word</Application>
  <DocSecurity>0</DocSecurity>
  <Lines>135</Lines>
  <Paragraphs>39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19535</CharactersWithSpaces>
  <SharedDoc>false</SharedDoc>
  <HLinks>
    <vt:vector size="282" baseType="variant">
      <vt:variant>
        <vt:i4>393283</vt:i4>
      </vt:variant>
      <vt:variant>
        <vt:i4>138</vt:i4>
      </vt:variant>
      <vt:variant>
        <vt:i4>0</vt:i4>
      </vt:variant>
      <vt:variant>
        <vt:i4>5</vt:i4>
      </vt:variant>
      <vt:variant>
        <vt:lpwstr>http://www.nevo.co.il/advertisements/nevo-100.doc</vt:lpwstr>
      </vt:variant>
      <vt:variant>
        <vt:lpwstr/>
      </vt:variant>
      <vt:variant>
        <vt:i4>8257637</vt:i4>
      </vt:variant>
      <vt:variant>
        <vt:i4>135</vt:i4>
      </vt:variant>
      <vt:variant>
        <vt:i4>0</vt:i4>
      </vt:variant>
      <vt:variant>
        <vt:i4>5</vt:i4>
      </vt:variant>
      <vt:variant>
        <vt:lpwstr>http://www.nevo.co.il/law/4216</vt:lpwstr>
      </vt:variant>
      <vt:variant>
        <vt:lpwstr/>
      </vt:variant>
      <vt:variant>
        <vt:i4>8257637</vt:i4>
      </vt:variant>
      <vt:variant>
        <vt:i4>132</vt:i4>
      </vt:variant>
      <vt:variant>
        <vt:i4>0</vt:i4>
      </vt:variant>
      <vt:variant>
        <vt:i4>5</vt:i4>
      </vt:variant>
      <vt:variant>
        <vt:lpwstr>http://www.nevo.co.il/law/4216</vt:lpwstr>
      </vt:variant>
      <vt:variant>
        <vt:lpwstr/>
      </vt:variant>
      <vt:variant>
        <vt:i4>3342454</vt:i4>
      </vt:variant>
      <vt:variant>
        <vt:i4>129</vt:i4>
      </vt:variant>
      <vt:variant>
        <vt:i4>0</vt:i4>
      </vt:variant>
      <vt:variant>
        <vt:i4>5</vt:i4>
      </vt:variant>
      <vt:variant>
        <vt:lpwstr>http://www.nevo.co.il/case/5701345</vt:lpwstr>
      </vt:variant>
      <vt:variant>
        <vt:lpwstr/>
      </vt:variant>
      <vt:variant>
        <vt:i4>3342456</vt:i4>
      </vt:variant>
      <vt:variant>
        <vt:i4>126</vt:i4>
      </vt:variant>
      <vt:variant>
        <vt:i4>0</vt:i4>
      </vt:variant>
      <vt:variant>
        <vt:i4>5</vt:i4>
      </vt:variant>
      <vt:variant>
        <vt:lpwstr>http://www.nevo.co.il/case/5920357</vt:lpwstr>
      </vt:variant>
      <vt:variant>
        <vt:lpwstr/>
      </vt:variant>
      <vt:variant>
        <vt:i4>7995492</vt:i4>
      </vt:variant>
      <vt:variant>
        <vt:i4>123</vt:i4>
      </vt:variant>
      <vt:variant>
        <vt:i4>0</vt:i4>
      </vt:variant>
      <vt:variant>
        <vt:i4>5</vt:i4>
      </vt:variant>
      <vt:variant>
        <vt:lpwstr>http://www.nevo.co.il/law/70301</vt:lpwstr>
      </vt:variant>
      <vt:variant>
        <vt:lpwstr/>
      </vt:variant>
      <vt:variant>
        <vt:i4>7143520</vt:i4>
      </vt:variant>
      <vt:variant>
        <vt:i4>120</vt:i4>
      </vt:variant>
      <vt:variant>
        <vt:i4>0</vt:i4>
      </vt:variant>
      <vt:variant>
        <vt:i4>5</vt:i4>
      </vt:variant>
      <vt:variant>
        <vt:lpwstr>http://www.nevo.co.il/law/70301/58</vt:lpwstr>
      </vt:variant>
      <vt:variant>
        <vt:lpwstr/>
      </vt:variant>
      <vt:variant>
        <vt:i4>4653110</vt:i4>
      </vt:variant>
      <vt:variant>
        <vt:i4>117</vt:i4>
      </vt:variant>
      <vt:variant>
        <vt:i4>0</vt:i4>
      </vt:variant>
      <vt:variant>
        <vt:i4>5</vt:i4>
      </vt:variant>
      <vt:variant>
        <vt:lpwstr>https://www.nevo.co.il/psika_html/elyon/08107150-o09.htm</vt:lpwstr>
      </vt:variant>
      <vt:variant>
        <vt:lpwstr/>
      </vt:variant>
      <vt:variant>
        <vt:i4>5046377</vt:i4>
      </vt:variant>
      <vt:variant>
        <vt:i4>114</vt:i4>
      </vt:variant>
      <vt:variant>
        <vt:i4>0</vt:i4>
      </vt:variant>
      <vt:variant>
        <vt:i4>5</vt:i4>
      </vt:variant>
      <vt:variant>
        <vt:lpwstr>https://www.nevo.co.il/psika_html/shalom/sl024885.htm</vt:lpwstr>
      </vt:variant>
      <vt:variant>
        <vt:lpwstr/>
      </vt:variant>
      <vt:variant>
        <vt:i4>5701692</vt:i4>
      </vt:variant>
      <vt:variant>
        <vt:i4>111</vt:i4>
      </vt:variant>
      <vt:variant>
        <vt:i4>0</vt:i4>
      </vt:variant>
      <vt:variant>
        <vt:i4>5</vt:i4>
      </vt:variant>
      <vt:variant>
        <vt:lpwstr>https://www.nevo.co.il/psika_html/elyon/16018400-t08.htm</vt:lpwstr>
      </vt:variant>
      <vt:variant>
        <vt:lpwstr/>
      </vt:variant>
      <vt:variant>
        <vt:i4>3473523</vt:i4>
      </vt:variant>
      <vt:variant>
        <vt:i4>108</vt:i4>
      </vt:variant>
      <vt:variant>
        <vt:i4>0</vt:i4>
      </vt:variant>
      <vt:variant>
        <vt:i4>5</vt:i4>
      </vt:variant>
      <vt:variant>
        <vt:lpwstr>http://www.nevo.co.il/case/5716667</vt:lpwstr>
      </vt:variant>
      <vt:variant>
        <vt:lpwstr/>
      </vt:variant>
      <vt:variant>
        <vt:i4>3997733</vt:i4>
      </vt:variant>
      <vt:variant>
        <vt:i4>105</vt:i4>
      </vt:variant>
      <vt:variant>
        <vt:i4>0</vt:i4>
      </vt:variant>
      <vt:variant>
        <vt:i4>5</vt:i4>
      </vt:variant>
      <vt:variant>
        <vt:lpwstr>http://www.nevo.co.il/law/70301/40ja.9</vt:lpwstr>
      </vt:variant>
      <vt:variant>
        <vt:lpwstr/>
      </vt:variant>
      <vt:variant>
        <vt:i4>7995492</vt:i4>
      </vt:variant>
      <vt:variant>
        <vt:i4>102</vt:i4>
      </vt:variant>
      <vt:variant>
        <vt:i4>0</vt:i4>
      </vt:variant>
      <vt:variant>
        <vt:i4>5</vt:i4>
      </vt:variant>
      <vt:variant>
        <vt:lpwstr>http://www.nevo.co.il/law/70301</vt:lpwstr>
      </vt:variant>
      <vt:variant>
        <vt:lpwstr/>
      </vt:variant>
      <vt:variant>
        <vt:i4>3997733</vt:i4>
      </vt:variant>
      <vt:variant>
        <vt:i4>99</vt:i4>
      </vt:variant>
      <vt:variant>
        <vt:i4>0</vt:i4>
      </vt:variant>
      <vt:variant>
        <vt:i4>5</vt:i4>
      </vt:variant>
      <vt:variant>
        <vt:lpwstr>http://www.nevo.co.il/law/70301/40ja.9</vt:lpwstr>
      </vt:variant>
      <vt:variant>
        <vt:lpwstr/>
      </vt:variant>
      <vt:variant>
        <vt:i4>8257637</vt:i4>
      </vt:variant>
      <vt:variant>
        <vt:i4>96</vt:i4>
      </vt:variant>
      <vt:variant>
        <vt:i4>0</vt:i4>
      </vt:variant>
      <vt:variant>
        <vt:i4>5</vt:i4>
      </vt:variant>
      <vt:variant>
        <vt:lpwstr>http://www.nevo.co.il/law/4216</vt:lpwstr>
      </vt:variant>
      <vt:variant>
        <vt:lpwstr/>
      </vt:variant>
      <vt:variant>
        <vt:i4>4063346</vt:i4>
      </vt:variant>
      <vt:variant>
        <vt:i4>93</vt:i4>
      </vt:variant>
      <vt:variant>
        <vt:i4>0</vt:i4>
      </vt:variant>
      <vt:variant>
        <vt:i4>5</vt:i4>
      </vt:variant>
      <vt:variant>
        <vt:lpwstr>http://www.nevo.co.il/case/7836882</vt:lpwstr>
      </vt:variant>
      <vt:variant>
        <vt:lpwstr/>
      </vt:variant>
      <vt:variant>
        <vt:i4>3735672</vt:i4>
      </vt:variant>
      <vt:variant>
        <vt:i4>90</vt:i4>
      </vt:variant>
      <vt:variant>
        <vt:i4>0</vt:i4>
      </vt:variant>
      <vt:variant>
        <vt:i4>5</vt:i4>
      </vt:variant>
      <vt:variant>
        <vt:lpwstr>http://www.nevo.co.il/case/20655985</vt:lpwstr>
      </vt:variant>
      <vt:variant>
        <vt:lpwstr/>
      </vt:variant>
      <vt:variant>
        <vt:i4>3211381</vt:i4>
      </vt:variant>
      <vt:variant>
        <vt:i4>87</vt:i4>
      </vt:variant>
      <vt:variant>
        <vt:i4>0</vt:i4>
      </vt:variant>
      <vt:variant>
        <vt:i4>5</vt:i4>
      </vt:variant>
      <vt:variant>
        <vt:lpwstr>http://www.nevo.co.il/case/21042415</vt:lpwstr>
      </vt:variant>
      <vt:variant>
        <vt:lpwstr/>
      </vt:variant>
      <vt:variant>
        <vt:i4>3735673</vt:i4>
      </vt:variant>
      <vt:variant>
        <vt:i4>84</vt:i4>
      </vt:variant>
      <vt:variant>
        <vt:i4>0</vt:i4>
      </vt:variant>
      <vt:variant>
        <vt:i4>5</vt:i4>
      </vt:variant>
      <vt:variant>
        <vt:lpwstr>http://www.nevo.co.il/case/24990022</vt:lpwstr>
      </vt:variant>
      <vt:variant>
        <vt:lpwstr/>
      </vt:variant>
      <vt:variant>
        <vt:i4>3539067</vt:i4>
      </vt:variant>
      <vt:variant>
        <vt:i4>81</vt:i4>
      </vt:variant>
      <vt:variant>
        <vt:i4>0</vt:i4>
      </vt:variant>
      <vt:variant>
        <vt:i4>5</vt:i4>
      </vt:variant>
      <vt:variant>
        <vt:lpwstr>http://www.nevo.co.il/case/4553790</vt:lpwstr>
      </vt:variant>
      <vt:variant>
        <vt:lpwstr/>
      </vt:variant>
      <vt:variant>
        <vt:i4>3276913</vt:i4>
      </vt:variant>
      <vt:variant>
        <vt:i4>78</vt:i4>
      </vt:variant>
      <vt:variant>
        <vt:i4>0</vt:i4>
      </vt:variant>
      <vt:variant>
        <vt:i4>5</vt:i4>
      </vt:variant>
      <vt:variant>
        <vt:lpwstr>http://www.nevo.co.il/case/18790446</vt:lpwstr>
      </vt:variant>
      <vt:variant>
        <vt:lpwstr/>
      </vt:variant>
      <vt:variant>
        <vt:i4>1114156</vt:i4>
      </vt:variant>
      <vt:variant>
        <vt:i4>75</vt:i4>
      </vt:variant>
      <vt:variant>
        <vt:i4>0</vt:i4>
      </vt:variant>
      <vt:variant>
        <vt:i4>5</vt:i4>
      </vt:variant>
      <vt:variant>
        <vt:lpwstr>https://www.nevo.co.il/psika_html/mechozi/ME-15-04-12284-314.htm</vt:lpwstr>
      </vt:variant>
      <vt:variant>
        <vt:lpwstr/>
      </vt:variant>
      <vt:variant>
        <vt:i4>4063344</vt:i4>
      </vt:variant>
      <vt:variant>
        <vt:i4>72</vt:i4>
      </vt:variant>
      <vt:variant>
        <vt:i4>0</vt:i4>
      </vt:variant>
      <vt:variant>
        <vt:i4>5</vt:i4>
      </vt:variant>
      <vt:variant>
        <vt:lpwstr>http://www.nevo.co.il/case/20569205</vt:lpwstr>
      </vt:variant>
      <vt:variant>
        <vt:lpwstr/>
      </vt:variant>
      <vt:variant>
        <vt:i4>3407987</vt:i4>
      </vt:variant>
      <vt:variant>
        <vt:i4>69</vt:i4>
      </vt:variant>
      <vt:variant>
        <vt:i4>0</vt:i4>
      </vt:variant>
      <vt:variant>
        <vt:i4>5</vt:i4>
      </vt:variant>
      <vt:variant>
        <vt:lpwstr>http://www.nevo.co.il/case/20551220</vt:lpwstr>
      </vt:variant>
      <vt:variant>
        <vt:lpwstr/>
      </vt:variant>
      <vt:variant>
        <vt:i4>3342454</vt:i4>
      </vt:variant>
      <vt:variant>
        <vt:i4>66</vt:i4>
      </vt:variant>
      <vt:variant>
        <vt:i4>0</vt:i4>
      </vt:variant>
      <vt:variant>
        <vt:i4>5</vt:i4>
      </vt:variant>
      <vt:variant>
        <vt:lpwstr>http://www.nevo.co.il/case/23792840</vt:lpwstr>
      </vt:variant>
      <vt:variant>
        <vt:lpwstr/>
      </vt:variant>
      <vt:variant>
        <vt:i4>3801200</vt:i4>
      </vt:variant>
      <vt:variant>
        <vt:i4>63</vt:i4>
      </vt:variant>
      <vt:variant>
        <vt:i4>0</vt:i4>
      </vt:variant>
      <vt:variant>
        <vt:i4>5</vt:i4>
      </vt:variant>
      <vt:variant>
        <vt:lpwstr>http://www.nevo.co.il/case/11279208</vt:lpwstr>
      </vt:variant>
      <vt:variant>
        <vt:lpwstr/>
      </vt:variant>
      <vt:variant>
        <vt:i4>4325431</vt:i4>
      </vt:variant>
      <vt:variant>
        <vt:i4>60</vt:i4>
      </vt:variant>
      <vt:variant>
        <vt:i4>0</vt:i4>
      </vt:variant>
      <vt:variant>
        <vt:i4>5</vt:i4>
      </vt:variant>
      <vt:variant>
        <vt:lpwstr>https://www.nevo.co.il/psika_html/elyon/17011220-k05.htm</vt:lpwstr>
      </vt:variant>
      <vt:variant>
        <vt:lpwstr/>
      </vt:variant>
      <vt:variant>
        <vt:i4>4587572</vt:i4>
      </vt:variant>
      <vt:variant>
        <vt:i4>57</vt:i4>
      </vt:variant>
      <vt:variant>
        <vt:i4>0</vt:i4>
      </vt:variant>
      <vt:variant>
        <vt:i4>5</vt:i4>
      </vt:variant>
      <vt:variant>
        <vt:lpwstr>https://www.nevo.co.il/psika_html/elyon/19054940-J01.htm</vt:lpwstr>
      </vt:variant>
      <vt:variant>
        <vt:lpwstr/>
      </vt:variant>
      <vt:variant>
        <vt:i4>8257637</vt:i4>
      </vt:variant>
      <vt:variant>
        <vt:i4>54</vt:i4>
      </vt:variant>
      <vt:variant>
        <vt:i4>0</vt:i4>
      </vt:variant>
      <vt:variant>
        <vt:i4>5</vt:i4>
      </vt:variant>
      <vt:variant>
        <vt:lpwstr>http://www.nevo.co.il/law/4216</vt:lpwstr>
      </vt:variant>
      <vt:variant>
        <vt:lpwstr/>
      </vt:variant>
      <vt:variant>
        <vt:i4>7995492</vt:i4>
      </vt:variant>
      <vt:variant>
        <vt:i4>51</vt:i4>
      </vt:variant>
      <vt:variant>
        <vt:i4>0</vt:i4>
      </vt:variant>
      <vt:variant>
        <vt:i4>5</vt:i4>
      </vt:variant>
      <vt:variant>
        <vt:lpwstr>http://www.nevo.co.il/law/70301</vt:lpwstr>
      </vt:variant>
      <vt:variant>
        <vt:lpwstr/>
      </vt:variant>
      <vt:variant>
        <vt:i4>3473526</vt:i4>
      </vt:variant>
      <vt:variant>
        <vt:i4>48</vt:i4>
      </vt:variant>
      <vt:variant>
        <vt:i4>0</vt:i4>
      </vt:variant>
      <vt:variant>
        <vt:i4>5</vt:i4>
      </vt:variant>
      <vt:variant>
        <vt:lpwstr>http://www.nevo.co.il/case/6172713</vt:lpwstr>
      </vt:variant>
      <vt:variant>
        <vt:lpwstr/>
      </vt:variant>
      <vt:variant>
        <vt:i4>3473523</vt:i4>
      </vt:variant>
      <vt:variant>
        <vt:i4>45</vt:i4>
      </vt:variant>
      <vt:variant>
        <vt:i4>0</vt:i4>
      </vt:variant>
      <vt:variant>
        <vt:i4>5</vt:i4>
      </vt:variant>
      <vt:variant>
        <vt:lpwstr>http://www.nevo.co.il/case/26797877</vt:lpwstr>
      </vt:variant>
      <vt:variant>
        <vt:lpwstr/>
      </vt:variant>
      <vt:variant>
        <vt:i4>3670139</vt:i4>
      </vt:variant>
      <vt:variant>
        <vt:i4>42</vt:i4>
      </vt:variant>
      <vt:variant>
        <vt:i4>0</vt:i4>
      </vt:variant>
      <vt:variant>
        <vt:i4>5</vt:i4>
      </vt:variant>
      <vt:variant>
        <vt:lpwstr>http://www.nevo.co.il/case/5738608</vt:lpwstr>
      </vt:variant>
      <vt:variant>
        <vt:lpwstr/>
      </vt:variant>
      <vt:variant>
        <vt:i4>3866738</vt:i4>
      </vt:variant>
      <vt:variant>
        <vt:i4>39</vt:i4>
      </vt:variant>
      <vt:variant>
        <vt:i4>0</vt:i4>
      </vt:variant>
      <vt:variant>
        <vt:i4>5</vt:i4>
      </vt:variant>
      <vt:variant>
        <vt:lpwstr>http://www.nevo.co.il/case/5726579</vt:lpwstr>
      </vt:variant>
      <vt:variant>
        <vt:lpwstr/>
      </vt:variant>
      <vt:variant>
        <vt:i4>7995492</vt:i4>
      </vt:variant>
      <vt:variant>
        <vt:i4>36</vt:i4>
      </vt:variant>
      <vt:variant>
        <vt:i4>0</vt:i4>
      </vt:variant>
      <vt:variant>
        <vt:i4>5</vt:i4>
      </vt:variant>
      <vt:variant>
        <vt:lpwstr>http://www.nevo.co.il/law/70301</vt:lpwstr>
      </vt:variant>
      <vt:variant>
        <vt:lpwstr/>
      </vt:variant>
      <vt:variant>
        <vt:i4>6422631</vt:i4>
      </vt:variant>
      <vt:variant>
        <vt:i4>33</vt:i4>
      </vt:variant>
      <vt:variant>
        <vt:i4>0</vt:i4>
      </vt:variant>
      <vt:variant>
        <vt:i4>5</vt:i4>
      </vt:variant>
      <vt:variant>
        <vt:lpwstr>http://www.nevo.co.il/law/70301/275</vt:lpwstr>
      </vt:variant>
      <vt:variant>
        <vt:lpwstr/>
      </vt:variant>
      <vt:variant>
        <vt:i4>8257637</vt:i4>
      </vt:variant>
      <vt:variant>
        <vt:i4>30</vt:i4>
      </vt:variant>
      <vt:variant>
        <vt:i4>0</vt:i4>
      </vt:variant>
      <vt:variant>
        <vt:i4>5</vt:i4>
      </vt:variant>
      <vt:variant>
        <vt:lpwstr>http://www.nevo.co.il/law/4216</vt:lpwstr>
      </vt:variant>
      <vt:variant>
        <vt:lpwstr/>
      </vt:variant>
      <vt:variant>
        <vt:i4>2752612</vt:i4>
      </vt:variant>
      <vt:variant>
        <vt:i4>27</vt:i4>
      </vt:variant>
      <vt:variant>
        <vt:i4>0</vt:i4>
      </vt:variant>
      <vt:variant>
        <vt:i4>5</vt:i4>
      </vt:variant>
      <vt:variant>
        <vt:lpwstr>http://www.nevo.co.il/law/4216/7.c</vt:lpwstr>
      </vt:variant>
      <vt:variant>
        <vt:lpwstr/>
      </vt:variant>
      <vt:variant>
        <vt:i4>2621540</vt:i4>
      </vt:variant>
      <vt:variant>
        <vt:i4>24</vt:i4>
      </vt:variant>
      <vt:variant>
        <vt:i4>0</vt:i4>
      </vt:variant>
      <vt:variant>
        <vt:i4>5</vt:i4>
      </vt:variant>
      <vt:variant>
        <vt:lpwstr>http://www.nevo.co.il/law/4216/7.a</vt:lpwstr>
      </vt:variant>
      <vt:variant>
        <vt:lpwstr/>
      </vt:variant>
      <vt:variant>
        <vt:i4>3997733</vt:i4>
      </vt:variant>
      <vt:variant>
        <vt:i4>21</vt:i4>
      </vt:variant>
      <vt:variant>
        <vt:i4>0</vt:i4>
      </vt:variant>
      <vt:variant>
        <vt:i4>5</vt:i4>
      </vt:variant>
      <vt:variant>
        <vt:lpwstr>http://www.nevo.co.il/law/70301/40ja.9</vt:lpwstr>
      </vt:variant>
      <vt:variant>
        <vt:lpwstr/>
      </vt:variant>
      <vt:variant>
        <vt:i4>6422631</vt:i4>
      </vt:variant>
      <vt:variant>
        <vt:i4>18</vt:i4>
      </vt:variant>
      <vt:variant>
        <vt:i4>0</vt:i4>
      </vt:variant>
      <vt:variant>
        <vt:i4>5</vt:i4>
      </vt:variant>
      <vt:variant>
        <vt:lpwstr>http://www.nevo.co.il/law/70301/275</vt:lpwstr>
      </vt:variant>
      <vt:variant>
        <vt:lpwstr/>
      </vt:variant>
      <vt:variant>
        <vt:i4>7143520</vt:i4>
      </vt:variant>
      <vt:variant>
        <vt:i4>15</vt:i4>
      </vt:variant>
      <vt:variant>
        <vt:i4>0</vt:i4>
      </vt:variant>
      <vt:variant>
        <vt:i4>5</vt:i4>
      </vt:variant>
      <vt:variant>
        <vt:lpwstr>http://www.nevo.co.il/law/70301/58</vt:lpwstr>
      </vt:variant>
      <vt:variant>
        <vt:lpwstr/>
      </vt:variant>
      <vt:variant>
        <vt:i4>7995492</vt:i4>
      </vt:variant>
      <vt:variant>
        <vt:i4>12</vt:i4>
      </vt:variant>
      <vt:variant>
        <vt:i4>0</vt:i4>
      </vt:variant>
      <vt:variant>
        <vt:i4>5</vt:i4>
      </vt:variant>
      <vt:variant>
        <vt:lpwstr>http://www.nevo.co.il/law/70301</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8257637</vt:i4>
      </vt:variant>
      <vt:variant>
        <vt:i4>3</vt:i4>
      </vt:variant>
      <vt:variant>
        <vt:i4>0</vt:i4>
      </vt:variant>
      <vt:variant>
        <vt:i4>5</vt:i4>
      </vt:variant>
      <vt:variant>
        <vt:lpwstr>http://www.nevo.co.il/law/4216</vt:lpwstr>
      </vt:variant>
      <vt:variant>
        <vt:lpwstr/>
      </vt:variant>
      <vt:variant>
        <vt:i4>4128886</vt:i4>
      </vt:variant>
      <vt:variant>
        <vt:i4>0</vt:i4>
      </vt:variant>
      <vt:variant>
        <vt:i4>0</vt:i4>
      </vt:variant>
      <vt:variant>
        <vt:i4>5</vt:i4>
      </vt:variant>
      <vt:variant>
        <vt:lpwstr>http://www.nevo.co.il/case/27134689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2025-04-23T00:47:00Z</dcterms:created>
  <dcterms:modified xsi:type="dcterms:W3CDTF">2025-04-23T00:47:00Z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NEWPROC">
    <vt:lpwstr>תפ</vt:lpwstr>
  </property>
  <property fmtid="{D5CDD505-2E9C-101B-9397-08002B2CF9AE}" pid="4" name="NEWPARTA">
    <vt:lpwstr>15208</vt:lpwstr>
  </property>
  <property fmtid="{D5CDD505-2E9C-101B-9397-08002B2CF9AE}" pid="5" name="NEWPARTB">
    <vt:lpwstr>11</vt:lpwstr>
  </property>
  <property fmtid="{D5CDD505-2E9C-101B-9397-08002B2CF9AE}" pid="6" name="NEWPARTC">
    <vt:lpwstr>20</vt:lpwstr>
  </property>
  <property fmtid="{D5CDD505-2E9C-101B-9397-08002B2CF9AE}" pid="7" name="APPELLANT">
    <vt:lpwstr>מדינת ישראל</vt:lpwstr>
  </property>
  <property fmtid="{D5CDD505-2E9C-101B-9397-08002B2CF9AE}" pid="8" name="APPELLEE">
    <vt:lpwstr>שמעון בן לולו</vt:lpwstr>
  </property>
  <property fmtid="{D5CDD505-2E9C-101B-9397-08002B2CF9AE}" pid="9" name="LAWYER">
    <vt:lpwstr>קטיה הכן ;דוגמן </vt:lpwstr>
  </property>
  <property fmtid="{D5CDD505-2E9C-101B-9397-08002B2CF9AE}" pid="10" name="JUDGE">
    <vt:lpwstr>נועה חקלאי</vt:lpwstr>
  </property>
  <property fmtid="{D5CDD505-2E9C-101B-9397-08002B2CF9AE}" pid="11" name="CITY">
    <vt:lpwstr>אש'</vt:lpwstr>
  </property>
  <property fmtid="{D5CDD505-2E9C-101B-9397-08002B2CF9AE}" pid="12" name="DATE">
    <vt:lpwstr>20210720</vt:lpwstr>
  </property>
  <property fmtid="{D5CDD505-2E9C-101B-9397-08002B2CF9AE}" pid="13" name="TYPE_N_DATE">
    <vt:lpwstr>38020210720</vt:lpwstr>
  </property>
  <property fmtid="{D5CDD505-2E9C-101B-9397-08002B2CF9AE}" pid="14" name="WORDNUMPAGES">
    <vt:lpwstr>11</vt:lpwstr>
  </property>
  <property fmtid="{D5CDD505-2E9C-101B-9397-08002B2CF9AE}" pid="15" name="TYPE_ABS_DATE">
    <vt:lpwstr>380020210720</vt:lpwstr>
  </property>
  <property fmtid="{D5CDD505-2E9C-101B-9397-08002B2CF9AE}" pid="16" name="ISABSTRACT">
    <vt:lpwstr>Y</vt:lpwstr>
  </property>
  <property fmtid="{D5CDD505-2E9C-101B-9397-08002B2CF9AE}" pid="17" name="PSAKDIN">
    <vt:lpwstr>גזר-דין</vt:lpwstr>
  </property>
  <property fmtid="{D5CDD505-2E9C-101B-9397-08002B2CF9AE}" pid="18" name="CASESLISTTMP1">
    <vt:lpwstr>27134689;5726579;5738608;26797877;6172713;11279208;23792840;20551220;20569205;18790446;4553790;24990022;21042415;20655985;7836882;5716667;5920357;5701345</vt:lpwstr>
  </property>
  <property fmtid="{D5CDD505-2E9C-101B-9397-08002B2CF9AE}" pid="19" name="BOOKGROUPTMP1">
    <vt:lpwstr/>
  </property>
  <property fmtid="{D5CDD505-2E9C-101B-9397-08002B2CF9AE}" pid="20" name="NOBOOKNEVO">
    <vt:lpwstr>2392</vt:lpwstr>
  </property>
  <property fmtid="{D5CDD505-2E9C-101B-9397-08002B2CF9AE}" pid="21" name="LAWLISTTMP1">
    <vt:lpwstr>4216/007.a;007.c</vt:lpwstr>
  </property>
  <property fmtid="{D5CDD505-2E9C-101B-9397-08002B2CF9AE}" pid="22" name="LAWLISTTMP2">
    <vt:lpwstr>70301/275;40ja.9:2;058</vt:lpwstr>
  </property>
</Properties>
</file>