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00265" w:rsidRPr="00711D7A" w14:paraId="29822758" w14:textId="77777777" w:rsidTr="00333CAA">
        <w:trPr>
          <w:trHeight w:hRule="exact" w:val="418"/>
          <w:jc w:val="center"/>
        </w:trPr>
        <w:tc>
          <w:tcPr>
            <w:tcW w:w="8721" w:type="dxa"/>
            <w:gridSpan w:val="2"/>
          </w:tcPr>
          <w:p w14:paraId="4D895B58" w14:textId="77777777" w:rsidR="00E00265" w:rsidRPr="00711D7A" w:rsidRDefault="00E00265" w:rsidP="0017364C">
            <w:pPr>
              <w:pStyle w:val="a3"/>
              <w:jc w:val="center"/>
              <w:rPr>
                <w:rFonts w:ascii="Tahoma" w:hAnsi="Tahoma" w:cs="Tahoma"/>
                <w:color w:val="000080"/>
                <w:rtl/>
              </w:rPr>
            </w:pPr>
            <w:bookmarkStart w:id="0" w:name="LastJudge"/>
            <w:r w:rsidRPr="00711D7A">
              <w:rPr>
                <w:rFonts w:ascii="Tahoma" w:hAnsi="Tahoma" w:cs="Tahoma"/>
                <w:b/>
                <w:bCs/>
                <w:color w:val="000080"/>
                <w:rtl/>
              </w:rPr>
              <w:t>בית משפט השלום בפתח תקווה</w:t>
            </w:r>
          </w:p>
        </w:tc>
      </w:tr>
      <w:tr w:rsidR="00E00265" w:rsidRPr="00711D7A" w14:paraId="4AC919C8" w14:textId="77777777" w:rsidTr="00333CAA">
        <w:trPr>
          <w:trHeight w:val="337"/>
          <w:jc w:val="center"/>
        </w:trPr>
        <w:tc>
          <w:tcPr>
            <w:tcW w:w="5054" w:type="dxa"/>
          </w:tcPr>
          <w:p w14:paraId="012C35C9" w14:textId="77777777" w:rsidR="00E00265" w:rsidRPr="00711D7A" w:rsidRDefault="00E00265" w:rsidP="0017364C">
            <w:pPr>
              <w:rPr>
                <w:rFonts w:cs="FrankRuehl"/>
                <w:sz w:val="28"/>
                <w:szCs w:val="28"/>
                <w:rtl/>
              </w:rPr>
            </w:pPr>
            <w:r w:rsidRPr="00711D7A">
              <w:rPr>
                <w:rFonts w:cs="FrankRuehl"/>
                <w:sz w:val="28"/>
                <w:szCs w:val="28"/>
                <w:rtl/>
              </w:rPr>
              <w:t>ת"פ</w:t>
            </w:r>
            <w:r w:rsidRPr="00711D7A">
              <w:rPr>
                <w:rFonts w:cs="FrankRuehl" w:hint="cs"/>
                <w:sz w:val="28"/>
                <w:szCs w:val="28"/>
                <w:rtl/>
              </w:rPr>
              <w:t xml:space="preserve"> </w:t>
            </w:r>
            <w:r w:rsidRPr="00711D7A">
              <w:rPr>
                <w:rFonts w:cs="FrankRuehl"/>
                <w:sz w:val="28"/>
                <w:szCs w:val="28"/>
                <w:rtl/>
              </w:rPr>
              <w:t>31596-11-20</w:t>
            </w:r>
            <w:r w:rsidRPr="00711D7A">
              <w:rPr>
                <w:rFonts w:cs="FrankRuehl" w:hint="cs"/>
                <w:sz w:val="28"/>
                <w:szCs w:val="28"/>
                <w:rtl/>
              </w:rPr>
              <w:t xml:space="preserve"> </w:t>
            </w:r>
            <w:r w:rsidRPr="00711D7A">
              <w:rPr>
                <w:rFonts w:cs="FrankRuehl"/>
                <w:sz w:val="28"/>
                <w:szCs w:val="28"/>
                <w:rtl/>
              </w:rPr>
              <w:t>מדינת ישראל נ' אייזן</w:t>
            </w:r>
          </w:p>
          <w:p w14:paraId="18181931" w14:textId="77777777" w:rsidR="00E00265" w:rsidRPr="00711D7A" w:rsidRDefault="00E00265" w:rsidP="0017364C">
            <w:pPr>
              <w:pStyle w:val="a3"/>
              <w:rPr>
                <w:rFonts w:cs="FrankRuehl"/>
                <w:sz w:val="28"/>
                <w:szCs w:val="28"/>
                <w:rtl/>
              </w:rPr>
            </w:pPr>
          </w:p>
        </w:tc>
        <w:tc>
          <w:tcPr>
            <w:tcW w:w="3667" w:type="dxa"/>
          </w:tcPr>
          <w:p w14:paraId="6F8B36FA" w14:textId="77777777" w:rsidR="00E00265" w:rsidRPr="00711D7A" w:rsidRDefault="00E00265" w:rsidP="0017364C">
            <w:pPr>
              <w:pStyle w:val="a3"/>
              <w:jc w:val="right"/>
              <w:rPr>
                <w:rFonts w:cs="FrankRuehl"/>
                <w:sz w:val="28"/>
                <w:szCs w:val="28"/>
                <w:rtl/>
              </w:rPr>
            </w:pPr>
          </w:p>
        </w:tc>
      </w:tr>
    </w:tbl>
    <w:p w14:paraId="1FEEE0C1" w14:textId="77777777" w:rsidR="00E00265" w:rsidRPr="00711D7A" w:rsidRDefault="00E00265" w:rsidP="00E00265">
      <w:pPr>
        <w:pStyle w:val="a3"/>
        <w:rPr>
          <w:rtl/>
        </w:rPr>
      </w:pPr>
      <w:r w:rsidRPr="00711D7A">
        <w:rPr>
          <w:rFonts w:hint="cs"/>
          <w:rtl/>
        </w:rPr>
        <w:t xml:space="preserve"> </w:t>
      </w:r>
    </w:p>
    <w:p w14:paraId="2A311073" w14:textId="77777777" w:rsidR="00E00265" w:rsidRPr="00711D7A" w:rsidRDefault="00E00265" w:rsidP="00E00265">
      <w:pPr>
        <w:rPr>
          <w:rtl/>
        </w:rPr>
      </w:pPr>
    </w:p>
    <w:p w14:paraId="3750D86E" w14:textId="77777777" w:rsidR="00E00265" w:rsidRPr="00711D7A" w:rsidRDefault="00E00265" w:rsidP="00E0026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00265" w:rsidRPr="00711D7A" w14:paraId="64F690BF" w14:textId="77777777" w:rsidTr="00E00265">
        <w:trPr>
          <w:trHeight w:val="295"/>
          <w:jc w:val="center"/>
        </w:trPr>
        <w:tc>
          <w:tcPr>
            <w:tcW w:w="923" w:type="dxa"/>
            <w:tcBorders>
              <w:top w:val="nil"/>
              <w:left w:val="nil"/>
              <w:bottom w:val="nil"/>
              <w:right w:val="nil"/>
            </w:tcBorders>
            <w:shd w:val="clear" w:color="auto" w:fill="auto"/>
          </w:tcPr>
          <w:p w14:paraId="338BC6D5" w14:textId="77777777" w:rsidR="00E00265" w:rsidRPr="00711D7A" w:rsidRDefault="00E00265" w:rsidP="00E00265">
            <w:pPr>
              <w:jc w:val="both"/>
              <w:rPr>
                <w:rFonts w:ascii="David" w:hAnsi="David"/>
                <w:sz w:val="26"/>
                <w:szCs w:val="26"/>
              </w:rPr>
            </w:pPr>
            <w:r w:rsidRPr="00711D7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457AF2D" w14:textId="77777777" w:rsidR="00E00265" w:rsidRPr="00711D7A" w:rsidRDefault="00E00265" w:rsidP="0017364C">
            <w:pPr>
              <w:rPr>
                <w:rFonts w:ascii="David" w:hAnsi="David"/>
                <w:b/>
                <w:bCs/>
                <w:sz w:val="26"/>
                <w:szCs w:val="26"/>
                <w:rtl/>
              </w:rPr>
            </w:pPr>
            <w:r w:rsidRPr="00711D7A">
              <w:rPr>
                <w:rFonts w:ascii="David" w:hAnsi="David"/>
                <w:b/>
                <w:bCs/>
                <w:sz w:val="26"/>
                <w:szCs w:val="26"/>
                <w:rtl/>
              </w:rPr>
              <w:t>כבוד השופט  דרור קלייטמן</w:t>
            </w:r>
          </w:p>
          <w:p w14:paraId="02E80401" w14:textId="77777777" w:rsidR="00E00265" w:rsidRPr="00711D7A" w:rsidRDefault="00E00265" w:rsidP="0017364C">
            <w:pPr>
              <w:rPr>
                <w:rFonts w:ascii="David" w:hAnsi="David"/>
                <w:sz w:val="26"/>
                <w:szCs w:val="26"/>
                <w:rtl/>
              </w:rPr>
            </w:pPr>
          </w:p>
          <w:p w14:paraId="19EE45C0" w14:textId="77777777" w:rsidR="00E00265" w:rsidRPr="00711D7A" w:rsidRDefault="00E00265" w:rsidP="00E00265">
            <w:pPr>
              <w:jc w:val="both"/>
              <w:rPr>
                <w:rFonts w:ascii="David" w:hAnsi="David"/>
                <w:sz w:val="26"/>
                <w:szCs w:val="26"/>
              </w:rPr>
            </w:pPr>
          </w:p>
        </w:tc>
      </w:tr>
      <w:tr w:rsidR="00E00265" w:rsidRPr="00711D7A" w14:paraId="284E07C9" w14:textId="77777777" w:rsidTr="00E00265">
        <w:trPr>
          <w:trHeight w:val="355"/>
          <w:jc w:val="center"/>
        </w:trPr>
        <w:tc>
          <w:tcPr>
            <w:tcW w:w="923" w:type="dxa"/>
            <w:tcBorders>
              <w:top w:val="nil"/>
              <w:left w:val="nil"/>
              <w:bottom w:val="nil"/>
              <w:right w:val="nil"/>
            </w:tcBorders>
            <w:shd w:val="clear" w:color="auto" w:fill="auto"/>
          </w:tcPr>
          <w:p w14:paraId="621BD07E" w14:textId="77777777" w:rsidR="00E00265" w:rsidRPr="00711D7A" w:rsidRDefault="00E00265" w:rsidP="00E00265">
            <w:pPr>
              <w:jc w:val="both"/>
              <w:rPr>
                <w:rFonts w:ascii="David" w:hAnsi="David"/>
                <w:sz w:val="26"/>
                <w:szCs w:val="26"/>
              </w:rPr>
            </w:pPr>
            <w:bookmarkStart w:id="1" w:name="FirstAppellant"/>
            <w:bookmarkStart w:id="2" w:name="FirstLawyer"/>
            <w:r w:rsidRPr="00711D7A">
              <w:rPr>
                <w:rFonts w:ascii="David" w:hAnsi="David"/>
                <w:sz w:val="26"/>
                <w:szCs w:val="26"/>
                <w:rtl/>
              </w:rPr>
              <w:t>בעניין:</w:t>
            </w:r>
          </w:p>
        </w:tc>
        <w:tc>
          <w:tcPr>
            <w:tcW w:w="3219" w:type="dxa"/>
            <w:tcBorders>
              <w:top w:val="nil"/>
              <w:left w:val="nil"/>
              <w:bottom w:val="nil"/>
              <w:right w:val="nil"/>
            </w:tcBorders>
            <w:shd w:val="clear" w:color="auto" w:fill="auto"/>
          </w:tcPr>
          <w:p w14:paraId="601A5B32" w14:textId="77777777" w:rsidR="00E00265" w:rsidRPr="00711D7A" w:rsidRDefault="00E00265" w:rsidP="00E00265">
            <w:pPr>
              <w:suppressLineNumbers/>
            </w:pPr>
            <w:r w:rsidRPr="00711D7A">
              <w:rPr>
                <w:rFonts w:ascii="Arial" w:hAnsi="Arial" w:hint="cs"/>
                <w:b/>
                <w:bCs/>
                <w:sz w:val="26"/>
                <w:szCs w:val="26"/>
                <w:rtl/>
              </w:rPr>
              <w:t>ה</w:t>
            </w:r>
            <w:r w:rsidRPr="00711D7A">
              <w:rPr>
                <w:rFonts w:ascii="Arial" w:hAnsi="Arial"/>
                <w:b/>
                <w:bCs/>
                <w:sz w:val="26"/>
                <w:szCs w:val="26"/>
                <w:rtl/>
              </w:rPr>
              <w:t>מאשימה</w:t>
            </w:r>
          </w:p>
          <w:p w14:paraId="6E297CCE" w14:textId="77777777" w:rsidR="00E00265" w:rsidRPr="00711D7A" w:rsidRDefault="00E00265" w:rsidP="0017364C">
            <w:pPr>
              <w:rPr>
                <w:rFonts w:ascii="David" w:hAnsi="David"/>
                <w:sz w:val="26"/>
                <w:szCs w:val="26"/>
              </w:rPr>
            </w:pPr>
          </w:p>
        </w:tc>
        <w:tc>
          <w:tcPr>
            <w:tcW w:w="4678" w:type="dxa"/>
            <w:tcBorders>
              <w:top w:val="nil"/>
              <w:left w:val="nil"/>
              <w:bottom w:val="nil"/>
              <w:right w:val="nil"/>
            </w:tcBorders>
            <w:shd w:val="clear" w:color="auto" w:fill="auto"/>
            <w:vAlign w:val="center"/>
          </w:tcPr>
          <w:p w14:paraId="48A5DD67" w14:textId="77777777" w:rsidR="00E00265" w:rsidRPr="00711D7A" w:rsidRDefault="00E00265" w:rsidP="00E00265">
            <w:pPr>
              <w:suppressLineNumbers/>
              <w:rPr>
                <w:rFonts w:ascii="Arial" w:hAnsi="Arial"/>
                <w:b/>
                <w:bCs/>
                <w:sz w:val="26"/>
                <w:szCs w:val="26"/>
                <w:rtl/>
              </w:rPr>
            </w:pPr>
            <w:r w:rsidRPr="00711D7A">
              <w:rPr>
                <w:rFonts w:ascii="Arial" w:hAnsi="Arial"/>
                <w:b/>
                <w:bCs/>
                <w:sz w:val="26"/>
                <w:szCs w:val="26"/>
                <w:rtl/>
              </w:rPr>
              <w:t>מדינת ישראל</w:t>
            </w:r>
            <w:r w:rsidRPr="00711D7A">
              <w:rPr>
                <w:rFonts w:ascii="Arial" w:hAnsi="Arial" w:hint="cs"/>
                <w:b/>
                <w:bCs/>
                <w:sz w:val="26"/>
                <w:szCs w:val="26"/>
                <w:rtl/>
              </w:rPr>
              <w:t xml:space="preserve"> </w:t>
            </w:r>
          </w:p>
          <w:p w14:paraId="1E2B87EB" w14:textId="77777777" w:rsidR="00E00265" w:rsidRPr="00711D7A" w:rsidRDefault="00E00265" w:rsidP="00E00265">
            <w:pPr>
              <w:suppressLineNumbers/>
            </w:pPr>
            <w:r w:rsidRPr="00711D7A">
              <w:rPr>
                <w:rFonts w:ascii="Arial" w:hAnsi="Arial"/>
                <w:rtl/>
              </w:rPr>
              <w:t>ע"י ב"כ עוה"ד</w:t>
            </w:r>
            <w:r w:rsidRPr="00711D7A">
              <w:rPr>
                <w:rFonts w:hint="cs"/>
                <w:rtl/>
              </w:rPr>
              <w:t xml:space="preserve"> קרין שטרית- לשכת תביעות פתח תקווה</w:t>
            </w:r>
          </w:p>
          <w:p w14:paraId="070A1180" w14:textId="77777777" w:rsidR="00E00265" w:rsidRPr="00711D7A" w:rsidRDefault="00E00265" w:rsidP="0017364C">
            <w:pPr>
              <w:rPr>
                <w:rFonts w:ascii="David" w:hAnsi="David"/>
                <w:sz w:val="26"/>
                <w:szCs w:val="26"/>
              </w:rPr>
            </w:pPr>
          </w:p>
        </w:tc>
      </w:tr>
      <w:bookmarkEnd w:id="1"/>
      <w:bookmarkEnd w:id="2"/>
      <w:tr w:rsidR="00E00265" w:rsidRPr="00711D7A" w14:paraId="02325383" w14:textId="77777777" w:rsidTr="00E00265">
        <w:trPr>
          <w:trHeight w:val="355"/>
          <w:jc w:val="center"/>
        </w:trPr>
        <w:tc>
          <w:tcPr>
            <w:tcW w:w="923" w:type="dxa"/>
            <w:tcBorders>
              <w:top w:val="nil"/>
              <w:left w:val="nil"/>
              <w:bottom w:val="nil"/>
              <w:right w:val="nil"/>
            </w:tcBorders>
            <w:shd w:val="clear" w:color="auto" w:fill="auto"/>
          </w:tcPr>
          <w:p w14:paraId="548D6AE8" w14:textId="77777777" w:rsidR="00E00265" w:rsidRPr="00711D7A" w:rsidRDefault="00E00265" w:rsidP="00E0026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04B2BA9" w14:textId="77777777" w:rsidR="00E00265" w:rsidRPr="00711D7A" w:rsidRDefault="00E00265" w:rsidP="00E00265">
            <w:pPr>
              <w:jc w:val="center"/>
              <w:rPr>
                <w:rFonts w:ascii="David" w:hAnsi="David"/>
                <w:b/>
                <w:bCs/>
                <w:sz w:val="26"/>
                <w:szCs w:val="26"/>
                <w:rtl/>
              </w:rPr>
            </w:pPr>
          </w:p>
          <w:p w14:paraId="6ED6C304" w14:textId="77777777" w:rsidR="00E00265" w:rsidRPr="00711D7A" w:rsidRDefault="00E00265" w:rsidP="00E00265">
            <w:pPr>
              <w:jc w:val="center"/>
              <w:rPr>
                <w:rFonts w:ascii="David" w:hAnsi="David"/>
                <w:b/>
                <w:bCs/>
                <w:sz w:val="26"/>
                <w:szCs w:val="26"/>
                <w:rtl/>
              </w:rPr>
            </w:pPr>
            <w:r w:rsidRPr="00711D7A">
              <w:rPr>
                <w:rFonts w:ascii="David" w:hAnsi="David"/>
                <w:b/>
                <w:bCs/>
                <w:sz w:val="26"/>
                <w:szCs w:val="26"/>
                <w:rtl/>
              </w:rPr>
              <w:t>נגד</w:t>
            </w:r>
          </w:p>
          <w:p w14:paraId="40045B60" w14:textId="77777777" w:rsidR="00E00265" w:rsidRPr="00711D7A" w:rsidRDefault="00E00265" w:rsidP="00E00265">
            <w:pPr>
              <w:jc w:val="both"/>
              <w:rPr>
                <w:rFonts w:ascii="David" w:hAnsi="David"/>
                <w:sz w:val="26"/>
                <w:szCs w:val="26"/>
              </w:rPr>
            </w:pPr>
          </w:p>
        </w:tc>
      </w:tr>
      <w:tr w:rsidR="00E00265" w:rsidRPr="00711D7A" w14:paraId="5F4C1B2B" w14:textId="77777777" w:rsidTr="00E00265">
        <w:trPr>
          <w:trHeight w:val="355"/>
          <w:jc w:val="center"/>
        </w:trPr>
        <w:tc>
          <w:tcPr>
            <w:tcW w:w="923" w:type="dxa"/>
            <w:tcBorders>
              <w:top w:val="nil"/>
              <w:left w:val="nil"/>
              <w:bottom w:val="nil"/>
              <w:right w:val="nil"/>
            </w:tcBorders>
            <w:shd w:val="clear" w:color="auto" w:fill="auto"/>
          </w:tcPr>
          <w:p w14:paraId="5FBA6FB3" w14:textId="77777777" w:rsidR="00E00265" w:rsidRPr="00711D7A" w:rsidRDefault="00E00265" w:rsidP="0017364C">
            <w:pPr>
              <w:rPr>
                <w:rFonts w:ascii="David" w:hAnsi="David"/>
                <w:sz w:val="26"/>
                <w:szCs w:val="26"/>
                <w:rtl/>
              </w:rPr>
            </w:pPr>
          </w:p>
        </w:tc>
        <w:tc>
          <w:tcPr>
            <w:tcW w:w="3219" w:type="dxa"/>
            <w:tcBorders>
              <w:top w:val="nil"/>
              <w:left w:val="nil"/>
              <w:bottom w:val="nil"/>
              <w:right w:val="nil"/>
            </w:tcBorders>
            <w:shd w:val="clear" w:color="auto" w:fill="auto"/>
          </w:tcPr>
          <w:p w14:paraId="0E5C1F31" w14:textId="77777777" w:rsidR="00E00265" w:rsidRPr="00711D7A" w:rsidRDefault="00E00265" w:rsidP="0017364C">
            <w:pPr>
              <w:rPr>
                <w:rFonts w:ascii="Arial" w:hAnsi="Arial"/>
                <w:b/>
                <w:bCs/>
                <w:sz w:val="26"/>
                <w:szCs w:val="26"/>
                <w:rtl/>
              </w:rPr>
            </w:pPr>
            <w:r w:rsidRPr="00711D7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F255A43" w14:textId="77777777" w:rsidR="00E00265" w:rsidRPr="00711D7A" w:rsidRDefault="00E00265" w:rsidP="00E00265">
            <w:pPr>
              <w:suppressLineNumbers/>
              <w:rPr>
                <w:rFonts w:ascii="Arial" w:hAnsi="Arial"/>
                <w:b/>
                <w:bCs/>
                <w:sz w:val="26"/>
                <w:szCs w:val="26"/>
                <w:rtl/>
              </w:rPr>
            </w:pPr>
            <w:r w:rsidRPr="00711D7A">
              <w:rPr>
                <w:rFonts w:ascii="Arial" w:hAnsi="Arial"/>
                <w:b/>
                <w:bCs/>
                <w:sz w:val="26"/>
                <w:szCs w:val="26"/>
                <w:rtl/>
              </w:rPr>
              <w:t>אסף אייזן</w:t>
            </w:r>
            <w:r w:rsidRPr="00711D7A">
              <w:rPr>
                <w:rFonts w:ascii="Arial" w:hAnsi="Arial" w:hint="cs"/>
                <w:b/>
                <w:bCs/>
                <w:sz w:val="26"/>
                <w:szCs w:val="26"/>
                <w:rtl/>
              </w:rPr>
              <w:t xml:space="preserve"> </w:t>
            </w:r>
          </w:p>
          <w:p w14:paraId="5704B6C6" w14:textId="77777777" w:rsidR="00E00265" w:rsidRPr="00711D7A" w:rsidRDefault="00E00265" w:rsidP="00E00265">
            <w:pPr>
              <w:suppressLineNumbers/>
            </w:pPr>
            <w:r w:rsidRPr="00711D7A">
              <w:rPr>
                <w:rFonts w:ascii="Arial" w:hAnsi="Arial"/>
                <w:rtl/>
              </w:rPr>
              <w:t>ע"י ב"כ עוה"ד</w:t>
            </w:r>
            <w:r w:rsidRPr="00711D7A">
              <w:rPr>
                <w:rFonts w:hint="cs"/>
                <w:rtl/>
              </w:rPr>
              <w:t xml:space="preserve"> אמיר נבון</w:t>
            </w:r>
          </w:p>
          <w:p w14:paraId="6AE49C46" w14:textId="77777777" w:rsidR="00E00265" w:rsidRPr="00711D7A" w:rsidRDefault="00E00265" w:rsidP="0017364C">
            <w:pPr>
              <w:rPr>
                <w:rFonts w:ascii="David" w:hAnsi="David"/>
                <w:sz w:val="26"/>
                <w:szCs w:val="26"/>
              </w:rPr>
            </w:pPr>
          </w:p>
        </w:tc>
      </w:tr>
      <w:tr w:rsidR="00E00265" w:rsidRPr="00711D7A" w14:paraId="4ED8BC38" w14:textId="77777777" w:rsidTr="00E00265">
        <w:trPr>
          <w:trHeight w:val="355"/>
          <w:jc w:val="center"/>
        </w:trPr>
        <w:tc>
          <w:tcPr>
            <w:tcW w:w="923" w:type="dxa"/>
            <w:tcBorders>
              <w:top w:val="nil"/>
              <w:left w:val="nil"/>
              <w:bottom w:val="nil"/>
              <w:right w:val="nil"/>
            </w:tcBorders>
            <w:shd w:val="clear" w:color="auto" w:fill="auto"/>
          </w:tcPr>
          <w:p w14:paraId="05BB36A3" w14:textId="77777777" w:rsidR="00E00265" w:rsidRPr="00711D7A" w:rsidRDefault="00E00265" w:rsidP="00E00265">
            <w:pPr>
              <w:jc w:val="both"/>
              <w:rPr>
                <w:rFonts w:ascii="David" w:hAnsi="David"/>
                <w:sz w:val="26"/>
                <w:szCs w:val="26"/>
                <w:rtl/>
              </w:rPr>
            </w:pPr>
          </w:p>
        </w:tc>
        <w:tc>
          <w:tcPr>
            <w:tcW w:w="3219" w:type="dxa"/>
            <w:tcBorders>
              <w:top w:val="nil"/>
              <w:left w:val="nil"/>
              <w:bottom w:val="nil"/>
              <w:right w:val="nil"/>
            </w:tcBorders>
            <w:shd w:val="clear" w:color="auto" w:fill="auto"/>
          </w:tcPr>
          <w:p w14:paraId="7A2BC1E9" w14:textId="77777777" w:rsidR="00E00265" w:rsidRPr="00711D7A" w:rsidRDefault="00E00265" w:rsidP="00E00265">
            <w:pPr>
              <w:jc w:val="both"/>
              <w:rPr>
                <w:rFonts w:ascii="David" w:hAnsi="David"/>
                <w:sz w:val="26"/>
                <w:szCs w:val="26"/>
                <w:rtl/>
              </w:rPr>
            </w:pPr>
          </w:p>
        </w:tc>
        <w:tc>
          <w:tcPr>
            <w:tcW w:w="4678" w:type="dxa"/>
            <w:tcBorders>
              <w:top w:val="nil"/>
              <w:left w:val="nil"/>
              <w:bottom w:val="nil"/>
              <w:right w:val="nil"/>
            </w:tcBorders>
            <w:shd w:val="clear" w:color="auto" w:fill="auto"/>
          </w:tcPr>
          <w:p w14:paraId="7BBAF869" w14:textId="77777777" w:rsidR="00E00265" w:rsidRPr="00711D7A" w:rsidRDefault="00E00265" w:rsidP="00E00265">
            <w:pPr>
              <w:jc w:val="right"/>
              <w:rPr>
                <w:rFonts w:ascii="David" w:hAnsi="David"/>
                <w:sz w:val="26"/>
                <w:szCs w:val="26"/>
              </w:rPr>
            </w:pPr>
          </w:p>
        </w:tc>
      </w:tr>
    </w:tbl>
    <w:p w14:paraId="6BB995B8" w14:textId="77777777" w:rsidR="00711D7A" w:rsidRPr="00711D7A" w:rsidRDefault="00711D7A" w:rsidP="00711D7A">
      <w:pPr>
        <w:spacing w:before="120" w:after="120" w:line="240" w:lineRule="exact"/>
        <w:ind w:left="283" w:hanging="283"/>
        <w:jc w:val="both"/>
        <w:rPr>
          <w:rFonts w:ascii="FrankRuehl" w:hAnsi="FrankRuehl" w:cs="FrankRuehl"/>
          <w:rtl/>
        </w:rPr>
      </w:pPr>
    </w:p>
    <w:p w14:paraId="49B1AAD4" w14:textId="77777777" w:rsidR="00711D7A" w:rsidRPr="00711D7A" w:rsidRDefault="00711D7A" w:rsidP="00711D7A">
      <w:pPr>
        <w:rPr>
          <w:sz w:val="26"/>
          <w:szCs w:val="26"/>
          <w:rtl/>
        </w:rPr>
      </w:pPr>
    </w:p>
    <w:p w14:paraId="3FF371F0" w14:textId="77777777" w:rsidR="00333CAA" w:rsidRPr="00333CAA" w:rsidRDefault="00333CAA" w:rsidP="00333CAA">
      <w:pPr>
        <w:spacing w:before="120" w:after="120" w:line="240" w:lineRule="exact"/>
        <w:ind w:left="283" w:hanging="283"/>
        <w:jc w:val="both"/>
        <w:rPr>
          <w:rFonts w:ascii="FrankRuehl" w:hAnsi="FrankRuehl" w:cs="FrankRuehl"/>
          <w:rtl/>
        </w:rPr>
      </w:pPr>
    </w:p>
    <w:p w14:paraId="7966E5BE" w14:textId="77777777" w:rsidR="00692CD2" w:rsidRPr="00692CD2" w:rsidRDefault="00692CD2" w:rsidP="00692CD2">
      <w:pPr>
        <w:spacing w:before="120" w:after="120" w:line="240" w:lineRule="exact"/>
        <w:ind w:left="283" w:hanging="283"/>
        <w:jc w:val="both"/>
        <w:rPr>
          <w:rFonts w:ascii="FrankRuehl" w:hAnsi="FrankRuehl" w:cs="FrankRuehl"/>
          <w:rtl/>
        </w:rPr>
      </w:pPr>
    </w:p>
    <w:p w14:paraId="7B8896E4" w14:textId="77777777" w:rsidR="005622E0" w:rsidRDefault="005622E0" w:rsidP="005622E0">
      <w:pPr>
        <w:rPr>
          <w:sz w:val="26"/>
          <w:szCs w:val="26"/>
          <w:rtl/>
        </w:rPr>
      </w:pPr>
      <w:bookmarkStart w:id="3" w:name="LawTable"/>
      <w:bookmarkEnd w:id="3"/>
    </w:p>
    <w:p w14:paraId="4211A62F" w14:textId="77777777" w:rsidR="005622E0" w:rsidRPr="005622E0" w:rsidRDefault="005622E0" w:rsidP="005622E0">
      <w:pPr>
        <w:spacing w:before="120" w:after="120" w:line="240" w:lineRule="exact"/>
        <w:ind w:left="283" w:hanging="283"/>
        <w:jc w:val="both"/>
        <w:rPr>
          <w:rFonts w:ascii="FrankRuehl" w:hAnsi="FrankRuehl" w:cs="FrankRuehl"/>
          <w:rtl/>
        </w:rPr>
      </w:pPr>
    </w:p>
    <w:p w14:paraId="3A212E91" w14:textId="77777777" w:rsidR="005622E0" w:rsidRPr="005622E0" w:rsidRDefault="005622E0" w:rsidP="005622E0">
      <w:pPr>
        <w:spacing w:before="120" w:after="120" w:line="240" w:lineRule="exact"/>
        <w:ind w:left="283" w:hanging="283"/>
        <w:jc w:val="both"/>
        <w:rPr>
          <w:rFonts w:ascii="FrankRuehl" w:hAnsi="FrankRuehl" w:cs="FrankRuehl"/>
          <w:rtl/>
        </w:rPr>
      </w:pPr>
    </w:p>
    <w:p w14:paraId="2604542F" w14:textId="77777777" w:rsidR="005622E0" w:rsidRPr="005622E0" w:rsidRDefault="005622E0" w:rsidP="005622E0">
      <w:pPr>
        <w:spacing w:before="120" w:after="120" w:line="240" w:lineRule="exact"/>
        <w:ind w:left="283" w:hanging="283"/>
        <w:jc w:val="both"/>
        <w:rPr>
          <w:rFonts w:ascii="FrankRuehl" w:hAnsi="FrankRuehl" w:cs="FrankRuehl"/>
          <w:rtl/>
        </w:rPr>
      </w:pPr>
      <w:r w:rsidRPr="005622E0">
        <w:rPr>
          <w:rFonts w:ascii="FrankRuehl" w:hAnsi="FrankRuehl" w:cs="FrankRuehl"/>
          <w:rtl/>
        </w:rPr>
        <w:t xml:space="preserve">חקיקה שאוזכרה: </w:t>
      </w:r>
    </w:p>
    <w:p w14:paraId="0F1E4AF2" w14:textId="77777777" w:rsidR="005622E0" w:rsidRPr="005622E0" w:rsidRDefault="005622E0" w:rsidP="005622E0">
      <w:pPr>
        <w:spacing w:before="120" w:after="120" w:line="240" w:lineRule="exact"/>
        <w:ind w:left="283" w:hanging="283"/>
        <w:jc w:val="both"/>
        <w:rPr>
          <w:rFonts w:ascii="FrankRuehl" w:hAnsi="FrankRuehl" w:cs="FrankRuehl"/>
          <w:rtl/>
        </w:rPr>
      </w:pPr>
      <w:hyperlink r:id="rId7" w:history="1">
        <w:r w:rsidRPr="005622E0">
          <w:rPr>
            <w:rFonts w:ascii="FrankRuehl" w:hAnsi="FrankRuehl" w:cs="FrankRuehl"/>
            <w:color w:val="0000FF"/>
            <w:rtl/>
          </w:rPr>
          <w:t>פקודת הסמים המסוכנים [נוסח חדש], תשל"ג-1973</w:t>
        </w:r>
      </w:hyperlink>
      <w:r w:rsidRPr="005622E0">
        <w:rPr>
          <w:rFonts w:ascii="FrankRuehl" w:hAnsi="FrankRuehl" w:cs="FrankRuehl"/>
          <w:rtl/>
        </w:rPr>
        <w:t xml:space="preserve">: סע'  </w:t>
      </w:r>
      <w:hyperlink r:id="rId8" w:history="1">
        <w:r w:rsidRPr="005622E0">
          <w:rPr>
            <w:rFonts w:ascii="FrankRuehl" w:hAnsi="FrankRuehl" w:cs="FrankRuehl"/>
            <w:color w:val="0000FF"/>
            <w:rtl/>
          </w:rPr>
          <w:t>6</w:t>
        </w:r>
      </w:hyperlink>
      <w:r w:rsidRPr="005622E0">
        <w:rPr>
          <w:rFonts w:ascii="FrankRuehl" w:hAnsi="FrankRuehl" w:cs="FrankRuehl"/>
          <w:rtl/>
        </w:rPr>
        <w:t xml:space="preserve">, </w:t>
      </w:r>
      <w:hyperlink r:id="rId9" w:history="1">
        <w:r w:rsidRPr="005622E0">
          <w:rPr>
            <w:rFonts w:ascii="FrankRuehl" w:hAnsi="FrankRuehl" w:cs="FrankRuehl"/>
            <w:color w:val="0000FF"/>
            <w:rtl/>
          </w:rPr>
          <w:t>7.א.</w:t>
        </w:r>
      </w:hyperlink>
      <w:r w:rsidRPr="005622E0">
        <w:rPr>
          <w:rFonts w:ascii="FrankRuehl" w:hAnsi="FrankRuehl" w:cs="FrankRuehl"/>
          <w:rtl/>
        </w:rPr>
        <w:t xml:space="preserve">, </w:t>
      </w:r>
      <w:hyperlink r:id="rId10" w:history="1">
        <w:r w:rsidRPr="005622E0">
          <w:rPr>
            <w:rFonts w:ascii="FrankRuehl" w:hAnsi="FrankRuehl" w:cs="FrankRuehl"/>
            <w:color w:val="0000FF"/>
            <w:rtl/>
          </w:rPr>
          <w:t>7.ג</w:t>
        </w:r>
      </w:hyperlink>
      <w:r w:rsidRPr="005622E0">
        <w:rPr>
          <w:rFonts w:ascii="FrankRuehl" w:hAnsi="FrankRuehl" w:cs="FrankRuehl"/>
          <w:rtl/>
        </w:rPr>
        <w:t xml:space="preserve">, </w:t>
      </w:r>
      <w:hyperlink r:id="rId11" w:history="1">
        <w:r w:rsidRPr="005622E0">
          <w:rPr>
            <w:rFonts w:ascii="FrankRuehl" w:hAnsi="FrankRuehl" w:cs="FrankRuehl"/>
            <w:color w:val="0000FF"/>
            <w:rtl/>
          </w:rPr>
          <w:t>7(ג1)</w:t>
        </w:r>
      </w:hyperlink>
    </w:p>
    <w:p w14:paraId="182DDE6A" w14:textId="77777777" w:rsidR="005622E0" w:rsidRPr="005622E0" w:rsidRDefault="005622E0" w:rsidP="005622E0">
      <w:pPr>
        <w:spacing w:before="120" w:after="120" w:line="240" w:lineRule="exact"/>
        <w:ind w:left="283" w:hanging="283"/>
        <w:jc w:val="both"/>
        <w:rPr>
          <w:rFonts w:ascii="FrankRuehl" w:hAnsi="FrankRuehl" w:cs="FrankRuehl"/>
          <w:rtl/>
        </w:rPr>
      </w:pPr>
      <w:hyperlink r:id="rId12" w:history="1">
        <w:r w:rsidRPr="005622E0">
          <w:rPr>
            <w:rFonts w:ascii="FrankRuehl" w:hAnsi="FrankRuehl" w:cs="FrankRuehl"/>
            <w:color w:val="0000FF"/>
            <w:rtl/>
          </w:rPr>
          <w:t>חוק העונשין, תשל"ז-1977</w:t>
        </w:r>
      </w:hyperlink>
      <w:r w:rsidRPr="005622E0">
        <w:rPr>
          <w:rFonts w:ascii="FrankRuehl" w:hAnsi="FrankRuehl" w:cs="FrankRuehl"/>
          <w:rtl/>
        </w:rPr>
        <w:t xml:space="preserve">: סע'  </w:t>
      </w:r>
      <w:hyperlink r:id="rId13" w:history="1">
        <w:r w:rsidRPr="005622E0">
          <w:rPr>
            <w:rFonts w:ascii="FrankRuehl" w:hAnsi="FrankRuehl" w:cs="FrankRuehl"/>
            <w:color w:val="0000FF"/>
            <w:rtl/>
          </w:rPr>
          <w:t>31</w:t>
        </w:r>
      </w:hyperlink>
      <w:r w:rsidRPr="005622E0">
        <w:rPr>
          <w:rFonts w:ascii="FrankRuehl" w:hAnsi="FrankRuehl" w:cs="FrankRuehl"/>
          <w:rtl/>
        </w:rPr>
        <w:t xml:space="preserve">, </w:t>
      </w:r>
      <w:hyperlink r:id="rId14" w:history="1">
        <w:r w:rsidRPr="005622E0">
          <w:rPr>
            <w:rFonts w:ascii="FrankRuehl" w:hAnsi="FrankRuehl" w:cs="FrankRuehl"/>
            <w:color w:val="0000FF"/>
            <w:rtl/>
          </w:rPr>
          <w:t>499 (א)(1)</w:t>
        </w:r>
      </w:hyperlink>
    </w:p>
    <w:p w14:paraId="32BA3A56" w14:textId="77777777" w:rsidR="005622E0" w:rsidRPr="005622E0" w:rsidRDefault="005622E0" w:rsidP="005622E0">
      <w:pPr>
        <w:rPr>
          <w:sz w:val="26"/>
          <w:szCs w:val="26"/>
          <w:rtl/>
        </w:rPr>
      </w:pPr>
      <w:bookmarkStart w:id="4" w:name="LawTable_End"/>
      <w:bookmarkEnd w:id="4"/>
    </w:p>
    <w:p w14:paraId="2D5CC711" w14:textId="77777777" w:rsidR="00E00265" w:rsidRPr="00692CD2" w:rsidRDefault="00E00265" w:rsidP="00692CD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0265" w14:paraId="042F2951" w14:textId="77777777" w:rsidTr="00E00265">
        <w:trPr>
          <w:trHeight w:val="355"/>
          <w:jc w:val="center"/>
        </w:trPr>
        <w:tc>
          <w:tcPr>
            <w:tcW w:w="8820" w:type="dxa"/>
            <w:tcBorders>
              <w:top w:val="nil"/>
              <w:left w:val="nil"/>
              <w:bottom w:val="nil"/>
              <w:right w:val="nil"/>
            </w:tcBorders>
            <w:shd w:val="clear" w:color="auto" w:fill="auto"/>
          </w:tcPr>
          <w:p w14:paraId="5B4D9823" w14:textId="77777777" w:rsidR="00711D7A" w:rsidRPr="00711D7A" w:rsidRDefault="00711D7A" w:rsidP="00711D7A">
            <w:pPr>
              <w:jc w:val="center"/>
              <w:rPr>
                <w:rFonts w:ascii="David" w:hAnsi="David"/>
                <w:b/>
                <w:bCs/>
                <w:sz w:val="32"/>
                <w:szCs w:val="32"/>
                <w:u w:val="single"/>
                <w:rtl/>
              </w:rPr>
            </w:pPr>
            <w:bookmarkStart w:id="5" w:name="PsakDin" w:colFirst="0" w:colLast="0"/>
            <w:bookmarkEnd w:id="0"/>
            <w:r w:rsidRPr="00711D7A">
              <w:rPr>
                <w:rFonts w:ascii="David" w:hAnsi="David"/>
                <w:b/>
                <w:bCs/>
                <w:sz w:val="32"/>
                <w:szCs w:val="32"/>
                <w:u w:val="single"/>
                <w:rtl/>
              </w:rPr>
              <w:t>גזר דין</w:t>
            </w:r>
          </w:p>
          <w:p w14:paraId="4AD26310" w14:textId="77777777" w:rsidR="00E00265" w:rsidRPr="00711D7A" w:rsidRDefault="00E00265" w:rsidP="00711D7A">
            <w:pPr>
              <w:jc w:val="center"/>
              <w:rPr>
                <w:rFonts w:ascii="David" w:hAnsi="David"/>
                <w:bCs/>
                <w:sz w:val="32"/>
                <w:szCs w:val="32"/>
                <w:u w:val="single"/>
                <w:rtl/>
              </w:rPr>
            </w:pPr>
          </w:p>
        </w:tc>
      </w:tr>
      <w:bookmarkEnd w:id="5"/>
    </w:tbl>
    <w:p w14:paraId="2050CD5D" w14:textId="77777777" w:rsidR="00E00265" w:rsidRPr="000F2247" w:rsidRDefault="00E00265" w:rsidP="00E00265">
      <w:pPr>
        <w:rPr>
          <w:rFonts w:ascii="Arial" w:hAnsi="Arial"/>
          <w:b/>
          <w:bCs/>
          <w:sz w:val="26"/>
          <w:szCs w:val="26"/>
          <w:rtl/>
        </w:rPr>
      </w:pPr>
    </w:p>
    <w:p w14:paraId="56E32075" w14:textId="77777777" w:rsidR="00E00265" w:rsidRPr="00693F33" w:rsidRDefault="00E00265" w:rsidP="00E00265">
      <w:pPr>
        <w:spacing w:after="160" w:line="480" w:lineRule="auto"/>
        <w:jc w:val="both"/>
        <w:rPr>
          <w:rFonts w:ascii="David" w:eastAsia="Calibri" w:hAnsi="David"/>
          <w:b/>
          <w:bCs/>
          <w:u w:val="single"/>
        </w:rPr>
      </w:pPr>
      <w:r w:rsidRPr="00693F33">
        <w:rPr>
          <w:rFonts w:ascii="David" w:eastAsia="Calibri" w:hAnsi="David"/>
          <w:b/>
          <w:bCs/>
          <w:u w:val="single"/>
          <w:rtl/>
        </w:rPr>
        <w:t xml:space="preserve">רקע </w:t>
      </w:r>
    </w:p>
    <w:p w14:paraId="626100C5" w14:textId="77777777" w:rsidR="00E00265" w:rsidRPr="00693F33" w:rsidRDefault="00E00265" w:rsidP="00E00265">
      <w:pPr>
        <w:numPr>
          <w:ilvl w:val="0"/>
          <w:numId w:val="1"/>
        </w:numPr>
        <w:spacing w:after="160" w:line="480" w:lineRule="auto"/>
        <w:contextualSpacing/>
        <w:jc w:val="both"/>
        <w:rPr>
          <w:rFonts w:ascii="David" w:eastAsia="Calibri" w:hAnsi="David"/>
          <w:rtl/>
        </w:rPr>
      </w:pPr>
      <w:bookmarkStart w:id="6" w:name="ABSTRACT_START"/>
      <w:bookmarkEnd w:id="6"/>
      <w:r w:rsidRPr="00693F33">
        <w:rPr>
          <w:rFonts w:ascii="David" w:eastAsia="Calibri" w:hAnsi="David"/>
          <w:rtl/>
        </w:rPr>
        <w:t xml:space="preserve">הנאשם הורשע על יסוד הודאתו בעובדות כתב האישום המתוקן, בביצוע עבירות של סיוע לגידול והכנת סמים מסוכנים, בהתאם </w:t>
      </w:r>
      <w:hyperlink r:id="rId15" w:history="1">
        <w:r w:rsidR="00333CAA" w:rsidRPr="00333CAA">
          <w:rPr>
            <w:rStyle w:val="Hyperlink"/>
            <w:rFonts w:ascii="David" w:eastAsia="Calibri" w:hAnsi="David"/>
            <w:rtl/>
          </w:rPr>
          <w:t>לסעיף 6</w:t>
        </w:r>
      </w:hyperlink>
      <w:r w:rsidRPr="00693F33">
        <w:rPr>
          <w:rFonts w:ascii="David" w:eastAsia="Calibri" w:hAnsi="David"/>
          <w:rtl/>
        </w:rPr>
        <w:t xml:space="preserve"> ל</w:t>
      </w:r>
      <w:hyperlink r:id="rId16" w:history="1">
        <w:r w:rsidR="00711D7A" w:rsidRPr="00711D7A">
          <w:rPr>
            <w:rFonts w:ascii="David" w:eastAsia="Calibri" w:hAnsi="David"/>
            <w:color w:val="0000FF"/>
            <w:u w:val="single"/>
            <w:rtl/>
          </w:rPr>
          <w:t>פקודת הסמים המסוכנים</w:t>
        </w:r>
      </w:hyperlink>
      <w:r w:rsidRPr="00693F33">
        <w:rPr>
          <w:rFonts w:ascii="David" w:eastAsia="Calibri" w:hAnsi="David"/>
          <w:rtl/>
        </w:rPr>
        <w:t xml:space="preserve"> (נוסח חדש), התשל"ג – 1973 (להלן </w:t>
      </w:r>
      <w:r w:rsidRPr="00693F33">
        <w:rPr>
          <w:rFonts w:ascii="David" w:eastAsia="Calibri" w:hAnsi="David"/>
          <w:b/>
          <w:bCs/>
          <w:rtl/>
        </w:rPr>
        <w:t>הפקודה</w:t>
      </w:r>
      <w:r w:rsidRPr="00693F33">
        <w:rPr>
          <w:rFonts w:ascii="David" w:eastAsia="Calibri" w:hAnsi="David"/>
          <w:rtl/>
        </w:rPr>
        <w:t xml:space="preserve">) + </w:t>
      </w:r>
      <w:hyperlink r:id="rId17" w:history="1">
        <w:r w:rsidR="00333CAA" w:rsidRPr="00333CAA">
          <w:rPr>
            <w:rStyle w:val="Hyperlink"/>
            <w:rFonts w:ascii="David" w:eastAsia="Calibri" w:hAnsi="David"/>
            <w:rtl/>
          </w:rPr>
          <w:t>סעיף 31</w:t>
        </w:r>
      </w:hyperlink>
      <w:r w:rsidRPr="00693F33">
        <w:rPr>
          <w:rFonts w:ascii="David" w:eastAsia="Calibri" w:hAnsi="David"/>
          <w:rtl/>
        </w:rPr>
        <w:t xml:space="preserve"> ל</w:t>
      </w:r>
      <w:hyperlink r:id="rId18" w:history="1">
        <w:r w:rsidR="00711D7A" w:rsidRPr="00711D7A">
          <w:rPr>
            <w:rFonts w:ascii="David" w:eastAsia="Calibri" w:hAnsi="David"/>
            <w:color w:val="0000FF"/>
            <w:u w:val="single"/>
            <w:rtl/>
          </w:rPr>
          <w:t>חוק העונשין</w:t>
        </w:r>
      </w:hyperlink>
      <w:r w:rsidRPr="00693F33">
        <w:rPr>
          <w:rFonts w:ascii="David" w:eastAsia="Calibri" w:hAnsi="David"/>
          <w:rtl/>
        </w:rPr>
        <w:t xml:space="preserve">, התשל"ז  (להלן </w:t>
      </w:r>
      <w:r w:rsidRPr="00693F33">
        <w:rPr>
          <w:rFonts w:ascii="David" w:eastAsia="Calibri" w:hAnsi="David"/>
          <w:b/>
          <w:bCs/>
          <w:rtl/>
        </w:rPr>
        <w:t>החוק</w:t>
      </w:r>
      <w:r w:rsidRPr="00693F33">
        <w:rPr>
          <w:rFonts w:ascii="David" w:eastAsia="Calibri" w:hAnsi="David"/>
          <w:rtl/>
        </w:rPr>
        <w:t xml:space="preserve">) 1977. </w:t>
      </w:r>
      <w:r w:rsidRPr="00693F33">
        <w:rPr>
          <w:rFonts w:ascii="David" w:eastAsia="Calibri" w:hAnsi="David"/>
          <w:rtl/>
        </w:rPr>
        <w:lastRenderedPageBreak/>
        <w:t xml:space="preserve">קשירת קשר לעשות פשע בהתאם </w:t>
      </w:r>
      <w:hyperlink r:id="rId19" w:history="1">
        <w:r w:rsidR="00333CAA" w:rsidRPr="00333CAA">
          <w:rPr>
            <w:rStyle w:val="Hyperlink"/>
            <w:rFonts w:ascii="David" w:eastAsia="Calibri" w:hAnsi="David"/>
            <w:rtl/>
          </w:rPr>
          <w:t>לסעיף 499 (א)(1)</w:t>
        </w:r>
      </w:hyperlink>
      <w:r w:rsidRPr="00693F33">
        <w:rPr>
          <w:rFonts w:ascii="David" w:eastAsia="Calibri" w:hAnsi="David"/>
          <w:rtl/>
        </w:rPr>
        <w:t xml:space="preserve"> לחוק. החזקה או שימוש בקנבוס לצריכה עצמית בהתאם </w:t>
      </w:r>
      <w:hyperlink r:id="rId20" w:history="1">
        <w:r w:rsidR="00333CAA" w:rsidRPr="00333CAA">
          <w:rPr>
            <w:rStyle w:val="Hyperlink"/>
            <w:rFonts w:ascii="David" w:eastAsia="Calibri" w:hAnsi="David"/>
            <w:rtl/>
          </w:rPr>
          <w:t>לסעיף 7(א)+7(ג)</w:t>
        </w:r>
      </w:hyperlink>
      <w:r w:rsidRPr="00693F33">
        <w:rPr>
          <w:rFonts w:ascii="David" w:eastAsia="Calibri" w:hAnsi="David"/>
          <w:rtl/>
        </w:rPr>
        <w:t xml:space="preserve"> סיפא +</w:t>
      </w:r>
      <w:hyperlink r:id="rId21" w:history="1">
        <w:r w:rsidR="00333CAA" w:rsidRPr="00333CAA">
          <w:rPr>
            <w:rStyle w:val="Hyperlink"/>
            <w:rFonts w:ascii="David" w:eastAsia="Calibri" w:hAnsi="David"/>
            <w:rtl/>
          </w:rPr>
          <w:t>7(ג1)</w:t>
        </w:r>
      </w:hyperlink>
      <w:r w:rsidRPr="00693F33">
        <w:rPr>
          <w:rFonts w:ascii="David" w:eastAsia="Calibri" w:hAnsi="David"/>
          <w:rtl/>
        </w:rPr>
        <w:t xml:space="preserve"> לפקודה.   </w:t>
      </w:r>
      <w:bookmarkStart w:id="7" w:name="ABSTRACT_END"/>
      <w:bookmarkEnd w:id="7"/>
    </w:p>
    <w:p w14:paraId="3E675E5B"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בהתאם לחלק הכללי של כתב האישום המתוקן, במועדים הרלוונטיים, היה רועי אוחנה בעלים של דירה בכתובת רחוב העצמאות 46 בפתח תקווה. הדירה לא שימשה למגורים של רועי ומשפחתו. עובר לתאריך 12.7.20, קשרו הנאשם ורועי קשר לביצוע עבירה של גידול סם באופן בו בדירה, יגדל רועי שתילי סם מסוכן מסוג קנבוס והנאשם יסייע לו. </w:t>
      </w:r>
    </w:p>
    <w:p w14:paraId="1E9BAC44"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לצורך קידום הקשר רכש רועי את הציוד הבא והתקין בדירה: 30 שקי קומפוסט, 400 אדניות בגדלים שונים, 5 נורות ליבון 51 שנאים, 18 נורות לד, 141 שנאים, 3 מזגנים, 6 מפוחים, 2 משאבות מים, 3 נורות לד בקרטון, 5 נורות ליבון בקרטון, 1 מפוח לבן, 3 פילטרים ולוח שנה חודשי לתקופה 8/2020-9/2019. </w:t>
      </w:r>
    </w:p>
    <w:p w14:paraId="552C730F"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בנסיבות אלה נהג רועי לעדכן את הנאשם באמצעות הטלפון, בדבר מחזורי הגידול ואילו הנאשם היה מגיע עפ"י דרישתו של רועי לתחזק את המעבדה. </w:t>
      </w:r>
    </w:p>
    <w:p w14:paraId="2546F5CB"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בתאריך 12.7.20 בשעה 17:00, הגיע נאשם לדירה כשהוא רכוב על אופנוע וחבוש קסדה, עלה במעלית לקומה 6 והגיע לדלת הדירה. באותן הנסיבות, היו בקומת הדירה השוטרים רונן כהן ורועי רזון, משראו אותו, שאלו לשמו ולשם מעשיו, והוא בתגובה ניסה לחזור על עקבותיו. </w:t>
      </w:r>
    </w:p>
    <w:p w14:paraId="2E504371"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באותן הנסיבות החזיק הנאשם על גופו: צרור מפתחות ביניהם מפתח לדירה, סם מסוכן מסוג קנבוס במשקל נטו 1.8184 גרם, סם מסוכן מסוג קוקאין במשקל נטו 0.3547 גרם, 2970 ₪ ופנקס רשומות לבן. </w:t>
      </w:r>
    </w:p>
    <w:p w14:paraId="5837FF98"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באותן הנסיבות ובמסגרת חיפוש מכוח צו מספר 24968-07-20 של בית המשפט השלום בפ"ת נמצאה בדירה מעבדה לגידול סמים מסוכנים אשר הכילה: 86 שתילי קנבוס במשקל נטו של 0.64 ק"ג, 36 שתילי קנבוס במשקל נטו של 0.52 ק"ג, גבעולים של קנבוס במשקל נטו של 0.55 ק"ג וקרטון ובו פרחים מסוג קנבוס במשקל נטו של 1.51139 ק"ג. </w:t>
      </w:r>
    </w:p>
    <w:p w14:paraId="7755573D"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בתאריך 15.3.22 במסגרת הסדר הטיעון, הנאשם נשלח לקבלת תסקיר שירות המבחן וכן חוות דעת הממונה על עבודות השירות, בלי שהצדדים הגיעו להסכמה עונשית. </w:t>
      </w:r>
    </w:p>
    <w:p w14:paraId="2000A404" w14:textId="77777777" w:rsidR="00E00265" w:rsidRPr="00693F33" w:rsidRDefault="00E00265" w:rsidP="00E00265">
      <w:pPr>
        <w:spacing w:after="160" w:line="480" w:lineRule="auto"/>
        <w:ind w:left="360"/>
        <w:jc w:val="both"/>
        <w:rPr>
          <w:rFonts w:ascii="David" w:eastAsia="Calibri" w:hAnsi="David"/>
          <w:b/>
          <w:bCs/>
          <w:u w:val="single"/>
        </w:rPr>
      </w:pPr>
      <w:r w:rsidRPr="00693F33">
        <w:rPr>
          <w:rFonts w:ascii="David" w:eastAsia="Calibri" w:hAnsi="David"/>
          <w:b/>
          <w:bCs/>
          <w:u w:val="single"/>
          <w:rtl/>
        </w:rPr>
        <w:t xml:space="preserve">תסקיר שירות המבחן </w:t>
      </w:r>
    </w:p>
    <w:p w14:paraId="53A0F3CF"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lastRenderedPageBreak/>
        <w:t>מתסקיר שהוגש בתאריך 12.12.22 עולה כי הנאשם בן 44, נשוי ואב לשלושה ילדים. נעדר הרשעות קודמות. מתואר כי הוא מקבל אחריות על ביצוע העבירות ומצר על התנהגותו. במסגרת השיח בשירות המבחן, התרשמו כי הפיק לקחים, מבין את החומרה במעשיו ופנה באופן עצמאי לאימון אישי – רגשי, ועל פי המלצת שירות המבחן הופנה לטיפול ביחידה להתמכרויות ונענה לכך. בדיקות שתן שמסר לאיתור סמים העידו על הימנעותו משימוש בסמים ובשקלול הפרמטרים התרשמו כי פחת הסיכון להישנות מעורבותו בעבירות דומות. לבסוף, ראו מקום להמליץ על מתן משקל משמעותי לשיקולי השיקום כך שיוטל עליו ענישה של צו של"צ בהיקף גבוה. לחילופין, הומלץ כי אם ובית המשפט יראה לנכון להטיל ענישה מחמירה, הומלץ על הטלת מאסר בדרך של עבודות שירות.</w:t>
      </w:r>
    </w:p>
    <w:p w14:paraId="60B63B8A" w14:textId="77777777" w:rsidR="00E00265" w:rsidRDefault="00E00265" w:rsidP="00E00265">
      <w:pPr>
        <w:spacing w:after="160" w:line="480" w:lineRule="auto"/>
        <w:ind w:left="360"/>
        <w:jc w:val="both"/>
        <w:rPr>
          <w:rFonts w:ascii="David" w:eastAsia="Calibri" w:hAnsi="David"/>
          <w:b/>
          <w:bCs/>
          <w:u w:val="single"/>
          <w:rtl/>
        </w:rPr>
      </w:pPr>
    </w:p>
    <w:p w14:paraId="4A171A30" w14:textId="77777777" w:rsidR="00E00265" w:rsidRPr="00693F33" w:rsidRDefault="00E00265" w:rsidP="00E00265">
      <w:pPr>
        <w:spacing w:after="160" w:line="480" w:lineRule="auto"/>
        <w:ind w:left="360"/>
        <w:jc w:val="both"/>
        <w:rPr>
          <w:rFonts w:ascii="David" w:eastAsia="Calibri" w:hAnsi="David"/>
          <w:b/>
          <w:bCs/>
          <w:u w:val="single"/>
        </w:rPr>
      </w:pPr>
      <w:r w:rsidRPr="00693F33">
        <w:rPr>
          <w:rFonts w:ascii="David" w:eastAsia="Calibri" w:hAnsi="David"/>
          <w:b/>
          <w:bCs/>
          <w:u w:val="single"/>
          <w:rtl/>
        </w:rPr>
        <w:t xml:space="preserve">חוות דעת הממונה על עבודות השירות  </w:t>
      </w:r>
    </w:p>
    <w:p w14:paraId="73548358"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בחוות הדעת שהוגשה מתאריך 6.12.22, עולה כי הנאשם התייצב לראיון התאמה והשמה, ולאור בחינת מכלול נתוניו ובהתאם למידע שמסר הוא נמצא מתאים לריצוי עונש בדרך של מאסר בעבודות שירות. </w:t>
      </w:r>
    </w:p>
    <w:p w14:paraId="0C3FB3FE" w14:textId="77777777" w:rsidR="00E00265" w:rsidRPr="00693F33" w:rsidRDefault="00E00265" w:rsidP="00E00265">
      <w:pPr>
        <w:spacing w:after="160" w:line="480" w:lineRule="auto"/>
        <w:ind w:left="360"/>
        <w:jc w:val="both"/>
        <w:rPr>
          <w:rFonts w:ascii="David" w:eastAsia="Calibri" w:hAnsi="David"/>
          <w:b/>
          <w:bCs/>
          <w:u w:val="single"/>
        </w:rPr>
      </w:pPr>
      <w:r w:rsidRPr="00693F33">
        <w:rPr>
          <w:rFonts w:ascii="David" w:eastAsia="Calibri" w:hAnsi="David"/>
          <w:b/>
          <w:bCs/>
          <w:u w:val="single"/>
          <w:rtl/>
        </w:rPr>
        <w:t>הראיות לעונש וטיעוני הצדדים</w:t>
      </w:r>
    </w:p>
    <w:p w14:paraId="02E8D5D8"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ב"כ המאשימה, עו"ד קרין שטרית, טענה כי הנאשם פגע בערך המוגן של מיגור נגע הסמים ובבריאותו ושלומו של הציבור, ועתרה לקביעת מתחם ענישה הנע בין מספר חודשי מאסר בדרך של עבודות שירות ועד ל- 12 חודשי מאסר בפועל. באשר לנסיבות שאינן קשורות לביצוע העבירה, טענה כי הנאשם יליד 1978, נעדר הרשעות קודמות והפנתה לאמור בתסקיר. בנסיבות שתיארה ביקשה להשית על הנאשם מחצית מהעונש שנגזר על שותפו לעבירה, קרי – 3 חודשי מאסר בדרך של עבודות שירות, לצד מאסר מותנה, קנס ופסילה על תנאי. </w:t>
      </w:r>
    </w:p>
    <w:p w14:paraId="39606648"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ב"כ הנאשם, עו"ד אמיר נבון, טען כי אין לגזור את עונשו של הנאשם בהתאם לכלל  - מחצית מעונשו של המבצע העיקרי. לשיטתו, מלאכת הסיוע הסתכמה בביצוע עבודות בדירה בתמורה לקנביס. מדובר במעבדה שהתוצר בה היה דל וכך גם המשקל והכמות שנתפסו. בנסיבות אלו, סבור כי המתחם יכול להתחיל במאסר מותנה עד לשנה ועתר לענישה בתחתית המתחם. באשר לנסיבות שאינן קשורות לביצוע העבירה, הדגיש כי בעקבות משבר הקורונה הנאשם פוטר מעבודתו, דבר שהוביל לנזק בלתי הפיך. הפנה לאמור בתסקיר וביקש לאמץ את המלצותיו, והוסיף כי ככל ובית המשפט לא ייעתר לבקשה זו יש להסתפק בחודש מאסר בדרך של עבודות שירות כדי למנוע פגיעה במקור פרנסתו. </w:t>
      </w:r>
    </w:p>
    <w:p w14:paraId="4240B572"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מטעם ההגנה העידה הגב' לי אייזן, אשתו של הנאשם. היא תיארה כי התיק נשוא הדיון שינה את אורחות חייו של הנאשם לחיוב ושללה שימוש בסמים מצדו. ביקשה להתחשב במצבם הכלכלי בעת גזר הדין ולהימנע מפגיעה במקור פרנסתו. </w:t>
      </w:r>
    </w:p>
    <w:p w14:paraId="477DA65D"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הנאשם ניצל את זכות המילה האחרונה טרם מתן גזר הדין, באומרו: "</w:t>
      </w:r>
      <w:r w:rsidRPr="00693F33">
        <w:rPr>
          <w:rFonts w:ascii="David" w:eastAsia="Calibri" w:hAnsi="David"/>
          <w:i/>
          <w:iCs/>
          <w:rtl/>
        </w:rPr>
        <w:t>כמו שאשתי אמרה זה באמת מה שהוציא אותי מהמעגל אני רואה את הדברים אחרת למעשה כן להמשיך כרגיל ולפרנס את הבית. עזבתי את כל הדברים האלה, לא מתקרב</w:t>
      </w:r>
      <w:r w:rsidRPr="00693F33">
        <w:rPr>
          <w:rFonts w:ascii="David" w:eastAsia="Calibri" w:hAnsi="David"/>
          <w:rtl/>
        </w:rPr>
        <w:t xml:space="preserve">". </w:t>
      </w:r>
    </w:p>
    <w:p w14:paraId="3A64105B" w14:textId="77777777" w:rsidR="00E00265" w:rsidRPr="00693F33" w:rsidRDefault="00E00265" w:rsidP="00E00265">
      <w:pPr>
        <w:spacing w:after="160" w:line="480" w:lineRule="auto"/>
        <w:jc w:val="both"/>
        <w:rPr>
          <w:rFonts w:ascii="David" w:eastAsia="Calibri" w:hAnsi="David"/>
          <w:u w:val="single"/>
        </w:rPr>
      </w:pPr>
      <w:r w:rsidRPr="00693F33">
        <w:rPr>
          <w:rFonts w:ascii="David" w:eastAsia="Calibri" w:hAnsi="David"/>
          <w:b/>
          <w:bCs/>
          <w:u w:val="single"/>
          <w:rtl/>
        </w:rPr>
        <w:t>דיון והכרעה</w:t>
      </w:r>
      <w:r w:rsidRPr="00693F33">
        <w:rPr>
          <w:rFonts w:ascii="David" w:eastAsia="Calibri" w:hAnsi="David"/>
          <w:u w:val="single"/>
          <w:rtl/>
        </w:rPr>
        <w:t xml:space="preserve"> </w:t>
      </w:r>
    </w:p>
    <w:p w14:paraId="2BD45358" w14:textId="77777777" w:rsidR="00E00265" w:rsidRPr="00693F33" w:rsidRDefault="00E00265" w:rsidP="00E00265">
      <w:pPr>
        <w:spacing w:after="160" w:line="480" w:lineRule="auto"/>
        <w:jc w:val="both"/>
        <w:rPr>
          <w:rFonts w:ascii="David" w:eastAsia="Calibri" w:hAnsi="David"/>
          <w:u w:val="single"/>
          <w:rtl/>
        </w:rPr>
      </w:pPr>
      <w:r w:rsidRPr="00693F33">
        <w:rPr>
          <w:rFonts w:ascii="David" w:eastAsia="Calibri" w:hAnsi="David"/>
          <w:rtl/>
        </w:rPr>
        <w:t xml:space="preserve"> </w:t>
      </w:r>
      <w:r w:rsidRPr="00693F33">
        <w:rPr>
          <w:rFonts w:ascii="David" w:eastAsia="Calibri" w:hAnsi="David"/>
          <w:u w:val="single"/>
          <w:rtl/>
        </w:rPr>
        <w:t>מתחם העונש</w:t>
      </w:r>
    </w:p>
    <w:p w14:paraId="0B8E1A1C" w14:textId="77777777" w:rsidR="00E00265" w:rsidRPr="00693F33" w:rsidRDefault="00E00265" w:rsidP="00E00265">
      <w:pPr>
        <w:numPr>
          <w:ilvl w:val="0"/>
          <w:numId w:val="1"/>
        </w:numPr>
        <w:spacing w:after="160" w:line="480" w:lineRule="auto"/>
        <w:contextualSpacing/>
        <w:jc w:val="both"/>
        <w:rPr>
          <w:rFonts w:ascii="David" w:eastAsia="Calibri" w:hAnsi="David"/>
          <w:u w:val="single"/>
          <w:rtl/>
        </w:rPr>
      </w:pPr>
      <w:r w:rsidRPr="00693F33">
        <w:rPr>
          <w:rFonts w:ascii="David" w:eastAsia="Calibri" w:hAnsi="David"/>
          <w:rtl/>
        </w:rPr>
        <w:t xml:space="preserve">הערך המוגן שנפגע כתוצאה מהעבירות אותן ביצע הנאשם, הינו הגנה על הציבור מהנזק הבריאותי והחברתי אשר נגרם כתוצאה משימוש בסמים והפצתם. </w:t>
      </w:r>
    </w:p>
    <w:p w14:paraId="658C4E0E"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בכלל הנסיבות הקשורות לביצוע העבירה, שקלתי את כמויות הסמים שנתפסו בדירה וברשותו של הנאשם, כך גם את הציוד הרב וכן את העובדה כי מדובר בעבירה המצריכה תכנון ותיאום רב, כך גם השקעת זמן ומאמץ. מנגד, שקלתי את חלקו של הנאשם, שלא היה הגורם העיקרי לביצוע העבירות, אלא סייע לאחר לבצען. </w:t>
      </w:r>
    </w:p>
    <w:p w14:paraId="529B5D88"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בקביעת מתחם הענישה יש להתחשב אף בעונש שנגזר  בעניינו של המבצע העיקרי באירוע זה, 6 חודשי מאסר בעבודות שירות.</w:t>
      </w:r>
    </w:p>
    <w:p w14:paraId="2D5FFA35" w14:textId="77777777" w:rsidR="00E00265" w:rsidRPr="00693F33" w:rsidRDefault="00E00265" w:rsidP="00E00265">
      <w:pPr>
        <w:numPr>
          <w:ilvl w:val="0"/>
          <w:numId w:val="1"/>
        </w:numPr>
        <w:spacing w:after="160" w:line="480" w:lineRule="auto"/>
        <w:contextualSpacing/>
        <w:jc w:val="both"/>
        <w:rPr>
          <w:rFonts w:ascii="David" w:eastAsia="Calibri" w:hAnsi="David"/>
          <w:b/>
          <w:bCs/>
        </w:rPr>
      </w:pPr>
      <w:r w:rsidRPr="00693F33">
        <w:rPr>
          <w:rFonts w:ascii="David" w:eastAsia="Calibri" w:hAnsi="David"/>
          <w:b/>
          <w:bCs/>
          <w:rtl/>
        </w:rPr>
        <w:t>לנוכח האמור לעיל ומדיניות הענישה הנהוגה באשר לעבירה של גידול סמים בכמות המתוארת בכתב האישום, הגעתי למסקנה כי מתחם הענישה נע בין מאסר קצר בעבודות שירות ועד לשנת מאסר בפועל, לצד ענישה נלווית.</w:t>
      </w:r>
    </w:p>
    <w:p w14:paraId="560E87E3" w14:textId="77777777" w:rsidR="00E00265" w:rsidRPr="00693F33" w:rsidRDefault="00E00265" w:rsidP="00E00265">
      <w:pPr>
        <w:spacing w:after="160" w:line="480" w:lineRule="auto"/>
        <w:jc w:val="both"/>
        <w:rPr>
          <w:rFonts w:ascii="David" w:eastAsia="Calibri" w:hAnsi="David"/>
          <w:u w:val="single"/>
        </w:rPr>
      </w:pPr>
      <w:r w:rsidRPr="00693F33">
        <w:rPr>
          <w:rFonts w:ascii="David" w:eastAsia="Calibri" w:hAnsi="David"/>
          <w:u w:val="single"/>
          <w:rtl/>
        </w:rPr>
        <w:t>גזירת העונש</w:t>
      </w:r>
    </w:p>
    <w:p w14:paraId="067FF7FE" w14:textId="77777777" w:rsidR="00E00265" w:rsidRPr="00693F33" w:rsidRDefault="00E00265" w:rsidP="00E00265">
      <w:pPr>
        <w:numPr>
          <w:ilvl w:val="0"/>
          <w:numId w:val="1"/>
        </w:numPr>
        <w:spacing w:after="160" w:line="480" w:lineRule="auto"/>
        <w:contextualSpacing/>
        <w:jc w:val="both"/>
        <w:rPr>
          <w:rFonts w:ascii="David" w:eastAsia="Calibri" w:hAnsi="David"/>
          <w:u w:val="single"/>
          <w:rtl/>
        </w:rPr>
      </w:pPr>
      <w:r w:rsidRPr="00693F33">
        <w:rPr>
          <w:rFonts w:ascii="David" w:eastAsia="Calibri" w:hAnsi="David"/>
          <w:rtl/>
        </w:rPr>
        <w:t>בכלל הנסיבות שאינן קשורות לביצוע העבירה, התחשבתי בכך שמדובר באדם בן 44, נשוי ואב לשלושה ילדים צעירים, נעדר כל עבר פלילי. אשר נטל אחריות למעשיו והצר על התנהלותו, חסך זמן שיפוטי ובצורך בעדותם של עדים רבים.</w:t>
      </w:r>
    </w:p>
    <w:p w14:paraId="76598DA8"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שירות המבחן מתאר בתסקיר שהוגש בעניינו של הנאשם, כי הוא נעדר דפוסים שוליים מושרשים וכי התנהגותו בעבירות חריגה לאורחות חייו. התרשמות שירות המבחן היא כי הנאשם הפיק לקחים מההליך ומבין את החומרה בהתנהלותו. תוארו נסיבות חייו של הנאשם, לרבות התפתחותו בתא משפחתי מורכב, אשר פיתח תלות בסם מסוג קאנביס כהתמודדות עם נסיבות חייו, כאשר ברקע לביצוע העבירות מצוי משבר הקורונה שגדע את מקור פרנסתו למשך זמן רב. </w:t>
      </w:r>
    </w:p>
    <w:p w14:paraId="649C63AF"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הנאשם דיווח על הפסקת שימוש בסם באופן עצמאי ובדיקות שנעשו לו אישרו טענה זו. הנאשם אף פנה באופן עצמאי לטיפול וקיבל את המלצת שירות המבחן לפניה לטיפול נוסף במישור ההתמכרותי. שירות המבחן סבור כי השלכות מעורבותו בתיק הנוכחי היוו גורם מטלטל ומרתיע מפני ביצוע עבירות נוספות וכי פחת הסיכון להישנות ביצוע עבירות על ידי הנאשם. עוד מציין שירות המבחן כי המחירים האישיים והמשפחתיים לצד הסנקציות שהוטלו על הנאשם עד כה, הינם גורמים מציבי גבול ברור ומרתיע עבורו.</w:t>
      </w:r>
    </w:p>
    <w:p w14:paraId="5EA921F0"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הנאשם ואשתו אמרו את דברם בבית המשפט, והתרשמותי, בדומה להתרשמות שירות המבחן, היא כי ההליך המשפטי היווה עבור הנאשם ועבור משפחתו גורם מטלטל שיש בו על מנת להרתיעו מלחזור על מעשיו וכן הביא לשינוי משמעותי בהתנהלותו.</w:t>
      </w:r>
    </w:p>
    <w:p w14:paraId="1987ED93"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כלל הנסיבות המפורטות לעיל, יש בהם על מנת להביא למיקומו של הנאשם בתחתית מתחם הענישה, דהיינו: מאסר קצר בעבודות שירות.</w:t>
      </w:r>
    </w:p>
    <w:p w14:paraId="0EB1DDC6"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 xml:space="preserve">למרות האמור לעיל, אני סבור כי בנסיבות שבפניי, ענישה מעין זו עלולה להביא לפגיעה קשה בנאשם ובמשפחתו. כאמור, הרקע לביצוע העבירות היה הפסקת עבודתו של הנאשם בשל משבר הקורונה. הנאשם הצליח לחזור ולבסס עצמו במקום עבודה, נתון משמעותי אף בשיקומו. ענישה בדרך של מאסר בעבודות שירות עלולה להביא לפיטוריו ובכך לגרום נזק לו, למשפחתו ולהליך השיקומי. מה עוד שהעונש שהוצע על </w:t>
      </w:r>
      <w:r>
        <w:rPr>
          <w:rFonts w:ascii="David" w:eastAsia="Calibri" w:hAnsi="David" w:hint="cs"/>
          <w:rtl/>
        </w:rPr>
        <w:t>י</w:t>
      </w:r>
      <w:r w:rsidRPr="00693F33">
        <w:rPr>
          <w:rFonts w:ascii="David" w:eastAsia="Calibri" w:hAnsi="David"/>
          <w:rtl/>
        </w:rPr>
        <w:t>די שירות המבחן, יש בו משום ענישה קונקרטית שאינה רחוקה במשמעותה מענישה בדמות מאסר קצר בעבודות שירות.</w:t>
      </w:r>
    </w:p>
    <w:p w14:paraId="58959F57"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rtl/>
        </w:rPr>
        <w:t>נסיבות אלו מצדיקות סטייה קלה ממתחם הענישה, תוך הטלת עונש הכולל צו של"צ בהיקף משמעותי.</w:t>
      </w:r>
    </w:p>
    <w:p w14:paraId="7F0E9F19" w14:textId="77777777" w:rsidR="00E00265" w:rsidRPr="00693F33" w:rsidRDefault="00E00265" w:rsidP="00E00265">
      <w:pPr>
        <w:numPr>
          <w:ilvl w:val="0"/>
          <w:numId w:val="1"/>
        </w:numPr>
        <w:spacing w:after="160" w:line="480" w:lineRule="auto"/>
        <w:contextualSpacing/>
        <w:jc w:val="both"/>
        <w:rPr>
          <w:rFonts w:ascii="David" w:eastAsia="Calibri" w:hAnsi="David"/>
        </w:rPr>
      </w:pPr>
      <w:r w:rsidRPr="00693F33">
        <w:rPr>
          <w:rFonts w:ascii="David" w:eastAsia="Calibri" w:hAnsi="David"/>
          <w:b/>
          <w:bCs/>
          <w:rtl/>
        </w:rPr>
        <w:t>אשר על כן, אני גוזר על הנאשם את העונשים הבאים:</w:t>
      </w:r>
    </w:p>
    <w:p w14:paraId="6EFA81C2" w14:textId="77777777" w:rsidR="00E00265" w:rsidRPr="00693F33" w:rsidRDefault="00E00265" w:rsidP="00E00265">
      <w:pPr>
        <w:numPr>
          <w:ilvl w:val="0"/>
          <w:numId w:val="2"/>
        </w:numPr>
        <w:spacing w:after="160" w:line="480" w:lineRule="auto"/>
        <w:contextualSpacing/>
        <w:jc w:val="both"/>
        <w:rPr>
          <w:rFonts w:ascii="David" w:eastAsia="Calibri" w:hAnsi="David"/>
        </w:rPr>
      </w:pPr>
      <w:r w:rsidRPr="00693F33">
        <w:rPr>
          <w:rFonts w:ascii="David" w:eastAsia="Calibri" w:hAnsi="David"/>
          <w:b/>
          <w:bCs/>
          <w:rtl/>
        </w:rPr>
        <w:t>4 חודשי מאסר על תנאי למשל שלש שנים. התנאי יופעל במידה והנאשם יעבור אחת העבירות בהן הורשע.</w:t>
      </w:r>
    </w:p>
    <w:p w14:paraId="1B50DD19" w14:textId="77777777" w:rsidR="00E00265" w:rsidRPr="00693F33" w:rsidRDefault="00E00265" w:rsidP="00E00265">
      <w:pPr>
        <w:numPr>
          <w:ilvl w:val="0"/>
          <w:numId w:val="2"/>
        </w:numPr>
        <w:spacing w:after="160" w:line="480" w:lineRule="auto"/>
        <w:contextualSpacing/>
        <w:jc w:val="both"/>
        <w:rPr>
          <w:rFonts w:ascii="David" w:eastAsia="Calibri" w:hAnsi="David"/>
        </w:rPr>
      </w:pPr>
      <w:r w:rsidRPr="00693F33">
        <w:rPr>
          <w:rFonts w:ascii="David" w:eastAsia="Calibri" w:hAnsi="David"/>
          <w:b/>
          <w:bCs/>
          <w:rtl/>
        </w:rPr>
        <w:t>צו של"צ בהיקף של 350 שעות, בהתאם לתכנית שתגובש על ידי שירות המבחן ותוגש לאישור בית המשפט בתוך 30 יום.</w:t>
      </w:r>
    </w:p>
    <w:p w14:paraId="083ED809" w14:textId="77777777" w:rsidR="00E00265" w:rsidRPr="00693F33" w:rsidRDefault="00E00265" w:rsidP="00E00265">
      <w:pPr>
        <w:numPr>
          <w:ilvl w:val="0"/>
          <w:numId w:val="2"/>
        </w:numPr>
        <w:spacing w:after="160" w:line="480" w:lineRule="auto"/>
        <w:contextualSpacing/>
        <w:jc w:val="both"/>
        <w:rPr>
          <w:rFonts w:ascii="David" w:eastAsia="Calibri" w:hAnsi="David"/>
        </w:rPr>
      </w:pPr>
      <w:r w:rsidRPr="00693F33">
        <w:rPr>
          <w:rFonts w:ascii="David" w:eastAsia="Calibri" w:hAnsi="David"/>
          <w:b/>
          <w:bCs/>
          <w:rtl/>
        </w:rPr>
        <w:t>קנס בסך 1,500 ₪ או 10 ימי מאסר תמורתו. הקנס ישולם בתוך 30 יום.</w:t>
      </w:r>
    </w:p>
    <w:p w14:paraId="6DF27D7A" w14:textId="77777777" w:rsidR="00E00265" w:rsidRPr="00693F33" w:rsidRDefault="00E00265" w:rsidP="00E00265">
      <w:pPr>
        <w:numPr>
          <w:ilvl w:val="0"/>
          <w:numId w:val="2"/>
        </w:numPr>
        <w:spacing w:after="160" w:line="480" w:lineRule="auto"/>
        <w:contextualSpacing/>
        <w:jc w:val="both"/>
        <w:rPr>
          <w:rFonts w:ascii="David" w:eastAsia="Calibri" w:hAnsi="David"/>
        </w:rPr>
      </w:pPr>
      <w:r w:rsidRPr="00693F33">
        <w:rPr>
          <w:rFonts w:ascii="David" w:eastAsia="Calibri" w:hAnsi="David"/>
          <w:b/>
          <w:bCs/>
          <w:rtl/>
        </w:rPr>
        <w:t>פסילת רישיון על תנאי בת חודשיים למשך שנתיים. הפסילה תיכנס לתוקף באם הנאשם יורשע בביצוע אחת העבירות בהן הורשע</w:t>
      </w:r>
      <w:r w:rsidRPr="00693F33">
        <w:rPr>
          <w:rFonts w:ascii="David" w:eastAsia="Calibri" w:hAnsi="David"/>
          <w:rtl/>
        </w:rPr>
        <w:t xml:space="preserve"> </w:t>
      </w:r>
      <w:r w:rsidRPr="00693F33">
        <w:rPr>
          <w:rFonts w:ascii="David" w:eastAsia="Calibri" w:hAnsi="David"/>
          <w:b/>
          <w:bCs/>
          <w:rtl/>
        </w:rPr>
        <w:t>בהליך זה.</w:t>
      </w:r>
    </w:p>
    <w:p w14:paraId="0AC4919B" w14:textId="77777777" w:rsidR="00E00265" w:rsidRDefault="00E00265" w:rsidP="00E00265">
      <w:pPr>
        <w:spacing w:after="160" w:line="480" w:lineRule="auto"/>
        <w:jc w:val="both"/>
        <w:rPr>
          <w:rFonts w:ascii="David" w:eastAsia="Calibri" w:hAnsi="David"/>
          <w:u w:val="single"/>
          <w:rtl/>
        </w:rPr>
      </w:pPr>
    </w:p>
    <w:p w14:paraId="3212AA85" w14:textId="77777777" w:rsidR="00E00265" w:rsidRPr="00693F33" w:rsidRDefault="00E00265" w:rsidP="00E00265">
      <w:pPr>
        <w:spacing w:after="160" w:line="480" w:lineRule="auto"/>
        <w:jc w:val="both"/>
        <w:rPr>
          <w:rFonts w:ascii="David" w:eastAsia="Calibri" w:hAnsi="David"/>
          <w:u w:val="single"/>
        </w:rPr>
      </w:pPr>
      <w:r w:rsidRPr="00693F33">
        <w:rPr>
          <w:rFonts w:ascii="David" w:eastAsia="Calibri" w:hAnsi="David"/>
          <w:u w:val="single"/>
          <w:rtl/>
        </w:rPr>
        <w:t>הובהר לנאשם כי אם לא יעמוד בתנאי צו השל"צ, ניתן יהיה לדון בעניינו, ולגזור את דינו מחדש.</w:t>
      </w:r>
    </w:p>
    <w:p w14:paraId="11248789" w14:textId="77777777" w:rsidR="00E00265" w:rsidRPr="00693F33" w:rsidRDefault="00E00265" w:rsidP="00E00265">
      <w:pPr>
        <w:spacing w:after="160" w:line="480" w:lineRule="auto"/>
        <w:jc w:val="both"/>
        <w:rPr>
          <w:rFonts w:ascii="David" w:eastAsia="Calibri" w:hAnsi="David"/>
          <w:rtl/>
        </w:rPr>
      </w:pPr>
      <w:r w:rsidRPr="00693F33">
        <w:rPr>
          <w:rFonts w:ascii="David" w:eastAsia="Calibri" w:hAnsi="David"/>
          <w:rtl/>
        </w:rPr>
        <w:t>צו כללי למוצגים</w:t>
      </w:r>
    </w:p>
    <w:p w14:paraId="417056BB" w14:textId="77777777" w:rsidR="00E00265" w:rsidRPr="00693F33" w:rsidRDefault="00E00265" w:rsidP="00E00265">
      <w:pPr>
        <w:spacing w:after="160" w:line="480" w:lineRule="auto"/>
        <w:jc w:val="center"/>
        <w:rPr>
          <w:rFonts w:ascii="David" w:eastAsia="Calibri" w:hAnsi="David"/>
          <w:rtl/>
        </w:rPr>
      </w:pPr>
      <w:r w:rsidRPr="00693F33">
        <w:rPr>
          <w:rFonts w:ascii="David" w:eastAsia="Calibri" w:hAnsi="David"/>
          <w:rtl/>
        </w:rPr>
        <w:t>זכות ערעור לבית המשפט המחוזי מרכז-לוד בתוך 45 ימים.</w:t>
      </w:r>
    </w:p>
    <w:p w14:paraId="0DBC141C" w14:textId="77777777" w:rsidR="00E00265" w:rsidRPr="00711D7A" w:rsidRDefault="00711D7A" w:rsidP="00E00265">
      <w:pPr>
        <w:rPr>
          <w:rFonts w:ascii="Arial" w:hAnsi="Arial"/>
          <w:b/>
          <w:bCs/>
          <w:color w:val="FFFFFF"/>
          <w:sz w:val="2"/>
          <w:szCs w:val="2"/>
          <w:rtl/>
        </w:rPr>
      </w:pPr>
      <w:r w:rsidRPr="00711D7A">
        <w:rPr>
          <w:rFonts w:ascii="Arial" w:hAnsi="Arial"/>
          <w:b/>
          <w:bCs/>
          <w:color w:val="FFFFFF"/>
          <w:sz w:val="2"/>
          <w:szCs w:val="2"/>
          <w:rtl/>
        </w:rPr>
        <w:t>5129371</w:t>
      </w:r>
    </w:p>
    <w:p w14:paraId="035C374A" w14:textId="77777777" w:rsidR="00E00265" w:rsidRPr="00711D7A" w:rsidRDefault="00711D7A" w:rsidP="00E00265">
      <w:pPr>
        <w:rPr>
          <w:rFonts w:ascii="Arial" w:hAnsi="Arial"/>
          <w:b/>
          <w:bCs/>
          <w:color w:val="FFFFFF"/>
          <w:sz w:val="2"/>
          <w:szCs w:val="2"/>
          <w:rtl/>
        </w:rPr>
      </w:pPr>
      <w:r w:rsidRPr="00711D7A">
        <w:rPr>
          <w:rFonts w:ascii="Arial" w:hAnsi="Arial"/>
          <w:b/>
          <w:bCs/>
          <w:color w:val="FFFFFF"/>
          <w:sz w:val="2"/>
          <w:szCs w:val="2"/>
          <w:rtl/>
        </w:rPr>
        <w:t>54678313</w:t>
      </w:r>
    </w:p>
    <w:p w14:paraId="03C1BF71" w14:textId="77777777" w:rsidR="00E00265" w:rsidRPr="000F2247" w:rsidRDefault="00711D7A" w:rsidP="00E00265">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ז' שבט תשפ"ג, 29 ינואר 2023, בנוכחות הנאשם וב"כ עוה"ד רותם ישעיהו </w:t>
      </w:r>
      <w:bookmarkEnd w:id="8"/>
      <w:r w:rsidR="00E00265">
        <w:rPr>
          <w:rFonts w:ascii="Arial" w:hAnsi="Arial" w:hint="cs"/>
          <w:b/>
          <w:bCs/>
          <w:sz w:val="26"/>
          <w:szCs w:val="26"/>
          <w:rtl/>
        </w:rPr>
        <w:t xml:space="preserve">ממשרדו של עוה"ד </w:t>
      </w:r>
      <w:r w:rsidR="00E00265" w:rsidRPr="0045331E">
        <w:rPr>
          <w:rFonts w:ascii="Arial" w:hAnsi="Arial" w:hint="cs"/>
          <w:b/>
          <w:bCs/>
          <w:sz w:val="26"/>
          <w:szCs w:val="26"/>
          <w:rtl/>
        </w:rPr>
        <w:t xml:space="preserve"> אמיר נבון</w:t>
      </w:r>
      <w:r w:rsidR="00E00265">
        <w:rPr>
          <w:rFonts w:ascii="Arial" w:hAnsi="Arial" w:hint="cs"/>
          <w:b/>
          <w:bCs/>
          <w:sz w:val="26"/>
          <w:szCs w:val="26"/>
          <w:rtl/>
        </w:rPr>
        <w:t>, ב"כ המאשימה עו"ד קרין שיטרית ועו"ד לילך קוטנר</w:t>
      </w:r>
      <w:r w:rsidR="00E00265" w:rsidRPr="000F2247">
        <w:rPr>
          <w:rFonts w:ascii="Arial" w:hAnsi="Arial"/>
          <w:b/>
          <w:bCs/>
          <w:sz w:val="26"/>
          <w:szCs w:val="26"/>
          <w:rtl/>
        </w:rPr>
        <w:t>.</w:t>
      </w:r>
    </w:p>
    <w:p w14:paraId="3ADA1650" w14:textId="77777777" w:rsidR="00E00265" w:rsidRPr="000F2247" w:rsidRDefault="00E00265" w:rsidP="00E00265">
      <w:pPr>
        <w:rPr>
          <w:rFonts w:ascii="Arial" w:hAnsi="Arial"/>
          <w:b/>
          <w:bCs/>
          <w:sz w:val="26"/>
          <w:szCs w:val="26"/>
          <w:rtl/>
        </w:rPr>
      </w:pPr>
    </w:p>
    <w:p w14:paraId="5B96C0BF" w14:textId="77777777" w:rsidR="00E00265" w:rsidRPr="000F2247" w:rsidRDefault="00E00265" w:rsidP="00711D7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16D3661" w14:textId="77777777" w:rsidR="00E00265" w:rsidRPr="000F2247" w:rsidRDefault="00E00265" w:rsidP="00E00265">
      <w:pPr>
        <w:jc w:val="center"/>
        <w:rPr>
          <w:rFonts w:ascii="Arial" w:hAnsi="Arial"/>
          <w:b/>
          <w:bCs/>
          <w:sz w:val="26"/>
          <w:szCs w:val="26"/>
          <w:rtl/>
        </w:rPr>
      </w:pPr>
    </w:p>
    <w:p w14:paraId="15CBFCA9" w14:textId="77777777" w:rsidR="005D4A84" w:rsidRPr="00711D7A" w:rsidRDefault="005D4A84" w:rsidP="00711D7A">
      <w:pPr>
        <w:keepNext/>
        <w:rPr>
          <w:rFonts w:ascii="David" w:hAnsi="David"/>
          <w:color w:val="000000"/>
          <w:sz w:val="22"/>
          <w:szCs w:val="22"/>
          <w:rtl/>
        </w:rPr>
      </w:pPr>
    </w:p>
    <w:p w14:paraId="4DA89591" w14:textId="77777777" w:rsidR="00711D7A" w:rsidRPr="00711D7A" w:rsidRDefault="00711D7A" w:rsidP="00711D7A">
      <w:pPr>
        <w:keepNext/>
        <w:rPr>
          <w:rFonts w:ascii="David" w:hAnsi="David"/>
          <w:color w:val="000000"/>
          <w:sz w:val="22"/>
          <w:szCs w:val="22"/>
          <w:rtl/>
        </w:rPr>
      </w:pPr>
      <w:r w:rsidRPr="00711D7A">
        <w:rPr>
          <w:rFonts w:ascii="David" w:hAnsi="David"/>
          <w:color w:val="000000"/>
          <w:sz w:val="22"/>
          <w:szCs w:val="22"/>
          <w:rtl/>
        </w:rPr>
        <w:t>דרור קלייטמן 54678313</w:t>
      </w:r>
    </w:p>
    <w:p w14:paraId="577EC207" w14:textId="77777777" w:rsidR="00711D7A" w:rsidRDefault="00711D7A" w:rsidP="00711D7A">
      <w:r w:rsidRPr="00711D7A">
        <w:rPr>
          <w:color w:val="000000"/>
          <w:rtl/>
        </w:rPr>
        <w:t>נוסח מסמך זה כפוף לשינויי ניסוח ועריכה</w:t>
      </w:r>
    </w:p>
    <w:p w14:paraId="34E66507" w14:textId="77777777" w:rsidR="00711D7A" w:rsidRDefault="00711D7A" w:rsidP="00711D7A">
      <w:pPr>
        <w:rPr>
          <w:rtl/>
        </w:rPr>
      </w:pPr>
    </w:p>
    <w:p w14:paraId="05BE9942" w14:textId="77777777" w:rsidR="00711D7A" w:rsidRDefault="00711D7A" w:rsidP="00711D7A">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C0A3909" w14:textId="77777777" w:rsidR="00711D7A" w:rsidRPr="00711D7A" w:rsidRDefault="00711D7A" w:rsidP="00711D7A">
      <w:pPr>
        <w:jc w:val="center"/>
        <w:rPr>
          <w:color w:val="0000FF"/>
          <w:u w:val="single"/>
        </w:rPr>
      </w:pPr>
    </w:p>
    <w:sectPr w:rsidR="00711D7A" w:rsidRPr="00711D7A" w:rsidSect="00711D7A">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64821" w14:textId="77777777" w:rsidR="0059708E" w:rsidRDefault="0059708E" w:rsidP="001C041A">
      <w:r>
        <w:separator/>
      </w:r>
    </w:p>
  </w:endnote>
  <w:endnote w:type="continuationSeparator" w:id="0">
    <w:p w14:paraId="7CB337EC" w14:textId="77777777" w:rsidR="0059708E" w:rsidRDefault="0059708E" w:rsidP="001C0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2AB26" w14:textId="77777777" w:rsidR="00711D7A" w:rsidRDefault="00711D7A" w:rsidP="00711D7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6C8AE0" w14:textId="77777777" w:rsidR="0017364C" w:rsidRPr="00711D7A" w:rsidRDefault="00711D7A" w:rsidP="00711D7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DF7C9" w14:textId="77777777" w:rsidR="00711D7A" w:rsidRDefault="00711D7A" w:rsidP="00711D7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19A6">
      <w:rPr>
        <w:rFonts w:ascii="FrankRuehl" w:hAnsi="FrankRuehl" w:cs="FrankRuehl"/>
        <w:noProof/>
        <w:rtl/>
      </w:rPr>
      <w:t>1</w:t>
    </w:r>
    <w:r>
      <w:rPr>
        <w:rFonts w:ascii="FrankRuehl" w:hAnsi="FrankRuehl" w:cs="FrankRuehl"/>
        <w:rtl/>
      </w:rPr>
      <w:fldChar w:fldCharType="end"/>
    </w:r>
  </w:p>
  <w:p w14:paraId="0A37A2DA" w14:textId="77777777" w:rsidR="0017364C" w:rsidRPr="00711D7A" w:rsidRDefault="00711D7A" w:rsidP="00711D7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708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495BD" w14:textId="77777777" w:rsidR="0059708E" w:rsidRDefault="0059708E" w:rsidP="001C041A">
      <w:r>
        <w:separator/>
      </w:r>
    </w:p>
  </w:footnote>
  <w:footnote w:type="continuationSeparator" w:id="0">
    <w:p w14:paraId="5B1F6F2C" w14:textId="77777777" w:rsidR="0059708E" w:rsidRDefault="0059708E" w:rsidP="001C0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41A05" w14:textId="77777777" w:rsidR="00711D7A" w:rsidRPr="00711D7A" w:rsidRDefault="00711D7A" w:rsidP="00711D7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(פ"ת) 31596-11-20</w:t>
    </w:r>
    <w:r>
      <w:rPr>
        <w:rFonts w:ascii="David" w:hAnsi="David"/>
        <w:color w:val="000000"/>
        <w:sz w:val="22"/>
        <w:szCs w:val="22"/>
        <w:rtl/>
      </w:rPr>
      <w:tab/>
      <w:t xml:space="preserve"> מדינת ישראל נ' אסף אייזן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531D9" w14:textId="77777777" w:rsidR="00711D7A" w:rsidRPr="00711D7A" w:rsidRDefault="00711D7A" w:rsidP="00711D7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(פ"ת) 31596-11-20</w:t>
    </w:r>
    <w:r>
      <w:rPr>
        <w:rFonts w:ascii="David" w:hAnsi="David"/>
        <w:color w:val="000000"/>
        <w:sz w:val="22"/>
        <w:szCs w:val="22"/>
        <w:rtl/>
      </w:rPr>
      <w:tab/>
      <w:t xml:space="preserve"> מדינת ישראל נ' אסף אייזן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F384A"/>
    <w:multiLevelType w:val="hybridMultilevel"/>
    <w:tmpl w:val="0D46B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B35D73"/>
    <w:multiLevelType w:val="hybridMultilevel"/>
    <w:tmpl w:val="797E4118"/>
    <w:lvl w:ilvl="0" w:tplc="640CBA1C">
      <w:start w:val="1"/>
      <w:numFmt w:val="hebrew1"/>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169053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7015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0265"/>
    <w:rsid w:val="0017364C"/>
    <w:rsid w:val="001B5A3B"/>
    <w:rsid w:val="001C041A"/>
    <w:rsid w:val="00333CAA"/>
    <w:rsid w:val="0042545C"/>
    <w:rsid w:val="004C19A6"/>
    <w:rsid w:val="005622E0"/>
    <w:rsid w:val="0059708E"/>
    <w:rsid w:val="005D4A84"/>
    <w:rsid w:val="00631AC2"/>
    <w:rsid w:val="00692CD2"/>
    <w:rsid w:val="00711D7A"/>
    <w:rsid w:val="009F1F58"/>
    <w:rsid w:val="00A542B3"/>
    <w:rsid w:val="00A66BD2"/>
    <w:rsid w:val="00B01E53"/>
    <w:rsid w:val="00E002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DDB3EB"/>
  <w15:chartTrackingRefBased/>
  <w15:docId w15:val="{39B916F0-1547-47C3-AE77-34F2CAB9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026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0265"/>
    <w:pPr>
      <w:tabs>
        <w:tab w:val="center" w:pos="4153"/>
        <w:tab w:val="right" w:pos="8306"/>
      </w:tabs>
    </w:pPr>
  </w:style>
  <w:style w:type="character" w:customStyle="1" w:styleId="a4">
    <w:name w:val="כותרת עליונה תו"/>
    <w:link w:val="a3"/>
    <w:rsid w:val="00E00265"/>
    <w:rPr>
      <w:rFonts w:ascii="Times New Roman" w:eastAsia="Times New Roman" w:hAnsi="Times New Roman" w:cs="David"/>
      <w:sz w:val="24"/>
      <w:szCs w:val="24"/>
    </w:rPr>
  </w:style>
  <w:style w:type="paragraph" w:styleId="a5">
    <w:name w:val="footer"/>
    <w:basedOn w:val="a"/>
    <w:link w:val="a6"/>
    <w:rsid w:val="00E00265"/>
    <w:pPr>
      <w:tabs>
        <w:tab w:val="center" w:pos="4153"/>
        <w:tab w:val="right" w:pos="8306"/>
      </w:tabs>
    </w:pPr>
  </w:style>
  <w:style w:type="character" w:customStyle="1" w:styleId="a6">
    <w:name w:val="כותרת תחתונה תו"/>
    <w:link w:val="a5"/>
    <w:rsid w:val="00E00265"/>
    <w:rPr>
      <w:rFonts w:ascii="Times New Roman" w:eastAsia="Times New Roman" w:hAnsi="Times New Roman" w:cs="David"/>
      <w:sz w:val="24"/>
      <w:szCs w:val="24"/>
    </w:rPr>
  </w:style>
  <w:style w:type="table" w:styleId="a7">
    <w:name w:val="Table Grid"/>
    <w:basedOn w:val="a1"/>
    <w:rsid w:val="00E002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0265"/>
  </w:style>
  <w:style w:type="character" w:styleId="Hyperlink">
    <w:name w:val="Hyperlink"/>
    <w:rsid w:val="00711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70301/31" TargetMode="External"/><Relationship Id="rId18" Type="http://schemas.openxmlformats.org/officeDocument/2006/relationships/hyperlink" Target="http://www.nevo.co.il/law/7030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7.c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7.a.;7.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70301/499.a.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1514</Words>
  <Characters>7570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9066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2752612</vt:i4>
      </vt:variant>
      <vt:variant>
        <vt:i4>42</vt:i4>
      </vt:variant>
      <vt:variant>
        <vt:i4>0</vt:i4>
      </vt:variant>
      <vt:variant>
        <vt:i4>5</vt:i4>
      </vt:variant>
      <vt:variant>
        <vt:lpwstr>http://www.nevo.co.il/law/4216/7.c1</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2025-04-23T00:48:00Z</dcterms:created>
  <dcterms:modified xsi:type="dcterms:W3CDTF">2025-04-23T00:48:00Z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31596</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אסף אייזן</vt:lpwstr>
  </property>
  <property fmtid="{D5CDD505-2E9C-101B-9397-08002B2CF9AE}" pid="10" name="LAWYER">
    <vt:lpwstr>קרין שטרית;אמיר נבון</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20230129</vt:lpwstr>
  </property>
  <property fmtid="{D5CDD505-2E9C-101B-9397-08002B2CF9AE}" pid="14" name="TYPE_N_DATE">
    <vt:lpwstr>38020230129</vt:lpwstr>
  </property>
  <property fmtid="{D5CDD505-2E9C-101B-9397-08002B2CF9AE}" pid="15" name="WORDNUMPAGES">
    <vt:lpwstr>6</vt:lpwstr>
  </property>
  <property fmtid="{D5CDD505-2E9C-101B-9397-08002B2CF9AE}" pid="16" name="TYPE_ABS_DATE">
    <vt:lpwstr>380020230129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4216/006;007.a;007.c;007.c1</vt:lpwstr>
  </property>
  <property fmtid="{D5CDD505-2E9C-101B-9397-08002B2CF9AE}" pid="36" name="LAWLISTTMP2">
    <vt:lpwstr>70301/031;499.a.1</vt:lpwstr>
  </property>
</Properties>
</file>