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AE4DEA" w:rsidRPr="00B73171" w14:paraId="33F1A9DA" w14:textId="77777777" w:rsidTr="00A5052C">
        <w:trPr>
          <w:trHeight w:hRule="exact" w:val="418"/>
          <w:jc w:val="center"/>
        </w:trPr>
        <w:tc>
          <w:tcPr>
            <w:tcW w:w="8505" w:type="dxa"/>
          </w:tcPr>
          <w:p w14:paraId="721F4046" w14:textId="77777777" w:rsidR="00AE4DEA" w:rsidRPr="00B73171" w:rsidRDefault="00AE4DEA" w:rsidP="00A5052C">
            <w:pPr>
              <w:pStyle w:val="a3"/>
              <w:jc w:val="center"/>
              <w:rPr>
                <w:rFonts w:ascii="Tahoma" w:hAnsi="Tahoma" w:cs="Tahoma"/>
                <w:noProof w:val="0"/>
                <w:color w:val="000080"/>
                <w:rtl/>
              </w:rPr>
            </w:pPr>
            <w:bookmarkStart w:id="0" w:name="LastJudge"/>
            <w:r w:rsidRPr="00B73171">
              <w:rPr>
                <w:rFonts w:ascii="Tahoma" w:hAnsi="Tahoma" w:cs="Tahoma"/>
                <w:b/>
                <w:bCs/>
                <w:noProof w:val="0"/>
                <w:color w:val="000080"/>
                <w:rtl/>
              </w:rPr>
              <w:t>בית משפט השלום בקריית גת</w:t>
            </w:r>
          </w:p>
        </w:tc>
      </w:tr>
      <w:tr w:rsidR="00AE4DEA" w:rsidRPr="00B73171" w14:paraId="22263420" w14:textId="77777777" w:rsidTr="00A5052C">
        <w:trPr>
          <w:trHeight w:val="337"/>
          <w:jc w:val="center"/>
        </w:trPr>
        <w:tc>
          <w:tcPr>
            <w:tcW w:w="8505" w:type="dxa"/>
          </w:tcPr>
          <w:p w14:paraId="590DE3BD" w14:textId="77777777" w:rsidR="00AE4DEA" w:rsidRPr="00B73171" w:rsidRDefault="00AE4DEA" w:rsidP="00A5052C">
            <w:pPr>
              <w:rPr>
                <w:b/>
                <w:bCs/>
                <w:noProof w:val="0"/>
                <w:sz w:val="26"/>
                <w:szCs w:val="26"/>
                <w:rtl/>
              </w:rPr>
            </w:pPr>
            <w:r w:rsidRPr="00B73171">
              <w:rPr>
                <w:b/>
                <w:bCs/>
                <w:noProof w:val="0"/>
                <w:sz w:val="26"/>
                <w:szCs w:val="26"/>
                <w:rtl/>
              </w:rPr>
              <w:t>ת"פ 45623-11-20 מדינת ישראל נ' טקלה</w:t>
            </w:r>
          </w:p>
          <w:p w14:paraId="04E6B7CF" w14:textId="77777777" w:rsidR="00AE4DEA" w:rsidRPr="00B73171" w:rsidRDefault="00AE4DEA" w:rsidP="00A5052C">
            <w:pPr>
              <w:rPr>
                <w:b/>
                <w:bCs/>
                <w:noProof w:val="0"/>
                <w:sz w:val="26"/>
                <w:szCs w:val="26"/>
                <w:rtl/>
              </w:rPr>
            </w:pPr>
            <w:r w:rsidRPr="00B73171">
              <w:rPr>
                <w:b/>
                <w:bCs/>
                <w:noProof w:val="0"/>
                <w:sz w:val="26"/>
                <w:szCs w:val="26"/>
                <w:rtl/>
              </w:rPr>
              <w:t>ת"פ 23966-11-21 מדינת ישראל נ' טקלה</w:t>
            </w:r>
          </w:p>
        </w:tc>
      </w:tr>
    </w:tbl>
    <w:p w14:paraId="2EAA84BF" w14:textId="77777777" w:rsidR="00AE4DEA" w:rsidRPr="00B73171" w:rsidRDefault="00AE4DEA" w:rsidP="002B4F6C">
      <w:pPr>
        <w:pStyle w:val="a3"/>
        <w:rPr>
          <w:rtl/>
        </w:rPr>
      </w:pPr>
      <w:r w:rsidRPr="00B73171">
        <w:rPr>
          <w:noProof w:val="0"/>
          <w:rtl/>
        </w:rPr>
        <w:t xml:space="preserve"> </w:t>
      </w:r>
    </w:p>
    <w:tbl>
      <w:tblPr>
        <w:bidiVisual/>
        <w:tblW w:w="8696" w:type="dxa"/>
        <w:tblInd w:w="-28" w:type="dxa"/>
        <w:tblLook w:val="01E0" w:firstRow="1" w:lastRow="1" w:firstColumn="1" w:lastColumn="1" w:noHBand="0" w:noVBand="0"/>
      </w:tblPr>
      <w:tblGrid>
        <w:gridCol w:w="1896"/>
        <w:gridCol w:w="6520"/>
        <w:gridCol w:w="280"/>
      </w:tblGrid>
      <w:tr w:rsidR="00AE4DEA" w:rsidRPr="00B73171" w14:paraId="22E82512" w14:textId="77777777" w:rsidTr="00AE4DEA">
        <w:tc>
          <w:tcPr>
            <w:tcW w:w="8416" w:type="dxa"/>
            <w:gridSpan w:val="2"/>
            <w:shd w:val="clear" w:color="auto" w:fill="auto"/>
          </w:tcPr>
          <w:p w14:paraId="5EB3540C" w14:textId="77777777" w:rsidR="00AE4DEA" w:rsidRPr="00B73171" w:rsidRDefault="00AE4DEA" w:rsidP="00AE4DEA">
            <w:pPr>
              <w:widowControl w:val="0"/>
              <w:rPr>
                <w:rFonts w:ascii="David" w:hAnsi="David"/>
                <w:b/>
                <w:bCs/>
                <w:sz w:val="26"/>
                <w:szCs w:val="26"/>
              </w:rPr>
            </w:pPr>
            <w:r w:rsidRPr="00B73171">
              <w:rPr>
                <w:rFonts w:ascii="David" w:hAnsi="David"/>
                <w:b/>
                <w:bCs/>
                <w:sz w:val="26"/>
                <w:szCs w:val="26"/>
                <w:rtl/>
              </w:rPr>
              <w:t>לפני כב' השופטת זהר דולב להמן</w:t>
            </w:r>
          </w:p>
          <w:p w14:paraId="20AC4733" w14:textId="77777777" w:rsidR="00AE4DEA" w:rsidRPr="00B73171" w:rsidRDefault="00AE4DEA" w:rsidP="00AE4DEA">
            <w:pPr>
              <w:widowControl w:val="0"/>
              <w:rPr>
                <w:rFonts w:ascii="David" w:hAnsi="David"/>
                <w:b/>
                <w:bCs/>
                <w:sz w:val="28"/>
                <w:szCs w:val="28"/>
                <w:rtl/>
              </w:rPr>
            </w:pPr>
          </w:p>
          <w:p w14:paraId="0C342627" w14:textId="77777777" w:rsidR="00AE4DEA" w:rsidRPr="00B73171" w:rsidRDefault="00AE4DEA" w:rsidP="00AE4DEA">
            <w:pPr>
              <w:widowControl w:val="0"/>
              <w:rPr>
                <w:rFonts w:ascii="David" w:hAnsi="David"/>
                <w:b/>
                <w:bCs/>
                <w:sz w:val="2"/>
                <w:szCs w:val="2"/>
                <w:rtl/>
              </w:rPr>
            </w:pPr>
          </w:p>
        </w:tc>
        <w:tc>
          <w:tcPr>
            <w:tcW w:w="280" w:type="dxa"/>
            <w:shd w:val="clear" w:color="auto" w:fill="auto"/>
          </w:tcPr>
          <w:p w14:paraId="47A8699A" w14:textId="77777777" w:rsidR="00AE4DEA" w:rsidRPr="00B73171" w:rsidRDefault="00AE4DEA" w:rsidP="00AE4DEA">
            <w:pPr>
              <w:widowControl w:val="0"/>
              <w:ind w:left="26"/>
              <w:rPr>
                <w:b/>
                <w:bCs/>
                <w:sz w:val="28"/>
                <w:szCs w:val="28"/>
                <w:rtl/>
              </w:rPr>
            </w:pPr>
          </w:p>
        </w:tc>
      </w:tr>
      <w:tr w:rsidR="00AE4DEA" w:rsidRPr="00B73171" w14:paraId="6B16BA42" w14:textId="77777777" w:rsidTr="00AE4DEA">
        <w:tc>
          <w:tcPr>
            <w:tcW w:w="1896" w:type="dxa"/>
            <w:shd w:val="clear" w:color="auto" w:fill="auto"/>
          </w:tcPr>
          <w:p w14:paraId="3EE2DB23" w14:textId="77777777" w:rsidR="00AE4DEA" w:rsidRPr="00B73171" w:rsidRDefault="00AE4DEA" w:rsidP="00AE4DEA">
            <w:pPr>
              <w:widowControl w:val="0"/>
              <w:rPr>
                <w:b/>
                <w:bCs/>
                <w:sz w:val="28"/>
                <w:szCs w:val="28"/>
                <w:rtl/>
              </w:rPr>
            </w:pPr>
            <w:bookmarkStart w:id="1" w:name="FirstAppellant"/>
            <w:bookmarkStart w:id="2" w:name="FirstLawyer"/>
            <w:r w:rsidRPr="00B73171">
              <w:rPr>
                <w:b/>
                <w:bCs/>
                <w:sz w:val="28"/>
                <w:szCs w:val="28"/>
                <w:rtl/>
              </w:rPr>
              <w:t xml:space="preserve"> </w:t>
            </w:r>
            <w:r w:rsidRPr="00B73171">
              <w:rPr>
                <w:b/>
                <w:bCs/>
                <w:sz w:val="26"/>
                <w:szCs w:val="26"/>
                <w:rtl/>
              </w:rPr>
              <w:t>המאשימה</w:t>
            </w:r>
          </w:p>
        </w:tc>
        <w:tc>
          <w:tcPr>
            <w:tcW w:w="6520" w:type="dxa"/>
            <w:shd w:val="clear" w:color="auto" w:fill="auto"/>
          </w:tcPr>
          <w:p w14:paraId="1FFD9F04" w14:textId="77777777" w:rsidR="00AE4DEA" w:rsidRPr="00B73171" w:rsidRDefault="00AE4DEA" w:rsidP="00AE4DEA">
            <w:pPr>
              <w:widowControl w:val="0"/>
              <w:rPr>
                <w:rFonts w:ascii="David" w:hAnsi="David"/>
                <w:rtl/>
              </w:rPr>
            </w:pPr>
            <w:r w:rsidRPr="00B73171">
              <w:rPr>
                <w:rFonts w:ascii="David" w:hAnsi="David"/>
                <w:b/>
                <w:bCs/>
                <w:rtl/>
              </w:rPr>
              <w:t xml:space="preserve"> </w:t>
            </w:r>
            <w:r w:rsidRPr="00B73171">
              <w:rPr>
                <w:rFonts w:ascii="David" w:hAnsi="David"/>
                <w:b/>
                <w:bCs/>
                <w:sz w:val="26"/>
                <w:szCs w:val="26"/>
                <w:rtl/>
              </w:rPr>
              <w:t xml:space="preserve">מדינת ישראל </w:t>
            </w:r>
          </w:p>
          <w:p w14:paraId="5FCA1300" w14:textId="77777777" w:rsidR="00AE4DEA" w:rsidRPr="00B73171" w:rsidRDefault="00AE4DEA" w:rsidP="00AE4DEA">
            <w:pPr>
              <w:widowControl w:val="0"/>
              <w:rPr>
                <w:rFonts w:ascii="David" w:hAnsi="David"/>
                <w:rtl/>
              </w:rPr>
            </w:pPr>
            <w:r w:rsidRPr="00B73171">
              <w:rPr>
                <w:rFonts w:ascii="David" w:hAnsi="David"/>
                <w:rtl/>
              </w:rPr>
              <w:t xml:space="preserve"> ע"י ב"כ עוה"ד חני שנפ</w:t>
            </w:r>
          </w:p>
        </w:tc>
        <w:tc>
          <w:tcPr>
            <w:tcW w:w="280" w:type="dxa"/>
            <w:shd w:val="clear" w:color="auto" w:fill="auto"/>
          </w:tcPr>
          <w:p w14:paraId="6647C9D4" w14:textId="77777777" w:rsidR="00AE4DEA" w:rsidRPr="00B73171" w:rsidRDefault="00AE4DEA" w:rsidP="00AE4DEA">
            <w:pPr>
              <w:widowControl w:val="0"/>
              <w:ind w:left="26"/>
              <w:rPr>
                <w:b/>
                <w:bCs/>
                <w:sz w:val="28"/>
                <w:szCs w:val="28"/>
                <w:rtl/>
              </w:rPr>
            </w:pPr>
          </w:p>
        </w:tc>
      </w:tr>
      <w:bookmarkEnd w:id="1"/>
      <w:bookmarkEnd w:id="2"/>
      <w:tr w:rsidR="00AE4DEA" w:rsidRPr="00B73171" w14:paraId="46BF26B6" w14:textId="77777777" w:rsidTr="00AE4DEA">
        <w:tc>
          <w:tcPr>
            <w:tcW w:w="8696" w:type="dxa"/>
            <w:gridSpan w:val="3"/>
            <w:shd w:val="clear" w:color="auto" w:fill="auto"/>
          </w:tcPr>
          <w:p w14:paraId="61F4538F" w14:textId="77777777" w:rsidR="00AE4DEA" w:rsidRPr="00B73171" w:rsidRDefault="00AE4DEA" w:rsidP="00AE4DEA">
            <w:pPr>
              <w:widowControl w:val="0"/>
              <w:jc w:val="center"/>
              <w:rPr>
                <w:rFonts w:ascii="Arial" w:hAnsi="Arial"/>
                <w:b/>
                <w:bCs/>
                <w:rtl/>
              </w:rPr>
            </w:pPr>
          </w:p>
          <w:p w14:paraId="75369034" w14:textId="77777777" w:rsidR="00AE4DEA" w:rsidRPr="00B73171" w:rsidRDefault="00AE4DEA" w:rsidP="00AE4DEA">
            <w:pPr>
              <w:widowControl w:val="0"/>
              <w:jc w:val="center"/>
              <w:rPr>
                <w:rFonts w:ascii="Arial" w:hAnsi="Arial"/>
                <w:b/>
                <w:bCs/>
                <w:sz w:val="28"/>
                <w:szCs w:val="28"/>
                <w:rtl/>
              </w:rPr>
            </w:pPr>
            <w:r w:rsidRPr="00B73171">
              <w:rPr>
                <w:rFonts w:ascii="Arial" w:hAnsi="Arial"/>
                <w:b/>
                <w:bCs/>
                <w:sz w:val="28"/>
                <w:szCs w:val="28"/>
                <w:rtl/>
              </w:rPr>
              <w:t>נ ג ד</w:t>
            </w:r>
          </w:p>
          <w:p w14:paraId="49471360" w14:textId="77777777" w:rsidR="00AE4DEA" w:rsidRPr="00B73171" w:rsidRDefault="00AE4DEA" w:rsidP="00AE4DEA">
            <w:pPr>
              <w:widowControl w:val="0"/>
              <w:jc w:val="center"/>
              <w:rPr>
                <w:rFonts w:ascii="Arial" w:hAnsi="Arial"/>
                <w:b/>
                <w:bCs/>
                <w:rtl/>
              </w:rPr>
            </w:pPr>
          </w:p>
        </w:tc>
      </w:tr>
      <w:tr w:rsidR="00AE4DEA" w:rsidRPr="00B73171" w14:paraId="7ED33B4B" w14:textId="77777777" w:rsidTr="00AE4DEA">
        <w:trPr>
          <w:trHeight w:val="593"/>
        </w:trPr>
        <w:tc>
          <w:tcPr>
            <w:tcW w:w="1896" w:type="dxa"/>
            <w:shd w:val="clear" w:color="auto" w:fill="auto"/>
          </w:tcPr>
          <w:p w14:paraId="2E3CEFFB" w14:textId="77777777" w:rsidR="00AE4DEA" w:rsidRPr="00B73171" w:rsidRDefault="00AE4DEA" w:rsidP="00AE4DEA">
            <w:pPr>
              <w:widowControl w:val="0"/>
              <w:rPr>
                <w:b/>
                <w:bCs/>
                <w:sz w:val="28"/>
                <w:szCs w:val="28"/>
              </w:rPr>
            </w:pPr>
            <w:r w:rsidRPr="00B73171">
              <w:rPr>
                <w:b/>
                <w:bCs/>
                <w:sz w:val="28"/>
                <w:szCs w:val="28"/>
                <w:rtl/>
              </w:rPr>
              <w:t xml:space="preserve"> </w:t>
            </w:r>
            <w:r w:rsidRPr="00B73171">
              <w:rPr>
                <w:b/>
                <w:bCs/>
                <w:sz w:val="26"/>
                <w:szCs w:val="26"/>
                <w:rtl/>
              </w:rPr>
              <w:t>הנאשם</w:t>
            </w:r>
          </w:p>
        </w:tc>
        <w:tc>
          <w:tcPr>
            <w:tcW w:w="6520" w:type="dxa"/>
            <w:shd w:val="clear" w:color="auto" w:fill="auto"/>
          </w:tcPr>
          <w:p w14:paraId="72CF3E2E" w14:textId="77777777" w:rsidR="00AE4DEA" w:rsidRPr="00B73171" w:rsidRDefault="00AE4DEA" w:rsidP="00AE4DEA">
            <w:pPr>
              <w:widowControl w:val="0"/>
              <w:rPr>
                <w:rFonts w:ascii="David" w:hAnsi="David"/>
                <w:rtl/>
              </w:rPr>
            </w:pPr>
            <w:r w:rsidRPr="00B73171">
              <w:rPr>
                <w:rFonts w:ascii="David" w:hAnsi="David"/>
                <w:b/>
                <w:bCs/>
                <w:sz w:val="26"/>
                <w:szCs w:val="26"/>
                <w:rtl/>
              </w:rPr>
              <w:t xml:space="preserve"> עזרא טקלה</w:t>
            </w:r>
            <w:r w:rsidRPr="00B73171">
              <w:rPr>
                <w:b/>
                <w:bCs/>
                <w:sz w:val="28"/>
                <w:szCs w:val="28"/>
                <w:rtl/>
              </w:rPr>
              <w:t xml:space="preserve"> </w:t>
            </w:r>
            <w:r w:rsidRPr="00B73171">
              <w:rPr>
                <w:rFonts w:ascii="David" w:hAnsi="David"/>
                <w:rtl/>
              </w:rPr>
              <w:t>ת"ז</w:t>
            </w:r>
            <w:r w:rsidRPr="00B73171">
              <w:rPr>
                <w:b/>
                <w:bCs/>
                <w:sz w:val="28"/>
                <w:szCs w:val="28"/>
                <w:rtl/>
              </w:rPr>
              <w:t xml:space="preserve"> </w:t>
            </w:r>
            <w:r w:rsidR="00B73171">
              <w:rPr>
                <w:rFonts w:ascii="David" w:hAnsi="David"/>
              </w:rPr>
              <w:t>xxxxxxxxx</w:t>
            </w:r>
          </w:p>
          <w:p w14:paraId="13916E4A" w14:textId="77777777" w:rsidR="00AE4DEA" w:rsidRPr="00B73171" w:rsidRDefault="00AE4DEA" w:rsidP="00AE4DEA">
            <w:pPr>
              <w:widowControl w:val="0"/>
              <w:rPr>
                <w:rFonts w:ascii="David" w:hAnsi="David"/>
                <w:szCs w:val="26"/>
                <w:rtl/>
              </w:rPr>
            </w:pPr>
            <w:r w:rsidRPr="00B73171">
              <w:rPr>
                <w:rtl/>
              </w:rPr>
              <w:t xml:space="preserve">  ע"י ב"כ עוה"ד יורם סגי זקס</w:t>
            </w:r>
          </w:p>
          <w:p w14:paraId="4D40BEDC" w14:textId="77777777" w:rsidR="00AE4DEA" w:rsidRPr="00B73171" w:rsidRDefault="00AE4DEA" w:rsidP="00AE4DEA">
            <w:pPr>
              <w:widowControl w:val="0"/>
              <w:rPr>
                <w:szCs w:val="26"/>
              </w:rPr>
            </w:pPr>
          </w:p>
        </w:tc>
        <w:tc>
          <w:tcPr>
            <w:tcW w:w="280" w:type="dxa"/>
            <w:shd w:val="clear" w:color="auto" w:fill="auto"/>
          </w:tcPr>
          <w:p w14:paraId="47E6DDAE" w14:textId="77777777" w:rsidR="00AE4DEA" w:rsidRPr="00B73171" w:rsidRDefault="00AE4DEA" w:rsidP="00AE4DEA">
            <w:pPr>
              <w:widowControl w:val="0"/>
              <w:rPr>
                <w:b/>
                <w:bCs/>
                <w:sz w:val="28"/>
                <w:szCs w:val="28"/>
              </w:rPr>
            </w:pPr>
          </w:p>
        </w:tc>
      </w:tr>
    </w:tbl>
    <w:p w14:paraId="08969958" w14:textId="77777777" w:rsidR="00AE4DEA" w:rsidRPr="00B73171" w:rsidRDefault="00AE4DEA" w:rsidP="00AE4DEA">
      <w:pPr>
        <w:widowControl w:val="0"/>
        <w:rPr>
          <w:rtl/>
        </w:rPr>
      </w:pPr>
    </w:p>
    <w:p w14:paraId="14858A6E" w14:textId="77777777" w:rsidR="00B73171" w:rsidRPr="00B73171" w:rsidRDefault="00B73171" w:rsidP="00B73171">
      <w:pPr>
        <w:widowControl w:val="0"/>
        <w:spacing w:before="120" w:after="120" w:line="240" w:lineRule="exact"/>
        <w:ind w:left="283" w:hanging="283"/>
        <w:jc w:val="both"/>
        <w:rPr>
          <w:rFonts w:ascii="FrankRuehl" w:hAnsi="FrankRuehl" w:cs="FrankRuehl"/>
          <w:rtl/>
        </w:rPr>
      </w:pPr>
    </w:p>
    <w:p w14:paraId="621C600C" w14:textId="77777777" w:rsidR="00B73171" w:rsidRPr="00B73171" w:rsidRDefault="00B73171" w:rsidP="00B73171">
      <w:pPr>
        <w:widowControl w:val="0"/>
        <w:spacing w:line="360" w:lineRule="auto"/>
        <w:jc w:val="both"/>
        <w:rPr>
          <w:rFonts w:ascii="David" w:hAnsi="David"/>
          <w:sz w:val="26"/>
          <w:szCs w:val="26"/>
          <w:rtl/>
        </w:rPr>
      </w:pPr>
    </w:p>
    <w:p w14:paraId="759D8E23" w14:textId="77777777" w:rsidR="002B4F6C" w:rsidRPr="002B4F6C" w:rsidRDefault="002B4F6C" w:rsidP="002B4F6C">
      <w:pPr>
        <w:widowControl w:val="0"/>
        <w:spacing w:before="120" w:after="120" w:line="240" w:lineRule="exact"/>
        <w:ind w:left="283" w:hanging="283"/>
        <w:jc w:val="both"/>
        <w:rPr>
          <w:rFonts w:ascii="FrankRuehl" w:hAnsi="FrankRuehl" w:cs="FrankRuehl"/>
          <w:rtl/>
        </w:rPr>
      </w:pPr>
    </w:p>
    <w:p w14:paraId="3862D67E" w14:textId="77777777" w:rsidR="007D6498" w:rsidRPr="007D6498" w:rsidRDefault="007D6498" w:rsidP="007D6498">
      <w:pPr>
        <w:widowControl w:val="0"/>
        <w:spacing w:before="120" w:after="120" w:line="240" w:lineRule="exact"/>
        <w:ind w:left="283" w:hanging="283"/>
        <w:jc w:val="both"/>
        <w:rPr>
          <w:rFonts w:ascii="FrankRuehl" w:hAnsi="FrankRuehl" w:cs="FrankRuehl"/>
          <w:rtl/>
        </w:rPr>
      </w:pPr>
    </w:p>
    <w:p w14:paraId="42CB6A54" w14:textId="77777777" w:rsidR="000F25A0" w:rsidRDefault="000F25A0" w:rsidP="000F25A0">
      <w:pPr>
        <w:widowControl w:val="0"/>
        <w:spacing w:line="360" w:lineRule="auto"/>
        <w:jc w:val="both"/>
        <w:rPr>
          <w:rFonts w:ascii="David" w:hAnsi="David"/>
          <w:sz w:val="26"/>
          <w:szCs w:val="26"/>
          <w:rtl/>
        </w:rPr>
      </w:pPr>
      <w:bookmarkStart w:id="3" w:name="LawTable"/>
      <w:bookmarkEnd w:id="3"/>
    </w:p>
    <w:p w14:paraId="10BAE818" w14:textId="77777777" w:rsidR="000F25A0" w:rsidRPr="000F25A0" w:rsidRDefault="000F25A0" w:rsidP="000F25A0">
      <w:pPr>
        <w:widowControl w:val="0"/>
        <w:spacing w:before="120" w:after="120" w:line="240" w:lineRule="exact"/>
        <w:ind w:left="283" w:hanging="283"/>
        <w:jc w:val="both"/>
        <w:rPr>
          <w:rFonts w:ascii="FrankRuehl" w:hAnsi="FrankRuehl" w:cs="FrankRuehl"/>
          <w:rtl/>
        </w:rPr>
      </w:pPr>
    </w:p>
    <w:p w14:paraId="6D669072" w14:textId="77777777" w:rsidR="000F25A0" w:rsidRPr="000F25A0" w:rsidRDefault="000F25A0" w:rsidP="000F25A0">
      <w:pPr>
        <w:widowControl w:val="0"/>
        <w:spacing w:before="120" w:after="120" w:line="240" w:lineRule="exact"/>
        <w:ind w:left="283" w:hanging="283"/>
        <w:jc w:val="both"/>
        <w:rPr>
          <w:rFonts w:ascii="FrankRuehl" w:hAnsi="FrankRuehl" w:cs="FrankRuehl"/>
          <w:rtl/>
        </w:rPr>
      </w:pPr>
    </w:p>
    <w:p w14:paraId="12C05A4E" w14:textId="77777777" w:rsidR="000F25A0" w:rsidRPr="000F25A0" w:rsidRDefault="000F25A0" w:rsidP="000F25A0">
      <w:pPr>
        <w:widowControl w:val="0"/>
        <w:spacing w:before="120" w:after="120" w:line="240" w:lineRule="exact"/>
        <w:ind w:left="283" w:hanging="283"/>
        <w:jc w:val="both"/>
        <w:rPr>
          <w:rFonts w:ascii="FrankRuehl" w:hAnsi="FrankRuehl" w:cs="FrankRuehl"/>
          <w:rtl/>
        </w:rPr>
      </w:pPr>
      <w:r w:rsidRPr="000F25A0">
        <w:rPr>
          <w:rFonts w:ascii="FrankRuehl" w:hAnsi="FrankRuehl" w:cs="FrankRuehl"/>
          <w:rtl/>
        </w:rPr>
        <w:t xml:space="preserve">חקיקה שאוזכרה: </w:t>
      </w:r>
    </w:p>
    <w:p w14:paraId="78552398" w14:textId="77777777" w:rsidR="000F25A0" w:rsidRPr="000F25A0" w:rsidRDefault="000F25A0" w:rsidP="000F25A0">
      <w:pPr>
        <w:widowControl w:val="0"/>
        <w:spacing w:before="120" w:after="120" w:line="240" w:lineRule="exact"/>
        <w:ind w:left="283" w:hanging="283"/>
        <w:jc w:val="both"/>
        <w:rPr>
          <w:rFonts w:ascii="FrankRuehl" w:hAnsi="FrankRuehl" w:cs="FrankRuehl"/>
          <w:rtl/>
        </w:rPr>
      </w:pPr>
      <w:hyperlink r:id="rId7" w:history="1">
        <w:r w:rsidRPr="000F25A0">
          <w:rPr>
            <w:rFonts w:ascii="FrankRuehl" w:hAnsi="FrankRuehl" w:cs="FrankRuehl"/>
            <w:color w:val="0000FF"/>
            <w:rtl/>
          </w:rPr>
          <w:t>פקודת הסמים המסוכנים [נוסח חדש], תשל"ג-1973</w:t>
        </w:r>
      </w:hyperlink>
      <w:r w:rsidRPr="000F25A0">
        <w:rPr>
          <w:rFonts w:ascii="FrankRuehl" w:hAnsi="FrankRuehl" w:cs="FrankRuehl"/>
          <w:rtl/>
        </w:rPr>
        <w:t xml:space="preserve">: סע'  </w:t>
      </w:r>
      <w:hyperlink r:id="rId8" w:history="1">
        <w:r w:rsidRPr="000F25A0">
          <w:rPr>
            <w:rFonts w:ascii="FrankRuehl" w:hAnsi="FrankRuehl" w:cs="FrankRuehl"/>
            <w:color w:val="0000FF"/>
            <w:rtl/>
          </w:rPr>
          <w:t>7(א)</w:t>
        </w:r>
      </w:hyperlink>
      <w:r w:rsidRPr="000F25A0">
        <w:rPr>
          <w:rFonts w:ascii="FrankRuehl" w:hAnsi="FrankRuehl" w:cs="FrankRuehl"/>
          <w:rtl/>
        </w:rPr>
        <w:t xml:space="preserve">, </w:t>
      </w:r>
      <w:hyperlink r:id="rId9" w:history="1">
        <w:r w:rsidRPr="000F25A0">
          <w:rPr>
            <w:rFonts w:ascii="FrankRuehl" w:hAnsi="FrankRuehl" w:cs="FrankRuehl"/>
            <w:color w:val="0000FF"/>
            <w:rtl/>
          </w:rPr>
          <w:t>7(ג)</w:t>
        </w:r>
      </w:hyperlink>
      <w:r w:rsidRPr="000F25A0">
        <w:rPr>
          <w:rFonts w:ascii="FrankRuehl" w:hAnsi="FrankRuehl" w:cs="FrankRuehl"/>
          <w:rtl/>
        </w:rPr>
        <w:t xml:space="preserve">, </w:t>
      </w:r>
      <w:hyperlink r:id="rId10" w:history="1">
        <w:r w:rsidRPr="000F25A0">
          <w:rPr>
            <w:rFonts w:ascii="FrankRuehl" w:hAnsi="FrankRuehl" w:cs="FrankRuehl"/>
            <w:color w:val="0000FF"/>
            <w:rtl/>
          </w:rPr>
          <w:t>37א</w:t>
        </w:r>
      </w:hyperlink>
    </w:p>
    <w:p w14:paraId="7543866F" w14:textId="77777777" w:rsidR="000F25A0" w:rsidRPr="000F25A0" w:rsidRDefault="000F25A0" w:rsidP="000F25A0">
      <w:pPr>
        <w:widowControl w:val="0"/>
        <w:spacing w:before="120" w:after="120" w:line="240" w:lineRule="exact"/>
        <w:ind w:left="283" w:hanging="283"/>
        <w:jc w:val="both"/>
        <w:rPr>
          <w:rFonts w:ascii="FrankRuehl" w:hAnsi="FrankRuehl" w:cs="FrankRuehl"/>
          <w:rtl/>
        </w:rPr>
      </w:pPr>
      <w:hyperlink r:id="rId11" w:history="1">
        <w:r w:rsidRPr="000F25A0">
          <w:rPr>
            <w:rFonts w:ascii="FrankRuehl" w:hAnsi="FrankRuehl" w:cs="FrankRuehl"/>
            <w:color w:val="0000FF"/>
            <w:rtl/>
          </w:rPr>
          <w:t>חוק העונשין, תשל"ז-1977</w:t>
        </w:r>
      </w:hyperlink>
      <w:r w:rsidRPr="000F25A0">
        <w:rPr>
          <w:rFonts w:ascii="FrankRuehl" w:hAnsi="FrankRuehl" w:cs="FrankRuehl"/>
          <w:rtl/>
        </w:rPr>
        <w:t xml:space="preserve">: סע'  </w:t>
      </w:r>
      <w:hyperlink r:id="rId12" w:history="1">
        <w:r w:rsidRPr="000F25A0">
          <w:rPr>
            <w:rFonts w:ascii="FrankRuehl" w:hAnsi="FrankRuehl" w:cs="FrankRuehl"/>
            <w:color w:val="0000FF"/>
            <w:rtl/>
          </w:rPr>
          <w:t>40ג(א)</w:t>
        </w:r>
      </w:hyperlink>
      <w:r w:rsidRPr="000F25A0">
        <w:rPr>
          <w:rFonts w:ascii="FrankRuehl" w:hAnsi="FrankRuehl" w:cs="FrankRuehl"/>
          <w:rtl/>
        </w:rPr>
        <w:t xml:space="preserve">, </w:t>
      </w:r>
      <w:hyperlink r:id="rId13" w:history="1">
        <w:r w:rsidRPr="000F25A0">
          <w:rPr>
            <w:rFonts w:ascii="FrankRuehl" w:hAnsi="FrankRuehl" w:cs="FrankRuehl"/>
            <w:color w:val="0000FF"/>
            <w:rtl/>
          </w:rPr>
          <w:t>40ג(ב)</w:t>
        </w:r>
      </w:hyperlink>
      <w:r w:rsidRPr="000F25A0">
        <w:rPr>
          <w:rFonts w:ascii="FrankRuehl" w:hAnsi="FrankRuehl" w:cs="FrankRuehl"/>
          <w:rtl/>
        </w:rPr>
        <w:t xml:space="preserve">, </w:t>
      </w:r>
      <w:hyperlink r:id="rId14" w:history="1">
        <w:r w:rsidRPr="000F25A0">
          <w:rPr>
            <w:rFonts w:ascii="FrankRuehl" w:hAnsi="FrankRuehl" w:cs="FrankRuehl"/>
            <w:color w:val="0000FF"/>
            <w:rtl/>
          </w:rPr>
          <w:t>40ד</w:t>
        </w:r>
      </w:hyperlink>
      <w:r w:rsidRPr="000F25A0">
        <w:rPr>
          <w:rFonts w:ascii="FrankRuehl" w:hAnsi="FrankRuehl" w:cs="FrankRuehl"/>
          <w:rtl/>
        </w:rPr>
        <w:t xml:space="preserve">, </w:t>
      </w:r>
      <w:hyperlink r:id="rId15" w:history="1">
        <w:r w:rsidRPr="000F25A0">
          <w:rPr>
            <w:rFonts w:ascii="FrankRuehl" w:hAnsi="FrankRuehl" w:cs="FrankRuehl"/>
            <w:color w:val="0000FF"/>
            <w:rtl/>
          </w:rPr>
          <w:t>40ה</w:t>
        </w:r>
      </w:hyperlink>
      <w:r w:rsidRPr="000F25A0">
        <w:rPr>
          <w:rFonts w:ascii="FrankRuehl" w:hAnsi="FrankRuehl" w:cs="FrankRuehl"/>
          <w:rtl/>
        </w:rPr>
        <w:t xml:space="preserve">, </w:t>
      </w:r>
      <w:hyperlink r:id="rId16" w:history="1">
        <w:r w:rsidRPr="000F25A0">
          <w:rPr>
            <w:rFonts w:ascii="FrankRuehl" w:hAnsi="FrankRuehl" w:cs="FrankRuehl"/>
            <w:color w:val="0000FF"/>
            <w:rtl/>
          </w:rPr>
          <w:t>40ו</w:t>
        </w:r>
      </w:hyperlink>
      <w:r w:rsidRPr="000F25A0">
        <w:rPr>
          <w:rFonts w:ascii="FrankRuehl" w:hAnsi="FrankRuehl" w:cs="FrankRuehl"/>
          <w:rtl/>
        </w:rPr>
        <w:t xml:space="preserve">, </w:t>
      </w:r>
      <w:hyperlink r:id="rId17" w:history="1">
        <w:r w:rsidRPr="000F25A0">
          <w:rPr>
            <w:rFonts w:ascii="FrankRuehl" w:hAnsi="FrankRuehl" w:cs="FrankRuehl"/>
            <w:color w:val="0000FF"/>
            <w:rtl/>
          </w:rPr>
          <w:t>40ז</w:t>
        </w:r>
      </w:hyperlink>
      <w:r w:rsidRPr="000F25A0">
        <w:rPr>
          <w:rFonts w:ascii="FrankRuehl" w:hAnsi="FrankRuehl" w:cs="FrankRuehl"/>
          <w:rtl/>
        </w:rPr>
        <w:t xml:space="preserve">, </w:t>
      </w:r>
      <w:hyperlink r:id="rId18" w:history="1">
        <w:r w:rsidRPr="000F25A0">
          <w:rPr>
            <w:rFonts w:ascii="FrankRuehl" w:hAnsi="FrankRuehl" w:cs="FrankRuehl"/>
            <w:color w:val="0000FF"/>
            <w:rtl/>
          </w:rPr>
          <w:t>40ח</w:t>
        </w:r>
      </w:hyperlink>
      <w:r w:rsidRPr="000F25A0">
        <w:rPr>
          <w:rFonts w:ascii="FrankRuehl" w:hAnsi="FrankRuehl" w:cs="FrankRuehl"/>
          <w:rtl/>
        </w:rPr>
        <w:t xml:space="preserve">, </w:t>
      </w:r>
      <w:hyperlink r:id="rId19" w:history="1">
        <w:r w:rsidRPr="000F25A0">
          <w:rPr>
            <w:rFonts w:ascii="FrankRuehl" w:hAnsi="FrankRuehl" w:cs="FrankRuehl"/>
            <w:color w:val="0000FF"/>
            <w:rtl/>
          </w:rPr>
          <w:t>40יא</w:t>
        </w:r>
      </w:hyperlink>
      <w:r w:rsidRPr="000F25A0">
        <w:rPr>
          <w:rFonts w:ascii="FrankRuehl" w:hAnsi="FrankRuehl" w:cs="FrankRuehl"/>
          <w:rtl/>
        </w:rPr>
        <w:t xml:space="preserve">, </w:t>
      </w:r>
      <w:hyperlink r:id="rId20" w:history="1">
        <w:r w:rsidRPr="000F25A0">
          <w:rPr>
            <w:rFonts w:ascii="FrankRuehl" w:hAnsi="FrankRuehl" w:cs="FrankRuehl"/>
            <w:color w:val="0000FF"/>
            <w:rtl/>
          </w:rPr>
          <w:t>40יט</w:t>
        </w:r>
      </w:hyperlink>
    </w:p>
    <w:p w14:paraId="3A895938" w14:textId="77777777" w:rsidR="000F25A0" w:rsidRPr="000F25A0" w:rsidRDefault="000F25A0" w:rsidP="000F25A0">
      <w:pPr>
        <w:widowControl w:val="0"/>
        <w:spacing w:before="120" w:after="120" w:line="240" w:lineRule="exact"/>
        <w:ind w:left="283" w:hanging="283"/>
        <w:jc w:val="both"/>
        <w:rPr>
          <w:rFonts w:ascii="FrankRuehl" w:hAnsi="FrankRuehl" w:cs="FrankRuehl"/>
          <w:rtl/>
        </w:rPr>
      </w:pPr>
      <w:hyperlink r:id="rId21" w:history="1">
        <w:r w:rsidRPr="000F25A0">
          <w:rPr>
            <w:rFonts w:ascii="FrankRuehl" w:hAnsi="FrankRuehl" w:cs="FrankRuehl"/>
            <w:color w:val="0000FF"/>
            <w:rtl/>
          </w:rPr>
          <w:t>חוק סדר הדין הפלילי [נוסח משולב], תשמ"ב-1982</w:t>
        </w:r>
      </w:hyperlink>
    </w:p>
    <w:p w14:paraId="42308DCA" w14:textId="77777777" w:rsidR="000F25A0" w:rsidRPr="000F25A0" w:rsidRDefault="000F25A0" w:rsidP="000F25A0">
      <w:pPr>
        <w:widowControl w:val="0"/>
        <w:spacing w:line="360" w:lineRule="auto"/>
        <w:jc w:val="both"/>
        <w:rPr>
          <w:rFonts w:ascii="David" w:hAnsi="David"/>
          <w:sz w:val="26"/>
          <w:szCs w:val="26"/>
          <w:rtl/>
        </w:rPr>
      </w:pPr>
      <w:bookmarkStart w:id="4" w:name="LawTable_End"/>
      <w:bookmarkEnd w:id="4"/>
    </w:p>
    <w:p w14:paraId="5BBC4D0E" w14:textId="77777777" w:rsidR="00AE4DEA" w:rsidRPr="007D6498" w:rsidRDefault="00AE4DEA" w:rsidP="007D6498">
      <w:pPr>
        <w:widowControl w:val="0"/>
        <w:spacing w:line="360" w:lineRule="auto"/>
        <w:jc w:val="both"/>
        <w:rPr>
          <w:rFonts w:ascii="David" w:hAnsi="David"/>
          <w:sz w:val="26"/>
          <w:szCs w:val="26"/>
          <w:rtl/>
        </w:rPr>
      </w:pPr>
    </w:p>
    <w:p w14:paraId="61E507A6" w14:textId="77777777" w:rsidR="002B4F6C" w:rsidRPr="00B73171" w:rsidRDefault="002B4F6C" w:rsidP="00B73171">
      <w:pPr>
        <w:widowControl w:val="0"/>
        <w:bidi w:val="0"/>
        <w:spacing w:line="360" w:lineRule="auto"/>
        <w:jc w:val="center"/>
        <w:rPr>
          <w:rFonts w:ascii="Arial" w:hAnsi="Arial"/>
          <w:b/>
          <w:bCs/>
          <w:noProof w:val="0"/>
          <w:sz w:val="32"/>
          <w:szCs w:val="32"/>
          <w:u w:val="single"/>
        </w:rPr>
      </w:pPr>
      <w:bookmarkStart w:id="5" w:name="PsakDin" w:colFirst="0" w:colLast="0"/>
      <w:bookmarkEnd w:id="0"/>
      <w:r w:rsidRPr="00B73171">
        <w:rPr>
          <w:rFonts w:ascii="Arial" w:hAnsi="Arial"/>
          <w:b/>
          <w:bCs/>
          <w:noProof w:val="0"/>
          <w:sz w:val="32"/>
          <w:szCs w:val="32"/>
          <w:u w:val="single"/>
          <w:rtl/>
        </w:rPr>
        <w:t>גזר דין</w:t>
      </w:r>
    </w:p>
    <w:p w14:paraId="2A6344EC" w14:textId="77777777" w:rsidR="002B4F6C" w:rsidRPr="00B73171" w:rsidRDefault="002B4F6C" w:rsidP="00B73171">
      <w:pPr>
        <w:widowControl w:val="0"/>
        <w:bidi w:val="0"/>
        <w:spacing w:line="360" w:lineRule="auto"/>
        <w:jc w:val="center"/>
        <w:rPr>
          <w:rFonts w:ascii="Arial" w:hAnsi="Arial"/>
          <w:b/>
          <w:bCs/>
          <w:noProof w:val="0"/>
          <w:sz w:val="32"/>
          <w:szCs w:val="32"/>
          <w:u w:val="single"/>
        </w:rPr>
      </w:pPr>
    </w:p>
    <w:bookmarkEnd w:id="5"/>
    <w:p w14:paraId="3D57CE80" w14:textId="77777777" w:rsidR="00AE4DEA" w:rsidRDefault="00AE4DEA" w:rsidP="00AE4DEA">
      <w:pPr>
        <w:widowControl w:val="0"/>
        <w:spacing w:line="360" w:lineRule="auto"/>
        <w:jc w:val="both"/>
        <w:rPr>
          <w:rFonts w:ascii="David" w:hAnsi="David"/>
          <w:b/>
          <w:bCs/>
          <w:sz w:val="26"/>
          <w:szCs w:val="26"/>
        </w:rPr>
      </w:pPr>
      <w:r>
        <w:rPr>
          <w:rFonts w:ascii="David" w:hAnsi="David"/>
          <w:b/>
          <w:bCs/>
          <w:sz w:val="26"/>
          <w:szCs w:val="26"/>
          <w:rtl/>
        </w:rPr>
        <w:t>כתבי האישום, הסדר הטיעון, הכרעת הדין והשתלשלות העניינים בתיק</w:t>
      </w:r>
    </w:p>
    <w:p w14:paraId="6C99EA40" w14:textId="77777777" w:rsidR="00AE4DEA" w:rsidRDefault="00AE4DEA" w:rsidP="00AE4DEA">
      <w:pPr>
        <w:pStyle w:val="aa"/>
        <w:widowControl w:val="0"/>
        <w:numPr>
          <w:ilvl w:val="0"/>
          <w:numId w:val="1"/>
        </w:numPr>
        <w:spacing w:line="360" w:lineRule="auto"/>
        <w:ind w:left="360"/>
        <w:jc w:val="both"/>
        <w:rPr>
          <w:sz w:val="24"/>
        </w:rPr>
      </w:pPr>
      <w:r>
        <w:rPr>
          <w:sz w:val="24"/>
          <w:rtl/>
        </w:rPr>
        <w:t>ב-10.7.</w:t>
      </w:r>
      <w:bookmarkStart w:id="6" w:name="ABSTRACT_START"/>
      <w:bookmarkEnd w:id="6"/>
      <w:r>
        <w:rPr>
          <w:sz w:val="24"/>
          <w:rtl/>
        </w:rPr>
        <w:t xml:space="preserve">22, במסגרת הסדר טיעון בין הצדדים, הורשע הנאשם על פי הודאתו ב-2 עבירות </w:t>
      </w:r>
      <w:r>
        <w:rPr>
          <w:b/>
          <w:bCs/>
          <w:sz w:val="24"/>
          <w:rtl/>
        </w:rPr>
        <w:t>החזקת סמים לצריכה עצמית</w:t>
      </w:r>
      <w:r>
        <w:rPr>
          <w:sz w:val="24"/>
          <w:rtl/>
        </w:rPr>
        <w:t xml:space="preserve">, בהתאם </w:t>
      </w:r>
      <w:hyperlink r:id="rId22" w:history="1">
        <w:r w:rsidR="002B4F6C" w:rsidRPr="002B4F6C">
          <w:rPr>
            <w:rStyle w:val="Hyperlink"/>
            <w:sz w:val="24"/>
            <w:rtl/>
          </w:rPr>
          <w:t>לסעיפים 7(א)</w:t>
        </w:r>
      </w:hyperlink>
      <w:r>
        <w:rPr>
          <w:sz w:val="24"/>
          <w:rtl/>
        </w:rPr>
        <w:t xml:space="preserve"> ו-</w:t>
      </w:r>
      <w:hyperlink r:id="rId23" w:history="1">
        <w:r w:rsidR="002B4F6C" w:rsidRPr="002B4F6C">
          <w:rPr>
            <w:rStyle w:val="Hyperlink"/>
            <w:sz w:val="24"/>
            <w:rtl/>
          </w:rPr>
          <w:t>7(ג)</w:t>
        </w:r>
      </w:hyperlink>
      <w:r>
        <w:rPr>
          <w:sz w:val="24"/>
          <w:rtl/>
        </w:rPr>
        <w:t xml:space="preserve"> סיפא ל-</w:t>
      </w:r>
      <w:hyperlink r:id="rId24" w:history="1">
        <w:r w:rsidR="00B73171" w:rsidRPr="00B73171">
          <w:rPr>
            <w:rFonts w:ascii="Miriam" w:hAnsi="Miriam" w:cs="Miriam"/>
            <w:b/>
            <w:bCs/>
            <w:color w:val="0000FF"/>
            <w:szCs w:val="22"/>
            <w:u w:val="single"/>
            <w:rtl/>
          </w:rPr>
          <w:t>פקודת הסמים המסוכנים</w:t>
        </w:r>
      </w:hyperlink>
      <w:r>
        <w:rPr>
          <w:rFonts w:ascii="Miriam" w:hAnsi="Miriam" w:cs="Miriam"/>
          <w:b/>
          <w:bCs/>
          <w:szCs w:val="22"/>
          <w:rtl/>
        </w:rPr>
        <w:t xml:space="preserve"> [נוסח חדש]</w:t>
      </w:r>
      <w:r>
        <w:rPr>
          <w:sz w:val="24"/>
          <w:rtl/>
        </w:rPr>
        <w:t xml:space="preserve">, התשל"ג-1973 (להלן: </w:t>
      </w:r>
      <w:r>
        <w:rPr>
          <w:rFonts w:ascii="Miriam" w:hAnsi="Miriam" w:cs="Miriam"/>
          <w:b/>
          <w:bCs/>
          <w:szCs w:val="22"/>
          <w:rtl/>
        </w:rPr>
        <w:t>פקודת הסמים</w:t>
      </w:r>
      <w:r>
        <w:rPr>
          <w:sz w:val="24"/>
          <w:rtl/>
        </w:rPr>
        <w:t>). הסדר הטיעון כלל תיקון כתב אישום ב-</w:t>
      </w:r>
      <w:hyperlink r:id="rId25" w:history="1">
        <w:r w:rsidR="00B73171" w:rsidRPr="00B73171">
          <w:rPr>
            <w:color w:val="0000FF"/>
            <w:sz w:val="24"/>
            <w:u w:val="single"/>
            <w:rtl/>
          </w:rPr>
          <w:t>ת"פ 23966-11-21</w:t>
        </w:r>
      </w:hyperlink>
      <w:r>
        <w:rPr>
          <w:sz w:val="24"/>
          <w:rtl/>
        </w:rPr>
        <w:t xml:space="preserve"> (להלן: </w:t>
      </w:r>
      <w:r>
        <w:rPr>
          <w:b/>
          <w:bCs/>
          <w:sz w:val="24"/>
          <w:rtl/>
        </w:rPr>
        <w:t>התיק העיקרי</w:t>
      </w:r>
      <w:r>
        <w:rPr>
          <w:sz w:val="24"/>
          <w:rtl/>
        </w:rPr>
        <w:t xml:space="preserve">), צירוף </w:t>
      </w:r>
      <w:hyperlink r:id="rId26" w:history="1">
        <w:r w:rsidR="00B73171" w:rsidRPr="00B73171">
          <w:rPr>
            <w:color w:val="0000FF"/>
            <w:sz w:val="24"/>
            <w:u w:val="single"/>
            <w:rtl/>
          </w:rPr>
          <w:t>ת"פ 45623-11-20</w:t>
        </w:r>
      </w:hyperlink>
      <w:r>
        <w:rPr>
          <w:sz w:val="24"/>
          <w:rtl/>
        </w:rPr>
        <w:t xml:space="preserve"> (להלן: </w:t>
      </w:r>
      <w:r>
        <w:rPr>
          <w:b/>
          <w:bCs/>
          <w:sz w:val="24"/>
          <w:rtl/>
        </w:rPr>
        <w:t>התיק המצורף</w:t>
      </w:r>
      <w:r>
        <w:rPr>
          <w:sz w:val="24"/>
          <w:rtl/>
        </w:rPr>
        <w:t xml:space="preserve">), והפניית הנאשם לשירות המבחן, לעריכת תסקיר לעונש. </w:t>
      </w:r>
    </w:p>
    <w:p w14:paraId="67BC8CB6" w14:textId="77777777" w:rsidR="00AE4DEA" w:rsidRDefault="00AE4DEA" w:rsidP="00AE4DEA">
      <w:pPr>
        <w:pStyle w:val="aa"/>
        <w:widowControl w:val="0"/>
        <w:spacing w:line="360" w:lineRule="auto"/>
        <w:ind w:left="360"/>
        <w:jc w:val="both"/>
        <w:rPr>
          <w:sz w:val="24"/>
        </w:rPr>
      </w:pPr>
      <w:bookmarkStart w:id="7" w:name="ABSTRACT_END"/>
      <w:bookmarkEnd w:id="7"/>
    </w:p>
    <w:p w14:paraId="476F1EDF" w14:textId="77777777" w:rsidR="00AE4DEA" w:rsidRDefault="00AE4DEA" w:rsidP="00AE4DEA">
      <w:pPr>
        <w:pStyle w:val="aa"/>
        <w:widowControl w:val="0"/>
        <w:numPr>
          <w:ilvl w:val="0"/>
          <w:numId w:val="1"/>
        </w:numPr>
        <w:spacing w:line="360" w:lineRule="auto"/>
        <w:ind w:left="357" w:hanging="357"/>
        <w:jc w:val="both"/>
        <w:rPr>
          <w:sz w:val="24"/>
        </w:rPr>
      </w:pPr>
      <w:r>
        <w:rPr>
          <w:sz w:val="24"/>
          <w:rtl/>
        </w:rPr>
        <w:t xml:space="preserve">על פי עובדות כתבי האישום בהן הודה והורשע, ב-15.2.21 סמוך לשעה 09:52, בביתו, ברחוב נווה שלום 22 באשקלון, החזיק הנאשם 38.19 גרם קנבוס לצריכה עצמית. ב-5.4.20 סמוך לשעה 4:43, בעת שהותו בצימר במשק 43 במושב משען, החזיק הנאשם 0.0328 גרם קוקאין לצריכה </w:t>
      </w:r>
      <w:r>
        <w:rPr>
          <w:sz w:val="24"/>
          <w:rtl/>
        </w:rPr>
        <w:lastRenderedPageBreak/>
        <w:t xml:space="preserve">עצמית. </w:t>
      </w:r>
    </w:p>
    <w:p w14:paraId="0D003B6A" w14:textId="77777777" w:rsidR="00AE4DEA" w:rsidRDefault="00AE4DEA" w:rsidP="00AE4DEA">
      <w:pPr>
        <w:pStyle w:val="aa"/>
        <w:widowControl w:val="0"/>
        <w:spacing w:line="360" w:lineRule="auto"/>
        <w:jc w:val="both"/>
        <w:rPr>
          <w:sz w:val="24"/>
        </w:rPr>
      </w:pPr>
    </w:p>
    <w:p w14:paraId="5CF40249" w14:textId="77777777" w:rsidR="00AE4DEA" w:rsidRDefault="00AE4DEA" w:rsidP="00AE4DEA">
      <w:pPr>
        <w:pStyle w:val="aa"/>
        <w:widowControl w:val="0"/>
        <w:numPr>
          <w:ilvl w:val="0"/>
          <w:numId w:val="1"/>
        </w:numPr>
        <w:spacing w:line="360" w:lineRule="auto"/>
        <w:ind w:left="360"/>
        <w:jc w:val="both"/>
        <w:rPr>
          <w:sz w:val="24"/>
          <w:rtl/>
        </w:rPr>
      </w:pPr>
      <w:r>
        <w:rPr>
          <w:sz w:val="24"/>
          <w:rtl/>
        </w:rPr>
        <w:t xml:space="preserve">הסדר הטיעון לא כלל הסכמה עונשית, אולם המאשימה הצהירה כי </w:t>
      </w:r>
      <w:r>
        <w:rPr>
          <w:rtl/>
        </w:rPr>
        <w:t xml:space="preserve">אם לא יפתחו תיקים נוספים והתסקיר יהיה חיובי מבחינת חרטה, הפנמה, אחריות, שיתוף פעולה, השתתפות בכל טיפול שידרש, ללא סיכון להישנות עבירות וימליץ על הימנעות מהרשעה – תשקול זאת לצד ענישה כספית והתחייבות. ככל שהתסקיר יהיה שלילי באחד הפרמטרים, נעתור המאשימה למאסר מותנה, קנס, התחייבות, פסילה מותנית ופסילה בפועל, כפי שעתרה בסופו של יום. בהתאם להסדר, ב"כ הנאשם עתר לביטול הרשעה, הגם ששירות המבחן לא המליץ על ביטולה, בהעדר שיתוף פעולה וחרף העובדה שהמבקש לא עומד בתנאי </w:t>
      </w:r>
      <w:hyperlink r:id="rId27" w:history="1">
        <w:r w:rsidR="00B73171" w:rsidRPr="00B73171">
          <w:rPr>
            <w:color w:val="0000FF"/>
            <w:u w:val="single"/>
            <w:rtl/>
          </w:rPr>
          <w:t>ע"פ 2083/96</w:t>
        </w:r>
      </w:hyperlink>
      <w:r>
        <w:rPr>
          <w:rtl/>
        </w:rPr>
        <w:t xml:space="preserve"> </w:t>
      </w:r>
      <w:r>
        <w:rPr>
          <w:rFonts w:ascii="Century" w:hAnsi="Century" w:cs="Miriam"/>
          <w:bCs/>
          <w:sz w:val="18"/>
          <w:szCs w:val="22"/>
          <w:rtl/>
        </w:rPr>
        <w:t>כתב נ' מדינת ישראל</w:t>
      </w:r>
      <w:r>
        <w:rPr>
          <w:rtl/>
        </w:rPr>
        <w:t>, פ"ד נב(3) 337 (1997)</w:t>
      </w:r>
      <w:r>
        <w:rPr>
          <w:sz w:val="24"/>
          <w:rtl/>
        </w:rPr>
        <w:t xml:space="preserve"> (להלן: </w:t>
      </w:r>
      <w:r>
        <w:rPr>
          <w:rFonts w:ascii="Miriam" w:hAnsi="Miriam" w:cs="Miriam"/>
          <w:b/>
          <w:bCs/>
          <w:szCs w:val="22"/>
          <w:rtl/>
        </w:rPr>
        <w:t>הלכת כתב</w:t>
      </w:r>
      <w:r>
        <w:rPr>
          <w:sz w:val="24"/>
          <w:rtl/>
        </w:rPr>
        <w:t xml:space="preserve">), תוך הפניה למאמר שכתב עם עו"ד בר עוז. </w:t>
      </w:r>
    </w:p>
    <w:p w14:paraId="18088DE1" w14:textId="77777777" w:rsidR="00AE4DEA" w:rsidRDefault="00AE4DEA" w:rsidP="00AE4DEA">
      <w:pPr>
        <w:pStyle w:val="aa"/>
        <w:widowControl w:val="0"/>
        <w:spacing w:line="360" w:lineRule="auto"/>
        <w:ind w:left="360"/>
        <w:jc w:val="both"/>
        <w:rPr>
          <w:sz w:val="24"/>
        </w:rPr>
      </w:pPr>
    </w:p>
    <w:p w14:paraId="1B379EAC" w14:textId="77777777" w:rsidR="00AE4DEA" w:rsidRDefault="00AE4DEA" w:rsidP="00AE4DEA">
      <w:pPr>
        <w:pStyle w:val="aa"/>
        <w:widowControl w:val="0"/>
        <w:numPr>
          <w:ilvl w:val="0"/>
          <w:numId w:val="1"/>
        </w:numPr>
        <w:spacing w:line="360" w:lineRule="auto"/>
        <w:ind w:left="357" w:hanging="357"/>
        <w:jc w:val="both"/>
        <w:rPr>
          <w:sz w:val="24"/>
        </w:rPr>
      </w:pPr>
      <w:r>
        <w:rPr>
          <w:sz w:val="24"/>
          <w:rtl/>
        </w:rPr>
        <w:t>הדיונים בתיק נדחו מעת לעת מסיבות שונות, לרבות לבקשת שירות המבחן. בחלוף מספר חודשים התיק הועבר לשמיעה בפניי וב-26.6.23 נשמעו הטיעונים לעונש, תוך התייחסות הצדדים לשיתוף הפעולה של הנאשם למול שירות המבחן, אשר אופיין בחוסר שיתוף פעולה. תחילה לא התייצב לפגישה (תסקיר מ-5.12.22) ובהמשך, לאחר שהביע נכונות לשתף פעולה עם שירות המבחן – התקשה לדבר בפתיחות על עצמו ועל אודות העבירות שביצע ושירות המבחן לא בא בהמלצה (תסקיר מ-24.1.23), הכל כפי שיפורט בהמשך.</w:t>
      </w:r>
    </w:p>
    <w:p w14:paraId="3FCEED39" w14:textId="77777777" w:rsidR="00AE4DEA" w:rsidRDefault="00AE4DEA" w:rsidP="00AE4DEA">
      <w:pPr>
        <w:widowControl w:val="0"/>
        <w:spacing w:line="360" w:lineRule="auto"/>
        <w:jc w:val="both"/>
        <w:rPr>
          <w:rFonts w:ascii="David" w:hAnsi="David"/>
          <w:b/>
          <w:bCs/>
          <w:sz w:val="26"/>
          <w:szCs w:val="26"/>
        </w:rPr>
      </w:pPr>
    </w:p>
    <w:p w14:paraId="006F7B27" w14:textId="77777777" w:rsidR="00AE4DEA" w:rsidRDefault="00AE4DEA" w:rsidP="00AE4DEA">
      <w:pPr>
        <w:widowControl w:val="0"/>
        <w:spacing w:line="360" w:lineRule="auto"/>
        <w:jc w:val="both"/>
        <w:rPr>
          <w:rFonts w:ascii="David" w:hAnsi="David"/>
          <w:b/>
          <w:bCs/>
          <w:sz w:val="26"/>
          <w:szCs w:val="26"/>
          <w:rtl/>
        </w:rPr>
      </w:pPr>
      <w:r>
        <w:rPr>
          <w:rFonts w:ascii="David" w:hAnsi="David"/>
          <w:b/>
          <w:bCs/>
          <w:sz w:val="26"/>
          <w:szCs w:val="26"/>
          <w:rtl/>
        </w:rPr>
        <w:t>קביעת מתחם העונש ההולם</w:t>
      </w:r>
    </w:p>
    <w:p w14:paraId="4FD439AB" w14:textId="77777777" w:rsidR="00AE4DEA" w:rsidRDefault="00AE4DEA" w:rsidP="00AE4DEA">
      <w:pPr>
        <w:pStyle w:val="aa"/>
        <w:widowControl w:val="0"/>
        <w:numPr>
          <w:ilvl w:val="0"/>
          <w:numId w:val="1"/>
        </w:numPr>
        <w:spacing w:line="360" w:lineRule="auto"/>
        <w:ind w:left="357" w:hanging="357"/>
        <w:jc w:val="both"/>
        <w:rPr>
          <w:sz w:val="24"/>
          <w:rtl/>
        </w:rPr>
      </w:pPr>
      <w:r>
        <w:rPr>
          <w:sz w:val="24"/>
          <w:rtl/>
        </w:rPr>
        <w:t>הנאשם הורשע בשתי עבירות. בהתאם להוראת תיקון 113 ל-</w:t>
      </w:r>
      <w:hyperlink r:id="rId28" w:history="1">
        <w:r w:rsidR="00B73171" w:rsidRPr="00B73171">
          <w:rPr>
            <w:rFonts w:ascii="Miriam" w:hAnsi="Miriam" w:cs="Miriam"/>
            <w:b/>
            <w:bCs/>
            <w:color w:val="0000FF"/>
            <w:szCs w:val="22"/>
            <w:u w:val="single"/>
            <w:rtl/>
          </w:rPr>
          <w:t>חוק העונשין</w:t>
        </w:r>
      </w:hyperlink>
      <w:r>
        <w:rPr>
          <w:sz w:val="24"/>
          <w:rtl/>
        </w:rPr>
        <w:t xml:space="preserve">, התשל"ז-1977 (להלן: </w:t>
      </w:r>
      <w:r>
        <w:rPr>
          <w:rFonts w:ascii="Miriam" w:hAnsi="Miriam" w:cs="Miriam"/>
          <w:b/>
          <w:bCs/>
          <w:szCs w:val="22"/>
          <w:rtl/>
        </w:rPr>
        <w:t>חוק העונשין</w:t>
      </w:r>
      <w:r>
        <w:rPr>
          <w:sz w:val="24"/>
          <w:rtl/>
        </w:rPr>
        <w:t>) ול-"</w:t>
      </w:r>
      <w:r>
        <w:rPr>
          <w:b/>
          <w:bCs/>
          <w:sz w:val="24"/>
          <w:rtl/>
        </w:rPr>
        <w:t>מבחן הקשר ההדוק</w:t>
      </w:r>
      <w:r>
        <w:rPr>
          <w:sz w:val="24"/>
          <w:rtl/>
        </w:rPr>
        <w:t>", שנקבע ב-</w:t>
      </w:r>
      <w:hyperlink r:id="rId29" w:history="1">
        <w:r w:rsidR="00B73171" w:rsidRPr="00B73171">
          <w:rPr>
            <w:color w:val="0000FF"/>
            <w:sz w:val="24"/>
            <w:u w:val="single"/>
            <w:rtl/>
          </w:rPr>
          <w:t>ע"פ 4910/13</w:t>
        </w:r>
      </w:hyperlink>
      <w:r>
        <w:rPr>
          <w:sz w:val="24"/>
          <w:rtl/>
        </w:rPr>
        <w:t xml:space="preserve"> </w:t>
      </w:r>
      <w:r>
        <w:rPr>
          <w:rFonts w:ascii="Miriam" w:hAnsi="Miriam" w:cs="Miriam"/>
          <w:b/>
          <w:bCs/>
          <w:szCs w:val="22"/>
          <w:rtl/>
        </w:rPr>
        <w:t xml:space="preserve">ג'אבר נ' מדינת ישראל </w:t>
      </w:r>
      <w:r>
        <w:rPr>
          <w:sz w:val="24"/>
          <w:rtl/>
        </w:rPr>
        <w:t xml:space="preserve">(29.10.14) אני קובעת כי מדובר בשני אירועים, הנפרדים האחד מהשני במספר נתונים. ראשית, המועדים השונים בהם בוצעו העבירות ופערי הזמן ביניהם (כ-10 חודשים). בנוסף קיים שוני בנסיבות ביצוע העבירות והמיקום הגיאוגרפי בו בוצעו – בתיק העיקרי מדובר בעבירה שבוצעה בבית הנאשם באשקלון, ואילו בתיק המצורף בוצעה העבירה ב"צימר" במושב משען. שלישית, מדובר בסוג סם שונה – בתיק העיקרי מדובר בהחזקת קנבוס ואילו בתיק המצורף מדובר בהחזקת קוקאין. משכך מצאתי כי יש לקבוע שני מתחמים נפרדים. עם זאת, בהינתן קיומה של חפיפה במהות הערכים החברתיים שנפגעו, במידת הפגיעה בהם ובמדיניות הענישה – יש לאחד סקירתם. לכך גם יש להוסיף כי קיים חוט מקשר בין העבירות השונות, שכן בשני המקרים מדובר בהחזקת סם לצריכה עצמית. משכך, אתייחס במאוחד לאמות המידה ואבני הבוחן בהם התחשבתי בקביעת מתחמי העונש ההולמים, בהתאם </w:t>
      </w:r>
      <w:hyperlink r:id="rId30" w:history="1">
        <w:r w:rsidR="002B4F6C" w:rsidRPr="002B4F6C">
          <w:rPr>
            <w:rStyle w:val="Hyperlink"/>
            <w:sz w:val="24"/>
            <w:rtl/>
          </w:rPr>
          <w:t>לסעיף 40ג(א)</w:t>
        </w:r>
      </w:hyperlink>
      <w:r>
        <w:rPr>
          <w:sz w:val="24"/>
          <w:rtl/>
        </w:rPr>
        <w:t xml:space="preserve"> ל-</w:t>
      </w:r>
      <w:hyperlink r:id="rId31" w:history="1">
        <w:r w:rsidR="00B73171" w:rsidRPr="00B73171">
          <w:rPr>
            <w:color w:val="0000FF"/>
            <w:sz w:val="24"/>
            <w:u w:val="single"/>
            <w:rtl/>
          </w:rPr>
          <w:t>חוק העונשין</w:t>
        </w:r>
      </w:hyperlink>
      <w:r>
        <w:rPr>
          <w:sz w:val="24"/>
          <w:rtl/>
        </w:rPr>
        <w:t>, כמפורט להלן:</w:t>
      </w:r>
    </w:p>
    <w:p w14:paraId="1BB53F4C" w14:textId="77777777" w:rsidR="00AE4DEA" w:rsidRDefault="00AE4DEA" w:rsidP="00AE4DEA">
      <w:pPr>
        <w:pStyle w:val="aa"/>
        <w:widowControl w:val="0"/>
        <w:spacing w:line="360" w:lineRule="auto"/>
        <w:ind w:left="357"/>
        <w:jc w:val="both"/>
        <w:rPr>
          <w:sz w:val="24"/>
        </w:rPr>
      </w:pPr>
    </w:p>
    <w:p w14:paraId="134A1450" w14:textId="77777777" w:rsidR="00AE4DEA" w:rsidRDefault="00AE4DEA" w:rsidP="00AE4DEA">
      <w:pPr>
        <w:widowControl w:val="0"/>
        <w:numPr>
          <w:ilvl w:val="1"/>
          <w:numId w:val="1"/>
        </w:numPr>
        <w:snapToGrid w:val="0"/>
        <w:spacing w:line="360" w:lineRule="auto"/>
        <w:ind w:left="850" w:hanging="425"/>
        <w:jc w:val="both"/>
        <w:rPr>
          <w:rFonts w:ascii="David" w:hAnsi="David"/>
          <w:lang w:eastAsia="he-IL"/>
        </w:rPr>
      </w:pPr>
      <w:r>
        <w:rPr>
          <w:rFonts w:ascii="David" w:hAnsi="David"/>
          <w:b/>
          <w:bCs/>
          <w:rtl/>
        </w:rPr>
        <w:t xml:space="preserve">הערכים החברתיים שנפגעו מביצוע העבירות </w:t>
      </w:r>
      <w:r>
        <w:rPr>
          <w:rFonts w:ascii="David" w:hAnsi="David"/>
          <w:rtl/>
        </w:rPr>
        <w:t xml:space="preserve">הם </w:t>
      </w:r>
      <w:r>
        <w:rPr>
          <w:rFonts w:ascii="David" w:hAnsi="David"/>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w:t>
      </w:r>
      <w:r>
        <w:rPr>
          <w:rFonts w:ascii="David" w:hAnsi="David"/>
          <w:rtl/>
          <w:lang w:eastAsia="he-IL"/>
        </w:rPr>
        <w:t xml:space="preserve">. </w:t>
      </w:r>
      <w:r>
        <w:rPr>
          <w:rFonts w:ascii="David" w:hAnsi="David"/>
          <w:rtl/>
        </w:rPr>
        <w:t xml:space="preserve">עבירות הסמים מחוללות פשיעה, אגב הפצת הסם וצריכתו. </w:t>
      </w:r>
      <w:r>
        <w:rPr>
          <w:rFonts w:ascii="David" w:hAnsi="David"/>
          <w:rtl/>
          <w:lang w:eastAsia="he-IL"/>
        </w:rPr>
        <w:t>מעבר לנזקים הישירים הנגרמים למשתמשי הסם,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 xml:space="preserve">בשל הצורך להשיג את מנת הסם, ולעיתים אף אלימות, שמבוצעות כתוצאה </w:t>
      </w:r>
      <w:r>
        <w:rPr>
          <w:rFonts w:ascii="David" w:hAnsi="David"/>
          <w:rtl/>
          <w:lang w:eastAsia="he-IL"/>
        </w:rPr>
        <w:lastRenderedPageBreak/>
        <w:t xml:space="preserve">מהשימוש בסמים, או במהלך ביצוע עבירות הרכוש. </w:t>
      </w:r>
    </w:p>
    <w:p w14:paraId="1BFA0267" w14:textId="77777777" w:rsidR="00AE4DEA" w:rsidRDefault="00AE4DEA" w:rsidP="00AE4DEA">
      <w:pPr>
        <w:widowControl w:val="0"/>
        <w:snapToGrid w:val="0"/>
        <w:spacing w:line="360" w:lineRule="auto"/>
        <w:ind w:left="850"/>
        <w:jc w:val="both"/>
        <w:rPr>
          <w:rFonts w:ascii="David" w:hAnsi="David"/>
          <w:lang w:eastAsia="he-IL"/>
        </w:rPr>
      </w:pPr>
    </w:p>
    <w:p w14:paraId="613AEBE1" w14:textId="77777777" w:rsidR="00AE4DEA" w:rsidRDefault="00AE4DEA" w:rsidP="00AE4DEA">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w:t>
      </w:r>
      <w:r>
        <w:rPr>
          <w:rFonts w:ascii="David" w:hAnsi="David"/>
          <w:rtl/>
        </w:rPr>
        <w:t>. אמנם לא מדובר בפגיעה מהחמורות, בהתחשב בכמויות הסם שהוחזקו ובהינתן נסיבות החזקתם, כפי שיפורט להלן.</w:t>
      </w:r>
      <w:r>
        <w:rPr>
          <w:rFonts w:ascii="David" w:hAnsi="David"/>
          <w:rtl/>
          <w:lang w:eastAsia="he-IL"/>
        </w:rPr>
        <w:t xml:space="preserve"> זאת ועוד, </w:t>
      </w:r>
      <w:r>
        <w:rPr>
          <w:rFonts w:ascii="David" w:hAnsi="David"/>
          <w:rtl/>
        </w:rPr>
        <w:t>"</w:t>
      </w:r>
      <w:r>
        <w:rPr>
          <w:rFonts w:ascii="David" w:hAnsi="David"/>
          <w:b/>
          <w:bCs/>
          <w:rtl/>
        </w:rPr>
        <w:t>אין להקל ראש בעבירות הנוגעות לסמים המוגדרים כ</w:t>
      </w:r>
      <w:r>
        <w:rPr>
          <w:rFonts w:ascii="David" w:hAnsi="David"/>
          <w:rtl/>
        </w:rPr>
        <w:t>'</w:t>
      </w:r>
      <w:r>
        <w:rPr>
          <w:rFonts w:ascii="David" w:hAnsi="David"/>
          <w:b/>
          <w:bCs/>
          <w:rtl/>
        </w:rPr>
        <w:t>קלים</w:t>
      </w:r>
      <w:r>
        <w:rPr>
          <w:rFonts w:ascii="David" w:hAnsi="David"/>
          <w:rtl/>
        </w:rPr>
        <w:t>'.", כפי שקבעה כב' הש' ארבל ב-</w:t>
      </w:r>
      <w:hyperlink r:id="rId32" w:history="1">
        <w:r w:rsidR="00B73171" w:rsidRPr="00B73171">
          <w:rPr>
            <w:rFonts w:ascii="David" w:hAnsi="David"/>
            <w:color w:val="0000FF"/>
            <w:u w:val="single"/>
            <w:rtl/>
          </w:rPr>
          <w:t>ע"פ 2000/06</w:t>
        </w:r>
      </w:hyperlink>
      <w:r>
        <w:rPr>
          <w:rFonts w:ascii="David" w:hAnsi="David"/>
          <w:rtl/>
        </w:rPr>
        <w:t xml:space="preserve"> </w:t>
      </w:r>
      <w:r>
        <w:rPr>
          <w:rFonts w:ascii="Miriam" w:hAnsi="Miriam" w:cs="Miriam"/>
          <w:b/>
          <w:bCs/>
          <w:noProof w:val="0"/>
          <w:sz w:val="22"/>
          <w:szCs w:val="22"/>
          <w:rtl/>
          <w:lang w:eastAsia="he-IL"/>
        </w:rPr>
        <w:t>מדינת ישראל נ' ויצמן ואח'</w:t>
      </w:r>
      <w:r>
        <w:rPr>
          <w:rFonts w:ascii="David" w:hAnsi="David"/>
          <w:rtl/>
        </w:rPr>
        <w:t xml:space="preserve"> (20.7.06) (להלן: </w:t>
      </w:r>
      <w:r>
        <w:rPr>
          <w:rFonts w:ascii="Miriam" w:hAnsi="Miriam" w:cs="Miriam"/>
          <w:b/>
          <w:bCs/>
          <w:noProof w:val="0"/>
          <w:sz w:val="22"/>
          <w:szCs w:val="22"/>
          <w:rtl/>
          <w:lang w:eastAsia="he-IL"/>
        </w:rPr>
        <w:t>ענין ויצמן</w:t>
      </w:r>
      <w:r>
        <w:rPr>
          <w:rFonts w:ascii="David" w:hAnsi="David"/>
          <w:rtl/>
        </w:rPr>
        <w:t>). לצד זאת אציין כי ב-</w:t>
      </w:r>
      <w:r>
        <w:rPr>
          <w:rFonts w:ascii="Miriam" w:hAnsi="Miriam" w:cs="Miriam"/>
          <w:b/>
          <w:bCs/>
          <w:noProof w:val="0"/>
          <w:sz w:val="22"/>
          <w:szCs w:val="22"/>
          <w:rtl/>
          <w:lang w:eastAsia="he-IL"/>
        </w:rPr>
        <w:t xml:space="preserve">ענין ויצמן </w:t>
      </w:r>
      <w:r>
        <w:rPr>
          <w:rFonts w:ascii="David" w:hAnsi="David"/>
          <w:rtl/>
        </w:rPr>
        <w:t>נדונה החזקת קנבוס בכמות גדולה משמעותית מזו שבתיק שלפניי ושלא לצריכה עצמית.</w:t>
      </w:r>
      <w:r>
        <w:rPr>
          <w:rFonts w:ascii="David" w:hAnsi="David"/>
          <w:rtl/>
          <w:lang w:eastAsia="he-IL"/>
        </w:rPr>
        <w:t xml:space="preserve"> הגם שבתיק המצורף מדובר בהחזקת קוקאין, שהוגדר </w:t>
      </w:r>
      <w:r>
        <w:rPr>
          <w:rFonts w:ascii="David" w:hAnsi="David"/>
          <w:rtl/>
        </w:rPr>
        <w:t>כ"</w:t>
      </w:r>
      <w:r>
        <w:rPr>
          <w:rFonts w:ascii="David" w:hAnsi="David"/>
          <w:b/>
          <w:bCs/>
          <w:rtl/>
        </w:rPr>
        <w:t>סם המוות סדרתי שכוחו עמו לגרום רע</w:t>
      </w:r>
      <w:r>
        <w:rPr>
          <w:rFonts w:ascii="David" w:hAnsi="David"/>
          <w:rtl/>
        </w:rPr>
        <w:t>" [פסקה ג' לפסק דינו של המשנה לנשיאה, כב' הש' רובינשטיין ב-</w:t>
      </w:r>
      <w:hyperlink r:id="rId33" w:history="1">
        <w:r w:rsidR="00B73171" w:rsidRPr="00B73171">
          <w:rPr>
            <w:rFonts w:ascii="David" w:hAnsi="David"/>
            <w:color w:val="0000FF"/>
            <w:u w:val="single"/>
            <w:rtl/>
          </w:rPr>
          <w:t>ע"פ 7952/15</w:t>
        </w:r>
      </w:hyperlink>
      <w:r>
        <w:rPr>
          <w:rFonts w:ascii="David" w:hAnsi="David"/>
          <w:rtl/>
        </w:rPr>
        <w:t xml:space="preserve"> </w:t>
      </w:r>
      <w:r>
        <w:rPr>
          <w:rFonts w:ascii="Miriam" w:hAnsi="Miriam" w:cs="Miriam"/>
          <w:b/>
          <w:bCs/>
          <w:noProof w:val="0"/>
          <w:sz w:val="22"/>
          <w:szCs w:val="22"/>
          <w:rtl/>
          <w:lang w:eastAsia="he-IL"/>
        </w:rPr>
        <w:t xml:space="preserve">מדינת ישראל נ' שץ </w:t>
      </w:r>
      <w:r>
        <w:rPr>
          <w:rFonts w:ascii="David" w:hAnsi="David"/>
          <w:rtl/>
        </w:rPr>
        <w:t xml:space="preserve">(15.2.16)]  ולגביו נקבע כי </w:t>
      </w:r>
      <w:r>
        <w:rPr>
          <w:rtl/>
        </w:rPr>
        <w:t>"</w:t>
      </w:r>
      <w:r>
        <w:rPr>
          <w:b/>
          <w:bCs/>
          <w:rtl/>
        </w:rPr>
        <w:t>הקוקאין הוא מן הנפוצים שבסמים ה'קשים', שסכנותיהם ונזקיהם ידועים</w:t>
      </w:r>
      <w:r>
        <w:rPr>
          <w:rtl/>
        </w:rPr>
        <w:t>" [סעיף 10 לפסק דינו של של כב' הש' סולברג ב-</w:t>
      </w:r>
      <w:hyperlink r:id="rId34" w:history="1">
        <w:r w:rsidR="00B73171" w:rsidRPr="00B73171">
          <w:rPr>
            <w:color w:val="0000FF"/>
            <w:u w:val="single"/>
            <w:rtl/>
          </w:rPr>
          <w:t>ע"פ 4522/18</w:t>
        </w:r>
      </w:hyperlink>
      <w:r>
        <w:rPr>
          <w:rtl/>
        </w:rPr>
        <w:t xml:space="preserve"> </w:t>
      </w:r>
      <w:r>
        <w:rPr>
          <w:rFonts w:ascii="Miriam" w:hAnsi="Miriam" w:cs="Miriam"/>
          <w:b/>
          <w:bCs/>
          <w:sz w:val="22"/>
          <w:szCs w:val="22"/>
          <w:rtl/>
        </w:rPr>
        <w:t>אסאבן נ' מדינת ישראל</w:t>
      </w:r>
      <w:r>
        <w:rPr>
          <w:rtl/>
        </w:rPr>
        <w:t xml:space="preserve"> (‏11.11.18)] </w:t>
      </w:r>
      <w:r>
        <w:rPr>
          <w:rFonts w:ascii="David" w:hAnsi="David"/>
          <w:rtl/>
        </w:rPr>
        <w:t xml:space="preserve">– גם כאן </w:t>
      </w:r>
      <w:r>
        <w:rPr>
          <w:rFonts w:ascii="David" w:hAnsi="David"/>
          <w:rtl/>
          <w:lang w:eastAsia="he-IL"/>
        </w:rPr>
        <w:t xml:space="preserve">מידת הפגיעה היא לא מן החמורות, נוכח נסיבות ההחזקה, כפי שיפורט להלן. </w:t>
      </w:r>
    </w:p>
    <w:p w14:paraId="2C77F500" w14:textId="77777777" w:rsidR="00AE4DEA" w:rsidRDefault="00AE4DEA" w:rsidP="00AE4DEA">
      <w:pPr>
        <w:widowControl w:val="0"/>
        <w:snapToGrid w:val="0"/>
        <w:spacing w:line="360" w:lineRule="auto"/>
        <w:ind w:left="850"/>
        <w:jc w:val="both"/>
        <w:rPr>
          <w:rFonts w:ascii="David" w:hAnsi="David"/>
          <w:rtl/>
          <w:lang w:eastAsia="he-IL"/>
        </w:rPr>
      </w:pPr>
    </w:p>
    <w:p w14:paraId="10FEC7CF" w14:textId="77777777" w:rsidR="00AE4DEA" w:rsidRDefault="00AE4DEA" w:rsidP="00AE4DEA">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 xml:space="preserve">בחינת </w:t>
      </w:r>
      <w:r>
        <w:rPr>
          <w:rFonts w:ascii="David" w:hAnsi="David"/>
          <w:b/>
          <w:bCs/>
          <w:rtl/>
          <w:lang w:eastAsia="he-IL"/>
        </w:rPr>
        <w:t>מדיניות הענישה הנהוגה בפסיקה</w:t>
      </w:r>
      <w:r>
        <w:rPr>
          <w:rFonts w:ascii="David" w:hAnsi="David"/>
          <w:rtl/>
          <w:lang w:eastAsia="he-IL"/>
        </w:rPr>
        <w:t xml:space="preserve"> </w:t>
      </w:r>
      <w:r>
        <w:rPr>
          <w:rFonts w:ascii="David" w:hAnsi="David"/>
          <w:rtl/>
        </w:rPr>
        <w:t xml:space="preserve">מלמדת על קשת רחבה של ענישה, החל מענישה צופה פני עתיד וכלה במאסר, לתקופות שאורכן תלוי בסוג הסם, כמותו ונסיבות החזקתו. </w:t>
      </w:r>
      <w:r>
        <w:rPr>
          <w:rFonts w:ascii="David" w:hAnsi="David"/>
          <w:rtl/>
          <w:lang w:eastAsia="he-IL"/>
        </w:rPr>
        <w:t xml:space="preserve">בטיעונים לעונש הפנה ב"כ הנאשם לפסיקה במקרים חמורים מזה שלפני, שלגישתו תומכת בעתירתו לבטל הרשעה ועליה הוספתי פסיקה נוספת. כל מקרה ונסיבותיו, </w:t>
      </w:r>
      <w:r>
        <w:rPr>
          <w:rFonts w:ascii="David" w:hAnsi="David"/>
          <w:rtl/>
        </w:rPr>
        <w:t>ויש לאבחן המקרים השונים למקרה שלפניי, אם כי יש פסקי-דין מהם ניתן לגזור אמת-מידה עונשית הולמת למקרה שלפני</w:t>
      </w:r>
      <w:r>
        <w:rPr>
          <w:rFonts w:ascii="David" w:hAnsi="David"/>
          <w:rtl/>
          <w:lang w:eastAsia="he-IL"/>
        </w:rPr>
        <w:t>י –</w:t>
      </w:r>
    </w:p>
    <w:p w14:paraId="19441CA1" w14:textId="77777777" w:rsidR="00AE4DEA" w:rsidRDefault="00AE4DEA" w:rsidP="00AE4DEA">
      <w:pPr>
        <w:pStyle w:val="aa"/>
        <w:widowControl w:val="0"/>
        <w:ind w:left="1475"/>
        <w:jc w:val="both"/>
        <w:rPr>
          <w:szCs w:val="20"/>
        </w:rPr>
      </w:pPr>
    </w:p>
    <w:p w14:paraId="650B0A74" w14:textId="77777777" w:rsidR="00AE4DEA" w:rsidRDefault="00B73171" w:rsidP="00AE4DEA">
      <w:pPr>
        <w:pStyle w:val="aa"/>
        <w:widowControl w:val="0"/>
        <w:numPr>
          <w:ilvl w:val="2"/>
          <w:numId w:val="1"/>
        </w:numPr>
        <w:spacing w:line="360" w:lineRule="auto"/>
        <w:ind w:left="1475" w:hanging="624"/>
        <w:jc w:val="both"/>
        <w:rPr>
          <w:sz w:val="24"/>
        </w:rPr>
      </w:pPr>
      <w:hyperlink r:id="rId35" w:history="1">
        <w:r w:rsidRPr="00B73171">
          <w:rPr>
            <w:color w:val="0000FF"/>
            <w:u w:val="single"/>
            <w:rtl/>
          </w:rPr>
          <w:t>רע"פ 4214/22</w:t>
        </w:r>
      </w:hyperlink>
      <w:r w:rsidR="00AE4DEA">
        <w:rPr>
          <w:rtl/>
        </w:rPr>
        <w:t xml:space="preserve"> </w:t>
      </w:r>
      <w:r w:rsidR="00AE4DEA">
        <w:rPr>
          <w:rFonts w:ascii="Miriam" w:hAnsi="Miriam" w:cs="Miriam"/>
          <w:b/>
          <w:bCs/>
          <w:szCs w:val="22"/>
          <w:rtl/>
        </w:rPr>
        <w:t>יצחק נ' מדינת ישראל</w:t>
      </w:r>
      <w:r w:rsidR="00AE4DEA">
        <w:rPr>
          <w:rtl/>
        </w:rPr>
        <w:t xml:space="preserve"> (7.7.22) – נדחו ערעור ובקשת רשות ערעור של מי שהחזיק כ-150 גרם קנבוס. נקבע מתחם הנע ממאסר מותנה עד 10 חודשי מאסר בפועל</w:t>
      </w:r>
      <w:r w:rsidR="00AE4DEA">
        <w:rPr>
          <w:sz w:val="24"/>
          <w:rtl/>
        </w:rPr>
        <w:t xml:space="preserve">. על נאשם, נעדר עבר פלילי, אשר שיתף פעולה עם שירות המבחן, הושתו מאסרים מותנים, מבחן, של"ץ, פסילה על תנאי, התחייבות וקנס. הרשעת המבקש נותרה </w:t>
      </w:r>
      <w:r w:rsidR="00AE4DEA">
        <w:rPr>
          <w:rtl/>
        </w:rPr>
        <w:t xml:space="preserve">על כנה, חרף התרשמותו החיובית של שירות המבחן והמלצתו לבטלה, מאחר שנקבע כי לא מתקיימים תנאי </w:t>
      </w:r>
      <w:r w:rsidR="00AE4DEA">
        <w:rPr>
          <w:rFonts w:ascii="Century" w:hAnsi="Century" w:cs="Miriam"/>
          <w:bCs/>
          <w:sz w:val="18"/>
          <w:szCs w:val="22"/>
          <w:rtl/>
        </w:rPr>
        <w:t>הלכת כתב</w:t>
      </w:r>
      <w:r w:rsidR="00AE4DEA">
        <w:rPr>
          <w:sz w:val="24"/>
          <w:rtl/>
        </w:rPr>
        <w:t xml:space="preserve">, שכן </w:t>
      </w:r>
      <w:r w:rsidR="00AE4DEA">
        <w:rPr>
          <w:rtl/>
        </w:rPr>
        <w:t xml:space="preserve">לא הוכח נזק קונקרטי או פוטנציאלי לתעסוקת המבקש ולשיקומו. </w:t>
      </w:r>
      <w:r w:rsidR="00AE4DEA">
        <w:rPr>
          <w:sz w:val="24"/>
          <w:rtl/>
        </w:rPr>
        <w:t xml:space="preserve">בדחותו הערעור, שב בית המשפט המחוזי בבאר שבע והבהיר </w:t>
      </w:r>
      <w:r w:rsidR="00AE4DEA">
        <w:rPr>
          <w:rtl/>
        </w:rPr>
        <w:t xml:space="preserve">כי ביטול הרשעה הוא חריג המתקיים רק בתנאים מיוחדים. </w:t>
      </w:r>
      <w:r w:rsidR="00AE4DEA">
        <w:rPr>
          <w:sz w:val="24"/>
          <w:rtl/>
        </w:rPr>
        <w:t>ב</w:t>
      </w:r>
      <w:r w:rsidR="00AE4DEA">
        <w:rPr>
          <w:rtl/>
        </w:rPr>
        <w:t>סעיף 10 להחלטת, שב כב' הש' אלרון וקבע "</w:t>
      </w:r>
      <w:r w:rsidR="00AE4DEA">
        <w:rPr>
          <w:b/>
          <w:bCs/>
          <w:rtl/>
        </w:rPr>
        <w:t>פקודת הסמים מורה כי סם הקנבוס הוא סם מסוכן, ולא ניתן להתייחס לסם הקנבוס אחרת, קל וחומר שלא באופן מקל</w:t>
      </w:r>
      <w:r w:rsidR="00AE4DEA">
        <w:rPr>
          <w:rtl/>
        </w:rPr>
        <w:t>".</w:t>
      </w:r>
    </w:p>
    <w:p w14:paraId="739CE64B" w14:textId="77777777" w:rsidR="00AE4DEA" w:rsidRDefault="00AE4DEA" w:rsidP="00AE4DEA">
      <w:pPr>
        <w:pStyle w:val="aa"/>
        <w:widowControl w:val="0"/>
        <w:ind w:left="1475"/>
        <w:jc w:val="both"/>
        <w:rPr>
          <w:szCs w:val="20"/>
        </w:rPr>
      </w:pPr>
    </w:p>
    <w:p w14:paraId="653BC980" w14:textId="77777777" w:rsidR="00AE4DEA" w:rsidRDefault="00B73171" w:rsidP="00AE4DEA">
      <w:pPr>
        <w:pStyle w:val="aa"/>
        <w:widowControl w:val="0"/>
        <w:numPr>
          <w:ilvl w:val="2"/>
          <w:numId w:val="1"/>
        </w:numPr>
        <w:spacing w:line="360" w:lineRule="auto"/>
        <w:ind w:left="1475" w:hanging="624"/>
        <w:jc w:val="both"/>
        <w:rPr>
          <w:sz w:val="24"/>
        </w:rPr>
      </w:pPr>
      <w:hyperlink r:id="rId36" w:history="1">
        <w:r w:rsidRPr="00B73171">
          <w:rPr>
            <w:color w:val="0000FF"/>
            <w:u w:val="single"/>
            <w:rtl/>
          </w:rPr>
          <w:t>רע"פ 1473/18</w:t>
        </w:r>
      </w:hyperlink>
      <w:r w:rsidR="00AE4DEA">
        <w:rPr>
          <w:rtl/>
        </w:rPr>
        <w:t xml:space="preserve"> </w:t>
      </w:r>
      <w:r w:rsidR="00AE4DEA">
        <w:rPr>
          <w:rFonts w:ascii="Miriam" w:hAnsi="Miriam" w:cs="Miriam"/>
          <w:b/>
          <w:bCs/>
          <w:szCs w:val="22"/>
          <w:rtl/>
        </w:rPr>
        <w:t>אוחיון נ' מדינת ישראל</w:t>
      </w:r>
      <w:r w:rsidR="00AE4DEA">
        <w:rPr>
          <w:rtl/>
        </w:rPr>
        <w:t xml:space="preserve"> (22.4.18) - נדחתה בקשת רשות ערעור על פסק-דינו של בית המשפט המחוזי בתל-אביב, אשר קיבל ערעור המדינה וקבע מתחם 6-12 חודשים בהחזקת כ-2 גרם קוקאין, חלף מתחם שבין מאסר על תנאי לבין 12 חודשי מאסר בפועל. בית המשפט המחוזי קבע כי יש לחרוג ממתחם העונש מטעמי שיקום והשית על המבקש חודשיים מאסר בעבודות שירות וענישה נלווית, חלף מאסר מותנה. </w:t>
      </w:r>
    </w:p>
    <w:p w14:paraId="41AE0FE3" w14:textId="77777777" w:rsidR="00AE4DEA" w:rsidRDefault="00AE4DEA" w:rsidP="00AE4DEA">
      <w:pPr>
        <w:pStyle w:val="aa"/>
        <w:widowControl w:val="0"/>
        <w:ind w:left="1475"/>
        <w:jc w:val="both"/>
        <w:rPr>
          <w:szCs w:val="20"/>
        </w:rPr>
      </w:pPr>
    </w:p>
    <w:p w14:paraId="4DA44FE1" w14:textId="77777777" w:rsidR="00AE4DEA" w:rsidRDefault="00B73171" w:rsidP="00AE4DEA">
      <w:pPr>
        <w:pStyle w:val="aa"/>
        <w:widowControl w:val="0"/>
        <w:numPr>
          <w:ilvl w:val="2"/>
          <w:numId w:val="2"/>
        </w:numPr>
        <w:spacing w:line="360" w:lineRule="auto"/>
        <w:ind w:left="1471" w:hanging="621"/>
        <w:jc w:val="both"/>
        <w:rPr>
          <w:sz w:val="24"/>
        </w:rPr>
      </w:pPr>
      <w:hyperlink r:id="rId37" w:history="1">
        <w:r w:rsidRPr="00B73171">
          <w:rPr>
            <w:color w:val="0000FF"/>
            <w:sz w:val="24"/>
            <w:u w:val="single"/>
            <w:rtl/>
          </w:rPr>
          <w:t>עפ"ג (מחוזי-חי') 28110-10-15</w:t>
        </w:r>
      </w:hyperlink>
      <w:r w:rsidR="00AE4DEA">
        <w:rPr>
          <w:sz w:val="24"/>
          <w:rtl/>
        </w:rPr>
        <w:t xml:space="preserve"> </w:t>
      </w:r>
      <w:r w:rsidR="00AE4DEA">
        <w:rPr>
          <w:rFonts w:ascii="Miriam" w:hAnsi="Miriam" w:cs="Miriam"/>
          <w:b/>
          <w:bCs/>
          <w:szCs w:val="22"/>
          <w:rtl/>
        </w:rPr>
        <w:t xml:space="preserve">מדינת ישראל נ' דוד </w:t>
      </w:r>
      <w:r w:rsidR="00AE4DEA">
        <w:rPr>
          <w:sz w:val="24"/>
          <w:rtl/>
        </w:rPr>
        <w:t>(17.12.15), אליו הפנה ב"כ הנאשם – נדחה ערעור על ביטול הרשעה בגידול בצוותא של 21 שתילי קנבוס במשקל כ-3.5 ק"ג, לאחר שנמצא כי הוכח נזק קונקרטי של פגיעה בתעסוקתו כעובד נמל חיפה, ולאחר שצו המבחן הוארך ל-18 חודשים וסכום הפיצוי הועלה ל-11,000 ₪.</w:t>
      </w:r>
    </w:p>
    <w:p w14:paraId="33995177" w14:textId="77777777" w:rsidR="00AE4DEA" w:rsidRDefault="00AE4DEA" w:rsidP="00AE4DEA">
      <w:pPr>
        <w:pStyle w:val="aa"/>
        <w:widowControl w:val="0"/>
        <w:ind w:left="1471"/>
        <w:jc w:val="both"/>
        <w:rPr>
          <w:szCs w:val="20"/>
        </w:rPr>
      </w:pPr>
    </w:p>
    <w:p w14:paraId="1BD71D32" w14:textId="77777777" w:rsidR="00AE4DEA" w:rsidRDefault="00B73171" w:rsidP="00AE4DEA">
      <w:pPr>
        <w:pStyle w:val="aa"/>
        <w:widowControl w:val="0"/>
        <w:numPr>
          <w:ilvl w:val="2"/>
          <w:numId w:val="1"/>
        </w:numPr>
        <w:spacing w:line="360" w:lineRule="auto"/>
        <w:ind w:left="1471" w:hanging="621"/>
        <w:jc w:val="both"/>
        <w:rPr>
          <w:sz w:val="24"/>
        </w:rPr>
      </w:pPr>
      <w:hyperlink r:id="rId38" w:history="1">
        <w:r w:rsidRPr="00B73171">
          <w:rPr>
            <w:color w:val="0000FF"/>
            <w:sz w:val="24"/>
            <w:u w:val="single"/>
            <w:rtl/>
          </w:rPr>
          <w:t>עפ"ג (מחוזי-מרכז) 53504-01-11</w:t>
        </w:r>
      </w:hyperlink>
      <w:r w:rsidR="00AE4DEA">
        <w:rPr>
          <w:sz w:val="24"/>
          <w:rtl/>
        </w:rPr>
        <w:t xml:space="preserve"> </w:t>
      </w:r>
      <w:r w:rsidR="00AE4DEA">
        <w:rPr>
          <w:rFonts w:ascii="Miriam" w:hAnsi="Miriam" w:cs="Miriam"/>
          <w:b/>
          <w:bCs/>
          <w:szCs w:val="22"/>
          <w:rtl/>
        </w:rPr>
        <w:t xml:space="preserve">אלון נ' מדינת ישראל </w:t>
      </w:r>
      <w:r w:rsidR="00AE4DEA">
        <w:rPr>
          <w:sz w:val="24"/>
          <w:rtl/>
        </w:rPr>
        <w:t>(22.5.11), אליו הפנה ב"כ הנאשם – בית המשפט המחוזי ביטל הרשעה בהחזקת 8220 גרם קנבוס שלקח לבקשת חברו ממעבדת גידול והטמין במקום בו נתפס. בית המשפט המחוזי ביטל ההרשעה בהינתן נסיבות ההחזקה (בשל פחד מהמגדל), הודייתו, וקיומו של נזק קונקרטי משמעותי (לא יוכל לייצג את ישראל כג'ודוקא באולימפיאדה).</w:t>
      </w:r>
    </w:p>
    <w:p w14:paraId="2687CE46" w14:textId="77777777" w:rsidR="00AE4DEA" w:rsidRDefault="00AE4DEA" w:rsidP="00AE4DEA">
      <w:pPr>
        <w:pStyle w:val="aa"/>
        <w:widowControl w:val="0"/>
        <w:jc w:val="both"/>
        <w:rPr>
          <w:szCs w:val="20"/>
        </w:rPr>
      </w:pPr>
    </w:p>
    <w:p w14:paraId="4301155E" w14:textId="77777777" w:rsidR="00AE4DEA" w:rsidRDefault="00B73171" w:rsidP="00AE4DEA">
      <w:pPr>
        <w:pStyle w:val="aa"/>
        <w:widowControl w:val="0"/>
        <w:numPr>
          <w:ilvl w:val="2"/>
          <w:numId w:val="1"/>
        </w:numPr>
        <w:spacing w:line="360" w:lineRule="auto"/>
        <w:ind w:left="1471" w:hanging="621"/>
        <w:jc w:val="both"/>
        <w:rPr>
          <w:sz w:val="24"/>
        </w:rPr>
      </w:pPr>
      <w:hyperlink r:id="rId39" w:history="1">
        <w:r w:rsidRPr="00B73171">
          <w:rPr>
            <w:color w:val="0000FF"/>
            <w:sz w:val="24"/>
            <w:u w:val="single"/>
            <w:rtl/>
          </w:rPr>
          <w:t>ת"פ (שלום-ק"ג) 55996-11-18</w:t>
        </w:r>
      </w:hyperlink>
      <w:r w:rsidR="00AE4DEA">
        <w:rPr>
          <w:sz w:val="24"/>
          <w:rtl/>
        </w:rPr>
        <w:t xml:space="preserve"> </w:t>
      </w:r>
      <w:r w:rsidR="00AE4DEA">
        <w:rPr>
          <w:rFonts w:ascii="Miriam" w:hAnsi="Miriam" w:cs="Miriam"/>
          <w:b/>
          <w:bCs/>
          <w:szCs w:val="22"/>
          <w:rtl/>
        </w:rPr>
        <w:t>מדינת ישראל נ' סווואגן</w:t>
      </w:r>
      <w:r w:rsidR="00AE4DEA">
        <w:rPr>
          <w:sz w:val="24"/>
          <w:rtl/>
        </w:rPr>
        <w:t xml:space="preserve"> (4.7.21), אליו הפנה ב"כ הנאשם – כב' הש' לחיאני שהם סיימה את ההליך ללא הרשעה</w:t>
      </w:r>
      <w:r w:rsidR="00AE4DEA">
        <w:rPr>
          <w:rtl/>
        </w:rPr>
        <w:t xml:space="preserve"> מהטעמים הבאים:</w:t>
      </w:r>
      <w:r w:rsidR="00AE4DEA">
        <w:rPr>
          <w:sz w:val="24"/>
          <w:rtl/>
        </w:rPr>
        <w:t xml:space="preserve"> </w:t>
      </w:r>
      <w:r w:rsidR="00AE4DEA">
        <w:rPr>
          <w:rtl/>
        </w:rPr>
        <w:t xml:space="preserve">ביום 4.7.19 הודה בהסגת גבול מיום 31.3.18 </w:t>
      </w:r>
      <w:r w:rsidR="00AE4DEA">
        <w:rPr>
          <w:sz w:val="24"/>
          <w:rtl/>
        </w:rPr>
        <w:t xml:space="preserve">שבא לידי ביטוי בכניסתו לבית זוגתו לשעבר. לא נגרם נזק מעבר לכך והקשר ביניהם נותק ומשכך נקבע כי נסיבות העבירה מאפשרות סיום ההליך ללא הרשעה. כבר בעת </w:t>
      </w:r>
      <w:r w:rsidR="00AE4DEA">
        <w:rPr>
          <w:rtl/>
        </w:rPr>
        <w:t xml:space="preserve">הצגת הסדר הטיעון, </w:t>
      </w:r>
      <w:r w:rsidR="00AE4DEA">
        <w:rPr>
          <w:sz w:val="24"/>
          <w:rtl/>
        </w:rPr>
        <w:t xml:space="preserve">הנאשם לא הורשע. שיתוף הפעולה של הנאשם היה חלקי, אולם בית המשפט התחשב בגילו הצעיר, העדר עבר, נסיבות חיים מורכבות והתרשמות שירות המבחן מנסיון משמעותי לנהל אורח חיים תקין, חרף נסיבותיו המורכבות ובנטילת אחריות על מעשיו והודיה, כמו גם חלוף הזמן - כ-3 וחצי שנים מביצוע העבירה. </w:t>
      </w:r>
    </w:p>
    <w:p w14:paraId="1B9D8AFF" w14:textId="77777777" w:rsidR="00AE4DEA" w:rsidRDefault="00AE4DEA" w:rsidP="00AE4DEA">
      <w:pPr>
        <w:pStyle w:val="aa"/>
        <w:widowControl w:val="0"/>
        <w:rPr>
          <w:szCs w:val="20"/>
        </w:rPr>
      </w:pPr>
    </w:p>
    <w:p w14:paraId="05EA15EF" w14:textId="77777777" w:rsidR="00AE4DEA" w:rsidRDefault="00B73171" w:rsidP="00AE4DEA">
      <w:pPr>
        <w:pStyle w:val="aa"/>
        <w:widowControl w:val="0"/>
        <w:numPr>
          <w:ilvl w:val="2"/>
          <w:numId w:val="1"/>
        </w:numPr>
        <w:spacing w:line="360" w:lineRule="auto"/>
        <w:ind w:left="1471" w:hanging="621"/>
        <w:jc w:val="both"/>
        <w:rPr>
          <w:sz w:val="24"/>
          <w:rtl/>
        </w:rPr>
      </w:pPr>
      <w:hyperlink r:id="rId40" w:history="1">
        <w:r w:rsidRPr="00B73171">
          <w:rPr>
            <w:color w:val="0000FF"/>
            <w:sz w:val="24"/>
            <w:u w:val="single"/>
            <w:rtl/>
          </w:rPr>
          <w:t>ת"פ (שלום-ק"ג) 53716-03-15</w:t>
        </w:r>
      </w:hyperlink>
      <w:r w:rsidR="00AE4DEA">
        <w:rPr>
          <w:sz w:val="24"/>
          <w:rtl/>
        </w:rPr>
        <w:t xml:space="preserve"> </w:t>
      </w:r>
      <w:r w:rsidR="00AE4DEA">
        <w:rPr>
          <w:rFonts w:ascii="Miriam" w:hAnsi="Miriam" w:cs="Miriam"/>
          <w:b/>
          <w:bCs/>
          <w:szCs w:val="22"/>
          <w:rtl/>
        </w:rPr>
        <w:t>מדינת ישראל נ' זגורי</w:t>
      </w:r>
      <w:r w:rsidR="00AE4DEA">
        <w:rPr>
          <w:sz w:val="24"/>
          <w:rtl/>
        </w:rPr>
        <w:t xml:space="preserve"> (5.4.16), אליו הפנה ב"כ הנאשם – ההליך הסתיים ללא הרשעה בגידול 355.4 גרם קנבוס, החזקה 236.8 גרם קנבוס והחזקת כלים להכנת סם מסוכן. הוגשו 2 תסקירים במסגרתם שירות המבחן המליץ להימנע מהרשעה, ובית המשפט מצא כי שיקולי שיקום מתקיימים. </w:t>
      </w:r>
    </w:p>
    <w:p w14:paraId="00581545" w14:textId="77777777" w:rsidR="00AE4DEA" w:rsidRDefault="00AE4DEA" w:rsidP="00AE4DEA">
      <w:pPr>
        <w:pStyle w:val="aa"/>
        <w:widowControl w:val="0"/>
        <w:rPr>
          <w:szCs w:val="20"/>
        </w:rPr>
      </w:pPr>
    </w:p>
    <w:p w14:paraId="4E34A852" w14:textId="77777777" w:rsidR="00AE4DEA" w:rsidRDefault="00B73171" w:rsidP="00AE4DEA">
      <w:pPr>
        <w:pStyle w:val="aa"/>
        <w:widowControl w:val="0"/>
        <w:numPr>
          <w:ilvl w:val="2"/>
          <w:numId w:val="1"/>
        </w:numPr>
        <w:spacing w:line="360" w:lineRule="auto"/>
        <w:ind w:left="1471" w:hanging="621"/>
        <w:jc w:val="both"/>
        <w:rPr>
          <w:sz w:val="24"/>
          <w:rtl/>
        </w:rPr>
      </w:pPr>
      <w:hyperlink r:id="rId41" w:history="1">
        <w:r w:rsidRPr="00B73171">
          <w:rPr>
            <w:color w:val="0000FF"/>
            <w:sz w:val="24"/>
            <w:u w:val="single"/>
            <w:rtl/>
          </w:rPr>
          <w:t>ת"פ (שלום-י-ם) 34925-03-14</w:t>
        </w:r>
      </w:hyperlink>
      <w:r w:rsidR="00AE4DEA">
        <w:rPr>
          <w:sz w:val="24"/>
          <w:rtl/>
        </w:rPr>
        <w:t xml:space="preserve"> </w:t>
      </w:r>
      <w:r w:rsidR="00AE4DEA">
        <w:rPr>
          <w:rFonts w:ascii="Miriam" w:hAnsi="Miriam" w:cs="Miriam"/>
          <w:b/>
          <w:bCs/>
          <w:szCs w:val="22"/>
          <w:rtl/>
        </w:rPr>
        <w:t>מדינת ישראל נ' טרמבובלר</w:t>
      </w:r>
      <w:r w:rsidR="00AE4DEA">
        <w:rPr>
          <w:sz w:val="24"/>
          <w:rtl/>
        </w:rPr>
        <w:t xml:space="preserve"> (14.4.16), אליו הפנה ב"כ הנאשם – נקבע כי גידול 472.78 גרם קנבוס במעבדה שבנה בביתו הוא "</w:t>
      </w:r>
      <w:r w:rsidR="00AE4DEA">
        <w:rPr>
          <w:b/>
          <w:bCs/>
          <w:sz w:val="24"/>
          <w:rtl/>
        </w:rPr>
        <w:t>מקרה גבולי מבחינת חומרת העבירה</w:t>
      </w:r>
      <w:r w:rsidR="00AE4DEA">
        <w:rPr>
          <w:sz w:val="24"/>
          <w:rtl/>
        </w:rPr>
        <w:t xml:space="preserve">". נקבע כי לא הוכחה פגיעה קונקרטית בנאשם ומשכך, בניגוד לנטען על ידי ב"כ הנאשם - בית המשפט לא נעתר לבקשת הנאשם והרשעתו לא בוטלה, חרף העדר עבר, גילו הצעיר, הודאתו, נסיבותיו האישיות והמלצת שירות המבחן. הושתו 200 שעות של"ץ, מאסרים מותנים ופסילה מותנית. </w:t>
      </w:r>
    </w:p>
    <w:p w14:paraId="552A2ABB" w14:textId="77777777" w:rsidR="00AE4DEA" w:rsidRDefault="00AE4DEA" w:rsidP="00AE4DEA">
      <w:pPr>
        <w:pStyle w:val="aa"/>
        <w:widowControl w:val="0"/>
        <w:rPr>
          <w:szCs w:val="20"/>
        </w:rPr>
      </w:pPr>
    </w:p>
    <w:p w14:paraId="4DB62119" w14:textId="77777777" w:rsidR="00AE4DEA" w:rsidRDefault="00B73171" w:rsidP="00AE4DEA">
      <w:pPr>
        <w:pStyle w:val="aa"/>
        <w:widowControl w:val="0"/>
        <w:numPr>
          <w:ilvl w:val="2"/>
          <w:numId w:val="1"/>
        </w:numPr>
        <w:spacing w:line="360" w:lineRule="auto"/>
        <w:ind w:left="1471" w:hanging="621"/>
        <w:jc w:val="both"/>
        <w:rPr>
          <w:sz w:val="24"/>
          <w:rtl/>
        </w:rPr>
      </w:pPr>
      <w:hyperlink r:id="rId42" w:history="1">
        <w:r w:rsidRPr="00B73171">
          <w:rPr>
            <w:color w:val="0000FF"/>
            <w:sz w:val="24"/>
            <w:u w:val="single"/>
            <w:rtl/>
          </w:rPr>
          <w:t>ת"פ (שלום-ק"ג) 35384-05-14</w:t>
        </w:r>
      </w:hyperlink>
      <w:r w:rsidR="00AE4DEA">
        <w:rPr>
          <w:sz w:val="24"/>
          <w:rtl/>
        </w:rPr>
        <w:t xml:space="preserve"> </w:t>
      </w:r>
      <w:r w:rsidR="00AE4DEA">
        <w:rPr>
          <w:rFonts w:ascii="Miriam" w:hAnsi="Miriam" w:cs="Miriam"/>
          <w:b/>
          <w:bCs/>
          <w:szCs w:val="22"/>
          <w:rtl/>
        </w:rPr>
        <w:t>מדינת ישראל נ' עטיה ואח'</w:t>
      </w:r>
      <w:r w:rsidR="00AE4DEA">
        <w:rPr>
          <w:sz w:val="24"/>
          <w:rtl/>
        </w:rPr>
        <w:t xml:space="preserve"> (30.03.16), אליו הפנה ב"כ הנאשם – בוטלה הרשעת הנאשמים בגידול 394 גרם קנבוס והחזקת כלים להכנת סם, בהתאם להמלצת שירות המבחן. </w:t>
      </w:r>
    </w:p>
    <w:p w14:paraId="5F209BC4" w14:textId="77777777" w:rsidR="00AE4DEA" w:rsidRDefault="00AE4DEA" w:rsidP="00AE4DEA">
      <w:pPr>
        <w:pStyle w:val="aa"/>
        <w:widowControl w:val="0"/>
        <w:rPr>
          <w:szCs w:val="20"/>
        </w:rPr>
      </w:pPr>
    </w:p>
    <w:p w14:paraId="01048653" w14:textId="77777777" w:rsidR="00AE4DEA" w:rsidRDefault="00B73171" w:rsidP="00AE4DEA">
      <w:pPr>
        <w:pStyle w:val="aa"/>
        <w:widowControl w:val="0"/>
        <w:numPr>
          <w:ilvl w:val="2"/>
          <w:numId w:val="1"/>
        </w:numPr>
        <w:spacing w:line="360" w:lineRule="auto"/>
        <w:ind w:left="1471" w:hanging="621"/>
        <w:jc w:val="both"/>
        <w:rPr>
          <w:sz w:val="24"/>
          <w:rtl/>
        </w:rPr>
      </w:pPr>
      <w:hyperlink r:id="rId43" w:history="1">
        <w:r w:rsidRPr="00B73171">
          <w:rPr>
            <w:color w:val="0000FF"/>
            <w:sz w:val="24"/>
            <w:u w:val="single"/>
            <w:rtl/>
          </w:rPr>
          <w:t>ת"פ (שלום-ק"ש) 27663-08-15</w:t>
        </w:r>
      </w:hyperlink>
      <w:r w:rsidR="00AE4DEA">
        <w:rPr>
          <w:sz w:val="24"/>
          <w:rtl/>
        </w:rPr>
        <w:t xml:space="preserve"> </w:t>
      </w:r>
      <w:r w:rsidR="00AE4DEA">
        <w:rPr>
          <w:rFonts w:ascii="Miriam" w:hAnsi="Miriam" w:cs="Miriam"/>
          <w:b/>
          <w:bCs/>
          <w:szCs w:val="22"/>
          <w:rtl/>
        </w:rPr>
        <w:t xml:space="preserve">מדינת ישראל נ' קרייניס </w:t>
      </w:r>
      <w:r w:rsidR="00AE4DEA">
        <w:rPr>
          <w:sz w:val="24"/>
          <w:rtl/>
        </w:rPr>
        <w:t>(19.1.16), ב"כ הנאשם הפנה ל-</w:t>
      </w:r>
      <w:hyperlink r:id="rId44" w:history="1">
        <w:r w:rsidRPr="00B73171">
          <w:rPr>
            <w:color w:val="0000FF"/>
            <w:sz w:val="24"/>
            <w:u w:val="single"/>
            <w:rtl/>
          </w:rPr>
          <w:t>מ"ת 27690-08-15</w:t>
        </w:r>
      </w:hyperlink>
      <w:r w:rsidR="00AE4DEA">
        <w:rPr>
          <w:sz w:val="24"/>
          <w:rtl/>
        </w:rPr>
        <w:t xml:space="preserve"> הקשור לתיק זה – בוטלה הרשעה בגידול 1.35 ק"ג קנבוס, לאור המלצת שירות המבחן, היותו צעיר, נורמטיבי, תרם לקהילה, סטודנט, שהביע חרטה על מעשיו ונכונות לביצוע עבודות של"ץ.</w:t>
      </w:r>
    </w:p>
    <w:p w14:paraId="25A1C2A5" w14:textId="77777777" w:rsidR="00AE4DEA" w:rsidRDefault="00AE4DEA" w:rsidP="00AE4DEA">
      <w:pPr>
        <w:pStyle w:val="aa"/>
        <w:widowControl w:val="0"/>
        <w:rPr>
          <w:szCs w:val="20"/>
        </w:rPr>
      </w:pPr>
    </w:p>
    <w:p w14:paraId="49B4F907" w14:textId="77777777" w:rsidR="00AE4DEA" w:rsidRDefault="00B73171" w:rsidP="00AE4DEA">
      <w:pPr>
        <w:pStyle w:val="aa"/>
        <w:widowControl w:val="0"/>
        <w:numPr>
          <w:ilvl w:val="2"/>
          <w:numId w:val="1"/>
        </w:numPr>
        <w:spacing w:line="360" w:lineRule="auto"/>
        <w:ind w:left="1471" w:hanging="621"/>
        <w:jc w:val="both"/>
        <w:rPr>
          <w:sz w:val="24"/>
          <w:rtl/>
        </w:rPr>
      </w:pPr>
      <w:hyperlink r:id="rId45" w:history="1">
        <w:r w:rsidRPr="00B73171">
          <w:rPr>
            <w:color w:val="0000FF"/>
            <w:u w:val="single"/>
            <w:rtl/>
          </w:rPr>
          <w:t>ת"פ (שלום-ב"ש) 24558-11-14</w:t>
        </w:r>
      </w:hyperlink>
      <w:r w:rsidR="00AE4DEA">
        <w:rPr>
          <w:rtl/>
        </w:rPr>
        <w:t xml:space="preserve"> ו</w:t>
      </w:r>
      <w:hyperlink r:id="rId46" w:history="1">
        <w:r w:rsidRPr="00B73171">
          <w:rPr>
            <w:color w:val="0000FF"/>
            <w:u w:val="single"/>
            <w:rtl/>
          </w:rPr>
          <w:t>ת"פ 30929-02-14</w:t>
        </w:r>
      </w:hyperlink>
      <w:r w:rsidR="00AE4DEA">
        <w:rPr>
          <w:rtl/>
        </w:rPr>
        <w:t xml:space="preserve"> </w:t>
      </w:r>
      <w:r w:rsidR="00AE4DEA">
        <w:rPr>
          <w:rFonts w:ascii="Miriam" w:hAnsi="Miriam" w:cs="Miriam"/>
          <w:b/>
          <w:bCs/>
          <w:szCs w:val="22"/>
          <w:rtl/>
        </w:rPr>
        <w:t>מדינת ישראל נ' חזיזה</w:t>
      </w:r>
      <w:r w:rsidR="00AE4DEA">
        <w:rPr>
          <w:rtl/>
        </w:rPr>
        <w:t xml:space="preserve"> (17.9.15) – נקבע על ידי כב' הש' בן טולילה "</w:t>
      </w:r>
      <w:r w:rsidR="00AE4DEA">
        <w:rPr>
          <w:b/>
          <w:bCs/>
          <w:rtl/>
        </w:rPr>
        <w:t>אכן יש משמעות למשקל הסם בקביעת מתחם העונש, אך אין לבצע חישוב אריתמטי מדויק של משקל הסם אל מול חודשי המאסר</w:t>
      </w:r>
      <w:r w:rsidR="00AE4DEA">
        <w:rPr>
          <w:rtl/>
        </w:rPr>
        <w:t>". בהחזקת כ-5 גרם הרואין נקבע מתחם 8–18 חודשי מאסר בפועל לצד ענישה נלווית.</w:t>
      </w:r>
    </w:p>
    <w:p w14:paraId="3EC252A7" w14:textId="77777777" w:rsidR="00AE4DEA" w:rsidRDefault="00AE4DEA" w:rsidP="00AE4DEA">
      <w:pPr>
        <w:pStyle w:val="aa"/>
        <w:widowControl w:val="0"/>
        <w:rPr>
          <w:sz w:val="24"/>
        </w:rPr>
      </w:pPr>
    </w:p>
    <w:p w14:paraId="3FE9AF61" w14:textId="77777777" w:rsidR="00AE4DEA" w:rsidRPr="00CE11C9" w:rsidRDefault="00B73171" w:rsidP="00AE4DEA">
      <w:pPr>
        <w:pStyle w:val="aa"/>
        <w:widowControl w:val="0"/>
        <w:numPr>
          <w:ilvl w:val="2"/>
          <w:numId w:val="1"/>
        </w:numPr>
        <w:spacing w:line="360" w:lineRule="auto"/>
        <w:ind w:left="1471" w:hanging="621"/>
        <w:jc w:val="both"/>
        <w:rPr>
          <w:sz w:val="24"/>
          <w:rtl/>
        </w:rPr>
      </w:pPr>
      <w:hyperlink r:id="rId47" w:history="1">
        <w:r w:rsidRPr="00B73171">
          <w:rPr>
            <w:rStyle w:val="default"/>
            <w:color w:val="0000FF"/>
            <w:sz w:val="24"/>
            <w:u w:val="single"/>
            <w:rtl/>
          </w:rPr>
          <w:t>ת"פ (שלום-אילת) 18394-04-13</w:t>
        </w:r>
      </w:hyperlink>
      <w:r w:rsidR="00AE4DEA">
        <w:rPr>
          <w:rStyle w:val="default"/>
          <w:rFonts w:hint="cs"/>
          <w:sz w:val="24"/>
          <w:rtl/>
        </w:rPr>
        <w:t xml:space="preserve"> </w:t>
      </w:r>
      <w:r w:rsidR="00AE4DEA">
        <w:rPr>
          <w:rFonts w:ascii="Miriam" w:hAnsi="Miriam" w:cs="Miriam"/>
          <w:b/>
          <w:bCs/>
          <w:szCs w:val="22"/>
          <w:rtl/>
        </w:rPr>
        <w:t>מדינת ישראל נ' משעלי ואח'</w:t>
      </w:r>
      <w:r w:rsidR="00AE4DEA" w:rsidRPr="00CE11C9">
        <w:rPr>
          <w:b/>
          <w:bCs/>
          <w:szCs w:val="22"/>
          <w:rtl/>
        </w:rPr>
        <w:t xml:space="preserve"> </w:t>
      </w:r>
      <w:r w:rsidR="00AE4DEA" w:rsidRPr="00CE11C9">
        <w:rPr>
          <w:rStyle w:val="default"/>
          <w:sz w:val="24"/>
          <w:rtl/>
        </w:rPr>
        <w:t>(9.9.14) - בהחזקת 0.065 גרם קוקאין לצריכה עצמית</w:t>
      </w:r>
      <w:r w:rsidR="00AE4DEA" w:rsidRPr="00CE11C9">
        <w:rPr>
          <w:sz w:val="24"/>
          <w:rtl/>
        </w:rPr>
        <w:t xml:space="preserve"> והחזקת 0.736 גרם קוקאין שלא לצריכה עצמית</w:t>
      </w:r>
      <w:r w:rsidR="00AE4DEA">
        <w:rPr>
          <w:rStyle w:val="default"/>
          <w:rFonts w:hint="cs"/>
          <w:sz w:val="24"/>
          <w:rtl/>
        </w:rPr>
        <w:t xml:space="preserve">, </w:t>
      </w:r>
      <w:r w:rsidR="00AE4DEA" w:rsidRPr="00CE11C9">
        <w:rPr>
          <w:rStyle w:val="default"/>
          <w:sz w:val="24"/>
          <w:rtl/>
        </w:rPr>
        <w:t xml:space="preserve">נקבע מתחם הנע ממאסר קצר עד 12 חודשי מאסר. הושתו חודשיים מאסר לריצוי בעבודות שירות. </w:t>
      </w:r>
    </w:p>
    <w:p w14:paraId="02F9E67F" w14:textId="77777777" w:rsidR="00AE4DEA" w:rsidRDefault="00AE4DEA" w:rsidP="00AE4DEA">
      <w:pPr>
        <w:pStyle w:val="aa"/>
        <w:widowControl w:val="0"/>
        <w:spacing w:line="360" w:lineRule="auto"/>
        <w:ind w:left="1471"/>
        <w:jc w:val="both"/>
        <w:rPr>
          <w:rStyle w:val="default"/>
          <w:sz w:val="24"/>
        </w:rPr>
      </w:pPr>
    </w:p>
    <w:p w14:paraId="480C49D6" w14:textId="77777777" w:rsidR="00AE4DEA" w:rsidRDefault="00AE4DEA" w:rsidP="00AE4DEA">
      <w:pPr>
        <w:pStyle w:val="aa"/>
        <w:widowControl w:val="0"/>
        <w:numPr>
          <w:ilvl w:val="1"/>
          <w:numId w:val="1"/>
        </w:numPr>
        <w:spacing w:line="360" w:lineRule="auto"/>
        <w:ind w:left="714" w:hanging="357"/>
        <w:jc w:val="both"/>
        <w:rPr>
          <w:rtl/>
        </w:rPr>
      </w:pPr>
      <w:r>
        <w:rPr>
          <w:b/>
          <w:sz w:val="24"/>
          <w:rtl/>
        </w:rPr>
        <w:t xml:space="preserve">בפסיקה עוברת כחוט השני חשיבות </w:t>
      </w:r>
      <w:r>
        <w:rPr>
          <w:b/>
          <w:bCs/>
          <w:sz w:val="24"/>
          <w:rtl/>
        </w:rPr>
        <w:t>נסיבות הקשורות בביצוע העבירות</w:t>
      </w:r>
      <w:r>
        <w:rPr>
          <w:sz w:val="24"/>
          <w:rtl/>
        </w:rPr>
        <w:t xml:space="preserve">, בהתאם </w:t>
      </w:r>
      <w:hyperlink r:id="rId48" w:history="1">
        <w:r w:rsidR="002B4F6C" w:rsidRPr="002B4F6C">
          <w:rPr>
            <w:rStyle w:val="Hyperlink"/>
            <w:sz w:val="24"/>
            <w:rtl/>
          </w:rPr>
          <w:t>לסעיף 40יט</w:t>
        </w:r>
      </w:hyperlink>
      <w:r>
        <w:rPr>
          <w:sz w:val="24"/>
          <w:rtl/>
        </w:rPr>
        <w:t xml:space="preserve"> ל-</w:t>
      </w:r>
      <w:hyperlink r:id="rId49" w:history="1">
        <w:r w:rsidR="00B73171" w:rsidRPr="00B73171">
          <w:rPr>
            <w:rFonts w:ascii="Miriam" w:hAnsi="Miriam" w:cs="Miriam"/>
            <w:b/>
            <w:bCs/>
            <w:color w:val="0000FF"/>
            <w:szCs w:val="22"/>
            <w:u w:val="single"/>
            <w:rtl/>
          </w:rPr>
          <w:t>חוק העונשין</w:t>
        </w:r>
      </w:hyperlink>
      <w:r>
        <w:rPr>
          <w:rFonts w:ascii="Miriam" w:hAnsi="Miriam" w:cs="Miriam"/>
          <w:b/>
          <w:bCs/>
          <w:szCs w:val="22"/>
          <w:rtl/>
        </w:rPr>
        <w:t xml:space="preserve"> </w:t>
      </w:r>
      <w:r>
        <w:rPr>
          <w:sz w:val="24"/>
          <w:rtl/>
        </w:rPr>
        <w:t>ובכלל זה סוג הסם, אופן החזקתו וכמותו. עיון בפסיקה מלמד, כי אין דין החזקת סמים מסוג קנבוס וחשיש כדין החזקת סמים מסוג קוקאין והרואין, אין דין החזקת גרמים בודדים כדין החזקת קילוגרמים רבים ואין דין החזקה לשימוש עצמי כדין החזקה שלא לשימוש עצמי בנסיבות המלמדות על מטרות סחר. משכך התחשבתי בנסיבות הבאות:</w:t>
      </w:r>
    </w:p>
    <w:p w14:paraId="1A797D53" w14:textId="77777777" w:rsidR="00AE4DEA" w:rsidRDefault="00AE4DEA" w:rsidP="00AE4DEA">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עבירות החזקת הסמים, מעצם טיבן וטבען </w:t>
      </w:r>
      <w:r>
        <w:rPr>
          <w:rFonts w:ascii="David" w:hAnsi="David"/>
          <w:b/>
          <w:bCs/>
          <w:rtl/>
          <w:lang w:eastAsia="he-IL"/>
        </w:rPr>
        <w:t>קדם להן תכנון</w:t>
      </w:r>
      <w:r>
        <w:rPr>
          <w:rFonts w:ascii="David" w:hAnsi="David"/>
          <w:rtl/>
          <w:lang w:eastAsia="he-IL"/>
        </w:rPr>
        <w:t>;</w:t>
      </w:r>
    </w:p>
    <w:p w14:paraId="41C996D2" w14:textId="77777777" w:rsidR="00AE4DEA" w:rsidRDefault="00AE4DEA" w:rsidP="00AE4DEA">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הנאשם הוא </w:t>
      </w:r>
      <w:r>
        <w:rPr>
          <w:rFonts w:ascii="David" w:hAnsi="David"/>
          <w:b/>
          <w:bCs/>
          <w:rtl/>
          <w:lang w:eastAsia="he-IL"/>
        </w:rPr>
        <w:t>המבצע היחיד והעיקרי</w:t>
      </w:r>
      <w:r>
        <w:rPr>
          <w:rFonts w:ascii="David" w:hAnsi="David"/>
          <w:rtl/>
          <w:lang w:eastAsia="he-IL"/>
        </w:rPr>
        <w:t>;</w:t>
      </w:r>
    </w:p>
    <w:p w14:paraId="6DABBC92" w14:textId="77777777" w:rsidR="00AE4DEA" w:rsidRDefault="00AE4DEA" w:rsidP="00AE4DEA">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 xml:space="preserve">אין להקל ראש </w:t>
      </w:r>
      <w:r>
        <w:rPr>
          <w:rFonts w:ascii="David" w:hAnsi="David"/>
          <w:b/>
          <w:bCs/>
          <w:rtl/>
          <w:lang w:eastAsia="he-IL"/>
        </w:rPr>
        <w:t>בנזק שהיה צפוי להיגרם מהעבירה</w:t>
      </w:r>
      <w:r>
        <w:rPr>
          <w:rFonts w:ascii="David" w:hAnsi="David"/>
          <w:rtl/>
          <w:lang w:eastAsia="he-IL"/>
        </w:rPr>
        <w:t>. בתיק העיקרי מדובר בסם מסוג קנבוס, שלא נמנה על הסמים המסוכנים והקטלניים שב-</w:t>
      </w:r>
      <w:r>
        <w:rPr>
          <w:rFonts w:ascii="David" w:hAnsi="David"/>
          <w:b/>
          <w:bCs/>
          <w:rtl/>
          <w:lang w:eastAsia="he-IL"/>
        </w:rPr>
        <w:t>פקודת הסמים</w:t>
      </w:r>
      <w:r>
        <w:rPr>
          <w:rFonts w:ascii="David" w:hAnsi="David"/>
          <w:rtl/>
          <w:lang w:eastAsia="he-IL"/>
        </w:rPr>
        <w:t xml:space="preserve">, אולם בתיק המצורף מדובר בסם מסוכן וקטלני מסוג קוקאין. עם זאת, בהינתן כמויות הסמים שהוחזקו לשימוש עצמי – לא מדובר בנזק בעל חומרה יתרה. בתיק העיקרי מדובר בהחזקה של </w:t>
      </w:r>
      <w:r>
        <w:rPr>
          <w:rFonts w:ascii="David" w:hAnsi="David"/>
          <w:rtl/>
        </w:rPr>
        <w:t>38.19</w:t>
      </w:r>
      <w:r>
        <w:rPr>
          <w:rFonts w:ascii="David" w:hAnsi="David"/>
          <w:rtl/>
          <w:lang w:eastAsia="he-IL"/>
        </w:rPr>
        <w:t xml:space="preserve"> גרם קנבוס, כמות הגבוהה אך במעט מכפל הכמות שנקבעה ב-</w:t>
      </w:r>
      <w:r>
        <w:rPr>
          <w:rFonts w:ascii="Miriam" w:hAnsi="Miriam" w:cs="Miriam"/>
          <w:b/>
          <w:bCs/>
          <w:noProof w:val="0"/>
          <w:sz w:val="22"/>
          <w:szCs w:val="22"/>
          <w:rtl/>
          <w:lang w:eastAsia="he-IL"/>
        </w:rPr>
        <w:t xml:space="preserve">פקודת הסמים </w:t>
      </w:r>
      <w:r>
        <w:rPr>
          <w:rFonts w:ascii="David" w:hAnsi="David"/>
          <w:rtl/>
          <w:lang w:eastAsia="he-IL"/>
        </w:rPr>
        <w:t>לשימוש עצמי. בתיק המצורף, מדובר בהחזקה של 0.0328 גרם קוקאין, כעשירית מהכמות שנקבעה ב-</w:t>
      </w:r>
      <w:r>
        <w:rPr>
          <w:rFonts w:ascii="Miriam" w:hAnsi="Miriam" w:cs="Miriam"/>
          <w:b/>
          <w:bCs/>
          <w:noProof w:val="0"/>
          <w:sz w:val="22"/>
          <w:szCs w:val="22"/>
          <w:rtl/>
          <w:lang w:eastAsia="he-IL"/>
        </w:rPr>
        <w:t xml:space="preserve">פקודת הסמים </w:t>
      </w:r>
      <w:r>
        <w:rPr>
          <w:rFonts w:ascii="David" w:hAnsi="David"/>
          <w:rtl/>
          <w:lang w:eastAsia="he-IL"/>
        </w:rPr>
        <w:t>לשימוש עצמי, ומשכך מדובר בכמות מזערית. בהתאם לכך גם בתיק שצורף לא מדובר בנזק בעל חומרה יתרה;</w:t>
      </w:r>
    </w:p>
    <w:p w14:paraId="706E1569" w14:textId="77777777" w:rsidR="00AE4DEA" w:rsidRDefault="00AE4DEA" w:rsidP="00AE4DEA">
      <w:pPr>
        <w:widowControl w:val="0"/>
        <w:numPr>
          <w:ilvl w:val="2"/>
          <w:numId w:val="1"/>
        </w:numPr>
        <w:snapToGrid w:val="0"/>
        <w:spacing w:line="360" w:lineRule="auto"/>
        <w:ind w:left="1134" w:hanging="414"/>
        <w:jc w:val="both"/>
        <w:rPr>
          <w:rFonts w:ascii="David" w:hAnsi="David"/>
          <w:lang w:eastAsia="he-IL"/>
        </w:rPr>
      </w:pPr>
      <w:r>
        <w:rPr>
          <w:rFonts w:ascii="David" w:hAnsi="David"/>
          <w:rtl/>
          <w:lang w:eastAsia="he-IL"/>
        </w:rPr>
        <w:t>גם</w:t>
      </w:r>
      <w:r>
        <w:rPr>
          <w:rFonts w:ascii="David" w:hAnsi="David"/>
          <w:b/>
          <w:bCs/>
          <w:rtl/>
          <w:lang w:eastAsia="he-IL"/>
        </w:rPr>
        <w:t xml:space="preserve"> הנזק שנגרם מביצוע העבירות</w:t>
      </w:r>
      <w:r>
        <w:rPr>
          <w:rFonts w:ascii="David" w:hAnsi="David"/>
          <w:rtl/>
          <w:lang w:eastAsia="he-IL"/>
        </w:rPr>
        <w:t xml:space="preserve"> לא רב, בהינתן כי הסמים נתפסו;</w:t>
      </w:r>
    </w:p>
    <w:p w14:paraId="4A385E65" w14:textId="77777777" w:rsidR="00AE4DEA" w:rsidRDefault="00AE4DEA" w:rsidP="00AE4DEA">
      <w:pPr>
        <w:widowControl w:val="0"/>
        <w:numPr>
          <w:ilvl w:val="2"/>
          <w:numId w:val="1"/>
        </w:numPr>
        <w:snapToGrid w:val="0"/>
        <w:spacing w:line="360" w:lineRule="auto"/>
        <w:ind w:left="1134" w:hanging="414"/>
        <w:jc w:val="both"/>
        <w:rPr>
          <w:rFonts w:ascii="David" w:hAnsi="David"/>
          <w:lang w:eastAsia="he-IL"/>
        </w:rPr>
      </w:pPr>
      <w:r>
        <w:rPr>
          <w:rFonts w:ascii="David" w:hAnsi="David"/>
          <w:b/>
          <w:bCs/>
          <w:rtl/>
          <w:lang w:eastAsia="he-IL"/>
        </w:rPr>
        <w:t>הסיבות שהביאו את הנאשם לביצוע העבירות</w:t>
      </w:r>
      <w:r>
        <w:rPr>
          <w:rFonts w:ascii="David" w:hAnsi="David"/>
          <w:rtl/>
          <w:lang w:eastAsia="he-IL"/>
        </w:rPr>
        <w:t xml:space="preserve"> כעולה </w:t>
      </w:r>
      <w:r>
        <w:rPr>
          <w:rFonts w:ascii="David" w:hAnsi="David"/>
          <w:rtl/>
        </w:rPr>
        <w:t>מהתסקיר, הן הכאבים באצבעו. לדבריו, עישון הקנבוס היווה עבורו מרפא והקלה וטען כי החזיק בעבר רישיון לשימוש בקנבוס, אותו לא חידש, כי לטענתו השימוש בקנבוס לא היטיב עמו.</w:t>
      </w:r>
      <w:r>
        <w:rPr>
          <w:rFonts w:ascii="David" w:hAnsi="David"/>
          <w:rtl/>
          <w:lang w:eastAsia="he-IL"/>
        </w:rPr>
        <w:t xml:space="preserve"> בטיעוניו לעונש ובדבריו לשירות המבחן הנאשם לא הצביע על סיבה ברורה להחזקת הקוקאין.</w:t>
      </w:r>
    </w:p>
    <w:p w14:paraId="6F8A2F44" w14:textId="77777777" w:rsidR="00AE4DEA" w:rsidRDefault="00AE4DEA" w:rsidP="00AE4DEA">
      <w:pPr>
        <w:widowControl w:val="0"/>
        <w:spacing w:line="360" w:lineRule="auto"/>
        <w:jc w:val="both"/>
        <w:rPr>
          <w:rFonts w:ascii="David" w:hAnsi="David"/>
          <w:bCs/>
          <w:sz w:val="26"/>
          <w:szCs w:val="26"/>
        </w:rPr>
      </w:pPr>
    </w:p>
    <w:p w14:paraId="23443718" w14:textId="77777777" w:rsidR="00AE4DEA" w:rsidRDefault="00AE4DEA" w:rsidP="00AE4DEA">
      <w:pPr>
        <w:widowControl w:val="0"/>
        <w:spacing w:line="360" w:lineRule="auto"/>
        <w:jc w:val="both"/>
        <w:rPr>
          <w:rFonts w:ascii="David" w:hAnsi="David"/>
          <w:bCs/>
          <w:sz w:val="26"/>
          <w:szCs w:val="26"/>
          <w:rtl/>
        </w:rPr>
      </w:pPr>
      <w:r>
        <w:rPr>
          <w:rFonts w:ascii="David" w:hAnsi="David"/>
          <w:bCs/>
          <w:sz w:val="26"/>
          <w:szCs w:val="26"/>
          <w:rtl/>
        </w:rPr>
        <w:t>מתחם העונש ההולם</w:t>
      </w:r>
    </w:p>
    <w:p w14:paraId="0B026312" w14:textId="77777777" w:rsidR="00AE4DEA" w:rsidRDefault="00AE4DEA" w:rsidP="00AE4DEA">
      <w:pPr>
        <w:pStyle w:val="aa"/>
        <w:widowControl w:val="0"/>
        <w:numPr>
          <w:ilvl w:val="0"/>
          <w:numId w:val="1"/>
        </w:numPr>
        <w:spacing w:line="360" w:lineRule="auto"/>
        <w:ind w:left="360"/>
        <w:jc w:val="both"/>
        <w:rPr>
          <w:b/>
          <w:sz w:val="24"/>
        </w:rPr>
      </w:pPr>
      <w:r>
        <w:rPr>
          <w:b/>
          <w:sz w:val="24"/>
          <w:rtl/>
        </w:rPr>
        <w:t xml:space="preserve">כמפורט לעיל, הנאשם הורשע בשתי עבירות המהוות שני אירועים נפרדים. אולם בהינתן הזיקה בין הערכים החברתיים שנפגעו, מידת הפגיעה בהם, נסיבות ביצוע העבירות והפסיקה הנוהגת – מתחם העונש ההולם הוא זהה בשני האירועים. </w:t>
      </w:r>
      <w:r>
        <w:rPr>
          <w:b/>
          <w:bCs/>
          <w:sz w:val="24"/>
          <w:rtl/>
        </w:rPr>
        <w:t>המתחם נע מ</w:t>
      </w:r>
      <w:r>
        <w:rPr>
          <w:rFonts w:hint="cs"/>
          <w:b/>
          <w:bCs/>
          <w:sz w:val="24"/>
          <w:rtl/>
        </w:rPr>
        <w:t xml:space="preserve">ענישה צופה פני עתיד </w:t>
      </w:r>
      <w:r>
        <w:rPr>
          <w:b/>
          <w:bCs/>
          <w:sz w:val="24"/>
          <w:rtl/>
        </w:rPr>
        <w:t>עד מספר חודשי מאסר, אשר יכול שירוצו בעבודות שירות</w:t>
      </w:r>
      <w:r>
        <w:rPr>
          <w:bCs/>
          <w:sz w:val="24"/>
          <w:rtl/>
        </w:rPr>
        <w:t>, לצד ענישה נלווית.</w:t>
      </w:r>
      <w:r>
        <w:rPr>
          <w:b/>
          <w:sz w:val="24"/>
          <w:rtl/>
        </w:rPr>
        <w:t xml:space="preserve"> </w:t>
      </w:r>
    </w:p>
    <w:p w14:paraId="759F6AB9" w14:textId="77777777" w:rsidR="00AE4DEA" w:rsidRDefault="00AE4DEA" w:rsidP="00AE4DEA">
      <w:pPr>
        <w:widowControl w:val="0"/>
        <w:numPr>
          <w:ilvl w:val="0"/>
          <w:numId w:val="1"/>
        </w:numPr>
        <w:snapToGrid w:val="0"/>
        <w:spacing w:before="240" w:line="360" w:lineRule="auto"/>
        <w:ind w:left="357" w:hanging="357"/>
        <w:jc w:val="both"/>
        <w:rPr>
          <w:b/>
          <w:sz w:val="20"/>
          <w:lang w:eastAsia="he-IL"/>
        </w:rPr>
      </w:pPr>
      <w:r>
        <w:rPr>
          <w:sz w:val="20"/>
          <w:rtl/>
          <w:lang w:eastAsia="he-IL"/>
        </w:rPr>
        <w:t xml:space="preserve">עבירות סמים הן עבירות כלכליות וככאלו מחייבות עיצומים כלכליים, שיהיה בהם כדי ללמד על חוסר הכדאיות בצבירת הון על חשבון בריאות הציבור. לצד זאת, בהתאם </w:t>
      </w:r>
      <w:hyperlink r:id="rId50" w:history="1">
        <w:r w:rsidR="002B4F6C" w:rsidRPr="002B4F6C">
          <w:rPr>
            <w:rStyle w:val="Hyperlink"/>
            <w:sz w:val="20"/>
            <w:rtl/>
            <w:lang w:eastAsia="he-IL"/>
          </w:rPr>
          <w:t>לסעיף 40ח</w:t>
        </w:r>
      </w:hyperlink>
      <w:r>
        <w:rPr>
          <w:sz w:val="20"/>
          <w:rtl/>
          <w:lang w:eastAsia="he-IL"/>
        </w:rPr>
        <w:t xml:space="preserve"> ל-</w:t>
      </w:r>
      <w:hyperlink r:id="rId51" w:history="1">
        <w:r w:rsidR="00B73171" w:rsidRPr="00B73171">
          <w:rPr>
            <w:rFonts w:ascii="Miriam" w:hAnsi="Miriam" w:cs="Miriam"/>
            <w:b/>
            <w:bCs/>
            <w:color w:val="0000FF"/>
            <w:sz w:val="22"/>
            <w:szCs w:val="22"/>
            <w:u w:val="single"/>
            <w:rtl/>
            <w:lang w:eastAsia="he-IL"/>
          </w:rPr>
          <w:t>חוק העונשין</w:t>
        </w:r>
      </w:hyperlink>
      <w:r>
        <w:rPr>
          <w:sz w:val="20"/>
          <w:rtl/>
          <w:lang w:eastAsia="he-IL"/>
        </w:rPr>
        <w:t xml:space="preserve">, התחשבתי במצבו הכלכלי הנטען של הנאשם בקביעת מתחם הקנס, שכן כאשר מדובר בעונש של קנס אין דין פלוני כאלמוני. משכך, </w:t>
      </w:r>
      <w:r>
        <w:rPr>
          <w:b/>
          <w:bCs/>
          <w:sz w:val="20"/>
          <w:rtl/>
          <w:lang w:eastAsia="he-IL"/>
        </w:rPr>
        <w:t xml:space="preserve">מתחם </w:t>
      </w:r>
      <w:r>
        <w:rPr>
          <w:rFonts w:hint="cs"/>
          <w:b/>
          <w:bCs/>
          <w:sz w:val="20"/>
          <w:rtl/>
          <w:lang w:eastAsia="he-IL"/>
        </w:rPr>
        <w:t>ה</w:t>
      </w:r>
      <w:r>
        <w:rPr>
          <w:b/>
          <w:bCs/>
          <w:sz w:val="20"/>
          <w:rtl/>
          <w:lang w:eastAsia="he-IL"/>
        </w:rPr>
        <w:t>קנס</w:t>
      </w:r>
      <w:r>
        <w:rPr>
          <w:rFonts w:hint="cs"/>
          <w:b/>
          <w:bCs/>
          <w:sz w:val="20"/>
          <w:rtl/>
          <w:lang w:eastAsia="he-IL"/>
        </w:rPr>
        <w:t xml:space="preserve"> הוא</w:t>
      </w:r>
      <w:r>
        <w:rPr>
          <w:b/>
          <w:bCs/>
          <w:sz w:val="20"/>
          <w:rtl/>
          <w:lang w:eastAsia="he-IL"/>
        </w:rPr>
        <w:t xml:space="preserve"> 1,500 ₪-8,500 ₪</w:t>
      </w:r>
      <w:r>
        <w:rPr>
          <w:sz w:val="20"/>
          <w:rtl/>
          <w:lang w:eastAsia="he-IL"/>
        </w:rPr>
        <w:t xml:space="preserve">. </w:t>
      </w:r>
    </w:p>
    <w:p w14:paraId="7FCE3C74" w14:textId="77777777" w:rsidR="00AE4DEA" w:rsidRDefault="00AE4DEA" w:rsidP="00AE4DEA">
      <w:pPr>
        <w:widowControl w:val="0"/>
        <w:numPr>
          <w:ilvl w:val="0"/>
          <w:numId w:val="1"/>
        </w:numPr>
        <w:snapToGrid w:val="0"/>
        <w:spacing w:before="240" w:line="360" w:lineRule="auto"/>
        <w:ind w:left="357" w:hanging="357"/>
        <w:jc w:val="both"/>
        <w:rPr>
          <w:b/>
          <w:sz w:val="20"/>
          <w:rtl/>
          <w:lang w:eastAsia="he-IL"/>
        </w:rPr>
      </w:pPr>
      <w:r>
        <w:rPr>
          <w:sz w:val="20"/>
          <w:rtl/>
          <w:lang w:eastAsia="he-IL"/>
        </w:rPr>
        <w:t xml:space="preserve">כפי שנקבע בפסיקה ובהתאם להוראות </w:t>
      </w:r>
      <w:hyperlink r:id="rId52" w:history="1">
        <w:r w:rsidR="002B4F6C" w:rsidRPr="002B4F6C">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בעבירות הקשורות בסם מסוכן יש חשיבות לפסילה</w:t>
      </w:r>
      <w:r>
        <w:rPr>
          <w:rFonts w:hint="cs"/>
          <w:sz w:val="20"/>
          <w:rtl/>
          <w:lang w:eastAsia="he-IL"/>
        </w:rPr>
        <w:t xml:space="preserve">. </w:t>
      </w:r>
      <w:r>
        <w:rPr>
          <w:b/>
          <w:bCs/>
          <w:sz w:val="20"/>
          <w:rtl/>
          <w:lang w:eastAsia="he-IL"/>
        </w:rPr>
        <w:t>מתחם הפסילה נע בין פסילה מותנית לבין שנת פסילה בפועל</w:t>
      </w:r>
      <w:r>
        <w:rPr>
          <w:sz w:val="20"/>
          <w:rtl/>
          <w:lang w:eastAsia="he-IL"/>
        </w:rPr>
        <w:t>.</w:t>
      </w:r>
    </w:p>
    <w:p w14:paraId="25F23B15" w14:textId="77777777" w:rsidR="00AE4DEA" w:rsidRDefault="00AE4DEA" w:rsidP="00AE4DEA">
      <w:pPr>
        <w:widowControl w:val="0"/>
        <w:spacing w:line="360" w:lineRule="auto"/>
        <w:jc w:val="both"/>
        <w:rPr>
          <w:rFonts w:ascii="David" w:hAnsi="David"/>
          <w:bCs/>
          <w:sz w:val="26"/>
          <w:szCs w:val="26"/>
        </w:rPr>
      </w:pPr>
    </w:p>
    <w:p w14:paraId="58D161BB" w14:textId="77777777" w:rsidR="00AE4DEA" w:rsidRDefault="00AE4DEA" w:rsidP="00AE4DEA">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המתחמים</w:t>
      </w:r>
    </w:p>
    <w:p w14:paraId="739F1940" w14:textId="77777777" w:rsidR="00AE4DEA" w:rsidRDefault="00AE4DEA" w:rsidP="00AE4DEA">
      <w:pPr>
        <w:pStyle w:val="aa"/>
        <w:widowControl w:val="0"/>
        <w:numPr>
          <w:ilvl w:val="0"/>
          <w:numId w:val="1"/>
        </w:numPr>
        <w:spacing w:line="360" w:lineRule="auto"/>
        <w:ind w:left="360"/>
        <w:jc w:val="both"/>
        <w:rPr>
          <w:sz w:val="24"/>
        </w:rPr>
      </w:pPr>
      <w:r>
        <w:rPr>
          <w:sz w:val="24"/>
          <w:rtl/>
        </w:rPr>
        <w:t xml:space="preserve">בהתאם להוראות </w:t>
      </w:r>
      <w:hyperlink r:id="rId53" w:history="1">
        <w:r w:rsidR="002B4F6C" w:rsidRPr="002B4F6C">
          <w:rPr>
            <w:rStyle w:val="Hyperlink"/>
            <w:sz w:val="24"/>
            <w:rtl/>
          </w:rPr>
          <w:t>סעיף 40ג(ב)</w:t>
        </w:r>
      </w:hyperlink>
      <w:r>
        <w:rPr>
          <w:sz w:val="24"/>
          <w:rtl/>
        </w:rPr>
        <w:t xml:space="preserve"> התחשבתי בנסיבות שלא קשורות בביצוע העבירה, כמפורט </w:t>
      </w:r>
      <w:hyperlink r:id="rId54" w:history="1">
        <w:r w:rsidR="002B4F6C" w:rsidRPr="002B4F6C">
          <w:rPr>
            <w:rStyle w:val="Hyperlink"/>
            <w:sz w:val="24"/>
            <w:rtl/>
          </w:rPr>
          <w:t>בסעיף 40יא</w:t>
        </w:r>
      </w:hyperlink>
      <w:r>
        <w:rPr>
          <w:sz w:val="24"/>
          <w:rtl/>
        </w:rPr>
        <w:t>, כעולה מהתסקירים הנושאים תאריכים 5.12.22 ו-24.1.23, מטיעוני הצדדים לעונש ומדברי הנאשם:</w:t>
      </w:r>
    </w:p>
    <w:p w14:paraId="39988FAE" w14:textId="77777777" w:rsidR="00AE4DEA" w:rsidRPr="00EF67EA" w:rsidRDefault="00AE4DEA" w:rsidP="00AE4DEA">
      <w:pPr>
        <w:pStyle w:val="aa"/>
        <w:widowControl w:val="0"/>
        <w:ind w:left="360"/>
        <w:jc w:val="both"/>
        <w:rPr>
          <w:szCs w:val="20"/>
        </w:rPr>
      </w:pPr>
    </w:p>
    <w:p w14:paraId="2CCCE18D" w14:textId="77777777" w:rsidR="00AE4DEA" w:rsidRDefault="00AE4DEA" w:rsidP="00AE4DEA">
      <w:pPr>
        <w:widowControl w:val="0"/>
        <w:numPr>
          <w:ilvl w:val="2"/>
          <w:numId w:val="1"/>
        </w:numPr>
        <w:spacing w:line="360" w:lineRule="auto"/>
        <w:ind w:left="794" w:hanging="454"/>
        <w:jc w:val="both"/>
        <w:rPr>
          <w:rFonts w:ascii="David" w:hAnsi="David"/>
        </w:rPr>
      </w:pPr>
      <w:r>
        <w:rPr>
          <w:rFonts w:ascii="David" w:hAnsi="David"/>
          <w:b/>
          <w:bCs/>
          <w:rtl/>
        </w:rPr>
        <w:t>הפגיעה של העונש בנאשם, לרבות בשל גילו, ובמשפחתו</w:t>
      </w:r>
      <w:r>
        <w:rPr>
          <w:rFonts w:ascii="David" w:hAnsi="David"/>
          <w:rtl/>
        </w:rPr>
        <w:t xml:space="preserve"> – הנאשם כבן 26, רווק, הרביעי מבין 9 אחים. מתגורר בבית הוריו באשקלון. הנאשם גדל בבית תקין ויצרני. שני הוריו עובדים ולדבריו אף אחד מבני משפחתו לא הועמד לדין פלילי מלבד אח אחד. </w:t>
      </w:r>
    </w:p>
    <w:p w14:paraId="4AF5A1CF" w14:textId="77777777" w:rsidR="00AE4DEA" w:rsidRPr="00EF67EA" w:rsidRDefault="00AE4DEA" w:rsidP="00AE4DEA">
      <w:pPr>
        <w:widowControl w:val="0"/>
        <w:ind w:left="794"/>
        <w:jc w:val="both"/>
        <w:rPr>
          <w:rFonts w:ascii="David" w:hAnsi="David"/>
          <w:sz w:val="20"/>
          <w:szCs w:val="20"/>
        </w:rPr>
      </w:pPr>
    </w:p>
    <w:p w14:paraId="4C4D55E5" w14:textId="77777777" w:rsidR="00AE4DEA" w:rsidRDefault="00AE4DEA" w:rsidP="00AE4DEA">
      <w:pPr>
        <w:widowControl w:val="0"/>
        <w:numPr>
          <w:ilvl w:val="2"/>
          <w:numId w:val="1"/>
        </w:numPr>
        <w:spacing w:line="360" w:lineRule="auto"/>
        <w:ind w:left="794" w:hanging="454"/>
        <w:jc w:val="both"/>
        <w:rPr>
          <w:rFonts w:ascii="David" w:hAnsi="David"/>
        </w:rPr>
      </w:pPr>
      <w:r>
        <w:rPr>
          <w:rFonts w:ascii="David" w:hAnsi="David"/>
          <w:b/>
          <w:bCs/>
          <w:rtl/>
        </w:rPr>
        <w:t>נסיבות חייו של הנאשם שהייתה להן השפעה על ביצוע העבירה</w:t>
      </w:r>
      <w:r>
        <w:rPr>
          <w:rFonts w:ascii="David" w:hAnsi="David"/>
          <w:rtl/>
        </w:rPr>
        <w:t xml:space="preserve"> – הנאשם סיים 11 שנות לימוד. עזב את הלימודים בשל רצונו לעבוד ולהתפרנס. התגייס ושירת כשנה בתפקיד אפסנאי. שוחרר מהצבא על רקע "אי התאמה" לאחר נפקדות בשל סרוב להעבירו לתפקיד אחר. כעולה מהתסקיר מיום 24.1.23 ומדברי ב"כ הנאשם – עבד במפעל בתחום החשמל ובשעות אחר הצהריים בפיצרייה. כיום עובד בחברת "רשפים" ובשעות אחר הצהריים עדיין עובד בפיצרייה. לדבריו, בתקופת הקורונה לא עבד תקופה מסוימת ובשל כך צבר חובות אשר כתוצאה מהם נדרש לעבוד בשתי עבודות במקביל. מעבר לכך, הנאשם לא שיתף את שירות המבחן אודות נסיבות חייו ובכלל זה אלו אשר תרמו לביצוע העבירות על ידו, אולם ציין כי החל לעשות שימוש בקנבוס לאחר שירותו מהצבא בשל כאבים באצבעו. </w:t>
      </w:r>
    </w:p>
    <w:p w14:paraId="4DE507E9" w14:textId="77777777" w:rsidR="00AE4DEA" w:rsidRPr="00EF67EA" w:rsidRDefault="00AE4DEA" w:rsidP="00AE4DEA">
      <w:pPr>
        <w:pStyle w:val="aa"/>
        <w:widowControl w:val="0"/>
        <w:rPr>
          <w:b/>
          <w:bCs/>
          <w:sz w:val="16"/>
          <w:szCs w:val="20"/>
        </w:rPr>
      </w:pPr>
    </w:p>
    <w:p w14:paraId="666D47B0" w14:textId="77777777" w:rsidR="00AE4DEA" w:rsidRDefault="00AE4DEA" w:rsidP="00AE4DEA">
      <w:pPr>
        <w:widowControl w:val="0"/>
        <w:numPr>
          <w:ilvl w:val="2"/>
          <w:numId w:val="1"/>
        </w:numPr>
        <w:spacing w:line="360" w:lineRule="auto"/>
        <w:ind w:left="794" w:hanging="454"/>
        <w:jc w:val="both"/>
        <w:rPr>
          <w:rFonts w:ascii="David" w:hAnsi="David"/>
          <w:rtl/>
        </w:rPr>
      </w:pPr>
      <w:r>
        <w:rPr>
          <w:rFonts w:ascii="David" w:hAnsi="David"/>
          <w:b/>
          <w:bCs/>
          <w:rtl/>
        </w:rPr>
        <w:t>נטילת האחריות של הנאשם על מעשיו</w:t>
      </w:r>
      <w:r>
        <w:rPr>
          <w:rFonts w:ascii="David" w:hAnsi="David"/>
          <w:rtl/>
        </w:rPr>
        <w:t xml:space="preserve"> – הנאשם הודה ב-10.7.22, כשנתיים לאחר ביצוע העבירה בתיק העיקרי וכשנה לאחר ביצוע העבירה בתיק המצורף. להתרשמות שירות המבחן הנאשם מתקשה לקחת אחריות על ביצוע העבירות, תוך שהוא נוקט גישה שטחית ביחס אליהן. הנאשם התקשה להרחיב על המניעים לביצוען ומשמעותן. </w:t>
      </w:r>
    </w:p>
    <w:p w14:paraId="0964272C" w14:textId="77777777" w:rsidR="00AE4DEA" w:rsidRPr="00EF67EA" w:rsidRDefault="00AE4DEA" w:rsidP="00AE4DEA">
      <w:pPr>
        <w:pStyle w:val="aa"/>
        <w:widowControl w:val="0"/>
        <w:rPr>
          <w:b/>
          <w:bCs/>
          <w:sz w:val="16"/>
          <w:szCs w:val="20"/>
        </w:rPr>
      </w:pPr>
    </w:p>
    <w:p w14:paraId="623F7C9A" w14:textId="77777777" w:rsidR="00AE4DEA" w:rsidRDefault="00AE4DEA" w:rsidP="00AE4DEA">
      <w:pPr>
        <w:widowControl w:val="0"/>
        <w:numPr>
          <w:ilvl w:val="2"/>
          <w:numId w:val="1"/>
        </w:numPr>
        <w:spacing w:line="360" w:lineRule="auto"/>
        <w:ind w:left="794" w:hanging="454"/>
        <w:jc w:val="both"/>
        <w:rPr>
          <w:rFonts w:ascii="David" w:hAnsi="David"/>
          <w:b/>
          <w:bCs/>
          <w:rtl/>
        </w:rPr>
      </w:pPr>
      <w:r>
        <w:rPr>
          <w:rFonts w:ascii="David" w:hAnsi="David"/>
          <w:b/>
          <w:bCs/>
          <w:rtl/>
        </w:rPr>
        <w:t>מאמצי הנאשם לחזור למוטב</w:t>
      </w:r>
      <w:r>
        <w:rPr>
          <w:rFonts w:ascii="David" w:hAnsi="David"/>
          <w:rtl/>
        </w:rPr>
        <w:t xml:space="preserve"> – הנאשם הצהיר בפני שירות המבחן כי כיום אינו משתמש בסמים וכי לא חידש את הרישיון שהיה לו לשימוש בקנבוס, אך מעבר לכך לא שיתף פעולה עם שירות המבחן, לא נרתם להליך טיפולי כלשהו ואף לא התייצב למספר פגישות שנקבעו לו, כעולה מהתסקיר מיום 5.12.22. מהתסקיר מ-24.1.23 עולה כי גם כשהתייצב, עשה זאת באיחור של שעה, מבלי לייחס לכך חשיבות, התקשה לשתף פעולה ולדבר על עצמו ועל העבירות. בנוסף, לא הגיע לבדיקה לגילוי שרידי סם ולא סיפק הסבר לכך. להתרשמות שירות המבחן קיימים גורמי סיכון להישנות עבירות, בהינתן כי מדובר במי שמתקשה להתמיד במסגרות, נעדר גורמי תמיכה משמעותיים, מתשקה לבחון עברו והעבירות בהן הודה, מתקשה לשתף על אודותיו וקשייו. </w:t>
      </w:r>
      <w:r>
        <w:rPr>
          <w:rFonts w:ascii="David" w:hAnsi="David"/>
          <w:b/>
          <w:bCs/>
          <w:rtl/>
        </w:rPr>
        <w:t xml:space="preserve"> </w:t>
      </w:r>
    </w:p>
    <w:p w14:paraId="389C13EF" w14:textId="77777777" w:rsidR="00AE4DEA" w:rsidRPr="00EF67EA" w:rsidRDefault="00AE4DEA" w:rsidP="00AE4DEA">
      <w:pPr>
        <w:pStyle w:val="aa"/>
        <w:rPr>
          <w:b/>
          <w:bCs/>
          <w:sz w:val="16"/>
          <w:szCs w:val="20"/>
        </w:rPr>
      </w:pPr>
    </w:p>
    <w:p w14:paraId="56B5988E" w14:textId="77777777" w:rsidR="00AE4DEA" w:rsidRDefault="00AE4DEA" w:rsidP="00AE4DEA">
      <w:pPr>
        <w:widowControl w:val="0"/>
        <w:numPr>
          <w:ilvl w:val="2"/>
          <w:numId w:val="1"/>
        </w:numPr>
        <w:spacing w:line="360" w:lineRule="auto"/>
        <w:ind w:left="794" w:hanging="454"/>
        <w:jc w:val="both"/>
        <w:rPr>
          <w:rFonts w:ascii="David" w:hAnsi="David"/>
          <w:rtl/>
        </w:rPr>
      </w:pPr>
      <w:r>
        <w:rPr>
          <w:rFonts w:ascii="David" w:hAnsi="David"/>
          <w:b/>
          <w:bCs/>
          <w:rtl/>
        </w:rPr>
        <w:t xml:space="preserve">חלוף הזמן – </w:t>
      </w:r>
      <w:r>
        <w:rPr>
          <w:rFonts w:ascii="David" w:hAnsi="David"/>
          <w:rtl/>
        </w:rPr>
        <w:t xml:space="preserve">חלפו כשנתיים וחצי מביצוע העבירה בתיק העיקרי וכשלוש וחצי שנים מביצוע העבירה בתיק המצורף, במהלכן לא הורשע בעבירות נוספות. </w:t>
      </w:r>
    </w:p>
    <w:p w14:paraId="0FAA6C89" w14:textId="77777777" w:rsidR="00AE4DEA" w:rsidRPr="00EF67EA" w:rsidRDefault="00AE4DEA" w:rsidP="00AE4DEA">
      <w:pPr>
        <w:pStyle w:val="aa"/>
        <w:widowControl w:val="0"/>
        <w:rPr>
          <w:sz w:val="16"/>
          <w:szCs w:val="20"/>
        </w:rPr>
      </w:pPr>
    </w:p>
    <w:p w14:paraId="18127B4B" w14:textId="77777777" w:rsidR="00AE4DEA" w:rsidRDefault="00AE4DEA" w:rsidP="00AE4DEA">
      <w:pPr>
        <w:widowControl w:val="0"/>
        <w:numPr>
          <w:ilvl w:val="2"/>
          <w:numId w:val="1"/>
        </w:numPr>
        <w:spacing w:line="360" w:lineRule="auto"/>
        <w:ind w:left="794" w:hanging="454"/>
        <w:jc w:val="both"/>
        <w:rPr>
          <w:rFonts w:ascii="David" w:hAnsi="David"/>
          <w:rtl/>
        </w:rPr>
      </w:pPr>
      <w:r>
        <w:rPr>
          <w:rFonts w:ascii="David" w:hAnsi="David"/>
          <w:b/>
          <w:bCs/>
          <w:rtl/>
        </w:rPr>
        <w:t>הנאשם נעדר</w:t>
      </w:r>
      <w:r>
        <w:rPr>
          <w:rFonts w:ascii="David" w:hAnsi="David"/>
          <w:rtl/>
        </w:rPr>
        <w:t xml:space="preserve"> </w:t>
      </w:r>
      <w:r>
        <w:rPr>
          <w:rFonts w:ascii="David" w:hAnsi="David"/>
          <w:b/>
          <w:bCs/>
          <w:rtl/>
        </w:rPr>
        <w:t>עבר פלילי</w:t>
      </w:r>
      <w:r>
        <w:rPr>
          <w:rFonts w:ascii="David" w:hAnsi="David"/>
          <w:rtl/>
        </w:rPr>
        <w:t>.</w:t>
      </w:r>
    </w:p>
    <w:p w14:paraId="1810B694" w14:textId="77777777" w:rsidR="00AE4DEA" w:rsidRDefault="00AE4DEA" w:rsidP="00AE4DEA">
      <w:pPr>
        <w:widowControl w:val="0"/>
        <w:spacing w:line="360" w:lineRule="auto"/>
        <w:jc w:val="both"/>
        <w:rPr>
          <w:rFonts w:ascii="David" w:hAnsi="David"/>
          <w:b/>
          <w:bCs/>
          <w:sz w:val="26"/>
          <w:szCs w:val="26"/>
        </w:rPr>
      </w:pPr>
    </w:p>
    <w:p w14:paraId="5439066F" w14:textId="77777777" w:rsidR="00AE4DEA" w:rsidRDefault="00AE4DEA" w:rsidP="00AE4DEA">
      <w:pPr>
        <w:widowControl w:val="0"/>
        <w:spacing w:line="360" w:lineRule="auto"/>
        <w:jc w:val="both"/>
        <w:rPr>
          <w:rFonts w:ascii="David" w:hAnsi="David"/>
          <w:b/>
          <w:bCs/>
          <w:sz w:val="26"/>
          <w:szCs w:val="26"/>
          <w:rtl/>
        </w:rPr>
      </w:pPr>
      <w:r>
        <w:rPr>
          <w:rFonts w:ascii="David" w:hAnsi="David"/>
          <w:b/>
          <w:bCs/>
          <w:sz w:val="26"/>
          <w:szCs w:val="26"/>
          <w:rtl/>
        </w:rPr>
        <w:t>סוף דבר</w:t>
      </w:r>
    </w:p>
    <w:p w14:paraId="2AB8B2C8" w14:textId="77777777" w:rsidR="00AE4DEA" w:rsidRDefault="00AE4DEA" w:rsidP="00AE4DEA">
      <w:pPr>
        <w:pStyle w:val="aa"/>
        <w:widowControl w:val="0"/>
        <w:numPr>
          <w:ilvl w:val="0"/>
          <w:numId w:val="1"/>
        </w:numPr>
        <w:spacing w:line="360" w:lineRule="auto"/>
        <w:ind w:left="360"/>
        <w:jc w:val="both"/>
        <w:rPr>
          <w:sz w:val="24"/>
        </w:rPr>
      </w:pPr>
      <w:r>
        <w:rPr>
          <w:sz w:val="24"/>
          <w:rtl/>
        </w:rPr>
        <w:t xml:space="preserve">לא מצאתי מקום לחרוג ממתחם העונש ההולם בשל שיקולי שיקום או הגנה על שלום הציבור לפי הוראות </w:t>
      </w:r>
      <w:hyperlink r:id="rId55" w:history="1">
        <w:r w:rsidR="002B4F6C" w:rsidRPr="002B4F6C">
          <w:rPr>
            <w:rStyle w:val="Hyperlink"/>
            <w:sz w:val="24"/>
            <w:rtl/>
          </w:rPr>
          <w:t>סעיפים 40ד</w:t>
        </w:r>
      </w:hyperlink>
      <w:r>
        <w:rPr>
          <w:sz w:val="24"/>
          <w:rtl/>
        </w:rPr>
        <w:t xml:space="preserve"> ו-</w:t>
      </w:r>
      <w:hyperlink r:id="rId56" w:history="1">
        <w:r w:rsidR="002B4F6C" w:rsidRPr="002B4F6C">
          <w:rPr>
            <w:rStyle w:val="Hyperlink"/>
            <w:sz w:val="24"/>
            <w:rtl/>
          </w:rPr>
          <w:t>40ה</w:t>
        </w:r>
      </w:hyperlink>
      <w:r>
        <w:rPr>
          <w:sz w:val="24"/>
          <w:rtl/>
        </w:rPr>
        <w:t xml:space="preserve"> ל-</w:t>
      </w:r>
      <w:hyperlink r:id="rId57" w:history="1">
        <w:r w:rsidR="00B73171" w:rsidRPr="00B73171">
          <w:rPr>
            <w:rFonts w:ascii="Miriam" w:hAnsi="Miriam" w:cs="Miriam"/>
            <w:b/>
            <w:bCs/>
            <w:color w:val="0000FF"/>
            <w:szCs w:val="22"/>
            <w:u w:val="single"/>
            <w:rtl/>
          </w:rPr>
          <w:t>חוק העונשין</w:t>
        </w:r>
      </w:hyperlink>
      <w:r>
        <w:rPr>
          <w:sz w:val="24"/>
          <w:rtl/>
        </w:rPr>
        <w:t>. בהינתן העדר שיתוף פעולה עם הליך טיפולי ומשלא ניתן להצביע על נזק קונקרטי ואף לא על נזק פוטנציאלי שיגרם לנאשם – הנאשם לא עומד באף אחד מהתנאים שנקבעו ב-</w:t>
      </w:r>
      <w:r>
        <w:rPr>
          <w:rFonts w:ascii="Miriam" w:hAnsi="Miriam" w:cs="Miriam"/>
          <w:b/>
          <w:bCs/>
          <w:szCs w:val="22"/>
          <w:rtl/>
        </w:rPr>
        <w:t>הלכת כתב</w:t>
      </w:r>
      <w:r>
        <w:rPr>
          <w:sz w:val="24"/>
          <w:rtl/>
        </w:rPr>
        <w:t>. משכך לא מצאתי לנכון להורות על ביטול הרשעתו.</w:t>
      </w:r>
      <w:r>
        <w:rPr>
          <w:rFonts w:hint="cs"/>
          <w:sz w:val="24"/>
          <w:rtl/>
        </w:rPr>
        <w:t xml:space="preserve"> קראתי בעיון את מאמרו של ב"כ הנאשם. ראשית אציין כי בפסיקה נקבע פעם אחר פעם שאין מקום לעיין מחדש ב-</w:t>
      </w:r>
      <w:r w:rsidRPr="00EF67EA">
        <w:rPr>
          <w:rFonts w:ascii="Miriam" w:hAnsi="Miriam" w:cs="Miriam" w:hint="cs"/>
          <w:b/>
          <w:bCs/>
          <w:szCs w:val="22"/>
          <w:rtl/>
        </w:rPr>
        <w:t>הלכת כתב</w:t>
      </w:r>
      <w:r>
        <w:rPr>
          <w:rFonts w:hint="cs"/>
          <w:sz w:val="24"/>
          <w:rtl/>
        </w:rPr>
        <w:t>.</w:t>
      </w:r>
      <w:r>
        <w:rPr>
          <w:sz w:val="24"/>
          <w:rtl/>
        </w:rPr>
        <w:t xml:space="preserve"> </w:t>
      </w:r>
      <w:r>
        <w:rPr>
          <w:rFonts w:hint="cs"/>
          <w:sz w:val="24"/>
          <w:rtl/>
        </w:rPr>
        <w:t>כך נקבע בסעיף 13 להחלטת כב' הש' אלרון ב-</w:t>
      </w:r>
      <w:hyperlink r:id="rId58" w:history="1">
        <w:r w:rsidR="00B73171" w:rsidRPr="00B73171">
          <w:rPr>
            <w:color w:val="0000FF"/>
            <w:sz w:val="24"/>
            <w:u w:val="single"/>
            <w:rtl/>
          </w:rPr>
          <w:t>רע"פ 6819/19</w:t>
        </w:r>
      </w:hyperlink>
      <w:r>
        <w:rPr>
          <w:rFonts w:hint="cs"/>
          <w:sz w:val="24"/>
          <w:rtl/>
        </w:rPr>
        <w:t xml:space="preserve"> </w:t>
      </w:r>
      <w:r w:rsidRPr="00BB2585">
        <w:rPr>
          <w:rFonts w:ascii="Miriam" w:hAnsi="Miriam" w:cs="Miriam" w:hint="cs"/>
          <w:b/>
          <w:bCs/>
          <w:szCs w:val="22"/>
          <w:rtl/>
        </w:rPr>
        <w:t>סרוסי נ' מדינת ישראל</w:t>
      </w:r>
      <w:r>
        <w:rPr>
          <w:rFonts w:hint="cs"/>
          <w:sz w:val="24"/>
          <w:rtl/>
        </w:rPr>
        <w:t xml:space="preserve"> (28.10.19) (וראו האסמכתאות שם) - </w:t>
      </w:r>
    </w:p>
    <w:p w14:paraId="0AAF7010" w14:textId="77777777" w:rsidR="00AE4DEA" w:rsidRDefault="00AE4DEA" w:rsidP="00AE4DEA">
      <w:pPr>
        <w:pStyle w:val="Ruller4"/>
        <w:spacing w:line="240" w:lineRule="auto"/>
        <w:ind w:left="1440" w:right="1276"/>
        <w:rPr>
          <w:rFonts w:ascii="David" w:hAnsi="David" w:cs="David"/>
          <w:spacing w:val="0"/>
          <w:sz w:val="24"/>
          <w:szCs w:val="24"/>
          <w:rtl/>
        </w:rPr>
      </w:pPr>
    </w:p>
    <w:p w14:paraId="076ABB48" w14:textId="77777777" w:rsidR="00AE4DEA" w:rsidRPr="00BB2585" w:rsidRDefault="00AE4DEA" w:rsidP="00AE4DEA">
      <w:pPr>
        <w:pStyle w:val="Ruller4"/>
        <w:spacing w:line="240" w:lineRule="auto"/>
        <w:ind w:left="1440" w:right="1276"/>
        <w:rPr>
          <w:rFonts w:ascii="David" w:hAnsi="David" w:cs="David"/>
          <w:spacing w:val="0"/>
          <w:sz w:val="24"/>
          <w:szCs w:val="24"/>
        </w:rPr>
      </w:pPr>
      <w:r>
        <w:rPr>
          <w:rFonts w:ascii="David" w:hAnsi="David" w:cs="David" w:hint="cs"/>
          <w:spacing w:val="0"/>
          <w:sz w:val="24"/>
          <w:szCs w:val="24"/>
          <w:rtl/>
        </w:rPr>
        <w:t>"</w:t>
      </w:r>
      <w:r w:rsidRPr="00BB2585">
        <w:rPr>
          <w:rFonts w:ascii="David" w:hAnsi="David" w:cs="David"/>
          <w:b/>
          <w:bCs/>
          <w:spacing w:val="0"/>
          <w:sz w:val="24"/>
          <w:szCs w:val="24"/>
          <w:rtl/>
        </w:rPr>
        <w:t>בית משפט זה שב ופסק אף בשנים האחרונות כי הלכת כתב שרירה וקיימת, וכי על מנת להימנע מהרשעתו של נאשם, עליו להוכיח כי מתקיימים בעניינו שני תנאים מצטברים: האחד, כי הרשעתו צפויה לפגוע פגיעה חמורה בשיקומו; והשני כי סוג העבירה, על רקע נסיבות המקרה, מאפשר לוותר על ההרשעה מבלי לפגוע באופן מהותי ביתר שיקולי הענישה</w:t>
      </w:r>
      <w:r w:rsidRPr="00BB2585">
        <w:rPr>
          <w:rFonts w:ascii="David" w:hAnsi="David" w:cs="David" w:hint="cs"/>
          <w:spacing w:val="0"/>
          <w:sz w:val="24"/>
          <w:szCs w:val="24"/>
          <w:rtl/>
        </w:rPr>
        <w:t>..</w:t>
      </w:r>
      <w:r w:rsidRPr="00BB2585">
        <w:rPr>
          <w:rFonts w:ascii="David" w:hAnsi="David" w:cs="David"/>
          <w:spacing w:val="0"/>
          <w:sz w:val="24"/>
          <w:szCs w:val="24"/>
          <w:rtl/>
        </w:rPr>
        <w:t>.</w:t>
      </w:r>
    </w:p>
    <w:p w14:paraId="249F65BE" w14:textId="77777777" w:rsidR="00AE4DEA" w:rsidRDefault="00AE4DEA" w:rsidP="00AE4DEA">
      <w:pPr>
        <w:pStyle w:val="Ruller4"/>
        <w:spacing w:line="240" w:lineRule="auto"/>
        <w:ind w:left="1440" w:right="1276"/>
        <w:rPr>
          <w:rFonts w:ascii="David" w:hAnsi="David" w:cs="David"/>
          <w:b/>
          <w:bCs/>
          <w:spacing w:val="0"/>
          <w:sz w:val="24"/>
          <w:szCs w:val="24"/>
          <w:rtl/>
        </w:rPr>
      </w:pPr>
    </w:p>
    <w:p w14:paraId="120EE06D" w14:textId="77777777" w:rsidR="00AE4DEA" w:rsidRPr="00BB2585" w:rsidRDefault="00AE4DEA" w:rsidP="00AE4DEA">
      <w:pPr>
        <w:pStyle w:val="Ruller4"/>
        <w:spacing w:line="240" w:lineRule="auto"/>
        <w:ind w:left="1440" w:right="1276"/>
        <w:rPr>
          <w:rFonts w:ascii="David" w:hAnsi="David" w:cs="David"/>
          <w:b/>
          <w:bCs/>
          <w:spacing w:val="0"/>
          <w:sz w:val="24"/>
          <w:szCs w:val="24"/>
          <w:rtl/>
        </w:rPr>
      </w:pPr>
      <w:r w:rsidRPr="00BB2585">
        <w:rPr>
          <w:rFonts w:ascii="David" w:hAnsi="David" w:cs="David"/>
          <w:b/>
          <w:bCs/>
          <w:spacing w:val="0"/>
          <w:sz w:val="24"/>
          <w:szCs w:val="24"/>
          <w:rtl/>
        </w:rPr>
        <w:t xml:space="preserve">יתירה מזאת, זה לא מכבר הבעתי את עמדתי לפיה איני סבור כי יש לשנות את אמות המידה אשר הותוו בעניין הלכת כתב לעניין ביטול הרשעה, וכי: </w:t>
      </w:r>
    </w:p>
    <w:p w14:paraId="5FC46420" w14:textId="77777777" w:rsidR="00AE4DEA" w:rsidRPr="00BB2585" w:rsidRDefault="00AE4DEA" w:rsidP="00AE4DEA">
      <w:pPr>
        <w:pStyle w:val="Ruller4"/>
        <w:spacing w:line="240" w:lineRule="auto"/>
        <w:ind w:left="1440" w:right="1276"/>
        <w:rPr>
          <w:rFonts w:ascii="David" w:hAnsi="David" w:cs="David"/>
          <w:b/>
          <w:bCs/>
          <w:spacing w:val="0"/>
          <w:sz w:val="24"/>
          <w:szCs w:val="24"/>
          <w:rtl/>
        </w:rPr>
      </w:pPr>
    </w:p>
    <w:p w14:paraId="0C42181D" w14:textId="77777777" w:rsidR="00AE4DEA" w:rsidRPr="00BB2585" w:rsidRDefault="00AE4DEA" w:rsidP="00AE4DEA">
      <w:pPr>
        <w:pStyle w:val="aa"/>
        <w:widowControl w:val="0"/>
        <w:ind w:left="1800" w:right="1701"/>
        <w:jc w:val="both"/>
        <w:rPr>
          <w:b/>
          <w:bCs/>
          <w:sz w:val="24"/>
          <w:rtl/>
        </w:rPr>
      </w:pPr>
      <w:r>
        <w:rPr>
          <w:rFonts w:hint="cs"/>
          <w:b/>
          <w:bCs/>
          <w:sz w:val="24"/>
          <w:rtl/>
        </w:rPr>
        <w:t>'</w:t>
      </w:r>
      <w:r w:rsidRPr="00BB2585">
        <w:rPr>
          <w:b/>
          <w:bCs/>
          <w:sz w:val="24"/>
          <w:rtl/>
        </w:rPr>
        <w:t>ההלכה הפסוקה בנושא מאזנת לטעמי באופן מדוד בין מכלול שיקולי הענישה, וביניהם עיקרון הגמול, ובצדק מותירה את אי הרשעתו של נאשם כחריג לכלל הרחב לפיו מקום בו הוכחה אשמתו של אדם – יש להרשיעו</w:t>
      </w:r>
      <w:r w:rsidRPr="00BB2585">
        <w:rPr>
          <w:rFonts w:hint="cs"/>
          <w:sz w:val="24"/>
          <w:rtl/>
        </w:rPr>
        <w:t>...</w:t>
      </w:r>
      <w:r w:rsidRPr="00BB2585">
        <w:rPr>
          <w:rFonts w:hint="cs"/>
          <w:b/>
          <w:bCs/>
          <w:sz w:val="24"/>
          <w:rtl/>
        </w:rPr>
        <w:t>'</w:t>
      </w:r>
      <w:r w:rsidRPr="00BB2585">
        <w:rPr>
          <w:sz w:val="24"/>
          <w:rtl/>
        </w:rPr>
        <w:t>.</w:t>
      </w:r>
      <w:r w:rsidRPr="00BB2585">
        <w:rPr>
          <w:rFonts w:hint="cs"/>
          <w:sz w:val="24"/>
          <w:rtl/>
        </w:rPr>
        <w:t>"</w:t>
      </w:r>
    </w:p>
    <w:p w14:paraId="5EA3C702" w14:textId="77777777" w:rsidR="00AE4DEA" w:rsidRDefault="00AE4DEA" w:rsidP="00AE4DEA">
      <w:pPr>
        <w:pStyle w:val="aa"/>
        <w:widowControl w:val="0"/>
        <w:spacing w:line="360" w:lineRule="auto"/>
        <w:ind w:left="360"/>
        <w:jc w:val="both"/>
        <w:rPr>
          <w:sz w:val="24"/>
        </w:rPr>
      </w:pPr>
    </w:p>
    <w:p w14:paraId="4C167397" w14:textId="77777777" w:rsidR="00AE4DEA" w:rsidRDefault="00AE4DEA" w:rsidP="00AE4DEA">
      <w:pPr>
        <w:pStyle w:val="aa"/>
        <w:widowControl w:val="0"/>
        <w:numPr>
          <w:ilvl w:val="0"/>
          <w:numId w:val="1"/>
        </w:numPr>
        <w:spacing w:line="360" w:lineRule="auto"/>
        <w:ind w:left="360"/>
        <w:jc w:val="both"/>
        <w:rPr>
          <w:sz w:val="24"/>
        </w:rPr>
      </w:pPr>
      <w:r>
        <w:rPr>
          <w:rFonts w:hint="cs"/>
          <w:sz w:val="24"/>
          <w:rtl/>
        </w:rPr>
        <w:t>זאת ועוד, ב-</w:t>
      </w:r>
      <w:hyperlink r:id="rId59" w:history="1">
        <w:r w:rsidR="00B73171" w:rsidRPr="00B73171">
          <w:rPr>
            <w:color w:val="0000FF"/>
            <w:sz w:val="24"/>
            <w:u w:val="single"/>
            <w:rtl/>
          </w:rPr>
          <w:t>רע"פ 5382/22</w:t>
        </w:r>
      </w:hyperlink>
      <w:r>
        <w:rPr>
          <w:rFonts w:hint="cs"/>
          <w:sz w:val="24"/>
          <w:rtl/>
        </w:rPr>
        <w:t xml:space="preserve"> </w:t>
      </w:r>
      <w:r w:rsidRPr="00B84DCE">
        <w:rPr>
          <w:rFonts w:ascii="Miriam" w:hAnsi="Miriam" w:cs="Miriam" w:hint="cs"/>
          <w:b/>
          <w:bCs/>
          <w:szCs w:val="22"/>
          <w:rtl/>
        </w:rPr>
        <w:t xml:space="preserve">דסיה נ' מדינת ישראל </w:t>
      </w:r>
      <w:r>
        <w:rPr>
          <w:rFonts w:hint="cs"/>
          <w:sz w:val="24"/>
          <w:rtl/>
        </w:rPr>
        <w:t>(28.8.22), בדחותו בקשת רשות, קבע כב' הש' אלרון דברים הרלוונטיים אף לענייננו בכל הנוגע לשיקולי שיקום, הגם ששם דובר בהחזקת קנבוס וקוקאין בכמויות גבוהות מאלו שלפניי "</w:t>
      </w:r>
      <w:r w:rsidRPr="00B84DCE">
        <w:rPr>
          <w:b/>
          <w:bCs/>
          <w:rtl/>
        </w:rPr>
        <w:t xml:space="preserve">שיקול זה נטען בעלמא וללא יישום פרטני בנסיבותיו האישיות. יתרה מזאת, עיון בתסקיר שירות המבחן מלמד כי המבקש ניתק את הקשר עם גורמי שירות המבחן לאחר הפגישה הראשונה, וכי בפגישה זו </w:t>
      </w:r>
      <w:r>
        <w:rPr>
          <w:rFonts w:hint="cs"/>
          <w:b/>
          <w:bCs/>
          <w:rtl/>
        </w:rPr>
        <w:t>'</w:t>
      </w:r>
      <w:r w:rsidRPr="00B84DCE">
        <w:rPr>
          <w:b/>
          <w:bCs/>
          <w:rtl/>
        </w:rPr>
        <w:t>הביע הסתייגות מוחלטת משילובו בטיפול</w:t>
      </w:r>
      <w:r>
        <w:rPr>
          <w:rFonts w:hint="cs"/>
          <w:b/>
          <w:bCs/>
          <w:rtl/>
        </w:rPr>
        <w:t>'</w:t>
      </w:r>
      <w:r w:rsidRPr="00B84DCE">
        <w:rPr>
          <w:b/>
          <w:bCs/>
          <w:rtl/>
        </w:rPr>
        <w:t>. ברי כי התנהלות שכזו אינה מצדיקה הקלה בעונשו נוכח שיקולי שיקום</w:t>
      </w:r>
      <w:r>
        <w:rPr>
          <w:rFonts w:hint="cs"/>
          <w:sz w:val="24"/>
          <w:rtl/>
        </w:rPr>
        <w:t xml:space="preserve">". </w:t>
      </w:r>
    </w:p>
    <w:p w14:paraId="145D35DC" w14:textId="77777777" w:rsidR="00AE4DEA" w:rsidRDefault="00AE4DEA" w:rsidP="00AE4DEA">
      <w:pPr>
        <w:pStyle w:val="aa"/>
        <w:widowControl w:val="0"/>
        <w:spacing w:line="360" w:lineRule="auto"/>
        <w:ind w:left="360"/>
        <w:jc w:val="both"/>
        <w:rPr>
          <w:sz w:val="24"/>
        </w:rPr>
      </w:pPr>
    </w:p>
    <w:p w14:paraId="56E7EFC5" w14:textId="77777777" w:rsidR="00AE4DEA" w:rsidRDefault="00AE4DEA" w:rsidP="00AE4DEA">
      <w:pPr>
        <w:pStyle w:val="aa"/>
        <w:widowControl w:val="0"/>
        <w:numPr>
          <w:ilvl w:val="0"/>
          <w:numId w:val="1"/>
        </w:numPr>
        <w:spacing w:line="360" w:lineRule="auto"/>
        <w:ind w:left="360"/>
        <w:jc w:val="both"/>
        <w:rPr>
          <w:sz w:val="24"/>
        </w:rPr>
      </w:pPr>
      <w:r w:rsidRPr="001452C3">
        <w:rPr>
          <w:rFonts w:hint="cs"/>
          <w:sz w:val="24"/>
          <w:rtl/>
        </w:rPr>
        <w:t>לא זו אף זו, אך לאחרונה, ב</w:t>
      </w:r>
      <w:hyperlink r:id="rId60" w:history="1">
        <w:r w:rsidR="00B73171" w:rsidRPr="00B73171">
          <w:rPr>
            <w:color w:val="0000FF"/>
            <w:sz w:val="24"/>
            <w:u w:val="single"/>
            <w:rtl/>
          </w:rPr>
          <w:t>עפ"ג (מחוזי-ב"ש) 38423-01-23</w:t>
        </w:r>
      </w:hyperlink>
      <w:r w:rsidRPr="001452C3">
        <w:rPr>
          <w:sz w:val="24"/>
          <w:rtl/>
        </w:rPr>
        <w:t xml:space="preserve"> </w:t>
      </w:r>
      <w:r w:rsidRPr="001452C3">
        <w:rPr>
          <w:rFonts w:ascii="Miriam" w:hAnsi="Miriam" w:cs="Miriam"/>
          <w:b/>
          <w:bCs/>
          <w:szCs w:val="22"/>
          <w:rtl/>
        </w:rPr>
        <w:t xml:space="preserve">מדינת ישראל נ' בן סימון </w:t>
      </w:r>
      <w:r w:rsidRPr="001452C3">
        <w:rPr>
          <w:sz w:val="24"/>
          <w:rtl/>
        </w:rPr>
        <w:t>(14.6.23)</w:t>
      </w:r>
      <w:r w:rsidRPr="001452C3">
        <w:rPr>
          <w:rFonts w:hint="cs"/>
          <w:sz w:val="24"/>
          <w:rtl/>
        </w:rPr>
        <w:t xml:space="preserve"> קבע בית המשפט המחוזי בבאר שבע כי אין מקום להורות על ביטול הרשעת המערערת משזו לא עומדת בתנאי </w:t>
      </w:r>
      <w:r w:rsidRPr="001452C3">
        <w:rPr>
          <w:rFonts w:ascii="Miriam" w:hAnsi="Miriam" w:cs="Miriam"/>
          <w:b/>
          <w:bCs/>
          <w:szCs w:val="22"/>
          <w:rtl/>
          <w:lang w:eastAsia="en-US"/>
        </w:rPr>
        <w:t>הלכת כתב</w:t>
      </w:r>
      <w:r w:rsidRPr="001452C3">
        <w:rPr>
          <w:rFonts w:hint="cs"/>
          <w:sz w:val="24"/>
          <w:rtl/>
        </w:rPr>
        <w:t xml:space="preserve">. שם דובר אמנם בהחזקת קנבוס בכמות גבוהה מזו שלפניי, אולם הקביעות רלוונטיות אף לענייננו. </w:t>
      </w:r>
      <w:r>
        <w:rPr>
          <w:rFonts w:hint="cs"/>
          <w:sz w:val="24"/>
          <w:rtl/>
        </w:rPr>
        <w:t xml:space="preserve">כך קבע כב' הש' עדן בסעיף 8 לפסק דינו, כי </w:t>
      </w:r>
    </w:p>
    <w:p w14:paraId="1AE630E9" w14:textId="77777777" w:rsidR="00AE4DEA" w:rsidRPr="00C116AB" w:rsidRDefault="00AE4DEA" w:rsidP="00AE4DEA">
      <w:pPr>
        <w:pStyle w:val="Ruller4"/>
        <w:spacing w:line="240" w:lineRule="auto"/>
        <w:ind w:left="1440" w:right="1276"/>
        <w:rPr>
          <w:rFonts w:ascii="David" w:hAnsi="David" w:cs="David"/>
          <w:spacing w:val="0"/>
          <w:sz w:val="20"/>
          <w:szCs w:val="20"/>
          <w:rtl/>
        </w:rPr>
      </w:pPr>
    </w:p>
    <w:p w14:paraId="0BEF140B" w14:textId="77777777" w:rsidR="00AE4DEA" w:rsidRPr="001452C3" w:rsidRDefault="00AE4DEA" w:rsidP="00AE4DEA">
      <w:pPr>
        <w:pStyle w:val="Ruller4"/>
        <w:spacing w:line="240" w:lineRule="auto"/>
        <w:ind w:left="1440" w:right="1276"/>
        <w:rPr>
          <w:rFonts w:ascii="David" w:hAnsi="David" w:cs="David"/>
          <w:spacing w:val="0"/>
          <w:sz w:val="24"/>
          <w:szCs w:val="24"/>
        </w:rPr>
      </w:pPr>
      <w:r w:rsidRPr="001452C3">
        <w:rPr>
          <w:rFonts w:ascii="David" w:hAnsi="David" w:cs="David" w:hint="cs"/>
          <w:spacing w:val="0"/>
          <w:sz w:val="24"/>
          <w:szCs w:val="24"/>
          <w:rtl/>
        </w:rPr>
        <w:t>"</w:t>
      </w:r>
      <w:r w:rsidRPr="001452C3">
        <w:rPr>
          <w:rFonts w:ascii="David" w:hAnsi="David" w:cs="David"/>
          <w:b/>
          <w:bCs/>
          <w:spacing w:val="0"/>
          <w:sz w:val="24"/>
          <w:szCs w:val="24"/>
          <w:rtl/>
        </w:rPr>
        <w:t>אי ההרשעה הינה חריג בהתקיים הנסיבות המיוחדות והחריגות אשר נקבעו בפסיקה. ההרשעה מגשימה את ערך השיוויון ומונעת הפלייה</w:t>
      </w:r>
      <w:r w:rsidRPr="001452C3">
        <w:rPr>
          <w:rFonts w:ascii="David" w:hAnsi="David" w:cs="David" w:hint="cs"/>
          <w:b/>
          <w:bCs/>
          <w:spacing w:val="0"/>
          <w:sz w:val="24"/>
          <w:szCs w:val="24"/>
          <w:rtl/>
        </w:rPr>
        <w:t xml:space="preserve">... </w:t>
      </w:r>
      <w:r w:rsidRPr="001452C3">
        <w:rPr>
          <w:rFonts w:ascii="David" w:hAnsi="David" w:cs="David"/>
          <w:b/>
          <w:bCs/>
          <w:spacing w:val="0"/>
          <w:sz w:val="24"/>
          <w:szCs w:val="24"/>
          <w:rtl/>
        </w:rPr>
        <w:t>להרשעה היבט הרתעתי, ומשקלו של שיקול זה צריך להיבחן בנסיבות המקרה המסוים, עת נבחנת שאלת ההרשעה. ההרשעה מבטאת את האינטרס הציבורי המגולם בהליך הפלילי להוקעת המעשה ולהעמידו בגדר המעשים הפסולים, ולהרשעה חשיבות גם ביחס לעקרון השוויון</w:t>
      </w:r>
      <w:r w:rsidRPr="001452C3">
        <w:rPr>
          <w:rFonts w:ascii="David" w:hAnsi="David" w:cs="David" w:hint="cs"/>
          <w:spacing w:val="0"/>
          <w:sz w:val="24"/>
          <w:szCs w:val="24"/>
          <w:rtl/>
        </w:rPr>
        <w:t>".</w:t>
      </w:r>
    </w:p>
    <w:p w14:paraId="6DE0A2B7" w14:textId="77777777" w:rsidR="00AE4DEA" w:rsidRDefault="00AE4DEA" w:rsidP="00AE4DEA">
      <w:pPr>
        <w:pStyle w:val="aa"/>
        <w:widowControl w:val="0"/>
        <w:spacing w:line="360" w:lineRule="auto"/>
        <w:jc w:val="both"/>
        <w:rPr>
          <w:sz w:val="24"/>
        </w:rPr>
      </w:pPr>
    </w:p>
    <w:p w14:paraId="5DCF3393" w14:textId="77777777" w:rsidR="00AE4DEA" w:rsidRDefault="00AE4DEA" w:rsidP="00AE4DEA">
      <w:pPr>
        <w:pStyle w:val="aa"/>
        <w:widowControl w:val="0"/>
        <w:spacing w:line="360" w:lineRule="auto"/>
        <w:ind w:left="360"/>
        <w:jc w:val="both"/>
        <w:rPr>
          <w:sz w:val="24"/>
        </w:rPr>
      </w:pPr>
      <w:r>
        <w:rPr>
          <w:rFonts w:hint="cs"/>
          <w:sz w:val="24"/>
          <w:rtl/>
        </w:rPr>
        <w:t xml:space="preserve">כב' הש' דר' ליבדרו דן במאמר אחר שעניינו המלצה לביטול הרשעה, וקבע כי יש לדחות עמדה לפיה ראוי לבטל הרשעה כנגזרת מעקרון המידתיות, כאשר מדובר בעבירות שהן לא מהחמורות ואשר בוצעו בנסיבות מקילות של החזקת סם. כך קבע כב' הש' דר' ליבדרו בסעיף 27 לפסק דינו, חרף קבלת ערעור המערערת (בדעת יחיד) - </w:t>
      </w:r>
    </w:p>
    <w:p w14:paraId="70FA7A39" w14:textId="77777777" w:rsidR="00AE4DEA" w:rsidRPr="00C116AB" w:rsidRDefault="00AE4DEA" w:rsidP="00AE4DEA">
      <w:pPr>
        <w:pStyle w:val="Ruller4"/>
        <w:spacing w:line="240" w:lineRule="auto"/>
        <w:ind w:left="1440" w:right="1276"/>
        <w:rPr>
          <w:rFonts w:ascii="David" w:hAnsi="David" w:cs="David"/>
          <w:spacing w:val="0"/>
          <w:sz w:val="20"/>
          <w:szCs w:val="20"/>
          <w:rtl/>
        </w:rPr>
      </w:pPr>
    </w:p>
    <w:p w14:paraId="542FC528" w14:textId="77777777" w:rsidR="00AE4DEA" w:rsidRPr="009E0F7D" w:rsidRDefault="00AE4DEA" w:rsidP="00AE4DEA">
      <w:pPr>
        <w:pStyle w:val="Ruller4"/>
        <w:spacing w:line="240" w:lineRule="auto"/>
        <w:ind w:left="1440" w:right="1276"/>
        <w:rPr>
          <w:rFonts w:ascii="David" w:hAnsi="David" w:cs="David"/>
          <w:b/>
          <w:bCs/>
          <w:spacing w:val="0"/>
          <w:sz w:val="24"/>
          <w:szCs w:val="24"/>
          <w:rtl/>
        </w:rPr>
      </w:pPr>
      <w:r w:rsidRPr="00A45679">
        <w:rPr>
          <w:rFonts w:ascii="David" w:hAnsi="David" w:cs="David" w:hint="cs"/>
          <w:spacing w:val="0"/>
          <w:sz w:val="24"/>
          <w:szCs w:val="24"/>
          <w:rtl/>
        </w:rPr>
        <w:t>"</w:t>
      </w:r>
      <w:r w:rsidRPr="009E0F7D">
        <w:rPr>
          <w:rFonts w:ascii="David" w:hAnsi="David" w:cs="David"/>
          <w:b/>
          <w:bCs/>
          <w:spacing w:val="0"/>
          <w:sz w:val="24"/>
          <w:szCs w:val="24"/>
          <w:rtl/>
        </w:rPr>
        <w:t>מכאן שאין מקום לקבל גם את העמדה שעולה מעת לעת לפיה ככלל, במקרים קלים, נכון לסיים את ההליך ללא הרשעה, וזאת בהתאם לעקרון השיוריות</w:t>
      </w:r>
      <w:r w:rsidRPr="00A45679">
        <w:rPr>
          <w:rFonts w:ascii="David" w:hAnsi="David" w:cs="David" w:hint="cs"/>
          <w:spacing w:val="0"/>
          <w:sz w:val="24"/>
          <w:szCs w:val="24"/>
          <w:rtl/>
        </w:rPr>
        <w:t>..</w:t>
      </w:r>
      <w:r w:rsidRPr="009E0F7D">
        <w:rPr>
          <w:rFonts w:ascii="David" w:hAnsi="David" w:cs="David"/>
          <w:spacing w:val="0"/>
          <w:sz w:val="24"/>
          <w:szCs w:val="24"/>
          <w:rtl/>
        </w:rPr>
        <w:t>.</w:t>
      </w:r>
      <w:r w:rsidRPr="009E0F7D">
        <w:rPr>
          <w:rFonts w:ascii="David" w:hAnsi="David" w:cs="David"/>
          <w:b/>
          <w:bCs/>
          <w:spacing w:val="0"/>
          <w:sz w:val="24"/>
          <w:szCs w:val="24"/>
          <w:rtl/>
        </w:rPr>
        <w:t xml:space="preserve"> קבלת עמדה שכזו מבקשת להפוך את החריג לכלל, וללא עמדה ברורה של המחוקק בנדון, סבורני שאין מקום לפסוק בדרך שכזו</w:t>
      </w:r>
      <w:r w:rsidRPr="00A45679">
        <w:rPr>
          <w:rFonts w:ascii="David" w:hAnsi="David" w:cs="David" w:hint="cs"/>
          <w:spacing w:val="0"/>
          <w:sz w:val="24"/>
          <w:szCs w:val="24"/>
          <w:rtl/>
        </w:rPr>
        <w:t>"</w:t>
      </w:r>
      <w:r w:rsidRPr="009E0F7D">
        <w:rPr>
          <w:rFonts w:ascii="David" w:hAnsi="David" w:cs="David"/>
          <w:spacing w:val="0"/>
          <w:sz w:val="24"/>
          <w:szCs w:val="24"/>
          <w:rtl/>
        </w:rPr>
        <w:t>.</w:t>
      </w:r>
    </w:p>
    <w:p w14:paraId="47AB7176" w14:textId="77777777" w:rsidR="00AE4DEA" w:rsidRDefault="00AE4DEA" w:rsidP="00AE4DEA">
      <w:pPr>
        <w:widowControl w:val="0"/>
        <w:spacing w:line="360" w:lineRule="auto"/>
        <w:jc w:val="both"/>
        <w:rPr>
          <w:rtl/>
        </w:rPr>
      </w:pPr>
    </w:p>
    <w:p w14:paraId="172CA538" w14:textId="77777777" w:rsidR="00AE4DEA" w:rsidRDefault="00AE4DEA" w:rsidP="00AE4DEA">
      <w:pPr>
        <w:widowControl w:val="0"/>
        <w:spacing w:line="360" w:lineRule="auto"/>
        <w:ind w:left="720"/>
        <w:jc w:val="both"/>
        <w:rPr>
          <w:rtl/>
        </w:rPr>
      </w:pPr>
      <w:r>
        <w:rPr>
          <w:rFonts w:hint="cs"/>
          <w:rtl/>
        </w:rPr>
        <w:t xml:space="preserve">להשלמת התמונה אציין, כי כב' הש' דניאל הצטרף לפסק דינו של כב' הש' עדן ובדחותו ערעור המערערת קבע בסעיף 11 לפסק דינו </w:t>
      </w:r>
      <w:r>
        <w:rPr>
          <w:rtl/>
        </w:rPr>
        <w:t>–</w:t>
      </w:r>
      <w:r>
        <w:rPr>
          <w:rFonts w:hint="cs"/>
          <w:rtl/>
        </w:rPr>
        <w:t xml:space="preserve"> </w:t>
      </w:r>
    </w:p>
    <w:p w14:paraId="26CB17A8" w14:textId="77777777" w:rsidR="00AE4DEA" w:rsidRPr="00C116AB" w:rsidRDefault="00AE4DEA" w:rsidP="00AE4DEA">
      <w:pPr>
        <w:pStyle w:val="Ruller4"/>
        <w:spacing w:line="240" w:lineRule="auto"/>
        <w:ind w:left="1440" w:right="1276"/>
        <w:rPr>
          <w:rFonts w:ascii="David" w:hAnsi="David" w:cs="David"/>
          <w:spacing w:val="0"/>
          <w:sz w:val="20"/>
          <w:szCs w:val="20"/>
          <w:rtl/>
        </w:rPr>
      </w:pPr>
    </w:p>
    <w:p w14:paraId="5857585A" w14:textId="77777777" w:rsidR="00AE4DEA" w:rsidRPr="00C03FA2" w:rsidRDefault="00AE4DEA" w:rsidP="00AE4DEA">
      <w:pPr>
        <w:pStyle w:val="Ruller4"/>
        <w:spacing w:line="240" w:lineRule="auto"/>
        <w:ind w:left="1440" w:right="1276"/>
        <w:rPr>
          <w:rFonts w:ascii="David" w:hAnsi="David" w:cs="David"/>
          <w:spacing w:val="0"/>
          <w:sz w:val="24"/>
          <w:szCs w:val="24"/>
          <w:rtl/>
        </w:rPr>
      </w:pPr>
      <w:r w:rsidRPr="00C03FA2">
        <w:rPr>
          <w:rFonts w:ascii="David" w:hAnsi="David" w:cs="David" w:hint="cs"/>
          <w:spacing w:val="0"/>
          <w:sz w:val="24"/>
          <w:szCs w:val="24"/>
          <w:rtl/>
        </w:rPr>
        <w:t>"</w:t>
      </w:r>
      <w:r w:rsidRPr="00C03FA2">
        <w:rPr>
          <w:rFonts w:ascii="David" w:hAnsi="David" w:cs="David"/>
          <w:b/>
          <w:bCs/>
          <w:spacing w:val="0"/>
          <w:sz w:val="24"/>
          <w:szCs w:val="24"/>
          <w:rtl/>
        </w:rPr>
        <w:t>מפסיקת בית המשפט העליון</w:t>
      </w:r>
      <w:r w:rsidRPr="00C03FA2">
        <w:rPr>
          <w:rFonts w:ascii="David" w:hAnsi="David" w:cs="David"/>
          <w:spacing w:val="0"/>
          <w:sz w:val="24"/>
          <w:szCs w:val="24"/>
          <w:rtl/>
        </w:rPr>
        <w:t>,</w:t>
      </w:r>
      <w:r w:rsidRPr="00C03FA2">
        <w:rPr>
          <w:rFonts w:ascii="David" w:hAnsi="David" w:cs="David" w:hint="cs"/>
          <w:spacing w:val="0"/>
          <w:sz w:val="24"/>
          <w:szCs w:val="24"/>
          <w:rtl/>
        </w:rPr>
        <w:t>...</w:t>
      </w:r>
      <w:r w:rsidRPr="00C03FA2">
        <w:rPr>
          <w:rFonts w:ascii="David" w:hAnsi="David" w:cs="David"/>
          <w:spacing w:val="0"/>
          <w:sz w:val="24"/>
          <w:szCs w:val="24"/>
          <w:rtl/>
        </w:rPr>
        <w:t>,</w:t>
      </w:r>
      <w:r w:rsidRPr="00C03FA2">
        <w:rPr>
          <w:rFonts w:ascii="David" w:hAnsi="David" w:cs="David"/>
          <w:b/>
          <w:bCs/>
          <w:spacing w:val="0"/>
          <w:sz w:val="24"/>
          <w:szCs w:val="24"/>
          <w:rtl/>
        </w:rPr>
        <w:t xml:space="preserve"> עולה בבירור כי קיים מסלול אחד בלבד לבחינת שאלת אי ההרשעה, והוא זה הקבוע בסעיף 192א' ל</w:t>
      </w:r>
      <w:hyperlink r:id="rId61" w:history="1">
        <w:r w:rsidR="00B73171" w:rsidRPr="00B73171">
          <w:rPr>
            <w:rFonts w:ascii="David" w:hAnsi="David" w:cs="David"/>
            <w:b/>
            <w:bCs/>
            <w:color w:val="0000FF"/>
            <w:spacing w:val="0"/>
            <w:sz w:val="24"/>
            <w:szCs w:val="24"/>
            <w:u w:val="single"/>
            <w:rtl/>
          </w:rPr>
          <w:t>חוק סדר הדין הפלילי</w:t>
        </w:r>
      </w:hyperlink>
      <w:r w:rsidRPr="00C03FA2">
        <w:rPr>
          <w:rFonts w:ascii="David" w:hAnsi="David" w:cs="David"/>
          <w:b/>
          <w:bCs/>
          <w:spacing w:val="0"/>
          <w:sz w:val="24"/>
          <w:szCs w:val="24"/>
          <w:rtl/>
        </w:rPr>
        <w:t xml:space="preserve"> ובסעיף 71א(ב) ל</w:t>
      </w:r>
      <w:hyperlink r:id="rId62" w:history="1">
        <w:r w:rsidR="00B73171" w:rsidRPr="00B73171">
          <w:rPr>
            <w:rFonts w:ascii="David" w:hAnsi="David" w:cs="David"/>
            <w:b/>
            <w:bCs/>
            <w:color w:val="0000FF"/>
            <w:spacing w:val="0"/>
            <w:sz w:val="24"/>
            <w:szCs w:val="24"/>
            <w:u w:val="single"/>
            <w:rtl/>
          </w:rPr>
          <w:t>חוק העונשין</w:t>
        </w:r>
      </w:hyperlink>
      <w:r w:rsidRPr="00C03FA2">
        <w:rPr>
          <w:rFonts w:ascii="David" w:hAnsi="David" w:cs="David"/>
          <w:b/>
          <w:bCs/>
          <w:spacing w:val="0"/>
          <w:sz w:val="24"/>
          <w:szCs w:val="24"/>
          <w:rtl/>
        </w:rPr>
        <w:t>, בהלכת כתב ובהתפתחות המבחנים שנקבעו בהלכת כתב כעולה מהפסיקה הענפה אשר באה בעקבותיה. פסיקת בית המשפט העליון אינה תומכת באפשרות יצירת מסלול נוסף, מקביל, במסגרת חריגה ממתחם העונש ההולם מטעמי שיקום ולדעתי אף לא נכון ליצור מסלול נוסף כאמור בדרך של פרשנות</w:t>
      </w:r>
      <w:r w:rsidRPr="00C03FA2">
        <w:rPr>
          <w:rFonts w:ascii="David" w:hAnsi="David" w:cs="David" w:hint="cs"/>
          <w:spacing w:val="0"/>
          <w:sz w:val="24"/>
          <w:szCs w:val="24"/>
          <w:rtl/>
        </w:rPr>
        <w:t>"</w:t>
      </w:r>
    </w:p>
    <w:p w14:paraId="29E56A1C" w14:textId="77777777" w:rsidR="00AE4DEA" w:rsidRPr="009E0F7D" w:rsidRDefault="00AE4DEA" w:rsidP="00AE4DEA">
      <w:pPr>
        <w:widowControl w:val="0"/>
        <w:spacing w:line="360" w:lineRule="auto"/>
        <w:jc w:val="both"/>
      </w:pPr>
    </w:p>
    <w:p w14:paraId="61247FD9" w14:textId="77777777" w:rsidR="00AE4DEA" w:rsidRDefault="00AE4DEA" w:rsidP="00AE4DEA">
      <w:pPr>
        <w:pStyle w:val="aa"/>
        <w:widowControl w:val="0"/>
        <w:numPr>
          <w:ilvl w:val="0"/>
          <w:numId w:val="1"/>
        </w:numPr>
        <w:spacing w:line="360" w:lineRule="auto"/>
        <w:ind w:left="360"/>
        <w:jc w:val="both"/>
        <w:rPr>
          <w:sz w:val="24"/>
          <w:rtl/>
        </w:rPr>
      </w:pPr>
      <w:r>
        <w:rPr>
          <w:sz w:val="24"/>
          <w:rtl/>
        </w:rPr>
        <w:t xml:space="preserve">במסגרת גזר הדין לקחתי בחשבון את הצורך בהרתעה אישית ובהרתעת הרבים, בהתאם </w:t>
      </w:r>
      <w:hyperlink r:id="rId63" w:history="1">
        <w:r w:rsidR="002B4F6C" w:rsidRPr="002B4F6C">
          <w:rPr>
            <w:rStyle w:val="Hyperlink"/>
            <w:sz w:val="24"/>
            <w:rtl/>
          </w:rPr>
          <w:t>לסעיפים 40ו</w:t>
        </w:r>
      </w:hyperlink>
      <w:r>
        <w:rPr>
          <w:sz w:val="24"/>
          <w:rtl/>
        </w:rPr>
        <w:t xml:space="preserve"> ו-</w:t>
      </w:r>
      <w:hyperlink r:id="rId64" w:history="1">
        <w:r w:rsidR="002B4F6C" w:rsidRPr="002B4F6C">
          <w:rPr>
            <w:rStyle w:val="Hyperlink"/>
            <w:sz w:val="24"/>
            <w:rtl/>
          </w:rPr>
          <w:t>40ז</w:t>
        </w:r>
      </w:hyperlink>
      <w:r>
        <w:rPr>
          <w:sz w:val="24"/>
          <w:rtl/>
        </w:rPr>
        <w:t xml:space="preserve"> ל-</w:t>
      </w:r>
      <w:hyperlink r:id="rId65" w:history="1">
        <w:r w:rsidR="00B73171" w:rsidRPr="00B73171">
          <w:rPr>
            <w:rFonts w:ascii="Miriam" w:hAnsi="Miriam" w:cs="Miriam"/>
            <w:b/>
            <w:bCs/>
            <w:color w:val="0000FF"/>
            <w:szCs w:val="22"/>
            <w:u w:val="single"/>
            <w:rtl/>
          </w:rPr>
          <w:t>חוק העונשין</w:t>
        </w:r>
      </w:hyperlink>
      <w:r>
        <w:rPr>
          <w:rFonts w:ascii="Miriam" w:hAnsi="Miriam" w:cs="Miriam"/>
          <w:b/>
          <w:bCs/>
          <w:szCs w:val="22"/>
          <w:rtl/>
        </w:rPr>
        <w:t>.</w:t>
      </w:r>
      <w:r>
        <w:rPr>
          <w:sz w:val="24"/>
          <w:rtl/>
        </w:rPr>
        <w:t xml:space="preserve"> בהינתן ההודיה, חלוף הזמן, העדר עבר פלילי ונסיבותיו האישיות, מצאתי כי יש למקמו בחלקו התחתון של כל אחד מהמתחמים שקבעתי. בהינתן סוג העבירות, תדירותן והזיקה ביניהן, מצאתי כי יש מקום לחפיפה מלאה בין העונשים ולהשית על הנאשם עונש כולל. </w:t>
      </w:r>
      <w:r>
        <w:rPr>
          <w:b/>
          <w:bCs/>
          <w:rtl/>
        </w:rPr>
        <w:t>אשר על כן,</w:t>
      </w:r>
      <w:r>
        <w:rPr>
          <w:rtl/>
        </w:rPr>
        <w:t xml:space="preserve"> </w:t>
      </w:r>
      <w:r>
        <w:rPr>
          <w:b/>
          <w:bCs/>
          <w:rtl/>
        </w:rPr>
        <w:t>אני גוזרת על הנאשם את העונשים הבאים:</w:t>
      </w:r>
    </w:p>
    <w:p w14:paraId="50499334" w14:textId="77777777" w:rsidR="00AE4DEA" w:rsidRDefault="00AE4DEA" w:rsidP="00AE4DEA">
      <w:pPr>
        <w:pStyle w:val="aa"/>
        <w:widowControl w:val="0"/>
        <w:ind w:left="360"/>
        <w:jc w:val="both"/>
        <w:rPr>
          <w:sz w:val="24"/>
        </w:rPr>
      </w:pPr>
    </w:p>
    <w:p w14:paraId="31A116E5" w14:textId="77777777" w:rsidR="00AE4DEA" w:rsidRDefault="00AE4DEA" w:rsidP="00AE4DEA">
      <w:pPr>
        <w:pStyle w:val="aa"/>
        <w:widowControl w:val="0"/>
        <w:numPr>
          <w:ilvl w:val="1"/>
          <w:numId w:val="1"/>
        </w:numPr>
        <w:spacing w:line="360" w:lineRule="auto"/>
        <w:ind w:left="794" w:hanging="357"/>
        <w:jc w:val="both"/>
        <w:rPr>
          <w:sz w:val="24"/>
        </w:rPr>
      </w:pPr>
      <w:r>
        <w:rPr>
          <w:b/>
          <w:bCs/>
          <w:sz w:val="24"/>
          <w:rtl/>
        </w:rPr>
        <w:t xml:space="preserve">3 חודשי מאסר מותנה </w:t>
      </w:r>
      <w:r>
        <w:rPr>
          <w:sz w:val="24"/>
          <w:rtl/>
        </w:rPr>
        <w:t xml:space="preserve">למשך 3 שנים מהיום, שלא יעבור כל עבירה מסוג פשע על </w:t>
      </w:r>
      <w:r>
        <w:rPr>
          <w:rFonts w:ascii="Miriam" w:hAnsi="Miriam" w:cs="Miriam"/>
          <w:b/>
          <w:bCs/>
          <w:szCs w:val="22"/>
          <w:rtl/>
        </w:rPr>
        <w:t>פקודת הסמים</w:t>
      </w:r>
      <w:r>
        <w:rPr>
          <w:sz w:val="24"/>
          <w:rtl/>
        </w:rPr>
        <w:t>;</w:t>
      </w:r>
    </w:p>
    <w:p w14:paraId="0BF82357" w14:textId="77777777" w:rsidR="00AE4DEA" w:rsidRDefault="00AE4DEA" w:rsidP="00AE4DEA">
      <w:pPr>
        <w:pStyle w:val="aa"/>
        <w:widowControl w:val="0"/>
        <w:ind w:left="794"/>
        <w:jc w:val="both"/>
        <w:rPr>
          <w:sz w:val="24"/>
        </w:rPr>
      </w:pPr>
    </w:p>
    <w:p w14:paraId="49707368" w14:textId="77777777" w:rsidR="00AE4DEA" w:rsidRDefault="00AE4DEA" w:rsidP="00AE4DEA">
      <w:pPr>
        <w:numPr>
          <w:ilvl w:val="1"/>
          <w:numId w:val="1"/>
        </w:numPr>
        <w:tabs>
          <w:tab w:val="left" w:pos="368"/>
        </w:tabs>
        <w:snapToGrid w:val="0"/>
        <w:spacing w:line="360" w:lineRule="auto"/>
        <w:ind w:left="725" w:hanging="357"/>
        <w:jc w:val="both"/>
        <w:rPr>
          <w:sz w:val="20"/>
          <w:lang w:eastAsia="he-IL"/>
        </w:rPr>
      </w:pPr>
      <w:r>
        <w:rPr>
          <w:b/>
          <w:bCs/>
          <w:rtl/>
          <w:lang w:eastAsia="he-IL"/>
        </w:rPr>
        <w:t>קנס בסך 1,500 ₪, או 15 ימי מאסר תמורתו</w:t>
      </w:r>
      <w:r>
        <w:rPr>
          <w:rtl/>
          <w:lang w:eastAsia="he-IL"/>
        </w:rPr>
        <w:t xml:space="preserve">. </w:t>
      </w:r>
    </w:p>
    <w:p w14:paraId="7A083C76" w14:textId="77777777" w:rsidR="00AE4DEA" w:rsidRDefault="00AE4DEA" w:rsidP="00AE4DEA">
      <w:pPr>
        <w:snapToGrid w:val="0"/>
        <w:spacing w:line="360" w:lineRule="auto"/>
        <w:ind w:left="725"/>
        <w:jc w:val="both"/>
        <w:rPr>
          <w:lang w:eastAsia="he-IL"/>
        </w:rPr>
      </w:pPr>
      <w:r>
        <w:rPr>
          <w:rtl/>
          <w:lang w:eastAsia="he-IL"/>
        </w:rPr>
        <w:t>הקנס ישולם ב-5 תשלומים שווים ורצופים, החל מיום 15.10.23 וכל 15 בחודש שלאחריו.</w:t>
      </w:r>
    </w:p>
    <w:p w14:paraId="29047959" w14:textId="77777777" w:rsidR="00AE4DEA" w:rsidRDefault="00AE4DEA" w:rsidP="00AE4DEA">
      <w:pPr>
        <w:snapToGrid w:val="0"/>
        <w:spacing w:line="360" w:lineRule="auto"/>
        <w:ind w:left="725"/>
        <w:jc w:val="both"/>
        <w:rPr>
          <w:lang w:eastAsia="he-IL"/>
        </w:rPr>
      </w:pPr>
      <w:r>
        <w:rPr>
          <w:rtl/>
          <w:lang w:eastAsia="he-IL"/>
        </w:rPr>
        <w:t>אם לא יבוצע תשלום במועדו - תעמוד כל יתרת הקנס לפירעון מיידי.</w:t>
      </w:r>
    </w:p>
    <w:p w14:paraId="2BB01630" w14:textId="77777777" w:rsidR="00AE4DEA" w:rsidRDefault="00AE4DEA" w:rsidP="00AE4DEA">
      <w:pPr>
        <w:snapToGrid w:val="0"/>
        <w:ind w:left="725"/>
        <w:jc w:val="both"/>
        <w:rPr>
          <w:rtl/>
          <w:lang w:eastAsia="he-IL"/>
        </w:rPr>
      </w:pPr>
    </w:p>
    <w:p w14:paraId="1D4FF486" w14:textId="77777777" w:rsidR="00AE4DEA" w:rsidRDefault="00AE4DEA" w:rsidP="00AE4DEA">
      <w:pPr>
        <w:numPr>
          <w:ilvl w:val="1"/>
          <w:numId w:val="1"/>
        </w:numPr>
        <w:tabs>
          <w:tab w:val="left" w:pos="368"/>
        </w:tabs>
        <w:snapToGrid w:val="0"/>
        <w:spacing w:line="360" w:lineRule="auto"/>
        <w:ind w:left="725" w:hanging="357"/>
        <w:jc w:val="both"/>
        <w:rPr>
          <w:sz w:val="20"/>
          <w:lang w:eastAsia="he-IL"/>
        </w:rPr>
      </w:pPr>
      <w:r>
        <w:rPr>
          <w:b/>
          <w:bCs/>
          <w:rtl/>
        </w:rPr>
        <w:t>1,500 ₪ התחייבות</w:t>
      </w:r>
      <w:r>
        <w:rPr>
          <w:rtl/>
        </w:rPr>
        <w:t xml:space="preserve">, למשך 3 שנים מהיום, שלא יעבור כל עבירה מסוג פשע על </w:t>
      </w:r>
      <w:r>
        <w:rPr>
          <w:rFonts w:ascii="Miriam" w:hAnsi="Miriam" w:cs="Miriam"/>
          <w:bCs/>
          <w:sz w:val="18"/>
          <w:szCs w:val="22"/>
          <w:rtl/>
        </w:rPr>
        <w:t>פקודת הסמים</w:t>
      </w:r>
      <w:r>
        <w:rPr>
          <w:rtl/>
        </w:rPr>
        <w:t>.</w:t>
      </w:r>
    </w:p>
    <w:p w14:paraId="1F647E4A" w14:textId="77777777" w:rsidR="00AE4DEA" w:rsidRDefault="00AE4DEA" w:rsidP="00AE4DEA">
      <w:pPr>
        <w:tabs>
          <w:tab w:val="left" w:pos="368"/>
        </w:tabs>
        <w:snapToGrid w:val="0"/>
        <w:spacing w:line="360" w:lineRule="auto"/>
        <w:ind w:left="726"/>
        <w:jc w:val="both"/>
        <w:rPr>
          <w:rtl/>
        </w:rPr>
      </w:pPr>
      <w:r>
        <w:rPr>
          <w:rtl/>
        </w:rPr>
        <w:t>על הנאשם להצהיר על ההתחייבות היום. לא יצהיר על ההתחייבות היום - יהיה על הנאשם לרצות 30 ימי מאסר בפועל, על מנת לכפות אותו לעשות כן.</w:t>
      </w:r>
    </w:p>
    <w:p w14:paraId="6D4DACE7" w14:textId="77777777" w:rsidR="00AE4DEA" w:rsidRDefault="00AE4DEA" w:rsidP="00AE4DEA">
      <w:pPr>
        <w:tabs>
          <w:tab w:val="left" w:pos="368"/>
        </w:tabs>
        <w:snapToGrid w:val="0"/>
        <w:ind w:left="726"/>
        <w:jc w:val="both"/>
        <w:rPr>
          <w:sz w:val="20"/>
          <w:rtl/>
          <w:lang w:eastAsia="he-IL"/>
        </w:rPr>
      </w:pPr>
    </w:p>
    <w:p w14:paraId="57EF19D2" w14:textId="77777777" w:rsidR="00AE4DEA" w:rsidRDefault="00AE4DEA" w:rsidP="00AE4DEA">
      <w:pPr>
        <w:numPr>
          <w:ilvl w:val="1"/>
          <w:numId w:val="1"/>
        </w:numPr>
        <w:tabs>
          <w:tab w:val="left" w:pos="368"/>
        </w:tabs>
        <w:snapToGrid w:val="0"/>
        <w:spacing w:line="360" w:lineRule="auto"/>
        <w:ind w:left="725" w:hanging="357"/>
        <w:jc w:val="both"/>
        <w:rPr>
          <w:sz w:val="20"/>
          <w:rtl/>
          <w:lang w:eastAsia="he-IL"/>
        </w:rPr>
      </w:pPr>
      <w:r>
        <w:rPr>
          <w:b/>
          <w:bCs/>
          <w:sz w:val="20"/>
          <w:rtl/>
          <w:lang w:eastAsia="he-IL"/>
        </w:rPr>
        <w:t>3 חודשי פסילה מקבל או מהחזיק רישיון נהיגה על תנאי</w:t>
      </w:r>
      <w:r>
        <w:rPr>
          <w:sz w:val="20"/>
          <w:rtl/>
          <w:lang w:eastAsia="he-IL"/>
        </w:rPr>
        <w:t xml:space="preserve">. התנאי הוא שבמשך 3 שנים מהיום לא יעבור כל עבירה </w:t>
      </w:r>
      <w:r>
        <w:rPr>
          <w:rtl/>
          <w:lang w:eastAsia="he-IL"/>
        </w:rPr>
        <w:t xml:space="preserve">על </w:t>
      </w:r>
      <w:r>
        <w:rPr>
          <w:rFonts w:ascii="Miriam" w:hAnsi="Miriam" w:cs="Miriam"/>
          <w:b/>
          <w:bCs/>
          <w:sz w:val="22"/>
          <w:szCs w:val="22"/>
          <w:rtl/>
          <w:lang w:eastAsia="he-IL"/>
        </w:rPr>
        <w:t>פקודת הסמים</w:t>
      </w:r>
      <w:r>
        <w:rPr>
          <w:rtl/>
          <w:lang w:eastAsia="he-IL"/>
        </w:rPr>
        <w:t>;</w:t>
      </w:r>
    </w:p>
    <w:p w14:paraId="0ABE6988" w14:textId="77777777" w:rsidR="00AE4DEA" w:rsidRDefault="00AE4DEA" w:rsidP="00AE4DEA">
      <w:pPr>
        <w:pStyle w:val="aa"/>
        <w:widowControl w:val="0"/>
        <w:spacing w:line="360" w:lineRule="auto"/>
        <w:jc w:val="both"/>
        <w:rPr>
          <w:sz w:val="24"/>
        </w:rPr>
      </w:pPr>
    </w:p>
    <w:p w14:paraId="45E32A86" w14:textId="77777777" w:rsidR="00AE4DEA" w:rsidRDefault="00AE4DEA" w:rsidP="00AE4DEA">
      <w:pPr>
        <w:pStyle w:val="aa"/>
        <w:spacing w:line="360" w:lineRule="auto"/>
        <w:ind w:left="0"/>
        <w:jc w:val="both"/>
        <w:rPr>
          <w:b/>
          <w:bCs/>
          <w:rtl/>
        </w:rPr>
      </w:pPr>
      <w:r>
        <w:rPr>
          <w:b/>
          <w:bCs/>
          <w:u w:val="single"/>
          <w:rtl/>
        </w:rPr>
        <w:t>תשומת לב הנאשם כי ניתן לשלם את הקנס באחת הדרכים הבאות</w:t>
      </w:r>
      <w:r>
        <w:rPr>
          <w:b/>
          <w:bCs/>
          <w:rtl/>
        </w:rPr>
        <w:t>:</w:t>
      </w:r>
    </w:p>
    <w:p w14:paraId="36E31F49" w14:textId="77777777" w:rsidR="00AE4DEA" w:rsidRDefault="00AE4DEA" w:rsidP="00AE4DEA">
      <w:pPr>
        <w:pStyle w:val="aa"/>
        <w:numPr>
          <w:ilvl w:val="0"/>
          <w:numId w:val="3"/>
        </w:numPr>
        <w:spacing w:line="360" w:lineRule="auto"/>
        <w:ind w:left="360"/>
        <w:jc w:val="both"/>
      </w:pPr>
      <w:r>
        <w:rPr>
          <w:rtl/>
        </w:rPr>
        <w:t>בכרטיס</w:t>
      </w:r>
      <w:r>
        <w:t xml:space="preserve"> </w:t>
      </w:r>
      <w:r>
        <w:rPr>
          <w:rtl/>
        </w:rPr>
        <w:t>אשראי - באתר</w:t>
      </w:r>
      <w:r>
        <w:t xml:space="preserve"> </w:t>
      </w:r>
      <w:r>
        <w:rPr>
          <w:rtl/>
        </w:rPr>
        <w:t>המקוון</w:t>
      </w:r>
      <w:r>
        <w:t xml:space="preserve"> </w:t>
      </w:r>
      <w:r>
        <w:rPr>
          <w:rtl/>
        </w:rPr>
        <w:t>של</w:t>
      </w:r>
      <w:r>
        <w:t xml:space="preserve"> </w:t>
      </w:r>
      <w:r>
        <w:rPr>
          <w:rtl/>
        </w:rPr>
        <w:t>רשות</w:t>
      </w:r>
      <w:r>
        <w:t xml:space="preserve"> </w:t>
      </w:r>
      <w:r>
        <w:rPr>
          <w:rtl/>
        </w:rPr>
        <w:t>האכיפה</w:t>
      </w:r>
      <w:r>
        <w:t xml:space="preserve"> </w:t>
      </w:r>
      <w:r>
        <w:rPr>
          <w:rtl/>
        </w:rPr>
        <w:t>והגבייה</w:t>
      </w:r>
      <w:r>
        <w:t xml:space="preserve">www.eca.gov.il </w:t>
      </w:r>
      <w:r>
        <w:rPr>
          <w:rtl/>
        </w:rPr>
        <w:t>.</w:t>
      </w:r>
    </w:p>
    <w:p w14:paraId="42340DBC" w14:textId="77777777" w:rsidR="00AE4DEA" w:rsidRDefault="00AE4DEA" w:rsidP="00AE4DEA">
      <w:pPr>
        <w:pStyle w:val="aa"/>
        <w:numPr>
          <w:ilvl w:val="0"/>
          <w:numId w:val="3"/>
        </w:numPr>
        <w:spacing w:line="360" w:lineRule="auto"/>
        <w:ind w:left="360"/>
        <w:jc w:val="both"/>
      </w:pPr>
      <w:r>
        <w:rPr>
          <w:rtl/>
        </w:rPr>
        <w:t>מוקד</w:t>
      </w:r>
      <w:r>
        <w:t xml:space="preserve"> </w:t>
      </w:r>
      <w:r>
        <w:rPr>
          <w:rtl/>
        </w:rPr>
        <w:t>שירות</w:t>
      </w:r>
      <w:r>
        <w:t xml:space="preserve"> </w:t>
      </w:r>
      <w:r>
        <w:rPr>
          <w:rtl/>
        </w:rPr>
        <w:t>טלפוני</w:t>
      </w:r>
      <w:r>
        <w:t xml:space="preserve"> </w:t>
      </w:r>
      <w:r>
        <w:rPr>
          <w:rtl/>
        </w:rPr>
        <w:t>(בשרות</w:t>
      </w:r>
      <w:r>
        <w:t xml:space="preserve"> </w:t>
      </w:r>
      <w:r>
        <w:rPr>
          <w:rtl/>
        </w:rPr>
        <w:t>עצמי) מרכז</w:t>
      </w:r>
      <w:r>
        <w:t xml:space="preserve"> </w:t>
      </w:r>
      <w:r>
        <w:rPr>
          <w:rtl/>
        </w:rPr>
        <w:t>גבייה - במספר *</w:t>
      </w:r>
      <w:r>
        <w:t>35592</w:t>
      </w:r>
      <w:r>
        <w:rPr>
          <w:rtl/>
        </w:rPr>
        <w:t xml:space="preserve"> </w:t>
      </w:r>
      <w:r>
        <w:rPr>
          <w:rFonts w:hint="cs"/>
          <w:rtl/>
        </w:rPr>
        <w:t>או</w:t>
      </w:r>
      <w:r>
        <w:t xml:space="preserve">073-2055000 </w:t>
      </w:r>
      <w:r>
        <w:rPr>
          <w:rtl/>
        </w:rPr>
        <w:t>.</w:t>
      </w:r>
    </w:p>
    <w:p w14:paraId="61FFB372" w14:textId="77777777" w:rsidR="00AE4DEA" w:rsidRDefault="00AE4DEA" w:rsidP="00AE4DEA">
      <w:pPr>
        <w:pStyle w:val="aa"/>
        <w:numPr>
          <w:ilvl w:val="0"/>
          <w:numId w:val="3"/>
        </w:numPr>
        <w:spacing w:line="360" w:lineRule="auto"/>
        <w:ind w:left="360"/>
        <w:jc w:val="both"/>
      </w:pPr>
      <w:r>
        <w:rPr>
          <w:rtl/>
        </w:rPr>
        <w:t>במזומן</w:t>
      </w:r>
      <w:r>
        <w:t xml:space="preserve"> </w:t>
      </w:r>
      <w:r>
        <w:rPr>
          <w:rtl/>
        </w:rPr>
        <w:t>בכל</w:t>
      </w:r>
      <w:r>
        <w:t xml:space="preserve"> </w:t>
      </w:r>
      <w:r>
        <w:rPr>
          <w:rtl/>
        </w:rPr>
        <w:t>סניף</w:t>
      </w:r>
      <w:r>
        <w:t xml:space="preserve"> </w:t>
      </w:r>
      <w:r>
        <w:rPr>
          <w:rtl/>
        </w:rPr>
        <w:t>של</w:t>
      </w:r>
      <w:r>
        <w:t xml:space="preserve"> </w:t>
      </w:r>
      <w:r>
        <w:rPr>
          <w:rtl/>
        </w:rPr>
        <w:t>בנק</w:t>
      </w:r>
      <w:r>
        <w:t xml:space="preserve"> </w:t>
      </w:r>
      <w:r>
        <w:rPr>
          <w:rtl/>
        </w:rPr>
        <w:t>הדואר - בהצגת</w:t>
      </w:r>
      <w:r>
        <w:t xml:space="preserve"> </w:t>
      </w:r>
      <w:r>
        <w:rPr>
          <w:rtl/>
        </w:rPr>
        <w:t>תעודת</w:t>
      </w:r>
      <w:r>
        <w:t xml:space="preserve"> </w:t>
      </w:r>
      <w:r>
        <w:rPr>
          <w:rtl/>
        </w:rPr>
        <w:t>זהות</w:t>
      </w:r>
      <w:r>
        <w:t xml:space="preserve"> </w:t>
      </w:r>
      <w:r>
        <w:rPr>
          <w:rtl/>
        </w:rPr>
        <w:t>בלבד (אין</w:t>
      </w:r>
      <w:r>
        <w:t xml:space="preserve"> </w:t>
      </w:r>
      <w:r>
        <w:rPr>
          <w:rtl/>
        </w:rPr>
        <w:t>צורך</w:t>
      </w:r>
      <w:r>
        <w:t xml:space="preserve"> </w:t>
      </w:r>
      <w:r>
        <w:rPr>
          <w:rtl/>
        </w:rPr>
        <w:t>בהצגת</w:t>
      </w:r>
      <w:r>
        <w:t xml:space="preserve"> </w:t>
      </w:r>
      <w:r>
        <w:rPr>
          <w:rtl/>
        </w:rPr>
        <w:t>בשוברי</w:t>
      </w:r>
      <w:r>
        <w:t xml:space="preserve"> </w:t>
      </w:r>
      <w:r>
        <w:rPr>
          <w:rtl/>
        </w:rPr>
        <w:t>תשלום).</w:t>
      </w:r>
    </w:p>
    <w:p w14:paraId="29940790" w14:textId="77777777" w:rsidR="00AE4DEA" w:rsidRDefault="00AE4DEA" w:rsidP="00AE4DEA">
      <w:pPr>
        <w:pStyle w:val="aa"/>
        <w:spacing w:line="360" w:lineRule="auto"/>
        <w:ind w:left="0"/>
        <w:jc w:val="both"/>
        <w:rPr>
          <w:rFonts w:ascii="Times New Roman" w:hAnsi="Times New Roman"/>
          <w:rtl/>
        </w:rPr>
      </w:pPr>
      <w:r>
        <w:rPr>
          <w:b/>
          <w:bCs/>
          <w:rtl/>
        </w:rPr>
        <w:t>לא תשמע טענה שהנאשם לא קיבל שוברי תשלום בדואר</w:t>
      </w:r>
      <w:r>
        <w:rPr>
          <w:rtl/>
        </w:rPr>
        <w:t>.</w:t>
      </w:r>
    </w:p>
    <w:p w14:paraId="2EF2EF6A" w14:textId="77777777" w:rsidR="00AE4DEA" w:rsidRDefault="00AE4DEA" w:rsidP="00AE4DEA">
      <w:pPr>
        <w:pStyle w:val="aa"/>
        <w:widowControl w:val="0"/>
        <w:spacing w:line="360" w:lineRule="auto"/>
        <w:jc w:val="both"/>
        <w:rPr>
          <w:sz w:val="24"/>
          <w:rtl/>
        </w:rPr>
      </w:pPr>
    </w:p>
    <w:p w14:paraId="38D76FA7" w14:textId="77777777" w:rsidR="00AE4DEA" w:rsidRDefault="00AE4DEA" w:rsidP="00AE4DEA">
      <w:pPr>
        <w:widowControl w:val="0"/>
        <w:spacing w:line="360" w:lineRule="auto"/>
        <w:jc w:val="both"/>
        <w:rPr>
          <w:rFonts w:ascii="David" w:hAnsi="David"/>
          <w:b/>
          <w:bCs/>
        </w:rPr>
      </w:pPr>
      <w:r>
        <w:rPr>
          <w:rFonts w:ascii="David" w:hAnsi="David"/>
          <w:b/>
          <w:bCs/>
          <w:rtl/>
        </w:rPr>
        <w:t>ניתן צו כללי למוצגים: להשמיד, לחלט ולהשיב לבעלים, לפי שיקול דעת היחידה החוקרת.</w:t>
      </w:r>
    </w:p>
    <w:p w14:paraId="3BE331B6" w14:textId="77777777" w:rsidR="00AE4DEA" w:rsidRDefault="00AE4DEA" w:rsidP="00AE4DEA">
      <w:pPr>
        <w:widowControl w:val="0"/>
        <w:spacing w:line="360" w:lineRule="auto"/>
        <w:jc w:val="both"/>
        <w:rPr>
          <w:rFonts w:ascii="David" w:hAnsi="David"/>
          <w:b/>
          <w:bCs/>
          <w:rtl/>
        </w:rPr>
      </w:pPr>
      <w:r>
        <w:rPr>
          <w:rFonts w:ascii="David" w:hAnsi="David"/>
          <w:b/>
          <w:bCs/>
          <w:rtl/>
        </w:rPr>
        <w:t>ניתן צו להשמדת הסמים.</w:t>
      </w:r>
    </w:p>
    <w:p w14:paraId="15F6D701" w14:textId="77777777" w:rsidR="00AE4DEA" w:rsidRDefault="00AE4DEA" w:rsidP="00AE4DEA">
      <w:pPr>
        <w:widowControl w:val="0"/>
        <w:spacing w:line="360" w:lineRule="auto"/>
        <w:jc w:val="both"/>
        <w:rPr>
          <w:rFonts w:ascii="David" w:hAnsi="David"/>
          <w:b/>
          <w:bCs/>
          <w:u w:val="single"/>
          <w:rtl/>
        </w:rPr>
      </w:pPr>
    </w:p>
    <w:p w14:paraId="39A30A92" w14:textId="77777777" w:rsidR="00AE4DEA" w:rsidRDefault="00AE4DEA" w:rsidP="00AE4DEA">
      <w:pPr>
        <w:widowControl w:val="0"/>
        <w:spacing w:line="360" w:lineRule="auto"/>
        <w:jc w:val="both"/>
        <w:rPr>
          <w:rFonts w:ascii="David" w:hAnsi="David"/>
          <w:b/>
          <w:bCs/>
          <w:u w:val="single"/>
          <w:rtl/>
        </w:rPr>
      </w:pPr>
      <w:r>
        <w:rPr>
          <w:rFonts w:ascii="David" w:hAnsi="David"/>
          <w:b/>
          <w:bCs/>
          <w:u w:val="single"/>
          <w:rtl/>
        </w:rPr>
        <w:t>זכות ערעור לבית-המשפט המחוזי תוך 45 יום.</w:t>
      </w:r>
    </w:p>
    <w:p w14:paraId="3ED94846" w14:textId="77777777" w:rsidR="00AE4DEA" w:rsidRPr="00B73171" w:rsidRDefault="00B73171" w:rsidP="00AE4DEA">
      <w:pPr>
        <w:widowControl w:val="0"/>
        <w:spacing w:line="360" w:lineRule="auto"/>
        <w:jc w:val="both"/>
        <w:rPr>
          <w:rFonts w:ascii="David" w:hAnsi="David"/>
          <w:b/>
          <w:bCs/>
          <w:color w:val="FFFFFF"/>
          <w:sz w:val="2"/>
          <w:szCs w:val="2"/>
          <w:u w:val="single"/>
          <w:rtl/>
        </w:rPr>
      </w:pPr>
      <w:r w:rsidRPr="00B73171">
        <w:rPr>
          <w:rFonts w:ascii="David" w:hAnsi="David"/>
          <w:b/>
          <w:bCs/>
          <w:color w:val="FFFFFF"/>
          <w:sz w:val="2"/>
          <w:szCs w:val="2"/>
          <w:u w:val="single"/>
          <w:rtl/>
        </w:rPr>
        <w:t>5129371</w:t>
      </w:r>
    </w:p>
    <w:p w14:paraId="30B678FA" w14:textId="77777777" w:rsidR="00AE4DEA" w:rsidRDefault="00B73171" w:rsidP="00AE4DEA">
      <w:pPr>
        <w:widowControl w:val="0"/>
        <w:spacing w:line="360" w:lineRule="auto"/>
        <w:jc w:val="both"/>
        <w:rPr>
          <w:rFonts w:ascii="David" w:hAnsi="David"/>
          <w:b/>
          <w:bCs/>
          <w:rtl/>
        </w:rPr>
      </w:pPr>
      <w:r w:rsidRPr="00B73171">
        <w:rPr>
          <w:rFonts w:ascii="David" w:hAnsi="David"/>
          <w:b/>
          <w:bCs/>
          <w:color w:val="FFFFFF"/>
          <w:sz w:val="2"/>
          <w:szCs w:val="2"/>
          <w:u w:val="single"/>
          <w:rtl/>
        </w:rPr>
        <w:t>54678313</w:t>
      </w:r>
      <w:r w:rsidR="00AE4DEA">
        <w:rPr>
          <w:rFonts w:ascii="David" w:hAnsi="David"/>
          <w:b/>
          <w:bCs/>
          <w:u w:val="single"/>
          <w:rtl/>
        </w:rPr>
        <w:t>המזכירות מתבקשת להעביר עותק גזר הדין לשירות המבחן</w:t>
      </w:r>
      <w:r w:rsidR="00AE4DEA">
        <w:rPr>
          <w:rFonts w:ascii="David" w:hAnsi="David"/>
          <w:b/>
          <w:bCs/>
          <w:rtl/>
        </w:rPr>
        <w:t xml:space="preserve">. </w:t>
      </w:r>
    </w:p>
    <w:p w14:paraId="634BD69A" w14:textId="77777777" w:rsidR="00AE4DEA" w:rsidRDefault="00AE4DEA" w:rsidP="00AE4DEA">
      <w:pPr>
        <w:widowControl w:val="0"/>
        <w:spacing w:line="360" w:lineRule="auto"/>
        <w:jc w:val="both"/>
        <w:rPr>
          <w:rFonts w:ascii="Arial" w:hAnsi="Arial"/>
          <w:noProof w:val="0"/>
          <w:rtl/>
        </w:rPr>
      </w:pPr>
    </w:p>
    <w:p w14:paraId="6F74AC3B" w14:textId="77777777" w:rsidR="00AE4DEA" w:rsidRDefault="00B73171" w:rsidP="00AE4DEA">
      <w:pPr>
        <w:widowControl w:val="0"/>
        <w:spacing w:line="360" w:lineRule="auto"/>
        <w:jc w:val="both"/>
        <w:rPr>
          <w:rFonts w:ascii="Arial" w:hAnsi="Arial"/>
          <w:noProof w:val="0"/>
          <w:rtl/>
        </w:rPr>
      </w:pPr>
      <w:bookmarkStart w:id="8" w:name="Nitan"/>
      <w:r>
        <w:rPr>
          <w:rFonts w:ascii="Arial" w:hAnsi="Arial"/>
          <w:b/>
          <w:bCs/>
          <w:noProof w:val="0"/>
          <w:rtl/>
        </w:rPr>
        <w:t xml:space="preserve">ניתן והודע היום, ג' תשרי תשפ"ד, 18 ספטמבר 2023, במעמד הנוכחים </w:t>
      </w:r>
      <w:bookmarkEnd w:id="8"/>
    </w:p>
    <w:p w14:paraId="6A004EEA" w14:textId="77777777" w:rsidR="00AE4DEA" w:rsidRPr="00CE11C9" w:rsidRDefault="00AE4DEA" w:rsidP="00AE4DEA">
      <w:pPr>
        <w:widowControl w:val="0"/>
        <w:spacing w:line="360" w:lineRule="auto"/>
        <w:ind w:left="3600" w:firstLine="720"/>
        <w:jc w:val="both"/>
      </w:pPr>
    </w:p>
    <w:p w14:paraId="28E04E09" w14:textId="77777777" w:rsidR="00AE4DEA" w:rsidRPr="002B4F6C" w:rsidRDefault="002B4F6C" w:rsidP="00AE4DEA">
      <w:pPr>
        <w:widowControl w:val="0"/>
        <w:spacing w:line="360" w:lineRule="auto"/>
        <w:ind w:left="3600" w:firstLine="720"/>
        <w:jc w:val="both"/>
        <w:rPr>
          <w:rFonts w:ascii="Arial" w:hAnsi="Arial"/>
          <w:noProof w:val="0"/>
          <w:color w:val="FFFFFF"/>
          <w:sz w:val="2"/>
          <w:szCs w:val="2"/>
          <w:rtl/>
        </w:rPr>
      </w:pPr>
      <w:r w:rsidRPr="002B4F6C">
        <w:rPr>
          <w:rFonts w:ascii="Arial" w:hAnsi="Arial"/>
          <w:noProof w:val="0"/>
          <w:color w:val="FFFFFF"/>
          <w:sz w:val="2"/>
          <w:szCs w:val="2"/>
          <w:rtl/>
        </w:rPr>
        <w:t>5129371</w:t>
      </w:r>
    </w:p>
    <w:p w14:paraId="401E7FBE" w14:textId="77777777" w:rsidR="00242D21" w:rsidRPr="002B4F6C" w:rsidRDefault="002B4F6C" w:rsidP="00B73171">
      <w:pPr>
        <w:keepNext/>
        <w:rPr>
          <w:rFonts w:ascii="David" w:hAnsi="David" w:hint="cs"/>
          <w:color w:val="FFFFFF"/>
          <w:sz w:val="2"/>
          <w:szCs w:val="2"/>
          <w:rtl/>
        </w:rPr>
      </w:pPr>
      <w:r w:rsidRPr="002B4F6C">
        <w:rPr>
          <w:rFonts w:ascii="David" w:hAnsi="David"/>
          <w:color w:val="FFFFFF"/>
          <w:sz w:val="2"/>
          <w:szCs w:val="2"/>
          <w:rtl/>
        </w:rPr>
        <w:t>54678313</w:t>
      </w:r>
    </w:p>
    <w:p w14:paraId="6D177902" w14:textId="77777777" w:rsidR="00B73171" w:rsidRDefault="00B73171" w:rsidP="00B73171">
      <w:pPr>
        <w:rPr>
          <w:rtl/>
        </w:rPr>
      </w:pPr>
    </w:p>
    <w:p w14:paraId="388A2B87" w14:textId="77777777" w:rsidR="00B73171" w:rsidRDefault="00B73171" w:rsidP="00B73171">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27B49FCE" w14:textId="77777777" w:rsidR="002B4F6C" w:rsidRPr="002B4F6C" w:rsidRDefault="002B4F6C" w:rsidP="002B4F6C">
      <w:pPr>
        <w:keepNext/>
        <w:rPr>
          <w:rFonts w:ascii="David" w:hAnsi="David" w:hint="cs"/>
          <w:color w:val="000000"/>
          <w:sz w:val="22"/>
          <w:szCs w:val="22"/>
          <w:rtl/>
        </w:rPr>
      </w:pPr>
    </w:p>
    <w:p w14:paraId="5763596E" w14:textId="77777777" w:rsidR="002B4F6C" w:rsidRPr="002B4F6C" w:rsidRDefault="002B4F6C" w:rsidP="002B4F6C">
      <w:pPr>
        <w:keepNext/>
        <w:rPr>
          <w:rFonts w:ascii="David" w:hAnsi="David"/>
          <w:color w:val="000000"/>
          <w:sz w:val="22"/>
          <w:szCs w:val="22"/>
          <w:rtl/>
        </w:rPr>
      </w:pPr>
      <w:r w:rsidRPr="002B4F6C">
        <w:rPr>
          <w:rFonts w:ascii="David" w:hAnsi="David"/>
          <w:color w:val="000000"/>
          <w:sz w:val="22"/>
          <w:szCs w:val="22"/>
          <w:rtl/>
        </w:rPr>
        <w:t>זהר דולב להמן 54678313-/</w:t>
      </w:r>
    </w:p>
    <w:p w14:paraId="196AC8A0" w14:textId="77777777" w:rsidR="00B73171" w:rsidRPr="00B73171" w:rsidRDefault="002B4F6C" w:rsidP="002B4F6C">
      <w:pPr>
        <w:rPr>
          <w:rFonts w:hint="cs"/>
          <w:color w:val="0000FF"/>
          <w:u w:val="single"/>
        </w:rPr>
      </w:pPr>
      <w:r w:rsidRPr="002B4F6C">
        <w:rPr>
          <w:color w:val="000000"/>
          <w:u w:val="single"/>
          <w:rtl/>
        </w:rPr>
        <w:t>נוסח מסמך זה כפוף לשינויי ניסוח ועריכה</w:t>
      </w:r>
    </w:p>
    <w:sectPr w:rsidR="00B73171" w:rsidRPr="00B73171" w:rsidSect="002B4F6C">
      <w:headerReference w:type="even" r:id="rId67"/>
      <w:headerReference w:type="default" r:id="rId68"/>
      <w:footerReference w:type="even" r:id="rId69"/>
      <w:footerReference w:type="default" r:id="rId70"/>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4D786" w14:textId="77777777" w:rsidR="00314079" w:rsidRDefault="00314079" w:rsidP="001C0011">
      <w:r>
        <w:separator/>
      </w:r>
    </w:p>
  </w:endnote>
  <w:endnote w:type="continuationSeparator" w:id="0">
    <w:p w14:paraId="0C33F97F" w14:textId="77777777" w:rsidR="00314079" w:rsidRDefault="00314079" w:rsidP="001C0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5C18A" w14:textId="77777777" w:rsidR="002B4F6C" w:rsidRDefault="002B4F6C" w:rsidP="002B4F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DFE8726" w14:textId="77777777" w:rsidR="00B73171" w:rsidRPr="002B4F6C" w:rsidRDefault="002B4F6C" w:rsidP="002B4F6C">
    <w:pPr>
      <w:pStyle w:val="a5"/>
      <w:pBdr>
        <w:top w:val="single" w:sz="4" w:space="1" w:color="auto"/>
        <w:between w:val="single" w:sz="4" w:space="0" w:color="auto"/>
      </w:pBdr>
      <w:spacing w:after="60"/>
      <w:jc w:val="center"/>
      <w:rPr>
        <w:rFonts w:ascii="FrankRuehl" w:hAnsi="FrankRuehl" w:cs="FrankRuehl"/>
        <w:color w:val="000000"/>
      </w:rPr>
    </w:pPr>
    <w:r w:rsidRPr="002B4F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E48E6" w14:textId="77777777" w:rsidR="002B4F6C" w:rsidRDefault="002B4F6C" w:rsidP="002B4F6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849C2">
      <w:rPr>
        <w:rStyle w:val="a8"/>
        <w:rFonts w:ascii="FrankRuehl" w:hAnsi="FrankRuehl" w:cs="FrankRuehl"/>
        <w:rtl/>
      </w:rPr>
      <w:t>1</w:t>
    </w:r>
    <w:r>
      <w:rPr>
        <w:rStyle w:val="a8"/>
        <w:rFonts w:ascii="FrankRuehl" w:hAnsi="FrankRuehl" w:cs="FrankRuehl"/>
        <w:rtl/>
      </w:rPr>
      <w:fldChar w:fldCharType="end"/>
    </w:r>
  </w:p>
  <w:p w14:paraId="519F4BC3" w14:textId="77777777" w:rsidR="00A5052C" w:rsidRPr="002B4F6C" w:rsidRDefault="002B4F6C" w:rsidP="002B4F6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2B4F6C">
      <w:rPr>
        <w:rStyle w:val="a8"/>
        <w:rFonts w:ascii="FrankRuehl" w:hAnsi="FrankRuehl" w:cs="FrankRuehl" w:hint="cs"/>
        <w:color w:val="000000"/>
      </w:rPr>
      <w:pict w14:anchorId="76D5B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9A150" w14:textId="77777777" w:rsidR="00314079" w:rsidRDefault="00314079" w:rsidP="001C0011">
      <w:r>
        <w:separator/>
      </w:r>
    </w:p>
  </w:footnote>
  <w:footnote w:type="continuationSeparator" w:id="0">
    <w:p w14:paraId="11511013" w14:textId="77777777" w:rsidR="00314079" w:rsidRDefault="00314079" w:rsidP="001C0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620DF" w14:textId="77777777" w:rsidR="00B73171" w:rsidRPr="002B4F6C" w:rsidRDefault="002B4F6C" w:rsidP="002B4F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45623-11-20</w:t>
    </w:r>
    <w:r>
      <w:rPr>
        <w:rFonts w:ascii="David" w:hAnsi="David"/>
        <w:color w:val="000000"/>
        <w:sz w:val="22"/>
        <w:szCs w:val="22"/>
        <w:rtl/>
      </w:rPr>
      <w:tab/>
      <w:t xml:space="preserve"> מדינת ישראל נ' עזרא טקלה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3551F" w14:textId="77777777" w:rsidR="00B73171" w:rsidRPr="002B4F6C" w:rsidRDefault="002B4F6C" w:rsidP="002B4F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45623-11-20</w:t>
    </w:r>
    <w:r>
      <w:rPr>
        <w:rFonts w:ascii="David" w:hAnsi="David"/>
        <w:color w:val="000000"/>
        <w:sz w:val="22"/>
        <w:szCs w:val="22"/>
        <w:rtl/>
      </w:rPr>
      <w:tab/>
      <w:t xml:space="preserve"> מדינת ישראל נ' עזרא טקלה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F496C904"/>
    <w:lvl w:ilvl="0" w:tplc="69462BCA">
      <w:start w:val="1"/>
      <w:numFmt w:val="decimal"/>
      <w:lvlText w:val="%1."/>
      <w:lvlJc w:val="left"/>
      <w:pPr>
        <w:ind w:left="720" w:hanging="360"/>
      </w:pPr>
    </w:lvl>
    <w:lvl w:ilvl="1" w:tplc="6E261196">
      <w:start w:val="1"/>
      <w:numFmt w:val="hebrew1"/>
      <w:lvlText w:val="%2."/>
      <w:lvlJc w:val="center"/>
      <w:pPr>
        <w:ind w:left="1440" w:hanging="360"/>
      </w:pPr>
    </w:lvl>
    <w:lvl w:ilvl="2" w:tplc="18640D6C">
      <w:start w:val="1"/>
      <w:numFmt w:val="decimal"/>
      <w:lvlText w:val="(%3)"/>
      <w:lvlJc w:val="left"/>
      <w:pPr>
        <w:ind w:left="2160" w:hanging="180"/>
      </w:pPr>
      <w:rPr>
        <w:rFonts w:cs="David"/>
        <w:bCs w:val="0"/>
        <w:iCs w:val="0"/>
        <w:szCs w:val="24"/>
      </w:rPr>
    </w:lvl>
    <w:lvl w:ilvl="3" w:tplc="56B605E8">
      <w:start w:val="1"/>
      <w:numFmt w:val="decimal"/>
      <w:lvlText w:val="%4."/>
      <w:lvlJc w:val="left"/>
      <w:pPr>
        <w:ind w:left="2880" w:hanging="360"/>
      </w:pPr>
    </w:lvl>
    <w:lvl w:ilvl="4" w:tplc="FB8E09A2">
      <w:start w:val="1"/>
      <w:numFmt w:val="lowerLetter"/>
      <w:lvlText w:val="%5."/>
      <w:lvlJc w:val="left"/>
      <w:pPr>
        <w:ind w:left="3600" w:hanging="360"/>
      </w:pPr>
    </w:lvl>
    <w:lvl w:ilvl="5" w:tplc="D7CE7686">
      <w:start w:val="1"/>
      <w:numFmt w:val="lowerRoman"/>
      <w:lvlText w:val="%6."/>
      <w:lvlJc w:val="right"/>
      <w:pPr>
        <w:ind w:left="4320" w:hanging="180"/>
      </w:pPr>
    </w:lvl>
    <w:lvl w:ilvl="6" w:tplc="6F0EDEC8">
      <w:start w:val="1"/>
      <w:numFmt w:val="decimal"/>
      <w:lvlText w:val="%7."/>
      <w:lvlJc w:val="left"/>
      <w:pPr>
        <w:ind w:left="5040" w:hanging="360"/>
      </w:pPr>
    </w:lvl>
    <w:lvl w:ilvl="7" w:tplc="1B7A8CE2">
      <w:start w:val="1"/>
      <w:numFmt w:val="lowerLetter"/>
      <w:lvlText w:val="%8."/>
      <w:lvlJc w:val="left"/>
      <w:pPr>
        <w:ind w:left="5760" w:hanging="360"/>
      </w:pPr>
    </w:lvl>
    <w:lvl w:ilvl="8" w:tplc="4E4048BA">
      <w:start w:val="1"/>
      <w:numFmt w:val="lowerRoman"/>
      <w:lvlText w:val="%9."/>
      <w:lvlJc w:val="right"/>
      <w:pPr>
        <w:ind w:left="6480" w:hanging="180"/>
      </w:pPr>
    </w:lvl>
  </w:abstractNum>
  <w:abstractNum w:abstractNumId="1" w15:restartNumberingAfterBreak="0">
    <w:nsid w:val="6D3856D5"/>
    <w:multiLevelType w:val="hybridMultilevel"/>
    <w:tmpl w:val="E94C95BE"/>
    <w:lvl w:ilvl="0" w:tplc="2CAE6F98">
      <w:start w:val="1"/>
      <w:numFmt w:val="bullet"/>
      <w:lvlText w:val=""/>
      <w:lvlJc w:val="left"/>
      <w:pPr>
        <w:ind w:left="1445" w:hanging="360"/>
      </w:pPr>
      <w:rPr>
        <w:rFonts w:ascii="Symbol" w:hAnsi="Symbol" w:hint="default"/>
      </w:rPr>
    </w:lvl>
    <w:lvl w:ilvl="1" w:tplc="A28A1880">
      <w:start w:val="1"/>
      <w:numFmt w:val="bullet"/>
      <w:lvlText w:val="o"/>
      <w:lvlJc w:val="left"/>
      <w:pPr>
        <w:ind w:left="2165" w:hanging="360"/>
      </w:pPr>
      <w:rPr>
        <w:rFonts w:ascii="Courier New" w:hAnsi="Courier New" w:cs="Courier New" w:hint="default"/>
      </w:rPr>
    </w:lvl>
    <w:lvl w:ilvl="2" w:tplc="361C5DA8">
      <w:start w:val="1"/>
      <w:numFmt w:val="bullet"/>
      <w:lvlText w:val=""/>
      <w:lvlJc w:val="left"/>
      <w:pPr>
        <w:ind w:left="2885" w:hanging="360"/>
      </w:pPr>
      <w:rPr>
        <w:rFonts w:ascii="Wingdings" w:hAnsi="Wingdings" w:hint="default"/>
      </w:rPr>
    </w:lvl>
    <w:lvl w:ilvl="3" w:tplc="84264568">
      <w:start w:val="1"/>
      <w:numFmt w:val="bullet"/>
      <w:lvlText w:val=""/>
      <w:lvlJc w:val="left"/>
      <w:pPr>
        <w:ind w:left="3605" w:hanging="360"/>
      </w:pPr>
      <w:rPr>
        <w:rFonts w:ascii="Symbol" w:hAnsi="Symbol" w:hint="default"/>
      </w:rPr>
    </w:lvl>
    <w:lvl w:ilvl="4" w:tplc="1A5C7C32">
      <w:start w:val="1"/>
      <w:numFmt w:val="bullet"/>
      <w:lvlText w:val="o"/>
      <w:lvlJc w:val="left"/>
      <w:pPr>
        <w:ind w:left="4325" w:hanging="360"/>
      </w:pPr>
      <w:rPr>
        <w:rFonts w:ascii="Courier New" w:hAnsi="Courier New" w:cs="Courier New" w:hint="default"/>
      </w:rPr>
    </w:lvl>
    <w:lvl w:ilvl="5" w:tplc="0496670E">
      <w:start w:val="1"/>
      <w:numFmt w:val="bullet"/>
      <w:lvlText w:val=""/>
      <w:lvlJc w:val="left"/>
      <w:pPr>
        <w:ind w:left="5045" w:hanging="360"/>
      </w:pPr>
      <w:rPr>
        <w:rFonts w:ascii="Wingdings" w:hAnsi="Wingdings" w:hint="default"/>
      </w:rPr>
    </w:lvl>
    <w:lvl w:ilvl="6" w:tplc="D9ECBDBC">
      <w:start w:val="1"/>
      <w:numFmt w:val="bullet"/>
      <w:lvlText w:val=""/>
      <w:lvlJc w:val="left"/>
      <w:pPr>
        <w:ind w:left="5765" w:hanging="360"/>
      </w:pPr>
      <w:rPr>
        <w:rFonts w:ascii="Symbol" w:hAnsi="Symbol" w:hint="default"/>
      </w:rPr>
    </w:lvl>
    <w:lvl w:ilvl="7" w:tplc="8BE2DC9C">
      <w:start w:val="1"/>
      <w:numFmt w:val="bullet"/>
      <w:lvlText w:val="o"/>
      <w:lvlJc w:val="left"/>
      <w:pPr>
        <w:ind w:left="6485" w:hanging="360"/>
      </w:pPr>
      <w:rPr>
        <w:rFonts w:ascii="Courier New" w:hAnsi="Courier New" w:cs="Courier New" w:hint="default"/>
      </w:rPr>
    </w:lvl>
    <w:lvl w:ilvl="8" w:tplc="0874959E">
      <w:start w:val="1"/>
      <w:numFmt w:val="bullet"/>
      <w:lvlText w:val=""/>
      <w:lvlJc w:val="left"/>
      <w:pPr>
        <w:ind w:left="7205" w:hanging="360"/>
      </w:pPr>
      <w:rPr>
        <w:rFonts w:ascii="Wingdings" w:hAnsi="Wingdings" w:hint="default"/>
      </w:rPr>
    </w:lvl>
  </w:abstractNum>
  <w:num w:numId="1" w16cid:durableId="485704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4771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239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DEA"/>
    <w:rsid w:val="000F25A0"/>
    <w:rsid w:val="001B5A3B"/>
    <w:rsid w:val="001C0011"/>
    <w:rsid w:val="00242D21"/>
    <w:rsid w:val="002B4F6C"/>
    <w:rsid w:val="00314079"/>
    <w:rsid w:val="0055628F"/>
    <w:rsid w:val="007D6498"/>
    <w:rsid w:val="008849C2"/>
    <w:rsid w:val="009D23C4"/>
    <w:rsid w:val="00A5052C"/>
    <w:rsid w:val="00AE4DEA"/>
    <w:rsid w:val="00B73171"/>
    <w:rsid w:val="00DE5432"/>
    <w:rsid w:val="00F2353A"/>
    <w:rsid w:val="00F913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8659A2"/>
  <w15:chartTrackingRefBased/>
  <w15:docId w15:val="{63CA21B9-26BF-49FC-97E4-09CB7BAE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DEA"/>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4DEA"/>
    <w:pPr>
      <w:tabs>
        <w:tab w:val="center" w:pos="4153"/>
        <w:tab w:val="right" w:pos="8306"/>
      </w:tabs>
    </w:pPr>
  </w:style>
  <w:style w:type="character" w:customStyle="1" w:styleId="a4">
    <w:name w:val="כותרת עליונה תו"/>
    <w:link w:val="a3"/>
    <w:rsid w:val="00AE4DEA"/>
    <w:rPr>
      <w:rFonts w:ascii="Times New Roman" w:eastAsia="Times New Roman" w:hAnsi="Times New Roman" w:cs="David"/>
      <w:noProof/>
      <w:sz w:val="24"/>
      <w:szCs w:val="24"/>
    </w:rPr>
  </w:style>
  <w:style w:type="paragraph" w:styleId="a5">
    <w:name w:val="footer"/>
    <w:basedOn w:val="a"/>
    <w:link w:val="a6"/>
    <w:rsid w:val="00AE4DEA"/>
    <w:pPr>
      <w:tabs>
        <w:tab w:val="center" w:pos="4153"/>
        <w:tab w:val="right" w:pos="8306"/>
      </w:tabs>
    </w:pPr>
  </w:style>
  <w:style w:type="character" w:customStyle="1" w:styleId="a6">
    <w:name w:val="כותרת תחתונה תו"/>
    <w:link w:val="a5"/>
    <w:rsid w:val="00AE4DEA"/>
    <w:rPr>
      <w:rFonts w:ascii="Times New Roman" w:eastAsia="Times New Roman" w:hAnsi="Times New Roman" w:cs="David"/>
      <w:noProof/>
      <w:sz w:val="24"/>
      <w:szCs w:val="24"/>
    </w:rPr>
  </w:style>
  <w:style w:type="table" w:styleId="a7">
    <w:name w:val="Table Grid"/>
    <w:basedOn w:val="a1"/>
    <w:rsid w:val="00AE4D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4DEA"/>
  </w:style>
  <w:style w:type="character" w:customStyle="1" w:styleId="a9">
    <w:name w:val="פיסקת רשימה תו"/>
    <w:link w:val="aa"/>
    <w:locked/>
    <w:rsid w:val="00AE4DEA"/>
    <w:rPr>
      <w:rFonts w:ascii="David" w:hAnsi="David" w:cs="David"/>
      <w:szCs w:val="24"/>
      <w:lang w:eastAsia="he-IL"/>
    </w:rPr>
  </w:style>
  <w:style w:type="paragraph" w:styleId="aa">
    <w:name w:val="List Paragraph"/>
    <w:basedOn w:val="a"/>
    <w:link w:val="a9"/>
    <w:qFormat/>
    <w:rsid w:val="00AE4DEA"/>
    <w:pPr>
      <w:snapToGrid w:val="0"/>
      <w:ind w:left="720"/>
      <w:contextualSpacing/>
    </w:pPr>
    <w:rPr>
      <w:rFonts w:ascii="David" w:eastAsia="Calibri" w:hAnsi="David"/>
      <w:noProof w:val="0"/>
      <w:sz w:val="22"/>
      <w:lang w:eastAsia="he-IL"/>
    </w:rPr>
  </w:style>
  <w:style w:type="character" w:customStyle="1" w:styleId="default">
    <w:name w:val="default"/>
    <w:rsid w:val="00AE4DEA"/>
    <w:rPr>
      <w:rFonts w:ascii="Times New Roman" w:hAnsi="Times New Roman" w:cs="Times New Roman" w:hint="default"/>
      <w:sz w:val="26"/>
    </w:rPr>
  </w:style>
  <w:style w:type="paragraph" w:customStyle="1" w:styleId="Ruller4">
    <w:name w:val="Ruller4"/>
    <w:basedOn w:val="a"/>
    <w:rsid w:val="00AE4DEA"/>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styleId="Hyperlink">
    <w:name w:val="Hyperlink"/>
    <w:rsid w:val="00B73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169106" TargetMode="External"/><Relationship Id="rId21" Type="http://schemas.openxmlformats.org/officeDocument/2006/relationships/hyperlink" Target="http://www.nevo.co.il/law/74903" TargetMode="External"/><Relationship Id="rId42" Type="http://schemas.openxmlformats.org/officeDocument/2006/relationships/hyperlink" Target="http://www.nevo.co.il/case/16943469" TargetMode="External"/><Relationship Id="rId47" Type="http://schemas.openxmlformats.org/officeDocument/2006/relationships/hyperlink" Target="http://www.nevo.co.il/case/6880439" TargetMode="External"/><Relationship Id="rId63" Type="http://schemas.openxmlformats.org/officeDocument/2006/relationships/hyperlink" Target="http://www.nevo.co.il/law/70301/40f"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805976" TargetMode="External"/><Relationship Id="rId37" Type="http://schemas.openxmlformats.org/officeDocument/2006/relationships/hyperlink" Target="http://www.nevo.co.il/case/20632055" TargetMode="External"/><Relationship Id="rId40" Type="http://schemas.openxmlformats.org/officeDocument/2006/relationships/hyperlink" Target="http://www.nevo.co.il/case/20145219" TargetMode="External"/><Relationship Id="rId45" Type="http://schemas.openxmlformats.org/officeDocument/2006/relationships/hyperlink" Target="http://www.nevo.co.il/case/18149736" TargetMode="External"/><Relationship Id="rId53" Type="http://schemas.openxmlformats.org/officeDocument/2006/relationships/hyperlink" Target="http://www.nevo.co.il/law/70301/40c.b" TargetMode="External"/><Relationship Id="rId58" Type="http://schemas.openxmlformats.org/officeDocument/2006/relationships/hyperlink" Target="http://www.nevo.co.il/case/26117853"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74903"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5810781"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case/28710074" TargetMode="External"/><Relationship Id="rId43" Type="http://schemas.openxmlformats.org/officeDocument/2006/relationships/hyperlink" Target="http://www.nevo.co.il/case/20508472" TargetMode="External"/><Relationship Id="rId48" Type="http://schemas.openxmlformats.org/officeDocument/2006/relationships/hyperlink" Target="http://www.nevo.co.il/law/70301/40ji" TargetMode="External"/><Relationship Id="rId56" Type="http://schemas.openxmlformats.org/officeDocument/2006/relationships/hyperlink" Target="http://www.nevo.co.il/law/70301/40e" TargetMode="External"/><Relationship Id="rId64" Type="http://schemas.openxmlformats.org/officeDocument/2006/relationships/hyperlink" Target="http://www.nevo.co.il/law/70301/40g" TargetMode="External"/><Relationship Id="rId69"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case/28080837" TargetMode="External"/><Relationship Id="rId33" Type="http://schemas.openxmlformats.org/officeDocument/2006/relationships/hyperlink" Target="http://www.nevo.co.il/case/20683594" TargetMode="External"/><Relationship Id="rId38" Type="http://schemas.openxmlformats.org/officeDocument/2006/relationships/hyperlink" Target="http://www.nevo.co.il/case/5633505" TargetMode="External"/><Relationship Id="rId46" Type="http://schemas.openxmlformats.org/officeDocument/2006/relationships/hyperlink" Target="http://www.nevo.co.il/case/11618901" TargetMode="External"/><Relationship Id="rId59" Type="http://schemas.openxmlformats.org/officeDocument/2006/relationships/hyperlink" Target="http://www.nevo.co.il/case/28854489" TargetMode="External"/><Relationship Id="rId67" Type="http://schemas.openxmlformats.org/officeDocument/2006/relationships/header" Target="header1.xml"/><Relationship Id="rId20" Type="http://schemas.openxmlformats.org/officeDocument/2006/relationships/hyperlink" Target="http://www.nevo.co.il/law/70301/40ji" TargetMode="External"/><Relationship Id="rId41" Type="http://schemas.openxmlformats.org/officeDocument/2006/relationships/hyperlink" Target="http://www.nevo.co.il/case/13062195" TargetMode="External"/><Relationship Id="rId54" Type="http://schemas.openxmlformats.org/officeDocument/2006/relationships/hyperlink" Target="http://www.nevo.co.il/law/70301/40ja"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3750765"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7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0508473" TargetMode="External"/><Relationship Id="rId52" Type="http://schemas.openxmlformats.org/officeDocument/2006/relationships/hyperlink" Target="http://www.nevo.co.il/law/4216/37a" TargetMode="External"/><Relationship Id="rId60" Type="http://schemas.openxmlformats.org/officeDocument/2006/relationships/hyperlink" Target="http://www.nevo.co.il/case/29311859" TargetMode="External"/><Relationship Id="rId65"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h" TargetMode="External"/><Relationship Id="rId39" Type="http://schemas.openxmlformats.org/officeDocument/2006/relationships/hyperlink" Target="http://www.nevo.co.il/case/25173361" TargetMode="External"/><Relationship Id="rId34" Type="http://schemas.openxmlformats.org/officeDocument/2006/relationships/hyperlink" Target="http://www.nevo.co.il/case/24287803" TargetMode="External"/><Relationship Id="rId50" Type="http://schemas.openxmlformats.org/officeDocument/2006/relationships/hyperlink" Target="http://www.nevo.co.il/law/70301/40h" TargetMode="External"/><Relationship Id="rId55"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3575</Words>
  <Characters>17880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21413</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6619233</vt:i4>
      </vt:variant>
      <vt:variant>
        <vt:i4>171</vt:i4>
      </vt:variant>
      <vt:variant>
        <vt:i4>0</vt:i4>
      </vt:variant>
      <vt:variant>
        <vt:i4>5</vt:i4>
      </vt:variant>
      <vt:variant>
        <vt:lpwstr>http://www.nevo.co.il/law/70301/40g</vt:lpwstr>
      </vt:variant>
      <vt:variant>
        <vt:lpwstr/>
      </vt:variant>
      <vt:variant>
        <vt:i4>6619233</vt:i4>
      </vt:variant>
      <vt:variant>
        <vt:i4>168</vt:i4>
      </vt:variant>
      <vt:variant>
        <vt:i4>0</vt:i4>
      </vt:variant>
      <vt:variant>
        <vt:i4>5</vt:i4>
      </vt:variant>
      <vt:variant>
        <vt:lpwstr>http://www.nevo.co.il/law/70301/40f</vt:lpwstr>
      </vt:variant>
      <vt:variant>
        <vt:lpwstr/>
      </vt:variant>
      <vt:variant>
        <vt:i4>7995492</vt:i4>
      </vt:variant>
      <vt:variant>
        <vt:i4>165</vt:i4>
      </vt:variant>
      <vt:variant>
        <vt:i4>0</vt:i4>
      </vt:variant>
      <vt:variant>
        <vt:i4>5</vt:i4>
      </vt:variant>
      <vt:variant>
        <vt:lpwstr>http://www.nevo.co.il/law/70301</vt:lpwstr>
      </vt:variant>
      <vt:variant>
        <vt:lpwstr/>
      </vt:variant>
      <vt:variant>
        <vt:i4>8257646</vt:i4>
      </vt:variant>
      <vt:variant>
        <vt:i4>162</vt:i4>
      </vt:variant>
      <vt:variant>
        <vt:i4>0</vt:i4>
      </vt:variant>
      <vt:variant>
        <vt:i4>5</vt:i4>
      </vt:variant>
      <vt:variant>
        <vt:lpwstr>http://www.nevo.co.il/law/74903</vt:lpwstr>
      </vt:variant>
      <vt:variant>
        <vt:lpwstr/>
      </vt:variant>
      <vt:variant>
        <vt:i4>3473524</vt:i4>
      </vt:variant>
      <vt:variant>
        <vt:i4>159</vt:i4>
      </vt:variant>
      <vt:variant>
        <vt:i4>0</vt:i4>
      </vt:variant>
      <vt:variant>
        <vt:i4>5</vt:i4>
      </vt:variant>
      <vt:variant>
        <vt:lpwstr>http://www.nevo.co.il/case/29311859</vt:lpwstr>
      </vt:variant>
      <vt:variant>
        <vt:lpwstr/>
      </vt:variant>
      <vt:variant>
        <vt:i4>3539069</vt:i4>
      </vt:variant>
      <vt:variant>
        <vt:i4>156</vt:i4>
      </vt:variant>
      <vt:variant>
        <vt:i4>0</vt:i4>
      </vt:variant>
      <vt:variant>
        <vt:i4>5</vt:i4>
      </vt:variant>
      <vt:variant>
        <vt:lpwstr>http://www.nevo.co.il/case/28854489</vt:lpwstr>
      </vt:variant>
      <vt:variant>
        <vt:lpwstr/>
      </vt:variant>
      <vt:variant>
        <vt:i4>3211387</vt:i4>
      </vt:variant>
      <vt:variant>
        <vt:i4>153</vt:i4>
      </vt:variant>
      <vt:variant>
        <vt:i4>0</vt:i4>
      </vt:variant>
      <vt:variant>
        <vt:i4>5</vt:i4>
      </vt:variant>
      <vt:variant>
        <vt:lpwstr>http://www.nevo.co.il/case/26117853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http://www.nevo.co.il/law/70301/40e</vt:lpwstr>
      </vt:variant>
      <vt:variant>
        <vt:lpwstr/>
      </vt:variant>
      <vt:variant>
        <vt:i4>6619233</vt:i4>
      </vt:variant>
      <vt:variant>
        <vt:i4>144</vt:i4>
      </vt:variant>
      <vt:variant>
        <vt:i4>0</vt:i4>
      </vt:variant>
      <vt:variant>
        <vt:i4>5</vt:i4>
      </vt:variant>
      <vt:variant>
        <vt:lpwstr>http://www.nevo.co.il/law/70301/40d</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4915202</vt:i4>
      </vt:variant>
      <vt:variant>
        <vt:i4>138</vt:i4>
      </vt:variant>
      <vt:variant>
        <vt:i4>0</vt:i4>
      </vt:variant>
      <vt:variant>
        <vt:i4>5</vt:i4>
      </vt:variant>
      <vt:variant>
        <vt:lpwstr>http://www.nevo.co.il/law/70301/40c.b</vt:lpwstr>
      </vt:variant>
      <vt:variant>
        <vt:lpwstr/>
      </vt:variant>
      <vt:variant>
        <vt:i4>2883709</vt:i4>
      </vt:variant>
      <vt:variant>
        <vt:i4>135</vt:i4>
      </vt:variant>
      <vt:variant>
        <vt:i4>0</vt:i4>
      </vt:variant>
      <vt:variant>
        <vt:i4>5</vt:i4>
      </vt:variant>
      <vt:variant>
        <vt:lpwstr>http://www.nevo.co.il/law/4216/37a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http://www.nevo.co.il/law/70301/40h</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786443</vt:i4>
      </vt:variant>
      <vt:variant>
        <vt:i4>123</vt:i4>
      </vt:variant>
      <vt:variant>
        <vt:i4>0</vt:i4>
      </vt:variant>
      <vt:variant>
        <vt:i4>5</vt:i4>
      </vt:variant>
      <vt:variant>
        <vt:lpwstr>http://www.nevo.co.il/law/70301/40ji</vt:lpwstr>
      </vt:variant>
      <vt:variant>
        <vt:lpwstr/>
      </vt:variant>
      <vt:variant>
        <vt:i4>3342463</vt:i4>
      </vt:variant>
      <vt:variant>
        <vt:i4>120</vt:i4>
      </vt:variant>
      <vt:variant>
        <vt:i4>0</vt:i4>
      </vt:variant>
      <vt:variant>
        <vt:i4>5</vt:i4>
      </vt:variant>
      <vt:variant>
        <vt:lpwstr>http://www.nevo.co.il/case/6880439</vt:lpwstr>
      </vt:variant>
      <vt:variant>
        <vt:lpwstr/>
      </vt:variant>
      <vt:variant>
        <vt:i4>4128893</vt:i4>
      </vt:variant>
      <vt:variant>
        <vt:i4>117</vt:i4>
      </vt:variant>
      <vt:variant>
        <vt:i4>0</vt:i4>
      </vt:variant>
      <vt:variant>
        <vt:i4>5</vt:i4>
      </vt:variant>
      <vt:variant>
        <vt:lpwstr>http://www.nevo.co.il/case/11618901</vt:lpwstr>
      </vt:variant>
      <vt:variant>
        <vt:lpwstr/>
      </vt:variant>
      <vt:variant>
        <vt:i4>3801215</vt:i4>
      </vt:variant>
      <vt:variant>
        <vt:i4>114</vt:i4>
      </vt:variant>
      <vt:variant>
        <vt:i4>0</vt:i4>
      </vt:variant>
      <vt:variant>
        <vt:i4>5</vt:i4>
      </vt:variant>
      <vt:variant>
        <vt:lpwstr>http://www.nevo.co.il/case/18149736</vt:lpwstr>
      </vt:variant>
      <vt:variant>
        <vt:lpwstr/>
      </vt:variant>
      <vt:variant>
        <vt:i4>3670128</vt:i4>
      </vt:variant>
      <vt:variant>
        <vt:i4>111</vt:i4>
      </vt:variant>
      <vt:variant>
        <vt:i4>0</vt:i4>
      </vt:variant>
      <vt:variant>
        <vt:i4>5</vt:i4>
      </vt:variant>
      <vt:variant>
        <vt:lpwstr>http://www.nevo.co.il/case/20508473</vt:lpwstr>
      </vt:variant>
      <vt:variant>
        <vt:lpwstr/>
      </vt:variant>
      <vt:variant>
        <vt:i4>3670128</vt:i4>
      </vt:variant>
      <vt:variant>
        <vt:i4>108</vt:i4>
      </vt:variant>
      <vt:variant>
        <vt:i4>0</vt:i4>
      </vt:variant>
      <vt:variant>
        <vt:i4>5</vt:i4>
      </vt:variant>
      <vt:variant>
        <vt:lpwstr>http://www.nevo.co.il/case/20508472</vt:lpwstr>
      </vt:variant>
      <vt:variant>
        <vt:lpwstr/>
      </vt:variant>
      <vt:variant>
        <vt:i4>3997810</vt:i4>
      </vt:variant>
      <vt:variant>
        <vt:i4>105</vt:i4>
      </vt:variant>
      <vt:variant>
        <vt:i4>0</vt:i4>
      </vt:variant>
      <vt:variant>
        <vt:i4>5</vt:i4>
      </vt:variant>
      <vt:variant>
        <vt:lpwstr>http://www.nevo.co.il/case/16943469</vt:lpwstr>
      </vt:variant>
      <vt:variant>
        <vt:lpwstr/>
      </vt:variant>
      <vt:variant>
        <vt:i4>3801200</vt:i4>
      </vt:variant>
      <vt:variant>
        <vt:i4>102</vt:i4>
      </vt:variant>
      <vt:variant>
        <vt:i4>0</vt:i4>
      </vt:variant>
      <vt:variant>
        <vt:i4>5</vt:i4>
      </vt:variant>
      <vt:variant>
        <vt:lpwstr>http://www.nevo.co.il/case/13062195</vt:lpwstr>
      </vt:variant>
      <vt:variant>
        <vt:lpwstr/>
      </vt:variant>
      <vt:variant>
        <vt:i4>3604594</vt:i4>
      </vt:variant>
      <vt:variant>
        <vt:i4>99</vt:i4>
      </vt:variant>
      <vt:variant>
        <vt:i4>0</vt:i4>
      </vt:variant>
      <vt:variant>
        <vt:i4>5</vt:i4>
      </vt:variant>
      <vt:variant>
        <vt:lpwstr>http://www.nevo.co.il/case/20145219</vt:lpwstr>
      </vt:variant>
      <vt:variant>
        <vt:lpwstr/>
      </vt:variant>
      <vt:variant>
        <vt:i4>3539061</vt:i4>
      </vt:variant>
      <vt:variant>
        <vt:i4>96</vt:i4>
      </vt:variant>
      <vt:variant>
        <vt:i4>0</vt:i4>
      </vt:variant>
      <vt:variant>
        <vt:i4>5</vt:i4>
      </vt:variant>
      <vt:variant>
        <vt:lpwstr>http://www.nevo.co.il/case/25173361</vt:lpwstr>
      </vt:variant>
      <vt:variant>
        <vt:lpwstr/>
      </vt:variant>
      <vt:variant>
        <vt:i4>3539057</vt:i4>
      </vt:variant>
      <vt:variant>
        <vt:i4>93</vt:i4>
      </vt:variant>
      <vt:variant>
        <vt:i4>0</vt:i4>
      </vt:variant>
      <vt:variant>
        <vt:i4>5</vt:i4>
      </vt:variant>
      <vt:variant>
        <vt:lpwstr>http://www.nevo.co.il/case/5633505</vt:lpwstr>
      </vt:variant>
      <vt:variant>
        <vt:lpwstr/>
      </vt:variant>
      <vt:variant>
        <vt:i4>3342455</vt:i4>
      </vt:variant>
      <vt:variant>
        <vt:i4>90</vt:i4>
      </vt:variant>
      <vt:variant>
        <vt:i4>0</vt:i4>
      </vt:variant>
      <vt:variant>
        <vt:i4>5</vt:i4>
      </vt:variant>
      <vt:variant>
        <vt:lpwstr>http://www.nevo.co.il/case/20632055</vt:lpwstr>
      </vt:variant>
      <vt:variant>
        <vt:lpwstr/>
      </vt:variant>
      <vt:variant>
        <vt:i4>3342453</vt:i4>
      </vt:variant>
      <vt:variant>
        <vt:i4>87</vt:i4>
      </vt:variant>
      <vt:variant>
        <vt:i4>0</vt:i4>
      </vt:variant>
      <vt:variant>
        <vt:i4>5</vt:i4>
      </vt:variant>
      <vt:variant>
        <vt:lpwstr>http://www.nevo.co.il/case/23750765</vt:lpwstr>
      </vt:variant>
      <vt:variant>
        <vt:lpwstr/>
      </vt:variant>
      <vt:variant>
        <vt:i4>3276925</vt:i4>
      </vt:variant>
      <vt:variant>
        <vt:i4>84</vt:i4>
      </vt:variant>
      <vt:variant>
        <vt:i4>0</vt:i4>
      </vt:variant>
      <vt:variant>
        <vt:i4>5</vt:i4>
      </vt:variant>
      <vt:variant>
        <vt:lpwstr>http://www.nevo.co.il/case/28710074</vt:lpwstr>
      </vt:variant>
      <vt:variant>
        <vt:lpwstr/>
      </vt:variant>
      <vt:variant>
        <vt:i4>3604592</vt:i4>
      </vt:variant>
      <vt:variant>
        <vt:i4>81</vt:i4>
      </vt:variant>
      <vt:variant>
        <vt:i4>0</vt:i4>
      </vt:variant>
      <vt:variant>
        <vt:i4>5</vt:i4>
      </vt:variant>
      <vt:variant>
        <vt:lpwstr>http://www.nevo.co.il/case/24287803</vt:lpwstr>
      </vt:variant>
      <vt:variant>
        <vt:lpwstr/>
      </vt:variant>
      <vt:variant>
        <vt:i4>4063353</vt:i4>
      </vt:variant>
      <vt:variant>
        <vt:i4>78</vt:i4>
      </vt:variant>
      <vt:variant>
        <vt:i4>0</vt:i4>
      </vt:variant>
      <vt:variant>
        <vt:i4>5</vt:i4>
      </vt:variant>
      <vt:variant>
        <vt:lpwstr>http://www.nevo.co.il/case/20683594</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3801204</vt:i4>
      </vt:variant>
      <vt:variant>
        <vt:i4>57</vt:i4>
      </vt:variant>
      <vt:variant>
        <vt:i4>0</vt:i4>
      </vt:variant>
      <vt:variant>
        <vt:i4>5</vt:i4>
      </vt:variant>
      <vt:variant>
        <vt:lpwstr>http://www.nevo.co.il/case/27169106</vt:lpwstr>
      </vt:variant>
      <vt:variant>
        <vt:lpwstr/>
      </vt:variant>
      <vt:variant>
        <vt:i4>3211388</vt:i4>
      </vt:variant>
      <vt:variant>
        <vt:i4>54</vt:i4>
      </vt:variant>
      <vt:variant>
        <vt:i4>0</vt:i4>
      </vt:variant>
      <vt:variant>
        <vt:i4>5</vt:i4>
      </vt:variant>
      <vt:variant>
        <vt:lpwstr>http://www.nevo.co.il/case/28080837</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8257646</vt:i4>
      </vt:variant>
      <vt:variant>
        <vt:i4>42</vt:i4>
      </vt:variant>
      <vt:variant>
        <vt:i4>0</vt:i4>
      </vt:variant>
      <vt:variant>
        <vt:i4>5</vt:i4>
      </vt:variant>
      <vt:variant>
        <vt:lpwstr>http://www.nevo.co.il/law/74903</vt:lpwstr>
      </vt:variant>
      <vt:variant>
        <vt:lpwstr/>
      </vt:variant>
      <vt:variant>
        <vt:i4>786443</vt:i4>
      </vt:variant>
      <vt:variant>
        <vt:i4>39</vt:i4>
      </vt:variant>
      <vt:variant>
        <vt:i4>0</vt:i4>
      </vt:variant>
      <vt:variant>
        <vt:i4>5</vt:i4>
      </vt:variant>
      <vt:variant>
        <vt:lpwstr>http://www.nevo.co.il/law/70301/40ji</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http://www.nevo.co.il/law/70301/40h</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45623;23966</vt:lpwstr>
  </property>
  <property fmtid="{D5CDD505-2E9C-101B-9397-08002B2CF9AE}" pid="6" name="NEWPARTB">
    <vt:lpwstr>11;11</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עזרא טקלה</vt:lpwstr>
  </property>
  <property fmtid="{D5CDD505-2E9C-101B-9397-08002B2CF9AE}" pid="10" name="LAWYER">
    <vt:lpwstr>חני שנפ;יורם סגי זקס</vt:lpwstr>
  </property>
  <property fmtid="{D5CDD505-2E9C-101B-9397-08002B2CF9AE}" pid="11" name="JUDGE">
    <vt:lpwstr>זהר דולב להמן</vt:lpwstr>
  </property>
  <property fmtid="{D5CDD505-2E9C-101B-9397-08002B2CF9AE}" pid="12" name="CITY">
    <vt:lpwstr>ק"ג</vt:lpwstr>
  </property>
  <property fmtid="{D5CDD505-2E9C-101B-9397-08002B2CF9AE}" pid="13" name="DATE">
    <vt:lpwstr>20230918</vt:lpwstr>
  </property>
  <property fmtid="{D5CDD505-2E9C-101B-9397-08002B2CF9AE}" pid="14" name="TYPE_N_DATE">
    <vt:lpwstr>38020230918</vt:lpwstr>
  </property>
  <property fmtid="{D5CDD505-2E9C-101B-9397-08002B2CF9AE}" pid="15" name="WORDNUMPAGES">
    <vt:lpwstr>9</vt:lpwstr>
  </property>
  <property fmtid="{D5CDD505-2E9C-101B-9397-08002B2CF9AE}" pid="16" name="TYPE_ABS_DATE">
    <vt:lpwstr>380020230918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28080837;27169106;5810781;13093721;5805976;20683594;24287803;28710074;23750765;20632055;5633505;25173361;20145219;13062195;16943469;20508472;20508473;18149736;11618901;6880439;26117853;28854489;29311859</vt:lpwstr>
  </property>
  <property fmtid="{D5CDD505-2E9C-101B-9397-08002B2CF9AE}" pid="36" name="LAWLISTTMP1">
    <vt:lpwstr>4216/007.a;007.c;037a</vt:lpwstr>
  </property>
  <property fmtid="{D5CDD505-2E9C-101B-9397-08002B2CF9AE}" pid="37" name="LAWLISTTMP2">
    <vt:lpwstr>70301/040c.a;40ji;040h;040c.b;40ja;040d;040e;040f;040g</vt:lpwstr>
  </property>
  <property fmtid="{D5CDD505-2E9C-101B-9397-08002B2CF9AE}" pid="38" name="LAWLISTTMP3">
    <vt:lpwstr>74903</vt:lpwstr>
  </property>
</Properties>
</file>