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1202B4" w:rsidRPr="00D56B14" w14:paraId="072B5682" w14:textId="77777777" w:rsidTr="00C75575">
        <w:trPr>
          <w:gridAfter w:val="1"/>
          <w:wAfter w:w="99" w:type="dxa"/>
          <w:trHeight w:hRule="exact" w:val="418"/>
          <w:jc w:val="center"/>
        </w:trPr>
        <w:tc>
          <w:tcPr>
            <w:tcW w:w="8721" w:type="dxa"/>
            <w:gridSpan w:val="4"/>
          </w:tcPr>
          <w:p w14:paraId="6F00A79E" w14:textId="77777777" w:rsidR="001202B4" w:rsidRPr="00D56B14" w:rsidRDefault="001202B4" w:rsidP="00AF5A9A">
            <w:pPr>
              <w:pStyle w:val="a4"/>
              <w:jc w:val="center"/>
              <w:rPr>
                <w:rFonts w:ascii="Tahoma" w:hAnsi="Tahoma" w:cs="Tahoma"/>
                <w:color w:val="000080"/>
                <w:rtl/>
              </w:rPr>
            </w:pPr>
            <w:bookmarkStart w:id="0" w:name="LastJudge"/>
            <w:r w:rsidRPr="00D56B14">
              <w:rPr>
                <w:rFonts w:ascii="Tahoma" w:hAnsi="Tahoma" w:cs="Tahoma"/>
                <w:b/>
                <w:bCs/>
                <w:color w:val="000080"/>
                <w:rtl/>
              </w:rPr>
              <w:t>בית משפט השלום בבאר שבע</w:t>
            </w:r>
          </w:p>
        </w:tc>
      </w:tr>
      <w:tr w:rsidR="001202B4" w:rsidRPr="00D56B14" w14:paraId="05525C4D" w14:textId="77777777" w:rsidTr="00C75575">
        <w:trPr>
          <w:gridAfter w:val="1"/>
          <w:wAfter w:w="99" w:type="dxa"/>
          <w:trHeight w:val="337"/>
          <w:jc w:val="center"/>
        </w:trPr>
        <w:tc>
          <w:tcPr>
            <w:tcW w:w="5055" w:type="dxa"/>
            <w:gridSpan w:val="3"/>
          </w:tcPr>
          <w:p w14:paraId="24A26151" w14:textId="77777777" w:rsidR="001202B4" w:rsidRPr="00D56B14" w:rsidRDefault="001202B4" w:rsidP="00AF5A9A">
            <w:pPr>
              <w:rPr>
                <w:rFonts w:ascii="David" w:hAnsi="David"/>
                <w:b/>
                <w:bCs/>
                <w:sz w:val="28"/>
                <w:szCs w:val="28"/>
                <w:rtl/>
              </w:rPr>
            </w:pPr>
            <w:r w:rsidRPr="00D56B14">
              <w:rPr>
                <w:rFonts w:ascii="David" w:hAnsi="David"/>
                <w:b/>
                <w:bCs/>
                <w:sz w:val="28"/>
                <w:szCs w:val="28"/>
                <w:rtl/>
              </w:rPr>
              <w:t>ת"פ 68456-11-20 מדינת ישראל נ' יוחננוב</w:t>
            </w:r>
          </w:p>
          <w:p w14:paraId="047C1AB9" w14:textId="77777777" w:rsidR="001202B4" w:rsidRPr="00D56B14" w:rsidRDefault="001202B4" w:rsidP="00AF5A9A">
            <w:pPr>
              <w:pStyle w:val="a4"/>
              <w:rPr>
                <w:rFonts w:cs="FrankRuehl"/>
                <w:sz w:val="28"/>
                <w:szCs w:val="28"/>
                <w:rtl/>
              </w:rPr>
            </w:pPr>
          </w:p>
        </w:tc>
        <w:tc>
          <w:tcPr>
            <w:tcW w:w="3666" w:type="dxa"/>
          </w:tcPr>
          <w:p w14:paraId="2819EAD3" w14:textId="77777777" w:rsidR="001202B4" w:rsidRPr="00D56B14" w:rsidRDefault="001202B4" w:rsidP="00AF5A9A">
            <w:pPr>
              <w:pStyle w:val="a4"/>
              <w:jc w:val="right"/>
              <w:rPr>
                <w:rFonts w:cs="FrankRuehl"/>
                <w:sz w:val="28"/>
                <w:szCs w:val="28"/>
                <w:rtl/>
              </w:rPr>
            </w:pPr>
          </w:p>
        </w:tc>
      </w:tr>
      <w:tr w:rsidR="001202B4" w:rsidRPr="00D56B14" w14:paraId="2354905C" w14:textId="77777777" w:rsidTr="00C755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3AB9990" w14:textId="77777777" w:rsidR="001202B4" w:rsidRPr="00D56B14" w:rsidRDefault="001202B4" w:rsidP="001202B4">
            <w:pPr>
              <w:jc w:val="both"/>
              <w:rPr>
                <w:rFonts w:ascii="David" w:hAnsi="David"/>
                <w:b/>
                <w:bCs/>
                <w:sz w:val="26"/>
                <w:szCs w:val="26"/>
              </w:rPr>
            </w:pPr>
            <w:r w:rsidRPr="00D56B14">
              <w:rPr>
                <w:rFonts w:hint="cs"/>
                <w:rtl/>
              </w:rPr>
              <w:t xml:space="preserve"> </w:t>
            </w:r>
            <w:r w:rsidRPr="00D56B14">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292F0DDE" w14:textId="77777777" w:rsidR="001202B4" w:rsidRPr="00D56B14" w:rsidRDefault="001202B4" w:rsidP="00AF5A9A">
            <w:pPr>
              <w:rPr>
                <w:rFonts w:ascii="David" w:hAnsi="David"/>
                <w:b/>
                <w:bCs/>
                <w:sz w:val="26"/>
                <w:szCs w:val="26"/>
                <w:rtl/>
              </w:rPr>
            </w:pPr>
            <w:r w:rsidRPr="00D56B14">
              <w:rPr>
                <w:rFonts w:ascii="David" w:hAnsi="David"/>
                <w:b/>
                <w:bCs/>
                <w:sz w:val="26"/>
                <w:szCs w:val="26"/>
                <w:rtl/>
              </w:rPr>
              <w:t>כבוד השופט  יניב בן הרוש</w:t>
            </w:r>
          </w:p>
          <w:p w14:paraId="0D33CE5A" w14:textId="77777777" w:rsidR="001202B4" w:rsidRPr="00D56B14" w:rsidRDefault="001202B4" w:rsidP="00AF5A9A">
            <w:pPr>
              <w:rPr>
                <w:rFonts w:ascii="David" w:hAnsi="David"/>
                <w:b/>
                <w:bCs/>
                <w:sz w:val="26"/>
                <w:szCs w:val="26"/>
                <w:rtl/>
              </w:rPr>
            </w:pPr>
          </w:p>
          <w:p w14:paraId="177FF7DD" w14:textId="77777777" w:rsidR="001202B4" w:rsidRPr="00D56B14" w:rsidRDefault="001202B4" w:rsidP="001202B4">
            <w:pPr>
              <w:jc w:val="both"/>
              <w:rPr>
                <w:rFonts w:ascii="David" w:hAnsi="David"/>
                <w:b/>
                <w:bCs/>
                <w:sz w:val="26"/>
                <w:szCs w:val="26"/>
              </w:rPr>
            </w:pPr>
          </w:p>
        </w:tc>
      </w:tr>
      <w:tr w:rsidR="001202B4" w:rsidRPr="00D56B14" w14:paraId="6FAA5B1E" w14:textId="77777777" w:rsidTr="00C755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E32E04D" w14:textId="77777777" w:rsidR="001202B4" w:rsidRPr="00D56B14" w:rsidRDefault="001202B4" w:rsidP="001202B4">
            <w:pPr>
              <w:jc w:val="both"/>
              <w:rPr>
                <w:rFonts w:ascii="David" w:hAnsi="David"/>
                <w:b/>
                <w:bCs/>
                <w:sz w:val="26"/>
                <w:szCs w:val="26"/>
              </w:rPr>
            </w:pPr>
            <w:bookmarkStart w:id="1" w:name="FirstAppellant"/>
            <w:bookmarkStart w:id="2" w:name="FirstLawyer"/>
            <w:r w:rsidRPr="00D56B14">
              <w:rPr>
                <w:rFonts w:ascii="David" w:hAnsi="David"/>
                <w:b/>
                <w:bCs/>
                <w:sz w:val="26"/>
                <w:szCs w:val="26"/>
                <w:rtl/>
              </w:rPr>
              <w:t>בעניין:</w:t>
            </w:r>
          </w:p>
        </w:tc>
        <w:tc>
          <w:tcPr>
            <w:tcW w:w="3219" w:type="dxa"/>
            <w:tcBorders>
              <w:top w:val="nil"/>
              <w:left w:val="nil"/>
              <w:bottom w:val="nil"/>
              <w:right w:val="nil"/>
            </w:tcBorders>
            <w:shd w:val="clear" w:color="auto" w:fill="auto"/>
          </w:tcPr>
          <w:p w14:paraId="00D3E3BC" w14:textId="77777777" w:rsidR="001202B4" w:rsidRPr="00D56B14" w:rsidRDefault="001202B4" w:rsidP="001202B4">
            <w:pPr>
              <w:suppressLineNumbers/>
              <w:rPr>
                <w:b/>
                <w:bCs/>
              </w:rPr>
            </w:pPr>
            <w:r w:rsidRPr="00D56B14">
              <w:rPr>
                <w:rFonts w:ascii="Arial" w:hAnsi="Arial" w:hint="cs"/>
                <w:b/>
                <w:bCs/>
                <w:sz w:val="26"/>
                <w:szCs w:val="26"/>
                <w:rtl/>
              </w:rPr>
              <w:t>ה</w:t>
            </w:r>
            <w:r w:rsidRPr="00D56B14">
              <w:rPr>
                <w:rFonts w:ascii="Arial" w:hAnsi="Arial"/>
                <w:b/>
                <w:bCs/>
                <w:sz w:val="26"/>
                <w:szCs w:val="26"/>
                <w:rtl/>
              </w:rPr>
              <w:t>מאשימה</w:t>
            </w:r>
          </w:p>
          <w:p w14:paraId="5BD45D37" w14:textId="77777777" w:rsidR="001202B4" w:rsidRPr="00D56B14" w:rsidRDefault="001202B4" w:rsidP="00AF5A9A">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7D08F07A" w14:textId="77777777" w:rsidR="001202B4" w:rsidRPr="00D56B14" w:rsidRDefault="001202B4" w:rsidP="001202B4">
            <w:pPr>
              <w:suppressLineNumbers/>
              <w:rPr>
                <w:rFonts w:ascii="Arial" w:hAnsi="Arial"/>
                <w:b/>
                <w:bCs/>
                <w:sz w:val="26"/>
                <w:szCs w:val="26"/>
                <w:rtl/>
              </w:rPr>
            </w:pPr>
            <w:r w:rsidRPr="00D56B14">
              <w:rPr>
                <w:rFonts w:ascii="Arial" w:hAnsi="Arial"/>
                <w:b/>
                <w:bCs/>
                <w:sz w:val="26"/>
                <w:szCs w:val="26"/>
                <w:rtl/>
              </w:rPr>
              <w:t>מדינת ישראל</w:t>
            </w:r>
            <w:r w:rsidRPr="00D56B14">
              <w:rPr>
                <w:rFonts w:ascii="Arial" w:hAnsi="Arial" w:hint="cs"/>
                <w:b/>
                <w:bCs/>
                <w:sz w:val="26"/>
                <w:szCs w:val="26"/>
                <w:rtl/>
              </w:rPr>
              <w:t xml:space="preserve">-תביעות נגב </w:t>
            </w:r>
          </w:p>
          <w:p w14:paraId="5AFE7A65" w14:textId="77777777" w:rsidR="001202B4" w:rsidRPr="00D56B14" w:rsidRDefault="001202B4" w:rsidP="001202B4">
            <w:pPr>
              <w:suppressLineNumbers/>
              <w:rPr>
                <w:b/>
                <w:bCs/>
              </w:rPr>
            </w:pPr>
            <w:r w:rsidRPr="00D56B14">
              <w:rPr>
                <w:rFonts w:ascii="Arial" w:hAnsi="Arial"/>
                <w:b/>
                <w:bCs/>
                <w:sz w:val="26"/>
                <w:szCs w:val="26"/>
                <w:rtl/>
              </w:rPr>
              <w:t>ע"י ב"כ עוה"ד</w:t>
            </w:r>
            <w:r w:rsidRPr="00D56B14">
              <w:rPr>
                <w:rFonts w:ascii="Arial" w:hAnsi="Arial" w:hint="cs"/>
                <w:b/>
                <w:bCs/>
                <w:sz w:val="26"/>
                <w:szCs w:val="26"/>
                <w:rtl/>
              </w:rPr>
              <w:t xml:space="preserve"> שירה רוג ועוה"ד מאירי רלב</w:t>
            </w:r>
          </w:p>
        </w:tc>
      </w:tr>
      <w:bookmarkEnd w:id="1"/>
      <w:bookmarkEnd w:id="2"/>
      <w:tr w:rsidR="001202B4" w:rsidRPr="00D56B14" w14:paraId="301D7B7E" w14:textId="77777777" w:rsidTr="00C755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5767359" w14:textId="77777777" w:rsidR="001202B4" w:rsidRPr="00D56B14" w:rsidRDefault="001202B4" w:rsidP="001202B4">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5C341B6F" w14:textId="77777777" w:rsidR="001202B4" w:rsidRPr="00D56B14" w:rsidRDefault="001202B4" w:rsidP="001202B4">
            <w:pPr>
              <w:jc w:val="center"/>
              <w:rPr>
                <w:rFonts w:ascii="David" w:hAnsi="David"/>
                <w:b/>
                <w:bCs/>
                <w:sz w:val="26"/>
                <w:szCs w:val="26"/>
                <w:rtl/>
              </w:rPr>
            </w:pPr>
          </w:p>
          <w:p w14:paraId="560D6623" w14:textId="77777777" w:rsidR="001202B4" w:rsidRPr="00D56B14" w:rsidRDefault="001202B4" w:rsidP="001202B4">
            <w:pPr>
              <w:jc w:val="center"/>
              <w:rPr>
                <w:rFonts w:ascii="David" w:hAnsi="David"/>
                <w:b/>
                <w:bCs/>
                <w:sz w:val="26"/>
                <w:szCs w:val="26"/>
                <w:rtl/>
              </w:rPr>
            </w:pPr>
            <w:r w:rsidRPr="00D56B14">
              <w:rPr>
                <w:rFonts w:ascii="David" w:hAnsi="David"/>
                <w:b/>
                <w:bCs/>
                <w:sz w:val="26"/>
                <w:szCs w:val="26"/>
                <w:rtl/>
              </w:rPr>
              <w:t>נגד</w:t>
            </w:r>
          </w:p>
          <w:p w14:paraId="5B142D5F" w14:textId="77777777" w:rsidR="001202B4" w:rsidRPr="00D56B14" w:rsidRDefault="001202B4" w:rsidP="001202B4">
            <w:pPr>
              <w:jc w:val="both"/>
              <w:rPr>
                <w:rFonts w:ascii="David" w:hAnsi="David"/>
                <w:b/>
                <w:bCs/>
                <w:sz w:val="26"/>
                <w:szCs w:val="26"/>
              </w:rPr>
            </w:pPr>
          </w:p>
        </w:tc>
      </w:tr>
      <w:tr w:rsidR="001202B4" w:rsidRPr="00D56B14" w14:paraId="4E8DC3EE" w14:textId="77777777" w:rsidTr="00C755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6174C6A" w14:textId="77777777" w:rsidR="001202B4" w:rsidRPr="00D56B14" w:rsidRDefault="001202B4" w:rsidP="00AF5A9A">
            <w:pPr>
              <w:rPr>
                <w:rFonts w:ascii="David" w:hAnsi="David"/>
                <w:b/>
                <w:bCs/>
                <w:sz w:val="26"/>
                <w:szCs w:val="26"/>
                <w:rtl/>
              </w:rPr>
            </w:pPr>
          </w:p>
        </w:tc>
        <w:tc>
          <w:tcPr>
            <w:tcW w:w="3219" w:type="dxa"/>
            <w:tcBorders>
              <w:top w:val="nil"/>
              <w:left w:val="nil"/>
              <w:bottom w:val="nil"/>
              <w:right w:val="nil"/>
            </w:tcBorders>
            <w:shd w:val="clear" w:color="auto" w:fill="auto"/>
          </w:tcPr>
          <w:p w14:paraId="76DB6ED3" w14:textId="77777777" w:rsidR="001202B4" w:rsidRPr="00D56B14" w:rsidRDefault="001202B4" w:rsidP="00AF5A9A">
            <w:pPr>
              <w:rPr>
                <w:rFonts w:ascii="Arial" w:hAnsi="Arial"/>
                <w:b/>
                <w:bCs/>
                <w:sz w:val="26"/>
                <w:szCs w:val="26"/>
                <w:rtl/>
              </w:rPr>
            </w:pPr>
            <w:r w:rsidRPr="00D56B14">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5B377948" w14:textId="77777777" w:rsidR="001202B4" w:rsidRPr="00D56B14" w:rsidRDefault="001202B4" w:rsidP="001202B4">
            <w:pPr>
              <w:suppressLineNumbers/>
              <w:rPr>
                <w:rFonts w:ascii="Arial" w:hAnsi="Arial"/>
                <w:b/>
                <w:bCs/>
                <w:sz w:val="26"/>
                <w:szCs w:val="26"/>
                <w:rtl/>
              </w:rPr>
            </w:pPr>
            <w:r w:rsidRPr="00D56B14">
              <w:rPr>
                <w:rFonts w:ascii="Arial" w:hAnsi="Arial"/>
                <w:b/>
                <w:bCs/>
                <w:sz w:val="26"/>
                <w:szCs w:val="26"/>
                <w:rtl/>
              </w:rPr>
              <w:t>דמיטרי יוחננוב</w:t>
            </w:r>
            <w:r w:rsidRPr="00D56B14">
              <w:rPr>
                <w:rFonts w:ascii="Arial" w:hAnsi="Arial" w:hint="cs"/>
                <w:b/>
                <w:bCs/>
                <w:sz w:val="26"/>
                <w:szCs w:val="26"/>
                <w:rtl/>
              </w:rPr>
              <w:t xml:space="preserve">-בעצמו </w:t>
            </w:r>
          </w:p>
          <w:p w14:paraId="7A3496E5" w14:textId="77777777" w:rsidR="001202B4" w:rsidRPr="00D56B14" w:rsidRDefault="001202B4" w:rsidP="001202B4">
            <w:pPr>
              <w:suppressLineNumbers/>
              <w:rPr>
                <w:b/>
                <w:bCs/>
              </w:rPr>
            </w:pPr>
            <w:r w:rsidRPr="00D56B14">
              <w:rPr>
                <w:rFonts w:ascii="Arial" w:hAnsi="Arial"/>
                <w:b/>
                <w:bCs/>
                <w:sz w:val="26"/>
                <w:szCs w:val="26"/>
                <w:rtl/>
              </w:rPr>
              <w:t>ע"י ב"כ עוה"ד</w:t>
            </w:r>
            <w:r w:rsidRPr="00D56B14">
              <w:rPr>
                <w:rFonts w:ascii="Arial" w:hAnsi="Arial" w:hint="cs"/>
                <w:b/>
                <w:bCs/>
                <w:sz w:val="26"/>
                <w:szCs w:val="26"/>
                <w:rtl/>
              </w:rPr>
              <w:t xml:space="preserve"> אפרת צרפתי</w:t>
            </w:r>
          </w:p>
        </w:tc>
      </w:tr>
    </w:tbl>
    <w:p w14:paraId="2FA25B4D" w14:textId="77777777" w:rsidR="00C75575" w:rsidRDefault="00C75575" w:rsidP="00D56B14">
      <w:pPr>
        <w:rPr>
          <w:sz w:val="26"/>
          <w:szCs w:val="26"/>
          <w:rtl/>
        </w:rPr>
      </w:pPr>
    </w:p>
    <w:p w14:paraId="02956AA6" w14:textId="77777777" w:rsidR="00C75575" w:rsidRPr="00C75575" w:rsidRDefault="00C75575" w:rsidP="00C75575">
      <w:pPr>
        <w:spacing w:after="120" w:line="240" w:lineRule="exact"/>
        <w:ind w:left="283" w:hanging="283"/>
        <w:jc w:val="both"/>
        <w:rPr>
          <w:rFonts w:ascii="FrankRuehl" w:hAnsi="FrankRuehl" w:cs="FrankRuehl"/>
          <w:rtl/>
        </w:rPr>
      </w:pPr>
    </w:p>
    <w:p w14:paraId="39291555" w14:textId="77777777" w:rsidR="00712D1F" w:rsidRPr="00712D1F" w:rsidRDefault="00712D1F" w:rsidP="00712D1F">
      <w:pPr>
        <w:spacing w:before="120" w:after="120" w:line="240" w:lineRule="exact"/>
        <w:ind w:left="283" w:hanging="283"/>
        <w:jc w:val="both"/>
        <w:rPr>
          <w:rFonts w:ascii="FrankRuehl" w:hAnsi="FrankRuehl" w:cs="FrankRuehl"/>
          <w:rtl/>
        </w:rPr>
      </w:pPr>
    </w:p>
    <w:p w14:paraId="78242C1A" w14:textId="77777777" w:rsidR="00E121C9" w:rsidRDefault="00E121C9" w:rsidP="00E121C9">
      <w:pPr>
        <w:rPr>
          <w:sz w:val="26"/>
          <w:szCs w:val="26"/>
          <w:rtl/>
        </w:rPr>
      </w:pPr>
      <w:bookmarkStart w:id="3" w:name="LawTable"/>
      <w:bookmarkEnd w:id="3"/>
    </w:p>
    <w:p w14:paraId="1EBCEA91" w14:textId="77777777" w:rsidR="00E121C9" w:rsidRPr="00E121C9" w:rsidRDefault="00E121C9" w:rsidP="00E121C9">
      <w:pPr>
        <w:spacing w:before="120" w:after="120" w:line="240" w:lineRule="exact"/>
        <w:ind w:left="283" w:hanging="283"/>
        <w:jc w:val="both"/>
        <w:rPr>
          <w:rFonts w:ascii="FrankRuehl" w:hAnsi="FrankRuehl" w:cs="FrankRuehl"/>
          <w:rtl/>
        </w:rPr>
      </w:pPr>
    </w:p>
    <w:p w14:paraId="507F7FBC" w14:textId="77777777" w:rsidR="00E121C9" w:rsidRPr="00E121C9" w:rsidRDefault="00E121C9" w:rsidP="00E121C9">
      <w:pPr>
        <w:spacing w:before="120" w:after="120" w:line="240" w:lineRule="exact"/>
        <w:ind w:left="283" w:hanging="283"/>
        <w:jc w:val="both"/>
        <w:rPr>
          <w:rFonts w:ascii="FrankRuehl" w:hAnsi="FrankRuehl" w:cs="FrankRuehl"/>
          <w:rtl/>
        </w:rPr>
      </w:pPr>
    </w:p>
    <w:p w14:paraId="46543EF1" w14:textId="77777777" w:rsidR="00E121C9" w:rsidRPr="00E121C9" w:rsidRDefault="00E121C9" w:rsidP="00E121C9">
      <w:pPr>
        <w:spacing w:before="120" w:after="120" w:line="240" w:lineRule="exact"/>
        <w:ind w:left="283" w:hanging="283"/>
        <w:jc w:val="both"/>
        <w:rPr>
          <w:rFonts w:ascii="FrankRuehl" w:hAnsi="FrankRuehl" w:cs="FrankRuehl"/>
          <w:rtl/>
        </w:rPr>
      </w:pPr>
      <w:r w:rsidRPr="00E121C9">
        <w:rPr>
          <w:rFonts w:ascii="FrankRuehl" w:hAnsi="FrankRuehl" w:cs="FrankRuehl"/>
          <w:rtl/>
        </w:rPr>
        <w:t xml:space="preserve">חקיקה שאוזכרה: </w:t>
      </w:r>
    </w:p>
    <w:p w14:paraId="28FF6FC1" w14:textId="77777777" w:rsidR="00E121C9" w:rsidRPr="00E121C9" w:rsidRDefault="00E121C9" w:rsidP="00E121C9">
      <w:pPr>
        <w:spacing w:before="120" w:after="120" w:line="240" w:lineRule="exact"/>
        <w:ind w:left="283" w:hanging="283"/>
        <w:jc w:val="both"/>
        <w:rPr>
          <w:rFonts w:ascii="FrankRuehl" w:hAnsi="FrankRuehl" w:cs="FrankRuehl"/>
          <w:rtl/>
        </w:rPr>
      </w:pPr>
      <w:hyperlink r:id="rId7" w:history="1">
        <w:r w:rsidRPr="00E121C9">
          <w:rPr>
            <w:rFonts w:ascii="FrankRuehl" w:hAnsi="FrankRuehl" w:cs="FrankRuehl"/>
            <w:color w:val="0000FF"/>
            <w:rtl/>
          </w:rPr>
          <w:t>פקודת הסמים המסוכנים [נוסח חדש], תשל"ג-1973</w:t>
        </w:r>
      </w:hyperlink>
      <w:r w:rsidRPr="00E121C9">
        <w:rPr>
          <w:rFonts w:ascii="FrankRuehl" w:hAnsi="FrankRuehl" w:cs="FrankRuehl"/>
          <w:rtl/>
        </w:rPr>
        <w:t xml:space="preserve">: סע'  </w:t>
      </w:r>
      <w:hyperlink r:id="rId8" w:history="1">
        <w:r w:rsidRPr="00E121C9">
          <w:rPr>
            <w:rFonts w:ascii="FrankRuehl" w:hAnsi="FrankRuehl" w:cs="FrankRuehl"/>
            <w:color w:val="0000FF"/>
            <w:rtl/>
          </w:rPr>
          <w:t>6</w:t>
        </w:r>
      </w:hyperlink>
      <w:r w:rsidRPr="00E121C9">
        <w:rPr>
          <w:rFonts w:ascii="FrankRuehl" w:hAnsi="FrankRuehl" w:cs="FrankRuehl"/>
          <w:rtl/>
        </w:rPr>
        <w:t xml:space="preserve">, </w:t>
      </w:r>
      <w:hyperlink r:id="rId9" w:history="1">
        <w:r w:rsidRPr="00E121C9">
          <w:rPr>
            <w:rFonts w:ascii="FrankRuehl" w:hAnsi="FrankRuehl" w:cs="FrankRuehl"/>
            <w:color w:val="0000FF"/>
            <w:rtl/>
          </w:rPr>
          <w:t>7(א)</w:t>
        </w:r>
      </w:hyperlink>
      <w:r w:rsidRPr="00E121C9">
        <w:rPr>
          <w:rFonts w:ascii="FrankRuehl" w:hAnsi="FrankRuehl" w:cs="FrankRuehl"/>
          <w:rtl/>
        </w:rPr>
        <w:t xml:space="preserve">, </w:t>
      </w:r>
      <w:hyperlink r:id="rId10" w:history="1">
        <w:r w:rsidRPr="00E121C9">
          <w:rPr>
            <w:rFonts w:ascii="FrankRuehl" w:hAnsi="FrankRuehl" w:cs="FrankRuehl"/>
            <w:color w:val="0000FF"/>
            <w:rtl/>
          </w:rPr>
          <w:t>7(ג)</w:t>
        </w:r>
      </w:hyperlink>
    </w:p>
    <w:p w14:paraId="6A6F0E89" w14:textId="77777777" w:rsidR="00E121C9" w:rsidRPr="00E121C9" w:rsidRDefault="00E121C9" w:rsidP="00E121C9">
      <w:pPr>
        <w:spacing w:before="120" w:after="120" w:line="240" w:lineRule="exact"/>
        <w:ind w:left="283" w:hanging="283"/>
        <w:jc w:val="both"/>
        <w:rPr>
          <w:rFonts w:ascii="FrankRuehl" w:hAnsi="FrankRuehl" w:cs="FrankRuehl"/>
          <w:rtl/>
        </w:rPr>
      </w:pPr>
      <w:hyperlink r:id="rId11" w:history="1">
        <w:r w:rsidRPr="00E121C9">
          <w:rPr>
            <w:rFonts w:ascii="FrankRuehl" w:hAnsi="FrankRuehl" w:cs="FrankRuehl"/>
            <w:color w:val="0000FF"/>
            <w:rtl/>
          </w:rPr>
          <w:t>חוק סדר הדין הפלילי [נוסח משולב], תשמ"ב-1982</w:t>
        </w:r>
      </w:hyperlink>
      <w:r w:rsidRPr="00E121C9">
        <w:rPr>
          <w:rFonts w:ascii="FrankRuehl" w:hAnsi="FrankRuehl" w:cs="FrankRuehl"/>
          <w:rtl/>
        </w:rPr>
        <w:t xml:space="preserve">: סע'  </w:t>
      </w:r>
      <w:hyperlink r:id="rId12" w:history="1">
        <w:r w:rsidRPr="00E121C9">
          <w:rPr>
            <w:rFonts w:ascii="FrankRuehl" w:hAnsi="FrankRuehl" w:cs="FrankRuehl"/>
            <w:color w:val="0000FF"/>
            <w:rtl/>
          </w:rPr>
          <w:t>192א</w:t>
        </w:r>
      </w:hyperlink>
    </w:p>
    <w:p w14:paraId="418D8C4A" w14:textId="77777777" w:rsidR="00E121C9" w:rsidRPr="00E121C9" w:rsidRDefault="00E121C9" w:rsidP="00E121C9">
      <w:pPr>
        <w:spacing w:before="120" w:after="120" w:line="240" w:lineRule="exact"/>
        <w:ind w:left="283" w:hanging="283"/>
        <w:jc w:val="both"/>
        <w:rPr>
          <w:rFonts w:ascii="FrankRuehl" w:hAnsi="FrankRuehl" w:cs="FrankRuehl"/>
          <w:rtl/>
        </w:rPr>
      </w:pPr>
      <w:hyperlink r:id="rId13" w:history="1">
        <w:r w:rsidRPr="00E121C9">
          <w:rPr>
            <w:rFonts w:ascii="FrankRuehl" w:hAnsi="FrankRuehl" w:cs="FrankRuehl"/>
            <w:color w:val="0000FF"/>
            <w:rtl/>
          </w:rPr>
          <w:t>פקודת המבחן [נוסח חדש], תשכ"ט-1969</w:t>
        </w:r>
      </w:hyperlink>
      <w:r w:rsidRPr="00E121C9">
        <w:rPr>
          <w:rFonts w:ascii="FrankRuehl" w:hAnsi="FrankRuehl" w:cs="FrankRuehl"/>
          <w:rtl/>
        </w:rPr>
        <w:t xml:space="preserve">: סע'  </w:t>
      </w:r>
      <w:hyperlink r:id="rId14" w:history="1">
        <w:r w:rsidRPr="00E121C9">
          <w:rPr>
            <w:rFonts w:ascii="FrankRuehl" w:hAnsi="FrankRuehl" w:cs="FrankRuehl"/>
            <w:color w:val="0000FF"/>
            <w:rtl/>
          </w:rPr>
          <w:t>1(2)</w:t>
        </w:r>
      </w:hyperlink>
    </w:p>
    <w:p w14:paraId="6E4BC9A6" w14:textId="77777777" w:rsidR="00E121C9" w:rsidRPr="00E121C9" w:rsidRDefault="00E121C9" w:rsidP="00E121C9">
      <w:pPr>
        <w:spacing w:before="120" w:after="120" w:line="240" w:lineRule="exact"/>
        <w:ind w:left="283" w:hanging="283"/>
        <w:jc w:val="both"/>
        <w:rPr>
          <w:rFonts w:ascii="FrankRuehl" w:hAnsi="FrankRuehl" w:cs="FrankRuehl"/>
          <w:rtl/>
        </w:rPr>
      </w:pPr>
      <w:hyperlink r:id="rId15" w:history="1">
        <w:r w:rsidRPr="00E121C9">
          <w:rPr>
            <w:rFonts w:ascii="FrankRuehl" w:hAnsi="FrankRuehl" w:cs="FrankRuehl"/>
            <w:color w:val="0000FF"/>
            <w:rtl/>
          </w:rPr>
          <w:t>חוק העונשין, תשל"ז-1977</w:t>
        </w:r>
      </w:hyperlink>
      <w:r w:rsidRPr="00E121C9">
        <w:rPr>
          <w:rFonts w:ascii="FrankRuehl" w:hAnsi="FrankRuehl" w:cs="FrankRuehl"/>
          <w:rtl/>
        </w:rPr>
        <w:t xml:space="preserve">: סע'  </w:t>
      </w:r>
      <w:hyperlink r:id="rId16" w:history="1">
        <w:r w:rsidRPr="00E121C9">
          <w:rPr>
            <w:rFonts w:ascii="FrankRuehl" w:hAnsi="FrankRuehl" w:cs="FrankRuehl"/>
            <w:color w:val="0000FF"/>
            <w:rtl/>
          </w:rPr>
          <w:t>40 ט'</w:t>
        </w:r>
      </w:hyperlink>
      <w:r w:rsidRPr="00E121C9">
        <w:rPr>
          <w:rFonts w:ascii="FrankRuehl" w:hAnsi="FrankRuehl" w:cs="FrankRuehl"/>
          <w:rtl/>
        </w:rPr>
        <w:t xml:space="preserve">, </w:t>
      </w:r>
      <w:hyperlink r:id="rId17" w:history="1">
        <w:r w:rsidRPr="00E121C9">
          <w:rPr>
            <w:rFonts w:ascii="FrankRuehl" w:hAnsi="FrankRuehl" w:cs="FrankRuehl"/>
            <w:color w:val="0000FF"/>
            <w:rtl/>
          </w:rPr>
          <w:t>71א</w:t>
        </w:r>
      </w:hyperlink>
    </w:p>
    <w:p w14:paraId="6C83CC2E" w14:textId="77777777" w:rsidR="00E121C9" w:rsidRPr="00E121C9" w:rsidRDefault="00E121C9" w:rsidP="00E121C9">
      <w:pPr>
        <w:rPr>
          <w:sz w:val="26"/>
          <w:szCs w:val="26"/>
          <w:rtl/>
        </w:rPr>
      </w:pPr>
      <w:bookmarkStart w:id="4" w:name="LawTable_End"/>
      <w:bookmarkEnd w:id="4"/>
    </w:p>
    <w:p w14:paraId="173CE9B0" w14:textId="77777777" w:rsidR="001202B4" w:rsidRPr="00712D1F" w:rsidRDefault="001202B4" w:rsidP="00712D1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202B4" w14:paraId="1BD05B35" w14:textId="77777777" w:rsidTr="001202B4">
        <w:trPr>
          <w:trHeight w:val="355"/>
          <w:jc w:val="center"/>
        </w:trPr>
        <w:tc>
          <w:tcPr>
            <w:tcW w:w="8820" w:type="dxa"/>
            <w:tcBorders>
              <w:top w:val="nil"/>
              <w:left w:val="nil"/>
              <w:bottom w:val="nil"/>
              <w:right w:val="nil"/>
            </w:tcBorders>
            <w:shd w:val="clear" w:color="auto" w:fill="auto"/>
          </w:tcPr>
          <w:p w14:paraId="16DDCAD9" w14:textId="77777777" w:rsidR="00D56B14" w:rsidRPr="00D56B14" w:rsidRDefault="00D56B14" w:rsidP="00D56B14">
            <w:pPr>
              <w:jc w:val="center"/>
              <w:rPr>
                <w:rFonts w:ascii="David" w:hAnsi="David"/>
                <w:b/>
                <w:bCs/>
                <w:sz w:val="32"/>
                <w:szCs w:val="32"/>
                <w:u w:val="single"/>
                <w:rtl/>
              </w:rPr>
            </w:pPr>
            <w:bookmarkStart w:id="5" w:name="PsakDin" w:colFirst="0" w:colLast="0"/>
            <w:bookmarkEnd w:id="0"/>
            <w:r w:rsidRPr="00D56B14">
              <w:rPr>
                <w:rFonts w:ascii="David" w:hAnsi="David"/>
                <w:b/>
                <w:bCs/>
                <w:sz w:val="32"/>
                <w:szCs w:val="32"/>
                <w:u w:val="single"/>
                <w:rtl/>
              </w:rPr>
              <w:t>גזר דין</w:t>
            </w:r>
          </w:p>
          <w:p w14:paraId="55BBAC5D" w14:textId="77777777" w:rsidR="001202B4" w:rsidRPr="00D56B14" w:rsidRDefault="001202B4" w:rsidP="00D56B14">
            <w:pPr>
              <w:jc w:val="center"/>
              <w:rPr>
                <w:rFonts w:ascii="David" w:hAnsi="David"/>
                <w:bCs/>
                <w:sz w:val="32"/>
                <w:szCs w:val="32"/>
                <w:u w:val="single"/>
                <w:rtl/>
              </w:rPr>
            </w:pPr>
          </w:p>
        </w:tc>
      </w:tr>
      <w:bookmarkEnd w:id="5"/>
    </w:tbl>
    <w:p w14:paraId="2347B78E" w14:textId="77777777" w:rsidR="001202B4" w:rsidRPr="000F2247" w:rsidRDefault="001202B4" w:rsidP="001202B4">
      <w:pPr>
        <w:rPr>
          <w:rFonts w:ascii="Arial" w:hAnsi="Arial"/>
          <w:b/>
          <w:bCs/>
          <w:sz w:val="26"/>
          <w:szCs w:val="26"/>
          <w:rtl/>
        </w:rPr>
      </w:pPr>
    </w:p>
    <w:p w14:paraId="11597803" w14:textId="77777777" w:rsidR="001202B4" w:rsidRDefault="001202B4" w:rsidP="001202B4">
      <w:pPr>
        <w:numPr>
          <w:ilvl w:val="0"/>
          <w:numId w:val="2"/>
        </w:numPr>
        <w:spacing w:before="240" w:line="360" w:lineRule="auto"/>
        <w:jc w:val="both"/>
        <w:rPr>
          <w:rFonts w:ascii="David" w:hAnsi="David"/>
          <w:sz w:val="22"/>
          <w:szCs w:val="22"/>
        </w:rPr>
      </w:pPr>
      <w:bookmarkStart w:id="6" w:name="ABSTRACT_START"/>
      <w:bookmarkEnd w:id="6"/>
      <w:r>
        <w:rPr>
          <w:rFonts w:ascii="David" w:hAnsi="David"/>
          <w:rtl/>
        </w:rPr>
        <w:t xml:space="preserve">ביום 4.5.21 הורשע הנאשם על ידי כב' השופט אבישי כהן. במסגרת ההסדר הודה הנאשם בעובדות כתב האישום המתוקן, בעבירה של גידול סמים מסוכנים לפי </w:t>
      </w:r>
      <w:hyperlink r:id="rId18" w:history="1">
        <w:r w:rsidR="00C75575" w:rsidRPr="00C75575">
          <w:rPr>
            <w:rStyle w:val="Hyperlink"/>
            <w:rFonts w:ascii="David" w:hAnsi="David"/>
            <w:rtl/>
          </w:rPr>
          <w:t>סעיף 6</w:t>
        </w:r>
      </w:hyperlink>
      <w:r>
        <w:rPr>
          <w:rFonts w:ascii="David" w:hAnsi="David"/>
          <w:rtl/>
        </w:rPr>
        <w:t xml:space="preserve"> </w:t>
      </w:r>
      <w:r>
        <w:rPr>
          <w:rFonts w:ascii="David" w:hAnsi="David"/>
          <w:b/>
          <w:bCs/>
          <w:rtl/>
        </w:rPr>
        <w:t>ל</w:t>
      </w:r>
      <w:hyperlink r:id="rId19" w:history="1">
        <w:r w:rsidR="00D56B14" w:rsidRPr="00D56B14">
          <w:rPr>
            <w:rFonts w:ascii="David" w:hAnsi="David"/>
            <w:b/>
            <w:bCs/>
            <w:color w:val="0000FF"/>
            <w:u w:val="single"/>
            <w:rtl/>
          </w:rPr>
          <w:t>פקודת הסמים המסוכנים</w:t>
        </w:r>
      </w:hyperlink>
      <w:r>
        <w:rPr>
          <w:rFonts w:ascii="David" w:hAnsi="David"/>
          <w:rtl/>
        </w:rPr>
        <w:t>, (נוסח חדש) תשל"ג -1973 (להלן: "</w:t>
      </w:r>
      <w:r>
        <w:rPr>
          <w:rFonts w:ascii="David" w:hAnsi="David"/>
          <w:b/>
          <w:bCs/>
          <w:rtl/>
        </w:rPr>
        <w:t>פקודת הסמים המסוכנים</w:t>
      </w:r>
      <w:r>
        <w:rPr>
          <w:rFonts w:ascii="David" w:hAnsi="David"/>
          <w:rtl/>
        </w:rPr>
        <w:t xml:space="preserve">") ועבירה של החזקת סמים שלא לצריכה עצמית לפי </w:t>
      </w:r>
      <w:hyperlink r:id="rId20" w:history="1">
        <w:r w:rsidR="00C75575" w:rsidRPr="00C75575">
          <w:rPr>
            <w:rStyle w:val="Hyperlink"/>
            <w:rFonts w:ascii="David" w:hAnsi="David"/>
            <w:rtl/>
          </w:rPr>
          <w:t>סעיף 7(א)</w:t>
        </w:r>
      </w:hyperlink>
      <w:r>
        <w:rPr>
          <w:rFonts w:ascii="David" w:hAnsi="David"/>
          <w:rtl/>
        </w:rPr>
        <w:t xml:space="preserve">, </w:t>
      </w:r>
      <w:hyperlink r:id="rId21" w:history="1">
        <w:r w:rsidR="00C75575" w:rsidRPr="00C75575">
          <w:rPr>
            <w:rStyle w:val="Hyperlink"/>
            <w:rFonts w:ascii="David" w:hAnsi="David"/>
            <w:rtl/>
          </w:rPr>
          <w:t>7(ג)</w:t>
        </w:r>
      </w:hyperlink>
      <w:r>
        <w:rPr>
          <w:rFonts w:ascii="David" w:hAnsi="David"/>
          <w:rtl/>
        </w:rPr>
        <w:t xml:space="preserve"> רישא </w:t>
      </w:r>
      <w:r>
        <w:rPr>
          <w:rFonts w:ascii="David" w:hAnsi="David"/>
          <w:b/>
          <w:bCs/>
          <w:rtl/>
        </w:rPr>
        <w:t>לפקודת הסמים המסוכנים</w:t>
      </w:r>
      <w:r>
        <w:rPr>
          <w:rFonts w:ascii="David" w:hAnsi="David"/>
          <w:rtl/>
        </w:rPr>
        <w:t xml:space="preserve">. </w:t>
      </w:r>
    </w:p>
    <w:p w14:paraId="305DD220" w14:textId="77777777" w:rsidR="001202B4" w:rsidRDefault="001202B4" w:rsidP="001202B4">
      <w:pPr>
        <w:numPr>
          <w:ilvl w:val="0"/>
          <w:numId w:val="2"/>
        </w:numPr>
        <w:spacing w:before="240" w:line="360" w:lineRule="auto"/>
        <w:jc w:val="both"/>
        <w:rPr>
          <w:rFonts w:ascii="David" w:hAnsi="David"/>
        </w:rPr>
      </w:pPr>
      <w:bookmarkStart w:id="7" w:name="ABSTRACT_END"/>
      <w:bookmarkEnd w:id="7"/>
      <w:r>
        <w:rPr>
          <w:rFonts w:ascii="David" w:hAnsi="David"/>
          <w:rtl/>
        </w:rPr>
        <w:t>בהתאם לעובדות כתב האישום המתוקן, ביום 24.6.20 גידל הנאשם שלושה שתילים של סם הקנבוס במשקל כולל של 100 גרם וכן החזיק ב-200 גרם סם קנבוס, מבלי שניתן לו רישיון לכך.</w:t>
      </w:r>
    </w:p>
    <w:p w14:paraId="1A52D099" w14:textId="77777777" w:rsidR="001202B4" w:rsidRDefault="001202B4" w:rsidP="001202B4">
      <w:pPr>
        <w:spacing w:line="360" w:lineRule="auto"/>
        <w:jc w:val="both"/>
        <w:rPr>
          <w:rFonts w:ascii="David" w:hAnsi="David"/>
        </w:rPr>
      </w:pPr>
    </w:p>
    <w:p w14:paraId="76192F2E" w14:textId="77777777" w:rsidR="001202B4" w:rsidRDefault="001202B4" w:rsidP="001202B4">
      <w:pPr>
        <w:spacing w:line="360" w:lineRule="auto"/>
        <w:jc w:val="both"/>
        <w:rPr>
          <w:rFonts w:ascii="David" w:hAnsi="David"/>
          <w:b/>
          <w:bCs/>
          <w:u w:val="single"/>
          <w:rtl/>
        </w:rPr>
      </w:pPr>
      <w:r>
        <w:rPr>
          <w:rFonts w:ascii="David" w:hAnsi="David"/>
          <w:b/>
          <w:bCs/>
          <w:u w:val="single"/>
          <w:rtl/>
        </w:rPr>
        <w:t>תמצית תסקיר שירות המבחן</w:t>
      </w:r>
    </w:p>
    <w:p w14:paraId="3F34015B" w14:textId="77777777" w:rsidR="001202B4" w:rsidRDefault="001202B4" w:rsidP="001202B4">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lastRenderedPageBreak/>
        <w:t xml:space="preserve">בתסקירו מיום 3.5.22 סקר שירות המבחן את אורחות חייו של הנאשם, הרקע ההשכלתי, מצב התעסוקתי והמשפחתי, הנאשם כבן 53, נשוי, אב לשתי בנות ולפרנסתו עובד כרתך בבסיסים ומתקנים של משרד הביטחון, לקח אחריות מלאה על מעשיו.  הנאשם תיאר בפני שירות המבחן כי סובל מכאבי גב כרוניים ועל כן משתמש בסם הקנאביס ולשם כך גידל את השתילים. שירות המבחן התרשם כי הנאשם מנהל חיים נורמטיבי והשימוש בסם הקנאביס הוא כתרופה עבורו. </w:t>
      </w:r>
    </w:p>
    <w:p w14:paraId="4924CD76" w14:textId="77777777" w:rsidR="001202B4" w:rsidRDefault="001202B4" w:rsidP="001202B4">
      <w:pPr>
        <w:pStyle w:val="ab"/>
        <w:spacing w:line="360" w:lineRule="auto"/>
        <w:ind w:left="360"/>
        <w:jc w:val="both"/>
        <w:rPr>
          <w:rFonts w:ascii="David" w:hAnsi="David" w:cs="David"/>
          <w:sz w:val="24"/>
          <w:szCs w:val="24"/>
        </w:rPr>
      </w:pPr>
    </w:p>
    <w:p w14:paraId="23EAF3B2" w14:textId="77777777" w:rsidR="001202B4" w:rsidRDefault="001202B4" w:rsidP="001202B4">
      <w:pPr>
        <w:pStyle w:val="ab"/>
        <w:numPr>
          <w:ilvl w:val="0"/>
          <w:numId w:val="2"/>
        </w:numPr>
        <w:spacing w:line="360" w:lineRule="auto"/>
        <w:jc w:val="both"/>
        <w:rPr>
          <w:rFonts w:ascii="David" w:hAnsi="David" w:cs="David"/>
          <w:sz w:val="24"/>
          <w:szCs w:val="24"/>
        </w:rPr>
      </w:pPr>
      <w:r>
        <w:rPr>
          <w:rFonts w:ascii="David" w:hAnsi="David" w:cs="David"/>
          <w:sz w:val="24"/>
          <w:szCs w:val="24"/>
          <w:rtl/>
        </w:rPr>
        <w:t xml:space="preserve">בתסקירו המשלים מיום 9.6.22, ציין שירות המבחן כי הנאשם ביצע בדיקות שתן שנמצאו נקיות מסם. הנאשם לקח אחריות מלאה על מעשיו. ותיאר כי הסמים סייע לו להקהות את כאביו הפיזיים. מסר כי הפסיק שימוש בסמים עד להסדרת רישיון לקבלת קנאביס רפואי.  הנאשם לא ראה צורך בהשתלבות בהליך טיפולי ולכן שירות המבחן לא בא בהמלצה טיפולית.  יחד עם זאת, שירות מבחן התרשם כי הנאשם מבין את חומרת העבירה וכי הוא הורתע מההליך הפלילי ולכן המליץ על גיבוש תכנית של"צ בעניינו. שירות המבחן התרשם כי נוכח הפגיעה האפשרית בעבודתו של הנאשם כמתקין דודים בבסיסים צבאיים ככל שיורשע ובשים לב ליחסו של הנאשם לעבירה, לרבות לקיחת אחריות וחרטה, מן הראוי שלא להרשיעו. </w:t>
      </w:r>
    </w:p>
    <w:p w14:paraId="0793C69D" w14:textId="77777777" w:rsidR="001202B4" w:rsidRDefault="001202B4" w:rsidP="001202B4">
      <w:pPr>
        <w:pStyle w:val="ab"/>
        <w:jc w:val="both"/>
        <w:rPr>
          <w:rFonts w:ascii="David" w:hAnsi="David" w:cs="David"/>
          <w:sz w:val="24"/>
          <w:szCs w:val="24"/>
        </w:rPr>
      </w:pPr>
    </w:p>
    <w:p w14:paraId="4B372B6F" w14:textId="77777777" w:rsidR="001202B4" w:rsidRDefault="001202B4" w:rsidP="001202B4">
      <w:pPr>
        <w:pStyle w:val="ab"/>
        <w:numPr>
          <w:ilvl w:val="0"/>
          <w:numId w:val="2"/>
        </w:numPr>
        <w:spacing w:line="360" w:lineRule="auto"/>
        <w:jc w:val="both"/>
        <w:rPr>
          <w:rFonts w:ascii="David" w:hAnsi="David" w:cs="David"/>
          <w:sz w:val="24"/>
          <w:szCs w:val="24"/>
          <w:rtl/>
        </w:rPr>
      </w:pPr>
      <w:r>
        <w:rPr>
          <w:rFonts w:ascii="David" w:hAnsi="David" w:cs="David"/>
          <w:sz w:val="24"/>
          <w:szCs w:val="24"/>
          <w:rtl/>
        </w:rPr>
        <w:t xml:space="preserve">בתסקיר נוסף שהוגש ביום 4.9.22, תיאר שירות המבחן את שיתוף הפעולה של הנאשם. שירות המבחן חזר על התרשמותו כי הבעיות הרפואיות הכרוניות של הנאשם הן אלו שגרמו לו להשתמש בסמים. שירות המבחן ציין כי הנאשם כיום הינו בעל רישיון רפואי לשימוש בסם קנאביס. וכי בבדיקות שתן שנערכו לו, לא נמצאו שרידי סמי רחוב. שירות המבחן חזר על המלצתו לבטל הרשעת הנאשם והטלת ענישה טיפולית בדמות שירות לתועלת הציבור. </w:t>
      </w:r>
    </w:p>
    <w:p w14:paraId="1E8A1638" w14:textId="77777777" w:rsidR="001202B4" w:rsidRDefault="001202B4" w:rsidP="001202B4">
      <w:pPr>
        <w:pStyle w:val="ab"/>
        <w:spacing w:line="360" w:lineRule="auto"/>
        <w:ind w:left="360"/>
        <w:jc w:val="both"/>
        <w:rPr>
          <w:rFonts w:ascii="David" w:hAnsi="David" w:cs="David"/>
          <w:sz w:val="24"/>
          <w:szCs w:val="24"/>
        </w:rPr>
      </w:pPr>
    </w:p>
    <w:p w14:paraId="32833477" w14:textId="77777777" w:rsidR="001202B4" w:rsidRDefault="001202B4" w:rsidP="001202B4">
      <w:pPr>
        <w:spacing w:line="360" w:lineRule="auto"/>
        <w:jc w:val="both"/>
        <w:rPr>
          <w:rFonts w:ascii="David" w:hAnsi="David"/>
          <w:b/>
          <w:bCs/>
          <w:u w:val="single"/>
          <w:rtl/>
        </w:rPr>
      </w:pPr>
      <w:r>
        <w:rPr>
          <w:rFonts w:ascii="David" w:hAnsi="David"/>
          <w:b/>
          <w:bCs/>
          <w:u w:val="single"/>
          <w:rtl/>
        </w:rPr>
        <w:t>טיעוני הצדדים</w:t>
      </w:r>
    </w:p>
    <w:p w14:paraId="6E809610" w14:textId="77777777" w:rsidR="001202B4" w:rsidRDefault="001202B4" w:rsidP="001202B4">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ב"כ המאשימה תיאר את העבירות שביצע הנאשם, את חומרתן ואת הערכים החברתיים שנפגעו. עוד טען כי בנסיבות התיק אין מקום לביטול הרשעת הנאשם. עתר למתחם ענישה הנע בין 6 חודשי מאסר שירוצו בעבודות שירות לבין 11 חודשי מאסר בפועל ועתר לגזירת עונשו של הנאשם בתחתית המתחם. </w:t>
      </w:r>
    </w:p>
    <w:p w14:paraId="5609E609" w14:textId="77777777" w:rsidR="001202B4" w:rsidRDefault="001202B4" w:rsidP="001202B4">
      <w:pPr>
        <w:pStyle w:val="ab"/>
        <w:spacing w:after="0" w:line="360" w:lineRule="auto"/>
        <w:ind w:left="360"/>
        <w:jc w:val="both"/>
        <w:rPr>
          <w:rFonts w:ascii="David" w:hAnsi="David" w:cs="David"/>
          <w:sz w:val="24"/>
          <w:szCs w:val="24"/>
        </w:rPr>
      </w:pPr>
    </w:p>
    <w:p w14:paraId="54CADBC8" w14:textId="77777777" w:rsidR="001202B4" w:rsidRDefault="001202B4" w:rsidP="001202B4">
      <w:pPr>
        <w:pStyle w:val="ab"/>
        <w:numPr>
          <w:ilvl w:val="0"/>
          <w:numId w:val="2"/>
        </w:numPr>
        <w:spacing w:after="0" w:line="360" w:lineRule="auto"/>
        <w:jc w:val="both"/>
        <w:rPr>
          <w:rFonts w:ascii="David" w:hAnsi="David" w:cs="David"/>
          <w:sz w:val="24"/>
          <w:szCs w:val="24"/>
        </w:rPr>
      </w:pPr>
      <w:r>
        <w:rPr>
          <w:rFonts w:ascii="David" w:hAnsi="David" w:cs="David"/>
          <w:sz w:val="24"/>
          <w:szCs w:val="24"/>
          <w:rtl/>
        </w:rPr>
        <w:t xml:space="preserve">ב"כ הנאשם טענה לאי הרשעה לאור נסיבות ביצוע העבירות - הנאשם השתמש בסמים על מנת להתמודד עם כאבי גב כרוניים מהם הוא סובל. הפנתה לתסקיר שירות המבחן החיובי בעניינו והציגה רישיון לקבלת קנאביס רפואי לתקופה של כחצי שנה מיום 24.6.22. באשר לפגיעה בשיקומו של הנאשם הגישה מכתב המלצה של מר שמעון גבאי, מנהל קשרי לקוחות בחברת אלקטרה וטענה לרלוונטיות שלו גם כשהיום הוא עובד כעצמאי. </w:t>
      </w:r>
    </w:p>
    <w:p w14:paraId="055E72CF" w14:textId="77777777" w:rsidR="001202B4" w:rsidRDefault="001202B4" w:rsidP="001202B4">
      <w:pPr>
        <w:pStyle w:val="ab"/>
        <w:jc w:val="both"/>
        <w:rPr>
          <w:rFonts w:ascii="David" w:hAnsi="David" w:cs="David"/>
          <w:sz w:val="24"/>
          <w:szCs w:val="24"/>
        </w:rPr>
      </w:pPr>
    </w:p>
    <w:p w14:paraId="136718F0" w14:textId="77777777" w:rsidR="001202B4" w:rsidRDefault="001202B4" w:rsidP="001202B4">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הנאשם ציין כי הוא עובד בחברה של מיזוג וקירור השייכת לאחיו, והם נותנים שירותים לחברת טבע ומכתשים. </w:t>
      </w:r>
    </w:p>
    <w:p w14:paraId="75346954" w14:textId="77777777" w:rsidR="001202B4" w:rsidRDefault="001202B4" w:rsidP="001202B4">
      <w:pPr>
        <w:spacing w:line="360" w:lineRule="auto"/>
        <w:jc w:val="both"/>
        <w:rPr>
          <w:rFonts w:ascii="David" w:hAnsi="David"/>
          <w:b/>
          <w:bCs/>
          <w:u w:val="single"/>
        </w:rPr>
      </w:pPr>
    </w:p>
    <w:p w14:paraId="76B9B9EB" w14:textId="77777777" w:rsidR="001202B4" w:rsidRDefault="001202B4" w:rsidP="001202B4">
      <w:pPr>
        <w:spacing w:line="360" w:lineRule="auto"/>
        <w:jc w:val="both"/>
        <w:rPr>
          <w:rFonts w:ascii="David" w:hAnsi="David"/>
          <w:b/>
          <w:bCs/>
          <w:u w:val="single"/>
          <w:rtl/>
        </w:rPr>
      </w:pPr>
      <w:r>
        <w:rPr>
          <w:rFonts w:ascii="David" w:hAnsi="David"/>
          <w:b/>
          <w:bCs/>
          <w:u w:val="single"/>
          <w:rtl/>
        </w:rPr>
        <w:t>סוגיית אי הרשעה</w:t>
      </w:r>
    </w:p>
    <w:p w14:paraId="4E1E56B2" w14:textId="77777777" w:rsidR="001202B4" w:rsidRDefault="001202B4" w:rsidP="001202B4">
      <w:pPr>
        <w:jc w:val="both"/>
        <w:rPr>
          <w:rFonts w:ascii="David" w:hAnsi="David"/>
          <w:rtl/>
        </w:rPr>
      </w:pPr>
    </w:p>
    <w:p w14:paraId="7CF0BAE9" w14:textId="77777777" w:rsidR="001202B4" w:rsidRDefault="001202B4" w:rsidP="001202B4">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בהתאם </w:t>
      </w:r>
      <w:hyperlink r:id="rId22" w:history="1">
        <w:r w:rsidR="00C75575" w:rsidRPr="00C75575">
          <w:rPr>
            <w:rStyle w:val="Hyperlink"/>
            <w:rFonts w:ascii="David" w:hAnsi="David" w:cs="David"/>
            <w:sz w:val="24"/>
            <w:szCs w:val="24"/>
            <w:rtl/>
          </w:rPr>
          <w:t>לסעיף 192א</w:t>
        </w:r>
      </w:hyperlink>
      <w:r>
        <w:rPr>
          <w:rFonts w:ascii="David" w:hAnsi="David" w:cs="David"/>
          <w:sz w:val="24"/>
          <w:szCs w:val="24"/>
          <w:rtl/>
        </w:rPr>
        <w:t xml:space="preserve"> ל</w:t>
      </w:r>
      <w:hyperlink r:id="rId23" w:history="1">
        <w:r w:rsidR="00D56B14" w:rsidRPr="00D56B14">
          <w:rPr>
            <w:rFonts w:ascii="David" w:hAnsi="David" w:cs="David"/>
            <w:color w:val="0000FF"/>
            <w:sz w:val="24"/>
            <w:szCs w:val="24"/>
            <w:u w:val="single"/>
            <w:rtl/>
          </w:rPr>
          <w:t>חוק סדר הדין הפלילי</w:t>
        </w:r>
      </w:hyperlink>
      <w:r>
        <w:rPr>
          <w:rFonts w:ascii="David" w:hAnsi="David" w:cs="David"/>
          <w:sz w:val="24"/>
          <w:szCs w:val="24"/>
          <w:rtl/>
        </w:rPr>
        <w:t xml:space="preserve"> [נוסח משולב], תשמ"ב-1982 (להלן: "חוק סדר הדין הפלילי"), </w:t>
      </w:r>
      <w:hyperlink r:id="rId24" w:history="1">
        <w:r w:rsidR="00C75575" w:rsidRPr="00C75575">
          <w:rPr>
            <w:rStyle w:val="Hyperlink"/>
            <w:rFonts w:ascii="David" w:hAnsi="David" w:cs="David"/>
            <w:sz w:val="24"/>
            <w:szCs w:val="24"/>
            <w:rtl/>
          </w:rPr>
          <w:t>לסעיף 1(2)</w:t>
        </w:r>
      </w:hyperlink>
      <w:r>
        <w:rPr>
          <w:rFonts w:ascii="David" w:hAnsi="David" w:cs="David"/>
          <w:sz w:val="24"/>
          <w:szCs w:val="24"/>
          <w:rtl/>
        </w:rPr>
        <w:t xml:space="preserve"> ל</w:t>
      </w:r>
      <w:hyperlink r:id="rId25" w:history="1">
        <w:r w:rsidR="00D56B14" w:rsidRPr="00D56B14">
          <w:rPr>
            <w:rFonts w:ascii="David" w:hAnsi="David" w:cs="David"/>
            <w:color w:val="0000FF"/>
            <w:sz w:val="24"/>
            <w:szCs w:val="24"/>
            <w:u w:val="single"/>
            <w:rtl/>
          </w:rPr>
          <w:t>פקודת המבחן</w:t>
        </w:r>
      </w:hyperlink>
      <w:r>
        <w:rPr>
          <w:rFonts w:ascii="David" w:hAnsi="David" w:cs="David"/>
          <w:sz w:val="24"/>
          <w:szCs w:val="24"/>
          <w:rtl/>
        </w:rPr>
        <w:t xml:space="preserve"> [נוסח חדש], תשכ"ט -1969 (להלן: "פקודת המבחן") ולסעיף </w:t>
      </w:r>
      <w:hyperlink r:id="rId26" w:history="1">
        <w:r w:rsidR="00C75575" w:rsidRPr="00C75575">
          <w:rPr>
            <w:rStyle w:val="Hyperlink"/>
            <w:rFonts w:ascii="David" w:hAnsi="David" w:cs="David"/>
            <w:sz w:val="24"/>
            <w:szCs w:val="24"/>
            <w:rtl/>
          </w:rPr>
          <w:t>71א</w:t>
        </w:r>
      </w:hyperlink>
      <w:r>
        <w:rPr>
          <w:rFonts w:ascii="David" w:hAnsi="David" w:cs="David"/>
          <w:sz w:val="24"/>
          <w:szCs w:val="24"/>
          <w:rtl/>
        </w:rPr>
        <w:t xml:space="preserve"> ל</w:t>
      </w:r>
      <w:hyperlink r:id="rId27" w:history="1">
        <w:r w:rsidR="00D56B14" w:rsidRPr="00D56B14">
          <w:rPr>
            <w:rFonts w:ascii="David" w:hAnsi="David" w:cs="David"/>
            <w:color w:val="0000FF"/>
            <w:sz w:val="24"/>
            <w:szCs w:val="24"/>
            <w:u w:val="single"/>
            <w:rtl/>
          </w:rPr>
          <w:t>חוק העונשין</w:t>
        </w:r>
      </w:hyperlink>
      <w:r>
        <w:rPr>
          <w:rFonts w:ascii="David" w:hAnsi="David" w:cs="David"/>
          <w:sz w:val="24"/>
          <w:szCs w:val="24"/>
          <w:rtl/>
        </w:rPr>
        <w:t xml:space="preserve">, בית המשפט מוסמך ליתן צו מבחן או צו לשירות לתועלת הציבור, תוך הימנעות מהרשעה.  </w:t>
      </w:r>
    </w:p>
    <w:p w14:paraId="3A3F6B17" w14:textId="77777777" w:rsidR="001202B4" w:rsidRDefault="001202B4" w:rsidP="001202B4">
      <w:pPr>
        <w:pStyle w:val="ab"/>
        <w:spacing w:after="0" w:line="360" w:lineRule="auto"/>
        <w:jc w:val="both"/>
        <w:rPr>
          <w:sz w:val="24"/>
          <w:szCs w:val="24"/>
        </w:rPr>
      </w:pPr>
    </w:p>
    <w:p w14:paraId="2DFC214E" w14:textId="77777777" w:rsidR="001202B4" w:rsidRDefault="001202B4" w:rsidP="001202B4">
      <w:pPr>
        <w:pStyle w:val="ab"/>
        <w:numPr>
          <w:ilvl w:val="0"/>
          <w:numId w:val="2"/>
        </w:numPr>
        <w:spacing w:after="0" w:line="360" w:lineRule="auto"/>
        <w:jc w:val="both"/>
        <w:rPr>
          <w:rFonts w:ascii="David" w:hAnsi="David" w:cs="David"/>
          <w:sz w:val="24"/>
          <w:szCs w:val="24"/>
        </w:rPr>
      </w:pPr>
      <w:r>
        <w:rPr>
          <w:rFonts w:ascii="David" w:hAnsi="David" w:cs="David"/>
          <w:sz w:val="24"/>
          <w:szCs w:val="24"/>
          <w:rtl/>
        </w:rPr>
        <w:t>ב</w:t>
      </w:r>
      <w:hyperlink r:id="rId28" w:history="1">
        <w:r w:rsidR="00D56B14" w:rsidRPr="00D56B14">
          <w:rPr>
            <w:rFonts w:ascii="David" w:hAnsi="David" w:cs="David"/>
            <w:color w:val="0000FF"/>
            <w:sz w:val="24"/>
            <w:szCs w:val="24"/>
            <w:u w:val="single"/>
            <w:rtl/>
          </w:rPr>
          <w:t>ע"פ 2083/96</w:t>
        </w:r>
      </w:hyperlink>
      <w:r w:rsidR="00D56B14">
        <w:rPr>
          <w:rFonts w:ascii="David" w:hAnsi="David" w:cs="David"/>
          <w:sz w:val="24"/>
          <w:szCs w:val="24"/>
          <w:rtl/>
        </w:rPr>
        <w:t xml:space="preserve"> </w:t>
      </w:r>
      <w:r>
        <w:rPr>
          <w:rFonts w:ascii="David" w:hAnsi="David" w:cs="David"/>
          <w:b/>
          <w:bCs/>
          <w:sz w:val="24"/>
          <w:szCs w:val="24"/>
          <w:rtl/>
        </w:rPr>
        <w:t>כתב נ' מדינת ישראל</w:t>
      </w:r>
      <w:r>
        <w:rPr>
          <w:rFonts w:ascii="David" w:hAnsi="David" w:cs="David"/>
          <w:sz w:val="24"/>
          <w:szCs w:val="24"/>
          <w:rtl/>
        </w:rPr>
        <w:t xml:space="preserve"> נקבע, כי משהוכח ביצועה של עבירה, יש להרשיע את הנאשם, זולת מקרים יוצאי דופן בהם אין יחס סביר בין הנזק הצפוי לנאשם מן ההרשעה לבין חומרתה של העבירה. זאת על מנת שלא לפגוע בחובת מיצוי הדין עם עבריינים (ראו </w:t>
      </w:r>
      <w:hyperlink r:id="rId29" w:history="1">
        <w:r w:rsidR="00D56B14" w:rsidRPr="00D56B14">
          <w:rPr>
            <w:rFonts w:ascii="David" w:hAnsi="David" w:cs="David"/>
            <w:color w:val="0000FF"/>
            <w:sz w:val="24"/>
            <w:szCs w:val="24"/>
            <w:u w:val="single"/>
            <w:rtl/>
          </w:rPr>
          <w:t>ע״פ 2669/00</w:t>
        </w:r>
      </w:hyperlink>
      <w:r w:rsidR="00D56B14">
        <w:rPr>
          <w:rFonts w:ascii="David" w:hAnsi="David" w:cs="David"/>
          <w:sz w:val="24"/>
          <w:szCs w:val="24"/>
          <w:rtl/>
        </w:rPr>
        <w:t xml:space="preserve"> </w:t>
      </w:r>
      <w:r>
        <w:rPr>
          <w:rFonts w:ascii="David" w:hAnsi="David" w:cs="David"/>
          <w:b/>
          <w:bCs/>
          <w:sz w:val="24"/>
          <w:szCs w:val="24"/>
          <w:rtl/>
        </w:rPr>
        <w:t>מדינת ישראל נ׳ פלוני</w:t>
      </w:r>
      <w:r>
        <w:rPr>
          <w:rFonts w:ascii="David" w:hAnsi="David" w:cs="David"/>
          <w:sz w:val="24"/>
          <w:szCs w:val="24"/>
          <w:rtl/>
        </w:rPr>
        <w:t>), וכן על מנת שלא לגרום לפגיעה מהותית בעקרון השוויון בפני החוק ובשיקולי ענישה אחרים, (ראו</w:t>
      </w:r>
      <w:r w:rsidR="00D56B14">
        <w:rPr>
          <w:rFonts w:ascii="David" w:hAnsi="David" w:cs="David"/>
          <w:sz w:val="24"/>
          <w:szCs w:val="24"/>
          <w:rtl/>
        </w:rPr>
        <w:t xml:space="preserve"> </w:t>
      </w:r>
      <w:r w:rsidRPr="00D56B14">
        <w:rPr>
          <w:rFonts w:ascii="David" w:hAnsi="David" w:cs="David"/>
          <w:color w:val="000000"/>
          <w:sz w:val="24"/>
          <w:szCs w:val="24"/>
          <w:rtl/>
        </w:rPr>
        <w:t>ע"פ 1082/06</w:t>
      </w:r>
      <w:r w:rsidR="00D56B14">
        <w:rPr>
          <w:rFonts w:ascii="David" w:hAnsi="David" w:cs="David"/>
          <w:sz w:val="24"/>
          <w:szCs w:val="24"/>
          <w:rtl/>
        </w:rPr>
        <w:t xml:space="preserve"> </w:t>
      </w:r>
      <w:r>
        <w:rPr>
          <w:rFonts w:ascii="David" w:hAnsi="David" w:cs="David"/>
          <w:b/>
          <w:bCs/>
          <w:sz w:val="24"/>
          <w:szCs w:val="24"/>
          <w:rtl/>
        </w:rPr>
        <w:t>מיכאל שוראקי נ' מדינת ישראל)</w:t>
      </w:r>
    </w:p>
    <w:p w14:paraId="3C967FE8" w14:textId="77777777" w:rsidR="001202B4" w:rsidRDefault="001202B4" w:rsidP="001202B4">
      <w:pPr>
        <w:pStyle w:val="ab"/>
        <w:spacing w:after="0" w:line="360" w:lineRule="auto"/>
        <w:ind w:left="360"/>
        <w:jc w:val="both"/>
        <w:rPr>
          <w:rFonts w:ascii="David" w:hAnsi="David" w:cs="David"/>
          <w:sz w:val="24"/>
          <w:szCs w:val="24"/>
          <w:rtl/>
        </w:rPr>
      </w:pPr>
    </w:p>
    <w:p w14:paraId="74B5C790" w14:textId="77777777" w:rsidR="001202B4" w:rsidRDefault="001202B4" w:rsidP="001202B4">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ההלכה היא כי על המבקש לבטל את הרשעתו,  הנטל להוכיח כי מתקיימים בעניינו שני תנאים מצטברים. הראשון, הוא שההרשעה תוביל לפגיעה חמורה בשיקומו. והשני, הוא שסוג העבירה מאפשר בנסיבות המקרה לבטל את ההרשעה מבלי לפגוע באופן מהותי בשיקולי הענישה האחרים אשר בניהם, התועלת שתושג לאינטרס הציבורי חברתי מההרשעה</w:t>
      </w:r>
      <w:r>
        <w:rPr>
          <w:sz w:val="24"/>
          <w:szCs w:val="24"/>
          <w:rtl/>
        </w:rPr>
        <w:t xml:space="preserve"> </w:t>
      </w:r>
      <w:r>
        <w:rPr>
          <w:rFonts w:ascii="David" w:hAnsi="David" w:cs="David"/>
          <w:sz w:val="24"/>
          <w:szCs w:val="24"/>
          <w:rtl/>
        </w:rPr>
        <w:t>(</w:t>
      </w:r>
      <w:hyperlink r:id="rId30" w:history="1">
        <w:r w:rsidR="00D56B14" w:rsidRPr="00D56B14">
          <w:rPr>
            <w:rFonts w:ascii="David" w:hAnsi="David" w:cs="David"/>
            <w:color w:val="0000FF"/>
            <w:sz w:val="24"/>
            <w:szCs w:val="24"/>
            <w:u w:val="single"/>
            <w:rtl/>
          </w:rPr>
          <w:t>ע"פ 4318/20</w:t>
        </w:r>
      </w:hyperlink>
      <w:r>
        <w:rPr>
          <w:rFonts w:ascii="David" w:hAnsi="David" w:cs="David"/>
          <w:b/>
          <w:bCs/>
          <w:sz w:val="24"/>
          <w:szCs w:val="24"/>
          <w:rtl/>
        </w:rPr>
        <w:t xml:space="preserve"> מדינת ישראל נ' אלון חסן</w:t>
      </w:r>
      <w:r>
        <w:rPr>
          <w:rFonts w:ascii="David" w:hAnsi="David" w:cs="David"/>
          <w:sz w:val="24"/>
          <w:szCs w:val="24"/>
          <w:rtl/>
        </w:rPr>
        <w:t xml:space="preserve">) </w:t>
      </w:r>
    </w:p>
    <w:p w14:paraId="7CB5C8CF" w14:textId="77777777" w:rsidR="001202B4" w:rsidRDefault="001202B4" w:rsidP="001202B4">
      <w:pPr>
        <w:pStyle w:val="ab"/>
        <w:jc w:val="both"/>
        <w:rPr>
          <w:rFonts w:ascii="David" w:hAnsi="David" w:cs="David"/>
          <w:sz w:val="24"/>
          <w:szCs w:val="24"/>
        </w:rPr>
      </w:pPr>
    </w:p>
    <w:p w14:paraId="64E5A3CF" w14:textId="77777777" w:rsidR="001202B4" w:rsidRDefault="001202B4" w:rsidP="001202B4">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על המבקש להוכיח נזק קונקרטי שעלול להיגרם לפרנסתו כתוצאה מהרשעתו. וכך נקבע ב</w:t>
      </w:r>
      <w:hyperlink r:id="rId31" w:history="1">
        <w:r w:rsidR="00D56B14" w:rsidRPr="00D56B14">
          <w:rPr>
            <w:rFonts w:ascii="David" w:hAnsi="David" w:cs="David"/>
            <w:color w:val="0000FF"/>
            <w:sz w:val="24"/>
            <w:szCs w:val="24"/>
            <w:u w:val="single"/>
            <w:rtl/>
          </w:rPr>
          <w:t>רע"פ 7224/14</w:t>
        </w:r>
      </w:hyperlink>
      <w:r>
        <w:rPr>
          <w:rFonts w:ascii="David" w:hAnsi="David" w:cs="David"/>
          <w:sz w:val="24"/>
          <w:szCs w:val="24"/>
          <w:rtl/>
        </w:rPr>
        <w:t xml:space="preserve"> </w:t>
      </w:r>
      <w:r>
        <w:rPr>
          <w:rFonts w:ascii="David" w:hAnsi="David" w:cs="David"/>
          <w:b/>
          <w:bCs/>
          <w:sz w:val="24"/>
          <w:szCs w:val="24"/>
          <w:rtl/>
        </w:rPr>
        <w:t>משה פרנסקי נ' מדינת ישראל</w:t>
      </w:r>
      <w:r>
        <w:rPr>
          <w:rFonts w:ascii="David" w:hAnsi="David" w:cs="David"/>
          <w:sz w:val="24"/>
          <w:szCs w:val="24"/>
          <w:rtl/>
        </w:rPr>
        <w:t xml:space="preserve">: </w:t>
      </w:r>
    </w:p>
    <w:p w14:paraId="58CA2AB8" w14:textId="77777777" w:rsidR="001202B4" w:rsidRDefault="001202B4" w:rsidP="001202B4">
      <w:pPr>
        <w:pStyle w:val="ab"/>
        <w:jc w:val="both"/>
        <w:rPr>
          <w:rFonts w:ascii="David" w:hAnsi="David" w:cs="David"/>
          <w:sz w:val="24"/>
          <w:szCs w:val="24"/>
        </w:rPr>
      </w:pPr>
    </w:p>
    <w:p w14:paraId="5ED5AB9C" w14:textId="77777777" w:rsidR="001202B4" w:rsidRDefault="001202B4" w:rsidP="001202B4">
      <w:pPr>
        <w:pStyle w:val="ab"/>
        <w:spacing w:after="0" w:line="360" w:lineRule="auto"/>
        <w:ind w:left="1134" w:right="850"/>
        <w:jc w:val="both"/>
        <w:rPr>
          <w:rFonts w:ascii="David" w:hAnsi="David" w:cs="David"/>
          <w:sz w:val="24"/>
          <w:szCs w:val="24"/>
          <w:rtl/>
        </w:rPr>
      </w:pPr>
      <w:r>
        <w:rPr>
          <w:rFonts w:ascii="David" w:hAnsi="David" w:cs="David"/>
          <w:b/>
          <w:bCs/>
          <w:sz w:val="24"/>
          <w:szCs w:val="24"/>
          <w:rtl/>
        </w:rPr>
        <w:t>"החובה להצביע על קיומו של נזק קונקרטי, מתיישבת עם אופיו המצומצם של החריג שעניינו הימנעות מהרשעה, אשר נועד לחול אך במקרים מיוחדים בהם קיימים טעמים כבדי משקל הנוגעים לצורכי שיקומו של הנאשם</w:t>
      </w:r>
      <w:r>
        <w:rPr>
          <w:rFonts w:ascii="David" w:hAnsi="David" w:cs="David"/>
          <w:sz w:val="24"/>
          <w:szCs w:val="24"/>
          <w:rtl/>
        </w:rPr>
        <w:t>".</w:t>
      </w:r>
    </w:p>
    <w:p w14:paraId="4625668C" w14:textId="77777777" w:rsidR="001202B4" w:rsidRDefault="001202B4" w:rsidP="001202B4">
      <w:pPr>
        <w:spacing w:line="360" w:lineRule="auto"/>
        <w:jc w:val="both"/>
        <w:rPr>
          <w:rFonts w:ascii="David" w:hAnsi="David"/>
        </w:rPr>
      </w:pPr>
    </w:p>
    <w:p w14:paraId="23DBF1C3" w14:textId="77777777" w:rsidR="001202B4" w:rsidRDefault="001202B4" w:rsidP="001202B4">
      <w:pPr>
        <w:pStyle w:val="ab"/>
        <w:numPr>
          <w:ilvl w:val="0"/>
          <w:numId w:val="2"/>
        </w:numPr>
        <w:spacing w:after="0" w:line="360" w:lineRule="auto"/>
        <w:jc w:val="both"/>
        <w:rPr>
          <w:b/>
          <w:bCs/>
          <w:sz w:val="24"/>
          <w:szCs w:val="24"/>
          <w:rtl/>
        </w:rPr>
      </w:pPr>
      <w:r>
        <w:rPr>
          <w:rFonts w:ascii="David" w:hAnsi="David" w:cs="David"/>
          <w:sz w:val="24"/>
          <w:szCs w:val="24"/>
          <w:rtl/>
        </w:rPr>
        <w:t xml:space="preserve">הנזק לו טוען המבקש בעניינו הוא פגיעה בפרנסתו בכך שהרשעתו בדין עלולה להוביל לפגיעה עבודתו שבמסגרתה פועל במקומות מסווגים. על פניו, מסמך נ/2 מלמד על נזק שייגרם לנאשם ככל שיורשע. אלא, שבמהלך הדיון התברר, ממש במקרה ורק אגב בקשתו של התובע לחקור את עורך המסמך נ/2, כי הנאשם אינו עובד עוד בחברת אלקטרה. נתון שאף יש בו כדי לעורר ספק בדבר מהימנות טענות הנאשם וניקיון כפיו. </w:t>
      </w:r>
    </w:p>
    <w:p w14:paraId="47D684B4" w14:textId="77777777" w:rsidR="001202B4" w:rsidRDefault="001202B4" w:rsidP="001202B4">
      <w:pPr>
        <w:pStyle w:val="ab"/>
        <w:spacing w:after="0" w:line="360" w:lineRule="auto"/>
        <w:ind w:left="360"/>
        <w:jc w:val="both"/>
        <w:rPr>
          <w:b/>
          <w:bCs/>
          <w:sz w:val="24"/>
          <w:szCs w:val="24"/>
        </w:rPr>
      </w:pPr>
    </w:p>
    <w:p w14:paraId="0BADD672" w14:textId="77777777" w:rsidR="001202B4" w:rsidRDefault="001202B4" w:rsidP="001202B4">
      <w:pPr>
        <w:pStyle w:val="ab"/>
        <w:numPr>
          <w:ilvl w:val="0"/>
          <w:numId w:val="2"/>
        </w:numPr>
        <w:spacing w:after="0" w:line="360" w:lineRule="auto"/>
        <w:jc w:val="both"/>
        <w:rPr>
          <w:rFonts w:ascii="David" w:hAnsi="David" w:cs="David"/>
          <w:sz w:val="24"/>
          <w:szCs w:val="24"/>
        </w:rPr>
      </w:pPr>
      <w:r>
        <w:rPr>
          <w:rFonts w:ascii="David" w:hAnsi="David" w:cs="David"/>
          <w:sz w:val="24"/>
          <w:szCs w:val="24"/>
          <w:rtl/>
        </w:rPr>
        <w:t>ב"כ הנאשם טענה כי הגם שהנאשם לא עובד יותר בחברת אלקטרה, הוא כיום עובד עם אחיו בחברה של התקנת דודים, והם מספקים שירותים לחברת מכתשים ולחברת טבע. אולם, משהנאשם לא הניח כל אסמכתא המאשרת את דבריו באשר לעיסוקו החדש, ומשלא הניח כל אסמכתא לכך שהרשעתו עלולה לפגוע בעבודתו במסגרת עיסוקו החדש, הרי שלא התרשמתי שהוכח כי לנאשם עלול להיווצר קושי עתידי להמשיך בעבודתו. בקשר זה אפנה ל</w:t>
      </w:r>
      <w:hyperlink r:id="rId32" w:history="1">
        <w:r w:rsidR="00D56B14" w:rsidRPr="00D56B14">
          <w:rPr>
            <w:rFonts w:ascii="David" w:hAnsi="David" w:cs="David"/>
            <w:color w:val="0000FF"/>
            <w:sz w:val="24"/>
            <w:szCs w:val="24"/>
            <w:u w:val="single"/>
            <w:rtl/>
          </w:rPr>
          <w:t>רע"פ 3589/14</w:t>
        </w:r>
      </w:hyperlink>
      <w:r>
        <w:rPr>
          <w:rFonts w:ascii="David" w:hAnsi="David" w:cs="David"/>
          <w:sz w:val="24"/>
          <w:szCs w:val="24"/>
          <w:rtl/>
        </w:rPr>
        <w:t xml:space="preserve"> </w:t>
      </w:r>
      <w:r>
        <w:rPr>
          <w:rFonts w:ascii="David" w:hAnsi="David" w:cs="David"/>
          <w:b/>
          <w:bCs/>
          <w:sz w:val="24"/>
          <w:szCs w:val="24"/>
          <w:rtl/>
        </w:rPr>
        <w:t>שרון לוזון נ' מדינת ישראל</w:t>
      </w:r>
      <w:r>
        <w:rPr>
          <w:rFonts w:ascii="David" w:hAnsi="David" w:cs="David"/>
          <w:sz w:val="24"/>
          <w:szCs w:val="24"/>
          <w:rtl/>
        </w:rPr>
        <w:t xml:space="preserve">: </w:t>
      </w:r>
    </w:p>
    <w:p w14:paraId="270879DB" w14:textId="77777777" w:rsidR="001202B4" w:rsidRDefault="001202B4" w:rsidP="001202B4">
      <w:pPr>
        <w:pStyle w:val="ab"/>
        <w:jc w:val="both"/>
        <w:rPr>
          <w:rFonts w:ascii="David" w:hAnsi="David" w:cs="David"/>
          <w:sz w:val="24"/>
          <w:szCs w:val="24"/>
        </w:rPr>
      </w:pPr>
    </w:p>
    <w:p w14:paraId="0B378102" w14:textId="77777777" w:rsidR="001202B4" w:rsidRDefault="001202B4" w:rsidP="001202B4">
      <w:pPr>
        <w:pStyle w:val="ab"/>
        <w:spacing w:after="0" w:line="360" w:lineRule="auto"/>
        <w:ind w:left="1134" w:right="1077"/>
        <w:jc w:val="both"/>
        <w:rPr>
          <w:rFonts w:ascii="David" w:hAnsi="David" w:cs="David"/>
          <w:b/>
          <w:bCs/>
          <w:sz w:val="24"/>
          <w:szCs w:val="24"/>
          <w:rtl/>
        </w:rPr>
      </w:pPr>
      <w:r>
        <w:rPr>
          <w:rFonts w:ascii="David" w:hAnsi="David" w:cs="David"/>
          <w:b/>
          <w:bCs/>
          <w:sz w:val="24"/>
          <w:szCs w:val="24"/>
          <w:rtl/>
        </w:rPr>
        <w:t xml:space="preserve">"בשורה ארוכה של פסקי דין נקבע, כי על העותר לאי-הרשעה מוטלת החובה להצביע על כך שהרשעתו תביא לפגיעה קשה וקונקרטית בסיכויי שיקומו, ולתמוך את טענותיו בתשתית ראייתית מתאימה" </w:t>
      </w:r>
    </w:p>
    <w:p w14:paraId="6B5CD0E9" w14:textId="77777777" w:rsidR="001202B4" w:rsidRDefault="001202B4" w:rsidP="001202B4">
      <w:pPr>
        <w:pStyle w:val="ab"/>
        <w:spacing w:after="0" w:line="360" w:lineRule="auto"/>
        <w:ind w:left="360"/>
        <w:jc w:val="both"/>
        <w:rPr>
          <w:b/>
          <w:bCs/>
          <w:sz w:val="24"/>
          <w:szCs w:val="24"/>
        </w:rPr>
      </w:pPr>
    </w:p>
    <w:p w14:paraId="62C77AC5" w14:textId="77777777" w:rsidR="001202B4" w:rsidRDefault="001202B4" w:rsidP="001202B4">
      <w:pPr>
        <w:pStyle w:val="ab"/>
        <w:numPr>
          <w:ilvl w:val="0"/>
          <w:numId w:val="2"/>
        </w:numPr>
        <w:spacing w:after="0" w:line="360" w:lineRule="auto"/>
        <w:jc w:val="both"/>
        <w:rPr>
          <w:rFonts w:ascii="David" w:hAnsi="David" w:cs="David"/>
          <w:sz w:val="24"/>
          <w:szCs w:val="24"/>
        </w:rPr>
      </w:pPr>
      <w:r>
        <w:rPr>
          <w:rFonts w:cs="David"/>
          <w:sz w:val="24"/>
          <w:szCs w:val="24"/>
          <w:rtl/>
        </w:rPr>
        <w:t xml:space="preserve">זה המקום לציין כי </w:t>
      </w:r>
      <w:r>
        <w:rPr>
          <w:rFonts w:ascii="David" w:hAnsi="David" w:cs="David"/>
          <w:sz w:val="24"/>
          <w:szCs w:val="24"/>
          <w:rtl/>
        </w:rPr>
        <w:t xml:space="preserve">חרף היותו של תסקיר המבחן אחד ממערכת השיקולים אותה צריך בית המשפט לשקול, הוא אינו מחויב לקבל המלצותיה (ראו </w:t>
      </w:r>
      <w:hyperlink r:id="rId33" w:history="1">
        <w:r w:rsidR="00D56B14" w:rsidRPr="00D56B14">
          <w:rPr>
            <w:rFonts w:ascii="David" w:hAnsi="David" w:cs="David"/>
            <w:color w:val="0000FF"/>
            <w:sz w:val="24"/>
            <w:szCs w:val="24"/>
            <w:u w:val="single"/>
            <w:rtl/>
          </w:rPr>
          <w:t>רע"פ 8748/10</w:t>
        </w:r>
      </w:hyperlink>
      <w:r>
        <w:rPr>
          <w:rFonts w:ascii="David" w:hAnsi="David" w:cs="David"/>
          <w:sz w:val="24"/>
          <w:szCs w:val="24"/>
          <w:rtl/>
        </w:rPr>
        <w:t xml:space="preserve"> </w:t>
      </w:r>
      <w:r>
        <w:rPr>
          <w:rFonts w:ascii="David" w:hAnsi="David" w:cs="David"/>
          <w:b/>
          <w:bCs/>
          <w:sz w:val="24"/>
          <w:szCs w:val="24"/>
          <w:rtl/>
        </w:rPr>
        <w:t>בדר נמירי נ' מדינת ישראל</w:t>
      </w:r>
      <w:r>
        <w:rPr>
          <w:rFonts w:ascii="David" w:hAnsi="David" w:cs="David"/>
          <w:sz w:val="24"/>
          <w:szCs w:val="24"/>
          <w:rtl/>
        </w:rPr>
        <w:t xml:space="preserve">). יתרה מכך, מקום בו שירות המבחן גיבש המלצתו על סמך מצג לפיו הנאשם עובד בחברת אלקטרה ולכן פרנסתו עלולה להיפגע כתוצאה מהרשעתו, והלכה למעשה זהו אינו מצב הדברים כעת, הרי שיש בכך כדי לעקר מעוצמתה של </w:t>
      </w:r>
      <w:r>
        <w:rPr>
          <w:rFonts w:cs="David"/>
          <w:sz w:val="24"/>
          <w:szCs w:val="24"/>
          <w:rtl/>
        </w:rPr>
        <w:t>המלצת שירות המבחן לאי הרשעה</w:t>
      </w:r>
      <w:r>
        <w:rPr>
          <w:rFonts w:ascii="David" w:hAnsi="David" w:cs="David"/>
          <w:sz w:val="24"/>
          <w:szCs w:val="24"/>
          <w:rtl/>
        </w:rPr>
        <w:t xml:space="preserve">. </w:t>
      </w:r>
    </w:p>
    <w:p w14:paraId="19BDC8C9" w14:textId="77777777" w:rsidR="001202B4" w:rsidRDefault="001202B4" w:rsidP="001202B4">
      <w:pPr>
        <w:pStyle w:val="ab"/>
        <w:jc w:val="both"/>
        <w:rPr>
          <w:rFonts w:cs="David"/>
          <w:sz w:val="24"/>
          <w:szCs w:val="24"/>
        </w:rPr>
      </w:pPr>
    </w:p>
    <w:p w14:paraId="20CC8C1B" w14:textId="77777777" w:rsidR="001202B4" w:rsidRDefault="001202B4" w:rsidP="001202B4">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בנסיבות האמורות, טענות הנאשם כי הרשעתו בדין תפגע בפרנסתו הינה בבחינת "תרחיש תיאורטי" שאין להסתפק בו כאשר בוחנים בקשה של נאשם לביטול ביטול הרשעתו. (ראו רע"פ </w:t>
      </w:r>
      <w:hyperlink r:id="rId34" w:history="1">
        <w:r w:rsidR="00712D1F" w:rsidRPr="00712D1F">
          <w:rPr>
            <w:rFonts w:ascii="David" w:hAnsi="David" w:cs="David"/>
            <w:color w:val="0000FF"/>
            <w:sz w:val="24"/>
            <w:szCs w:val="24"/>
            <w:u w:val="single"/>
            <w:rtl/>
          </w:rPr>
          <w:t xml:space="preserve">54/15 </w:t>
        </w:r>
      </w:hyperlink>
      <w:r>
        <w:rPr>
          <w:rFonts w:ascii="David" w:hAnsi="David" w:cs="David"/>
          <w:sz w:val="24"/>
          <w:szCs w:val="24"/>
          <w:rtl/>
        </w:rPr>
        <w:t xml:space="preserve"> </w:t>
      </w:r>
      <w:r>
        <w:rPr>
          <w:rFonts w:ascii="David" w:hAnsi="David" w:cs="David"/>
          <w:b/>
          <w:bCs/>
          <w:sz w:val="24"/>
          <w:szCs w:val="24"/>
          <w:rtl/>
        </w:rPr>
        <w:t>פלוני</w:t>
      </w:r>
      <w:r>
        <w:rPr>
          <w:rFonts w:ascii="David" w:hAnsi="David" w:cs="David"/>
          <w:sz w:val="24"/>
          <w:szCs w:val="24"/>
          <w:rtl/>
        </w:rPr>
        <w:t xml:space="preserve"> </w:t>
      </w:r>
      <w:r>
        <w:rPr>
          <w:rFonts w:ascii="David" w:hAnsi="David" w:cs="David"/>
          <w:b/>
          <w:bCs/>
          <w:sz w:val="24"/>
          <w:szCs w:val="24"/>
          <w:rtl/>
        </w:rPr>
        <w:t>נ'</w:t>
      </w:r>
      <w:r>
        <w:rPr>
          <w:rFonts w:ascii="David" w:hAnsi="David" w:cs="David"/>
          <w:sz w:val="24"/>
          <w:szCs w:val="24"/>
          <w:rtl/>
        </w:rPr>
        <w:t xml:space="preserve"> </w:t>
      </w:r>
      <w:r>
        <w:rPr>
          <w:rFonts w:ascii="David" w:hAnsi="David" w:cs="David"/>
          <w:b/>
          <w:bCs/>
          <w:sz w:val="24"/>
          <w:szCs w:val="24"/>
          <w:rtl/>
        </w:rPr>
        <w:t>מדינת</w:t>
      </w:r>
      <w:r>
        <w:rPr>
          <w:rFonts w:ascii="David" w:hAnsi="David" w:cs="David"/>
          <w:sz w:val="24"/>
          <w:szCs w:val="24"/>
          <w:rtl/>
        </w:rPr>
        <w:t xml:space="preserve"> </w:t>
      </w:r>
      <w:r>
        <w:rPr>
          <w:rFonts w:ascii="David" w:hAnsi="David" w:cs="David"/>
          <w:b/>
          <w:bCs/>
          <w:sz w:val="24"/>
          <w:szCs w:val="24"/>
          <w:rtl/>
        </w:rPr>
        <w:t>ישראל</w:t>
      </w:r>
      <w:r>
        <w:rPr>
          <w:rFonts w:ascii="David" w:hAnsi="David" w:cs="David"/>
          <w:sz w:val="24"/>
          <w:szCs w:val="24"/>
          <w:rtl/>
        </w:rPr>
        <w:t xml:space="preserve">) </w:t>
      </w:r>
    </w:p>
    <w:p w14:paraId="6227AD6A" w14:textId="77777777" w:rsidR="001202B4" w:rsidRDefault="001202B4" w:rsidP="001202B4">
      <w:pPr>
        <w:spacing w:line="360" w:lineRule="auto"/>
        <w:jc w:val="both"/>
        <w:rPr>
          <w:rFonts w:ascii="David" w:hAnsi="David"/>
        </w:rPr>
      </w:pPr>
    </w:p>
    <w:p w14:paraId="2734B1E5" w14:textId="77777777" w:rsidR="001202B4" w:rsidRDefault="001202B4" w:rsidP="001202B4">
      <w:pPr>
        <w:pStyle w:val="ab"/>
        <w:numPr>
          <w:ilvl w:val="0"/>
          <w:numId w:val="2"/>
        </w:numPr>
        <w:spacing w:after="0" w:line="360" w:lineRule="auto"/>
        <w:jc w:val="both"/>
        <w:rPr>
          <w:rFonts w:ascii="David" w:hAnsi="David" w:cs="David"/>
          <w:sz w:val="24"/>
          <w:szCs w:val="24"/>
        </w:rPr>
      </w:pPr>
      <w:r>
        <w:rPr>
          <w:rFonts w:ascii="David" w:hAnsi="David" w:cs="David"/>
          <w:sz w:val="24"/>
          <w:szCs w:val="24"/>
          <w:rtl/>
        </w:rPr>
        <w:t xml:space="preserve">זאת ועוד, הנאשם שלל בפני שירות המבחן את הצורך בהשתלבותו בהליך הטיפולי שהוצע לו, משכך לא מצאתי בנסיבות אלה חשש לפגיעה קונקרטית מוחשית בשיקום הנאשם בעניינו לולא תבוטל הרשעתו בדין. </w:t>
      </w:r>
    </w:p>
    <w:p w14:paraId="2B9977BB" w14:textId="77777777" w:rsidR="001202B4" w:rsidRDefault="001202B4" w:rsidP="001202B4">
      <w:pPr>
        <w:pStyle w:val="ab"/>
        <w:rPr>
          <w:rFonts w:ascii="David" w:hAnsi="David" w:cs="David"/>
          <w:sz w:val="24"/>
          <w:szCs w:val="24"/>
        </w:rPr>
      </w:pPr>
    </w:p>
    <w:p w14:paraId="39931D19" w14:textId="77777777" w:rsidR="001202B4" w:rsidRDefault="001202B4" w:rsidP="001202B4">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בכל הנוגע לחומרת העבירה, הרי שמדובר בשתי עבירות, לא קלות, גם החזקת סם מסוכן וגם גידול סם מסוכן. אין בכך לומר כי לא ייתכנו מקרים בהם ניתן יהיה לבטל הרשעה בעבירות מסוג זה, בייחוד בנסיבות בהן הוכח שההחזקה הייתה לטעמים רפואיים, ושרישיונו של הנאשם להשתמש בקנאביס הוסדר, אך עדיין על הנאשם להציג פגיעה קונקרטית ומוחשית, ובנטל זה לא עמד הנאשם.  </w:t>
      </w:r>
    </w:p>
    <w:p w14:paraId="5BD00B97" w14:textId="77777777" w:rsidR="001202B4" w:rsidRPr="001202B4" w:rsidRDefault="001202B4" w:rsidP="001202B4">
      <w:pPr>
        <w:pStyle w:val="ab"/>
        <w:jc w:val="both"/>
        <w:rPr>
          <w:rFonts w:ascii="David" w:hAnsi="David" w:cs="David"/>
          <w:sz w:val="24"/>
          <w:szCs w:val="24"/>
        </w:rPr>
      </w:pPr>
    </w:p>
    <w:p w14:paraId="575992F2" w14:textId="77777777" w:rsidR="001202B4" w:rsidRDefault="001202B4" w:rsidP="001202B4">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אשר על כן, וגם אם בלב לא קל, אני דוחה את בקשת הנאשם לבטל את הרשעתו.</w:t>
      </w:r>
    </w:p>
    <w:p w14:paraId="226727C1" w14:textId="77777777" w:rsidR="001202B4" w:rsidRPr="001202B4" w:rsidRDefault="001202B4" w:rsidP="001202B4">
      <w:pPr>
        <w:jc w:val="both"/>
        <w:rPr>
          <w:rFonts w:ascii="David" w:eastAsia="Calibri" w:hAnsi="David"/>
          <w:rtl/>
        </w:rPr>
      </w:pPr>
    </w:p>
    <w:p w14:paraId="6A6CE8C8" w14:textId="77777777" w:rsidR="001202B4" w:rsidRDefault="001202B4" w:rsidP="001202B4">
      <w:pPr>
        <w:spacing w:line="360" w:lineRule="auto"/>
        <w:jc w:val="both"/>
        <w:rPr>
          <w:rFonts w:ascii="David" w:hAnsi="David"/>
          <w:b/>
          <w:bCs/>
          <w:u w:val="single"/>
          <w:rtl/>
        </w:rPr>
      </w:pPr>
      <w:r>
        <w:rPr>
          <w:rFonts w:ascii="David" w:hAnsi="David"/>
          <w:b/>
          <w:bCs/>
          <w:u w:val="single"/>
          <w:rtl/>
        </w:rPr>
        <w:t>קביעת מתחם העונש ההולם</w:t>
      </w:r>
    </w:p>
    <w:p w14:paraId="6F2B4068" w14:textId="77777777" w:rsidR="001202B4" w:rsidRPr="001202B4" w:rsidRDefault="001202B4" w:rsidP="001202B4">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בקביעת מתחם העונש ההולם על בית המשפט להתחשב בערכים המוגנים, במידת הפגיעה בהם, בענישה הנוהגת ובנסיבות הקשורות בביצוע העבירה.</w:t>
      </w:r>
    </w:p>
    <w:p w14:paraId="6952CA5E" w14:textId="77777777" w:rsidR="001202B4" w:rsidRDefault="001202B4" w:rsidP="001202B4">
      <w:pPr>
        <w:spacing w:line="360" w:lineRule="auto"/>
        <w:jc w:val="both"/>
        <w:rPr>
          <w:rFonts w:ascii="David" w:hAnsi="David"/>
        </w:rPr>
      </w:pPr>
    </w:p>
    <w:p w14:paraId="282A6A44" w14:textId="77777777" w:rsidR="001202B4" w:rsidRDefault="001202B4" w:rsidP="001202B4">
      <w:pPr>
        <w:spacing w:line="360" w:lineRule="auto"/>
        <w:jc w:val="both"/>
        <w:rPr>
          <w:rFonts w:ascii="David" w:hAnsi="David"/>
          <w:u w:val="single"/>
          <w:rtl/>
        </w:rPr>
      </w:pPr>
      <w:r>
        <w:rPr>
          <w:rFonts w:ascii="David" w:hAnsi="David"/>
          <w:u w:val="single"/>
          <w:rtl/>
        </w:rPr>
        <w:t>הערכים המוגנים ומידת הפגיעה בהם</w:t>
      </w:r>
    </w:p>
    <w:p w14:paraId="7E3B7EAD" w14:textId="77777777" w:rsidR="001202B4" w:rsidRDefault="001202B4" w:rsidP="001202B4">
      <w:pPr>
        <w:spacing w:line="360" w:lineRule="auto"/>
        <w:jc w:val="both"/>
        <w:rPr>
          <w:rFonts w:ascii="David" w:hAnsi="David"/>
          <w:u w:val="single"/>
          <w:rtl/>
        </w:rPr>
      </w:pPr>
    </w:p>
    <w:p w14:paraId="4B77BA18" w14:textId="77777777" w:rsidR="001202B4" w:rsidRPr="001202B4" w:rsidRDefault="001202B4" w:rsidP="001202B4">
      <w:pPr>
        <w:pStyle w:val="ab"/>
        <w:numPr>
          <w:ilvl w:val="0"/>
          <w:numId w:val="2"/>
        </w:numPr>
        <w:spacing w:line="360" w:lineRule="auto"/>
        <w:jc w:val="both"/>
        <w:rPr>
          <w:rtl/>
        </w:rPr>
      </w:pPr>
      <w:r>
        <w:rPr>
          <w:rFonts w:ascii="David" w:hAnsi="David" w:cs="David"/>
          <w:sz w:val="24"/>
          <w:szCs w:val="24"/>
          <w:rtl/>
        </w:rPr>
        <w:t xml:space="preserve">הערך המוגן הינו ההגנה מפני הנזקים הישירים והעקיפים אשר נגרמים לחברה בכללותה עקב השימוש בסמים. </w:t>
      </w:r>
      <w:r>
        <w:rPr>
          <w:rFonts w:cs="David"/>
          <w:sz w:val="24"/>
          <w:szCs w:val="24"/>
          <w:rtl/>
        </w:rPr>
        <w:t xml:space="preserve">שימוש ממושך בסם מסוכן עלול לגרום לפגיעה גופנית ונפשית של המשתמש בו, כזו שתצריך טיפול רפואי שעלותו נופלת על החברה. </w:t>
      </w:r>
      <w:r>
        <w:rPr>
          <w:rFonts w:ascii="David" w:hAnsi="David" w:cs="David"/>
          <w:sz w:val="24"/>
          <w:szCs w:val="24"/>
          <w:rtl/>
        </w:rPr>
        <w:t xml:space="preserve">על הצורך  להילחם בנגע הסמים, עמד בית המשפט העליון לא אחת פסיקתו, </w:t>
      </w:r>
      <w:r>
        <w:rPr>
          <w:rFonts w:ascii="David" w:hAnsi="David" w:cs="David"/>
          <w:b/>
          <w:sz w:val="24"/>
          <w:szCs w:val="24"/>
          <w:rtl/>
        </w:rPr>
        <w:t>ובין השאר ב</w:t>
      </w:r>
      <w:hyperlink r:id="rId35" w:history="1">
        <w:r w:rsidR="00D56B14" w:rsidRPr="00D56B14">
          <w:rPr>
            <w:rFonts w:ascii="David" w:hAnsi="David" w:cs="David"/>
            <w:b/>
            <w:color w:val="0000FF"/>
            <w:sz w:val="24"/>
            <w:szCs w:val="24"/>
            <w:u w:val="single"/>
            <w:rtl/>
          </w:rPr>
          <w:t>ע"פ 170/07</w:t>
        </w:r>
      </w:hyperlink>
      <w:r>
        <w:rPr>
          <w:rFonts w:ascii="David" w:hAnsi="David" w:cs="David"/>
          <w:b/>
          <w:sz w:val="24"/>
          <w:szCs w:val="24"/>
          <w:rtl/>
        </w:rPr>
        <w:t xml:space="preserve"> </w:t>
      </w:r>
      <w:r>
        <w:rPr>
          <w:rFonts w:ascii="David" w:hAnsi="David" w:cs="David"/>
          <w:bCs/>
          <w:sz w:val="24"/>
          <w:szCs w:val="24"/>
          <w:rtl/>
        </w:rPr>
        <w:t>מטיס נ' מדינת ישראל</w:t>
      </w:r>
      <w:r>
        <w:rPr>
          <w:rFonts w:ascii="David" w:hAnsi="David" w:cs="David"/>
          <w:b/>
          <w:sz w:val="24"/>
          <w:szCs w:val="24"/>
          <w:rtl/>
        </w:rPr>
        <w:t xml:space="preserve"> ביחס שימוש עצמי בסמים מסוג קנאביס וחשיש:</w:t>
      </w:r>
    </w:p>
    <w:p w14:paraId="4B2AFF50" w14:textId="77777777" w:rsidR="001202B4" w:rsidRDefault="001202B4" w:rsidP="001202B4">
      <w:pPr>
        <w:pStyle w:val="a"/>
        <w:numPr>
          <w:ilvl w:val="0"/>
          <w:numId w:val="0"/>
        </w:numPr>
        <w:tabs>
          <w:tab w:val="left" w:pos="720"/>
        </w:tabs>
        <w:ind w:left="1440"/>
        <w:jc w:val="both"/>
        <w:rPr>
          <w:bCs/>
        </w:rPr>
      </w:pPr>
      <w:r>
        <w:rPr>
          <w:rFonts w:hint="cs"/>
          <w:b/>
          <w:rtl/>
        </w:rPr>
        <w:t>"</w:t>
      </w:r>
      <w:r>
        <w:rPr>
          <w:rFonts w:hint="cs"/>
          <w:bCs/>
          <w:rt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r>
        <w:rPr>
          <w:rFonts w:hint="cs"/>
          <w:b/>
          <w:rtl/>
        </w:rPr>
        <w:t>".</w:t>
      </w:r>
    </w:p>
    <w:p w14:paraId="4B917CAC" w14:textId="77777777" w:rsidR="001202B4" w:rsidRDefault="001202B4" w:rsidP="001202B4">
      <w:pPr>
        <w:pStyle w:val="ab"/>
        <w:numPr>
          <w:ilvl w:val="0"/>
          <w:numId w:val="2"/>
        </w:numPr>
        <w:spacing w:line="360" w:lineRule="auto"/>
        <w:jc w:val="both"/>
        <w:rPr>
          <w:rFonts w:ascii="David" w:hAnsi="David" w:cs="David"/>
          <w:sz w:val="24"/>
          <w:szCs w:val="24"/>
          <w:rtl/>
        </w:rPr>
      </w:pPr>
      <w:r>
        <w:rPr>
          <w:rFonts w:ascii="David" w:hAnsi="David" w:cs="David"/>
          <w:sz w:val="24"/>
          <w:szCs w:val="24"/>
          <w:rtl/>
        </w:rPr>
        <w:t xml:space="preserve">לאחרונה, בית המשפט העליון שב והדגיש כי קנבוס היה ועודנו נותר סם מסוכן. ראו למשל </w:t>
      </w:r>
      <w:hyperlink r:id="rId36" w:history="1">
        <w:r w:rsidR="00D56B14" w:rsidRPr="00D56B14">
          <w:rPr>
            <w:rFonts w:ascii="David" w:hAnsi="David" w:cs="David"/>
            <w:color w:val="0000FF"/>
            <w:sz w:val="24"/>
            <w:szCs w:val="24"/>
            <w:u w:val="single"/>
            <w:rtl/>
          </w:rPr>
          <w:t>רע"פ 174/21</w:t>
        </w:r>
      </w:hyperlink>
      <w:r>
        <w:rPr>
          <w:rFonts w:ascii="David" w:hAnsi="David" w:cs="David"/>
          <w:sz w:val="24"/>
          <w:szCs w:val="24"/>
          <w:rtl/>
        </w:rPr>
        <w:t xml:space="preserve"> </w:t>
      </w:r>
      <w:r>
        <w:rPr>
          <w:rFonts w:ascii="David" w:hAnsi="David" w:cs="David"/>
          <w:b/>
          <w:bCs/>
          <w:sz w:val="24"/>
          <w:szCs w:val="24"/>
          <w:rtl/>
        </w:rPr>
        <w:t>סויסה נ' מדינת ישראל</w:t>
      </w:r>
      <w:r>
        <w:rPr>
          <w:rFonts w:ascii="David" w:hAnsi="David" w:cs="David"/>
          <w:sz w:val="24"/>
          <w:szCs w:val="24"/>
          <w:rtl/>
        </w:rPr>
        <w:t xml:space="preserve">, וכי ככלל מגמת הענישה בעבירות סמים, היא של החמרה והרתעה. ראו </w:t>
      </w:r>
      <w:hyperlink r:id="rId37" w:history="1">
        <w:r w:rsidR="00D56B14" w:rsidRPr="00D56B14">
          <w:rPr>
            <w:rFonts w:ascii="David" w:hAnsi="David" w:cs="David"/>
            <w:color w:val="0000FF"/>
            <w:sz w:val="24"/>
            <w:szCs w:val="24"/>
            <w:u w:val="single"/>
            <w:rtl/>
          </w:rPr>
          <w:t>ע"פ 8048/19</w:t>
        </w:r>
      </w:hyperlink>
      <w:r>
        <w:rPr>
          <w:rFonts w:ascii="David" w:hAnsi="David" w:cs="David"/>
          <w:sz w:val="24"/>
          <w:szCs w:val="24"/>
          <w:rtl/>
        </w:rPr>
        <w:t xml:space="preserve"> </w:t>
      </w:r>
      <w:r>
        <w:rPr>
          <w:rFonts w:ascii="David" w:hAnsi="David" w:cs="David"/>
          <w:b/>
          <w:bCs/>
          <w:sz w:val="24"/>
          <w:szCs w:val="24"/>
          <w:rtl/>
        </w:rPr>
        <w:t>פיצ'חדזה נ' מדינת ישראל</w:t>
      </w:r>
      <w:r>
        <w:rPr>
          <w:rFonts w:ascii="David" w:hAnsi="David" w:cs="David"/>
          <w:sz w:val="24"/>
          <w:szCs w:val="24"/>
          <w:rtl/>
        </w:rPr>
        <w:t xml:space="preserve">. משכל זה נאמר, וגם אם סם הקנבוס הינו סם מסוכן, וודאי הוא אינו מן המסוכנים שבהם.  </w:t>
      </w:r>
    </w:p>
    <w:p w14:paraId="2768BFCE" w14:textId="77777777" w:rsidR="001202B4" w:rsidRDefault="001202B4" w:rsidP="001202B4">
      <w:pPr>
        <w:spacing w:line="360" w:lineRule="auto"/>
        <w:jc w:val="both"/>
        <w:rPr>
          <w:rFonts w:ascii="David" w:hAnsi="David"/>
          <w:u w:val="single"/>
          <w:rtl/>
        </w:rPr>
      </w:pPr>
      <w:r>
        <w:rPr>
          <w:rFonts w:ascii="David" w:hAnsi="David"/>
          <w:u w:val="single"/>
          <w:rtl/>
        </w:rPr>
        <w:t>מדיניות הענישה הנוהגת</w:t>
      </w:r>
    </w:p>
    <w:p w14:paraId="78931C32" w14:textId="77777777" w:rsidR="001202B4" w:rsidRDefault="001202B4" w:rsidP="001202B4">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מדיניות הענישה הנהוגה בעבירות אלה מלמדת כי המתחם נע בין מאסר על תנאי למספר חודשי מאסר בפועל שירוצו בעבודות שירות. </w:t>
      </w:r>
    </w:p>
    <w:p w14:paraId="3EADAC9D" w14:textId="77777777" w:rsidR="001202B4" w:rsidRDefault="001202B4" w:rsidP="001202B4">
      <w:pPr>
        <w:pStyle w:val="ab"/>
        <w:spacing w:after="0" w:line="360" w:lineRule="auto"/>
        <w:ind w:left="360"/>
        <w:jc w:val="both"/>
        <w:rPr>
          <w:rFonts w:ascii="David" w:hAnsi="David" w:cs="David"/>
          <w:sz w:val="24"/>
          <w:szCs w:val="24"/>
        </w:rPr>
      </w:pPr>
    </w:p>
    <w:p w14:paraId="27C3E604" w14:textId="77777777" w:rsidR="001202B4" w:rsidRDefault="00D56B14" w:rsidP="001202B4">
      <w:pPr>
        <w:pStyle w:val="ab"/>
        <w:numPr>
          <w:ilvl w:val="1"/>
          <w:numId w:val="2"/>
        </w:numPr>
        <w:spacing w:after="0" w:line="360" w:lineRule="auto"/>
        <w:jc w:val="both"/>
        <w:rPr>
          <w:rFonts w:ascii="David" w:hAnsi="David" w:cs="David"/>
          <w:sz w:val="24"/>
          <w:szCs w:val="24"/>
          <w:rtl/>
        </w:rPr>
      </w:pPr>
      <w:hyperlink r:id="rId38" w:history="1">
        <w:r w:rsidRPr="00D56B14">
          <w:rPr>
            <w:rFonts w:ascii="David" w:hAnsi="David" w:cs="David"/>
            <w:color w:val="0000FF"/>
            <w:sz w:val="24"/>
            <w:szCs w:val="24"/>
            <w:u w:val="single"/>
            <w:rtl/>
          </w:rPr>
          <w:t>רע"פ 5261/18</w:t>
        </w:r>
      </w:hyperlink>
      <w:r w:rsidR="001202B4">
        <w:rPr>
          <w:rFonts w:ascii="David" w:hAnsi="David" w:cs="David"/>
          <w:sz w:val="24"/>
          <w:szCs w:val="24"/>
          <w:rtl/>
        </w:rPr>
        <w:t xml:space="preserve"> </w:t>
      </w:r>
      <w:r w:rsidR="001202B4">
        <w:rPr>
          <w:rFonts w:ascii="David" w:hAnsi="David" w:cs="David"/>
          <w:b/>
          <w:bCs/>
          <w:sz w:val="24"/>
          <w:szCs w:val="24"/>
          <w:rtl/>
        </w:rPr>
        <w:t>דוידוף נ' מדינת ישראל</w:t>
      </w:r>
      <w:r w:rsidR="001202B4">
        <w:rPr>
          <w:rFonts w:ascii="David" w:hAnsi="David" w:cs="David"/>
          <w:sz w:val="24"/>
          <w:szCs w:val="24"/>
          <w:rtl/>
        </w:rPr>
        <w:t xml:space="preserve">, שם בית המשפט העליון דחה בקשה רשות ערעור של הנאשם לביטול הרשעתו, לאחר שהורשע על ידי בית המשפט השלום בתל אביב בעבירה של גידול סמים מסוכנים – 16 שתילים במשקל כולל של 1,900 גרם ובעבירת החזקה סם מסוג קנבוס במשקל של 127 גרם והוטלו עליו 4 חודשי מאסר על תנאי ו- 150 שעות של"צ. </w:t>
      </w:r>
    </w:p>
    <w:p w14:paraId="215BFF45" w14:textId="77777777" w:rsidR="001202B4" w:rsidRDefault="001202B4" w:rsidP="001202B4">
      <w:pPr>
        <w:pStyle w:val="ab"/>
        <w:spacing w:after="0" w:line="360" w:lineRule="auto"/>
        <w:ind w:left="785"/>
        <w:jc w:val="both"/>
        <w:rPr>
          <w:rFonts w:ascii="David" w:hAnsi="David" w:cs="David"/>
          <w:sz w:val="24"/>
          <w:szCs w:val="24"/>
        </w:rPr>
      </w:pPr>
    </w:p>
    <w:p w14:paraId="615CCF68" w14:textId="77777777" w:rsidR="001202B4" w:rsidRDefault="00D56B14" w:rsidP="001202B4">
      <w:pPr>
        <w:pStyle w:val="ab"/>
        <w:numPr>
          <w:ilvl w:val="1"/>
          <w:numId w:val="2"/>
        </w:numPr>
        <w:spacing w:after="0" w:line="360" w:lineRule="auto"/>
        <w:jc w:val="both"/>
        <w:rPr>
          <w:rFonts w:ascii="David" w:hAnsi="David" w:cs="David"/>
          <w:sz w:val="24"/>
          <w:szCs w:val="24"/>
        </w:rPr>
      </w:pPr>
      <w:hyperlink r:id="rId39" w:history="1">
        <w:r w:rsidRPr="00D56B14">
          <w:rPr>
            <w:rFonts w:ascii="David" w:hAnsi="David" w:cs="David"/>
            <w:color w:val="0000FF"/>
            <w:sz w:val="24"/>
            <w:szCs w:val="24"/>
            <w:u w:val="single"/>
            <w:rtl/>
          </w:rPr>
          <w:t>רע"פ 5018/18</w:t>
        </w:r>
      </w:hyperlink>
      <w:r w:rsidR="001202B4">
        <w:rPr>
          <w:rFonts w:ascii="David" w:hAnsi="David" w:cs="David"/>
          <w:sz w:val="24"/>
          <w:szCs w:val="24"/>
          <w:rtl/>
        </w:rPr>
        <w:t xml:space="preserve"> </w:t>
      </w:r>
      <w:r w:rsidR="001202B4">
        <w:rPr>
          <w:rFonts w:ascii="David" w:hAnsi="David" w:cs="David"/>
          <w:b/>
          <w:bCs/>
          <w:sz w:val="24"/>
          <w:szCs w:val="24"/>
          <w:rtl/>
        </w:rPr>
        <w:t>עומר בוזגלו נ' מדינת ישראל</w:t>
      </w:r>
      <w:r w:rsidR="001202B4">
        <w:rPr>
          <w:rFonts w:ascii="David" w:hAnsi="David" w:cs="David"/>
          <w:sz w:val="24"/>
          <w:szCs w:val="24"/>
          <w:rtl/>
        </w:rPr>
        <w:t xml:space="preserve">, בית המשפט העליון דחה בקשת רשות ערעור של הנאשם לביטול הרשעתו, לאחר שהורשע על ידי בית המשפט השלום באילת בעבירות של גידול סמים בצוותא כשגידלו בדירתם במעבדה משוכללת שתילים במשקל של 545 גרם לערך ובהחזקה בסמים לשימוש עצמי משקל של 3.6 גרם לערך ובעבירה נוספת של הכשלת שוטרים והוטלו עליו 3 חודשי עבודות שירות ושמונה חודשי מאסר על תנאי. </w:t>
      </w:r>
    </w:p>
    <w:p w14:paraId="408DC4B7" w14:textId="77777777" w:rsidR="001202B4" w:rsidRDefault="001202B4" w:rsidP="001202B4">
      <w:pPr>
        <w:pStyle w:val="ab"/>
        <w:rPr>
          <w:rFonts w:ascii="David" w:hAnsi="David" w:cs="David"/>
          <w:sz w:val="24"/>
          <w:szCs w:val="24"/>
        </w:rPr>
      </w:pPr>
    </w:p>
    <w:p w14:paraId="19C06498" w14:textId="77777777" w:rsidR="001202B4" w:rsidRDefault="00D56B14" w:rsidP="001202B4">
      <w:pPr>
        <w:pStyle w:val="ab"/>
        <w:numPr>
          <w:ilvl w:val="1"/>
          <w:numId w:val="2"/>
        </w:numPr>
        <w:spacing w:after="0" w:line="360" w:lineRule="auto"/>
        <w:jc w:val="both"/>
        <w:rPr>
          <w:rFonts w:ascii="David" w:hAnsi="David" w:cs="David"/>
          <w:sz w:val="24"/>
          <w:szCs w:val="24"/>
          <w:rtl/>
        </w:rPr>
      </w:pPr>
      <w:hyperlink r:id="rId40" w:history="1">
        <w:r w:rsidRPr="00D56B14">
          <w:rPr>
            <w:rFonts w:ascii="David" w:hAnsi="David" w:cs="David"/>
            <w:color w:val="0000FF"/>
            <w:sz w:val="24"/>
            <w:szCs w:val="24"/>
            <w:u w:val="single"/>
            <w:rtl/>
          </w:rPr>
          <w:t>ת"פ (שלום ת"א) 57089-02-19</w:t>
        </w:r>
      </w:hyperlink>
      <w:r w:rsidR="001202B4">
        <w:rPr>
          <w:rFonts w:ascii="David" w:hAnsi="David" w:cs="David"/>
          <w:sz w:val="24"/>
          <w:szCs w:val="24"/>
          <w:rtl/>
        </w:rPr>
        <w:t xml:space="preserve"> </w:t>
      </w:r>
      <w:r w:rsidR="001202B4">
        <w:rPr>
          <w:rFonts w:ascii="David" w:hAnsi="David" w:cs="David"/>
          <w:b/>
          <w:bCs/>
          <w:sz w:val="24"/>
          <w:szCs w:val="24"/>
          <w:rtl/>
        </w:rPr>
        <w:t>מדינת ישראל נ' גיא פנקינסקי</w:t>
      </w:r>
      <w:r w:rsidR="001202B4">
        <w:rPr>
          <w:rFonts w:ascii="David" w:hAnsi="David" w:cs="David"/>
          <w:sz w:val="24"/>
          <w:szCs w:val="24"/>
          <w:rtl/>
        </w:rPr>
        <w:t xml:space="preserve"> – שם הורשע הנדסאי מכונות בעבירה של גידול סמים מסוכנים מסוג קנבוס במשקל של 2.1 ק"ג ובעבירה של החזקת סם מסוכן מסוג קנבוס במשקל של 26 גרם לערך והוטל עליו לאחר שבית המשפט דחה את בקשתו לביטול הרשעתו, 3 חודשי מאסר על תנאי לצד עונשים נלווים. </w:t>
      </w:r>
    </w:p>
    <w:p w14:paraId="04DFD2F8" w14:textId="77777777" w:rsidR="001202B4" w:rsidRDefault="001202B4" w:rsidP="001202B4">
      <w:pPr>
        <w:pStyle w:val="ab"/>
        <w:rPr>
          <w:rFonts w:ascii="David" w:hAnsi="David" w:cs="David"/>
          <w:sz w:val="24"/>
          <w:szCs w:val="24"/>
        </w:rPr>
      </w:pPr>
    </w:p>
    <w:p w14:paraId="19AD2CF8" w14:textId="77777777" w:rsidR="001202B4" w:rsidRDefault="001202B4" w:rsidP="001202B4">
      <w:pPr>
        <w:pStyle w:val="ab"/>
        <w:spacing w:after="0" w:line="360" w:lineRule="auto"/>
        <w:ind w:left="785"/>
        <w:jc w:val="both"/>
        <w:rPr>
          <w:rFonts w:ascii="David" w:hAnsi="David" w:cs="David"/>
          <w:sz w:val="24"/>
          <w:szCs w:val="24"/>
          <w:rtl/>
        </w:rPr>
      </w:pPr>
    </w:p>
    <w:p w14:paraId="23A2D467" w14:textId="77777777" w:rsidR="001202B4" w:rsidRDefault="001202B4" w:rsidP="001202B4">
      <w:pPr>
        <w:pStyle w:val="ab"/>
        <w:spacing w:after="0" w:line="360" w:lineRule="auto"/>
        <w:ind w:left="785"/>
        <w:jc w:val="both"/>
        <w:rPr>
          <w:rFonts w:ascii="David" w:hAnsi="David" w:cs="David"/>
          <w:sz w:val="24"/>
          <w:szCs w:val="24"/>
        </w:rPr>
      </w:pPr>
    </w:p>
    <w:p w14:paraId="38BB30A3" w14:textId="77777777" w:rsidR="001202B4" w:rsidRPr="001202B4" w:rsidRDefault="001202B4" w:rsidP="001202B4">
      <w:pPr>
        <w:spacing w:line="360" w:lineRule="auto"/>
        <w:jc w:val="both"/>
        <w:rPr>
          <w:rFonts w:ascii="David" w:eastAsia="Calibri" w:hAnsi="David"/>
          <w:u w:val="single"/>
        </w:rPr>
      </w:pPr>
      <w:r>
        <w:rPr>
          <w:rFonts w:ascii="David" w:hAnsi="David"/>
          <w:u w:val="single"/>
          <w:rtl/>
        </w:rPr>
        <w:t>הנסיבות הקשורות בביצוע העבירה</w:t>
      </w:r>
    </w:p>
    <w:p w14:paraId="0045A00E" w14:textId="77777777" w:rsidR="001202B4" w:rsidRDefault="001202B4" w:rsidP="001202B4">
      <w:pPr>
        <w:pStyle w:val="ab"/>
        <w:numPr>
          <w:ilvl w:val="0"/>
          <w:numId w:val="2"/>
        </w:numPr>
        <w:spacing w:line="360" w:lineRule="auto"/>
        <w:jc w:val="both"/>
        <w:rPr>
          <w:rFonts w:ascii="David" w:hAnsi="David" w:cs="David"/>
          <w:sz w:val="24"/>
          <w:szCs w:val="24"/>
          <w:u w:val="single"/>
          <w:rtl/>
        </w:rPr>
      </w:pPr>
      <w:r>
        <w:rPr>
          <w:rFonts w:ascii="David" w:hAnsi="David" w:cs="David"/>
          <w:sz w:val="24"/>
          <w:szCs w:val="24"/>
          <w:rtl/>
        </w:rPr>
        <w:t xml:space="preserve">במסגרת בחינת הנסיבות הקשורות בביצוע העבירה בהתאם לסעיף </w:t>
      </w:r>
      <w:hyperlink r:id="rId41" w:history="1">
        <w:r w:rsidR="00C75575" w:rsidRPr="00C75575">
          <w:rPr>
            <w:rStyle w:val="Hyperlink"/>
            <w:rFonts w:ascii="David" w:hAnsi="David" w:cs="David"/>
            <w:sz w:val="24"/>
            <w:szCs w:val="24"/>
            <w:rtl/>
          </w:rPr>
          <w:t>40 ט'</w:t>
        </w:r>
      </w:hyperlink>
      <w:r>
        <w:rPr>
          <w:rFonts w:ascii="David" w:hAnsi="David" w:cs="David"/>
          <w:sz w:val="24"/>
          <w:szCs w:val="24"/>
          <w:rtl/>
        </w:rPr>
        <w:t xml:space="preserve"> לחוק, נתתי דעתי לכך שמדובר בכמות סם קטנה, במספר שתילים נמוך, בגידול ביתי שאינו במעבדה עם ציוד משוכלל שמעיד על כוונת הפצה מסחרית, ואף נתתי דעתי לכך שהעבירות בוצעו, כפי שעולה מהתסקיר, לצורך שימוש עצמי על רקע כאבי גב כרוניים ומגרנות מהם סובל הנאשם. </w:t>
      </w:r>
    </w:p>
    <w:p w14:paraId="0A19ED77" w14:textId="77777777" w:rsidR="001202B4" w:rsidRDefault="001202B4" w:rsidP="001202B4">
      <w:pPr>
        <w:pStyle w:val="ab"/>
        <w:spacing w:line="360" w:lineRule="auto"/>
        <w:ind w:left="360"/>
        <w:jc w:val="both"/>
        <w:rPr>
          <w:rFonts w:ascii="David" w:hAnsi="David" w:cs="David"/>
          <w:sz w:val="24"/>
          <w:szCs w:val="24"/>
          <w:u w:val="single"/>
        </w:rPr>
      </w:pPr>
    </w:p>
    <w:p w14:paraId="1FB7A070" w14:textId="77777777" w:rsidR="001202B4" w:rsidRDefault="001202B4" w:rsidP="001202B4">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לפיכך, אני קובע כי המתחם נע בין מאסר על תנאי למספר חודשי מאסר בפועל שירוצו בעבודות שירות, בצירוף ענישה נלווית. </w:t>
      </w:r>
    </w:p>
    <w:p w14:paraId="62929F00" w14:textId="77777777" w:rsidR="001202B4" w:rsidRPr="001202B4" w:rsidRDefault="001202B4" w:rsidP="001202B4">
      <w:pPr>
        <w:pStyle w:val="ab"/>
        <w:jc w:val="both"/>
        <w:rPr>
          <w:rFonts w:ascii="David" w:hAnsi="David" w:cs="David"/>
          <w:sz w:val="24"/>
          <w:szCs w:val="24"/>
          <w:u w:val="single"/>
        </w:rPr>
      </w:pPr>
    </w:p>
    <w:p w14:paraId="2DEAA80B" w14:textId="77777777" w:rsidR="001202B4" w:rsidRDefault="001202B4" w:rsidP="001202B4">
      <w:pPr>
        <w:spacing w:line="360" w:lineRule="auto"/>
        <w:jc w:val="both"/>
        <w:rPr>
          <w:rFonts w:ascii="David" w:hAnsi="David"/>
          <w:bCs/>
          <w:u w:val="single"/>
          <w:rtl/>
        </w:rPr>
      </w:pPr>
      <w:r>
        <w:rPr>
          <w:rFonts w:ascii="David" w:hAnsi="David"/>
          <w:bCs/>
          <w:u w:val="single"/>
          <w:rtl/>
        </w:rPr>
        <w:t>גזירת העונש המתאים לנאשם</w:t>
      </w:r>
    </w:p>
    <w:p w14:paraId="1E3D727C" w14:textId="77777777" w:rsidR="001202B4" w:rsidRDefault="001202B4" w:rsidP="001202B4">
      <w:pPr>
        <w:pStyle w:val="ab"/>
        <w:spacing w:line="360" w:lineRule="auto"/>
        <w:ind w:left="360"/>
        <w:jc w:val="both"/>
        <w:rPr>
          <w:rFonts w:ascii="David" w:hAnsi="David" w:cs="David"/>
          <w:sz w:val="24"/>
          <w:szCs w:val="24"/>
        </w:rPr>
      </w:pPr>
    </w:p>
    <w:p w14:paraId="365DB346" w14:textId="77777777" w:rsidR="001202B4" w:rsidRDefault="001202B4" w:rsidP="001202B4">
      <w:pPr>
        <w:pStyle w:val="ab"/>
        <w:numPr>
          <w:ilvl w:val="0"/>
          <w:numId w:val="2"/>
        </w:numPr>
        <w:spacing w:line="360" w:lineRule="auto"/>
        <w:jc w:val="both"/>
        <w:rPr>
          <w:rFonts w:ascii="David" w:hAnsi="David" w:cs="David"/>
          <w:sz w:val="24"/>
          <w:szCs w:val="24"/>
          <w:rtl/>
        </w:rPr>
      </w:pPr>
      <w:r>
        <w:rPr>
          <w:rFonts w:ascii="David" w:hAnsi="David" w:cs="David"/>
          <w:sz w:val="24"/>
          <w:szCs w:val="24"/>
          <w:rtl/>
        </w:rPr>
        <w:t xml:space="preserve">בגזירת העונש המתאים לנאשם, בגדרי מתחם העונש ההולם, יש להתחשב בנסיבות שאינן קשורות בביצוע העבירה. </w:t>
      </w:r>
    </w:p>
    <w:p w14:paraId="43B34F0F" w14:textId="77777777" w:rsidR="001202B4" w:rsidRDefault="001202B4" w:rsidP="001202B4">
      <w:pPr>
        <w:pStyle w:val="ab"/>
        <w:spacing w:line="360" w:lineRule="auto"/>
        <w:ind w:left="360"/>
        <w:jc w:val="both"/>
        <w:rPr>
          <w:rFonts w:ascii="David" w:hAnsi="David" w:cs="David"/>
          <w:sz w:val="24"/>
          <w:szCs w:val="24"/>
        </w:rPr>
      </w:pPr>
    </w:p>
    <w:p w14:paraId="50ECC8FE" w14:textId="77777777" w:rsidR="001202B4" w:rsidRDefault="001202B4" w:rsidP="001202B4">
      <w:pPr>
        <w:pStyle w:val="ab"/>
        <w:numPr>
          <w:ilvl w:val="0"/>
          <w:numId w:val="2"/>
        </w:numPr>
        <w:spacing w:line="360" w:lineRule="auto"/>
        <w:jc w:val="both"/>
        <w:rPr>
          <w:rFonts w:ascii="David" w:hAnsi="David" w:cs="David"/>
          <w:sz w:val="24"/>
          <w:szCs w:val="24"/>
        </w:rPr>
      </w:pPr>
      <w:r>
        <w:rPr>
          <w:rFonts w:ascii="David" w:hAnsi="David" w:cs="David"/>
          <w:sz w:val="24"/>
          <w:szCs w:val="24"/>
          <w:rtl/>
        </w:rPr>
        <w:t xml:space="preserve">במסגרת זו מן הראוי לתת את הדעת לכך שמדובר בנאשם נעדר עבר פלילי. הנאשם הודה במיוחס לו ונטל אחריות למעשיו. עוד נתתי דעתי לחלוף הזמן מעת ביצוע העבירות ולכך שהנאשם הסדיר את הרישיון לנטילת קנאביס רפואי. </w:t>
      </w:r>
    </w:p>
    <w:p w14:paraId="26E78A3F" w14:textId="77777777" w:rsidR="001202B4" w:rsidRDefault="001202B4" w:rsidP="001202B4">
      <w:pPr>
        <w:pStyle w:val="ab"/>
        <w:rPr>
          <w:rFonts w:ascii="David" w:hAnsi="David" w:cs="David"/>
          <w:sz w:val="24"/>
          <w:szCs w:val="24"/>
        </w:rPr>
      </w:pPr>
    </w:p>
    <w:p w14:paraId="1BAF61CA" w14:textId="77777777" w:rsidR="001202B4" w:rsidRDefault="001202B4" w:rsidP="001202B4">
      <w:pPr>
        <w:pStyle w:val="ab"/>
        <w:numPr>
          <w:ilvl w:val="0"/>
          <w:numId w:val="2"/>
        </w:numPr>
        <w:spacing w:line="360" w:lineRule="auto"/>
        <w:jc w:val="both"/>
        <w:rPr>
          <w:rFonts w:ascii="David" w:hAnsi="David" w:cs="David"/>
          <w:sz w:val="24"/>
          <w:szCs w:val="24"/>
          <w:u w:val="single"/>
          <w:rtl/>
        </w:rPr>
      </w:pPr>
      <w:r>
        <w:rPr>
          <w:rFonts w:ascii="David" w:hAnsi="David" w:cs="David"/>
          <w:sz w:val="24"/>
          <w:szCs w:val="24"/>
          <w:rtl/>
        </w:rPr>
        <w:t xml:space="preserve">מנגד, הנאשם שלל הצעת שירות המבחן להליך טיפולי בטענה שאין לו צורך בכך. </w:t>
      </w:r>
    </w:p>
    <w:p w14:paraId="32474020" w14:textId="77777777" w:rsidR="001202B4" w:rsidRDefault="001202B4" w:rsidP="001202B4">
      <w:pPr>
        <w:pStyle w:val="ab"/>
        <w:spacing w:line="360" w:lineRule="auto"/>
        <w:ind w:left="360"/>
        <w:jc w:val="both"/>
        <w:rPr>
          <w:rFonts w:ascii="David" w:hAnsi="David" w:cs="David"/>
          <w:sz w:val="24"/>
          <w:szCs w:val="24"/>
        </w:rPr>
      </w:pPr>
    </w:p>
    <w:p w14:paraId="7273D8E0" w14:textId="77777777" w:rsidR="001202B4" w:rsidRDefault="001202B4" w:rsidP="001202B4">
      <w:pPr>
        <w:pStyle w:val="ab"/>
        <w:numPr>
          <w:ilvl w:val="0"/>
          <w:numId w:val="2"/>
        </w:numPr>
        <w:spacing w:line="360" w:lineRule="auto"/>
        <w:jc w:val="both"/>
        <w:rPr>
          <w:rFonts w:ascii="David" w:hAnsi="David" w:cs="David"/>
          <w:sz w:val="24"/>
          <w:szCs w:val="24"/>
          <w:rtl/>
        </w:rPr>
      </w:pPr>
      <w:r>
        <w:rPr>
          <w:rFonts w:ascii="David" w:hAnsi="David" w:cs="David"/>
          <w:sz w:val="24"/>
          <w:szCs w:val="24"/>
          <w:rtl/>
        </w:rPr>
        <w:t xml:space="preserve">באיזון בין השיקולים השונים, סבורני כי יש לגזור על הנאשם עונש בתחתית המתחם. </w:t>
      </w:r>
    </w:p>
    <w:p w14:paraId="6153EDA1" w14:textId="77777777" w:rsidR="001202B4" w:rsidRDefault="001202B4" w:rsidP="001202B4">
      <w:pPr>
        <w:pStyle w:val="ab"/>
        <w:spacing w:line="360" w:lineRule="auto"/>
        <w:ind w:left="360"/>
        <w:jc w:val="both"/>
        <w:rPr>
          <w:rFonts w:ascii="David" w:hAnsi="David" w:cs="David"/>
          <w:sz w:val="24"/>
          <w:szCs w:val="24"/>
        </w:rPr>
      </w:pPr>
    </w:p>
    <w:p w14:paraId="6BD014D3" w14:textId="77777777" w:rsidR="001202B4" w:rsidRDefault="001202B4" w:rsidP="001202B4">
      <w:pPr>
        <w:pStyle w:val="ab"/>
        <w:numPr>
          <w:ilvl w:val="0"/>
          <w:numId w:val="2"/>
        </w:numPr>
        <w:spacing w:line="360" w:lineRule="auto"/>
        <w:jc w:val="both"/>
        <w:rPr>
          <w:rFonts w:ascii="David" w:hAnsi="David" w:cs="David"/>
          <w:sz w:val="24"/>
          <w:szCs w:val="24"/>
        </w:rPr>
      </w:pPr>
      <w:r>
        <w:rPr>
          <w:rFonts w:ascii="David" w:hAnsi="David" w:cs="David"/>
          <w:sz w:val="24"/>
          <w:szCs w:val="24"/>
          <w:rtl/>
        </w:rPr>
        <w:t>אשר על-כן, הריני גוזר על הנאשם את העונשים הבאים:</w:t>
      </w:r>
    </w:p>
    <w:p w14:paraId="28BBCC9A" w14:textId="77777777" w:rsidR="001202B4" w:rsidRDefault="001202B4" w:rsidP="001202B4">
      <w:pPr>
        <w:pStyle w:val="ab"/>
        <w:jc w:val="both"/>
        <w:rPr>
          <w:rFonts w:ascii="David" w:hAnsi="David" w:cs="David"/>
          <w:sz w:val="24"/>
          <w:szCs w:val="24"/>
        </w:rPr>
      </w:pPr>
    </w:p>
    <w:p w14:paraId="47A503CA" w14:textId="77777777" w:rsidR="001202B4" w:rsidRDefault="001202B4" w:rsidP="001202B4">
      <w:pPr>
        <w:pStyle w:val="ab"/>
        <w:numPr>
          <w:ilvl w:val="1"/>
          <w:numId w:val="2"/>
        </w:numPr>
        <w:spacing w:line="360" w:lineRule="auto"/>
        <w:jc w:val="both"/>
        <w:rPr>
          <w:rFonts w:ascii="David" w:hAnsi="David" w:cs="David"/>
          <w:sz w:val="24"/>
          <w:szCs w:val="24"/>
          <w:u w:val="single"/>
          <w:rtl/>
        </w:rPr>
      </w:pPr>
      <w:r>
        <w:rPr>
          <w:rFonts w:ascii="David" w:hAnsi="David" w:cs="David"/>
          <w:sz w:val="24"/>
          <w:szCs w:val="24"/>
          <w:rtl/>
        </w:rPr>
        <w:t xml:space="preserve">צו של"צ בהיקף של 140 שעות בהתאם לתכנית שיכין שירות המבחן בתוך 30 יום מהיום.  </w:t>
      </w:r>
    </w:p>
    <w:p w14:paraId="208F400A" w14:textId="77777777" w:rsidR="001202B4" w:rsidRDefault="001202B4" w:rsidP="001202B4">
      <w:pPr>
        <w:pStyle w:val="ab"/>
        <w:spacing w:line="360" w:lineRule="auto"/>
        <w:ind w:left="785"/>
        <w:jc w:val="both"/>
        <w:rPr>
          <w:rFonts w:ascii="David" w:hAnsi="David" w:cs="David"/>
          <w:sz w:val="24"/>
          <w:szCs w:val="24"/>
          <w:u w:val="single"/>
        </w:rPr>
      </w:pPr>
    </w:p>
    <w:p w14:paraId="32988970" w14:textId="77777777" w:rsidR="001202B4" w:rsidRDefault="001202B4" w:rsidP="001202B4">
      <w:pPr>
        <w:pStyle w:val="ab"/>
        <w:numPr>
          <w:ilvl w:val="1"/>
          <w:numId w:val="2"/>
        </w:numPr>
        <w:spacing w:line="360" w:lineRule="auto"/>
        <w:jc w:val="both"/>
        <w:rPr>
          <w:rFonts w:ascii="David" w:hAnsi="David" w:cs="David"/>
          <w:sz w:val="24"/>
          <w:szCs w:val="24"/>
          <w:u w:val="single"/>
        </w:rPr>
      </w:pPr>
      <w:r>
        <w:rPr>
          <w:rFonts w:ascii="David" w:hAnsi="David" w:cs="David"/>
          <w:sz w:val="24"/>
          <w:szCs w:val="24"/>
          <w:rtl/>
        </w:rPr>
        <w:t xml:space="preserve">מאסר מותנה בן 3 חודשים, זאת למשך שלוש שנים מהיום, והתנאי שהנאשם לא יעבור כל עבירת סמים.  </w:t>
      </w:r>
    </w:p>
    <w:p w14:paraId="20DD644F" w14:textId="77777777" w:rsidR="001202B4" w:rsidRDefault="001202B4" w:rsidP="001202B4">
      <w:pPr>
        <w:pStyle w:val="ab"/>
        <w:jc w:val="both"/>
        <w:rPr>
          <w:rFonts w:ascii="David" w:hAnsi="David" w:cs="David"/>
          <w:sz w:val="24"/>
          <w:szCs w:val="24"/>
          <w:u w:val="single"/>
        </w:rPr>
      </w:pPr>
    </w:p>
    <w:p w14:paraId="685DDD46" w14:textId="77777777" w:rsidR="001202B4" w:rsidRDefault="001202B4" w:rsidP="001202B4">
      <w:pPr>
        <w:pStyle w:val="ab"/>
        <w:numPr>
          <w:ilvl w:val="1"/>
          <w:numId w:val="2"/>
        </w:numPr>
        <w:spacing w:line="360" w:lineRule="auto"/>
        <w:jc w:val="both"/>
        <w:rPr>
          <w:rFonts w:ascii="David" w:hAnsi="David" w:cs="David"/>
          <w:sz w:val="24"/>
          <w:szCs w:val="24"/>
          <w:u w:val="single"/>
          <w:rtl/>
        </w:rPr>
      </w:pPr>
      <w:r>
        <w:rPr>
          <w:rFonts w:ascii="David" w:hAnsi="David" w:cs="David"/>
          <w:sz w:val="24"/>
          <w:szCs w:val="24"/>
          <w:rtl/>
        </w:rPr>
        <w:t>קנס בסך 2,000 ₪ שישולם עד ליום 1.3.23.</w:t>
      </w:r>
    </w:p>
    <w:p w14:paraId="73FEB792" w14:textId="77777777" w:rsidR="001202B4" w:rsidRPr="00D56B14" w:rsidRDefault="00D56B14" w:rsidP="001202B4">
      <w:pPr>
        <w:pStyle w:val="ab"/>
        <w:jc w:val="both"/>
        <w:rPr>
          <w:rFonts w:ascii="David" w:hAnsi="David" w:cs="David"/>
          <w:color w:val="FFFFFF"/>
          <w:sz w:val="2"/>
          <w:szCs w:val="2"/>
          <w:u w:val="single"/>
        </w:rPr>
      </w:pPr>
      <w:r w:rsidRPr="00D56B14">
        <w:rPr>
          <w:rFonts w:ascii="David" w:hAnsi="David" w:cs="David"/>
          <w:color w:val="FFFFFF"/>
          <w:sz w:val="2"/>
          <w:szCs w:val="2"/>
          <w:u w:val="single"/>
          <w:rtl/>
        </w:rPr>
        <w:t>5129371</w:t>
      </w:r>
    </w:p>
    <w:p w14:paraId="0DD54085" w14:textId="77777777" w:rsidR="001202B4" w:rsidRPr="00274AA6" w:rsidRDefault="00D56B14" w:rsidP="001202B4">
      <w:pPr>
        <w:spacing w:line="360" w:lineRule="auto"/>
        <w:jc w:val="both"/>
        <w:rPr>
          <w:rFonts w:ascii="David" w:hAnsi="David"/>
          <w:b/>
          <w:bCs/>
          <w:rtl/>
        </w:rPr>
      </w:pPr>
      <w:r w:rsidRPr="00D56B14">
        <w:rPr>
          <w:rFonts w:ascii="David" w:hAnsi="David"/>
          <w:b/>
          <w:bCs/>
          <w:color w:val="FFFFFF"/>
          <w:sz w:val="2"/>
          <w:szCs w:val="2"/>
          <w:rtl/>
        </w:rPr>
        <w:t>54678313</w:t>
      </w:r>
      <w:r w:rsidR="001202B4" w:rsidRPr="00274AA6">
        <w:rPr>
          <w:rFonts w:ascii="David" w:hAnsi="David"/>
          <w:b/>
          <w:bCs/>
          <w:rtl/>
        </w:rPr>
        <w:t xml:space="preserve">זכות ערעור כדין. </w:t>
      </w:r>
    </w:p>
    <w:p w14:paraId="4918F81F" w14:textId="77777777" w:rsidR="001202B4" w:rsidRDefault="001202B4" w:rsidP="001202B4">
      <w:pPr>
        <w:jc w:val="both"/>
        <w:rPr>
          <w:rFonts w:ascii="David" w:hAnsi="David"/>
        </w:rPr>
      </w:pPr>
    </w:p>
    <w:p w14:paraId="5DF393E1" w14:textId="77777777" w:rsidR="001202B4" w:rsidRPr="000F2247" w:rsidRDefault="00D56B14" w:rsidP="001202B4">
      <w:pPr>
        <w:rPr>
          <w:rFonts w:ascii="Arial" w:hAnsi="Arial"/>
          <w:b/>
          <w:bCs/>
          <w:sz w:val="26"/>
          <w:szCs w:val="26"/>
          <w:rtl/>
        </w:rPr>
      </w:pPr>
      <w:bookmarkStart w:id="8" w:name="Nitan"/>
      <w:r>
        <w:rPr>
          <w:rFonts w:ascii="Arial" w:hAnsi="Arial"/>
          <w:b/>
          <w:bCs/>
          <w:sz w:val="26"/>
          <w:szCs w:val="26"/>
          <w:rtl/>
        </w:rPr>
        <w:t xml:space="preserve">ניתן היום,  כ"ז חשוון תשפ"ג, 21 נובמבר 2022, במעמד הצדדים. </w:t>
      </w:r>
      <w:bookmarkEnd w:id="8"/>
    </w:p>
    <w:p w14:paraId="647CF7AD" w14:textId="77777777" w:rsidR="00D56B14" w:rsidRDefault="00D56B14" w:rsidP="00D56B14">
      <w:pPr>
        <w:rPr>
          <w:rtl/>
        </w:rPr>
      </w:pPr>
    </w:p>
    <w:p w14:paraId="293698FE" w14:textId="77777777" w:rsidR="00D56B14" w:rsidRDefault="00D56B14" w:rsidP="00D56B14">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2E980664" w14:textId="77777777" w:rsidR="00C75575" w:rsidRPr="00C75575" w:rsidRDefault="00C75575" w:rsidP="00C75575">
      <w:pPr>
        <w:keepNext/>
        <w:rPr>
          <w:rFonts w:ascii="David" w:hAnsi="David"/>
          <w:color w:val="000000"/>
          <w:sz w:val="22"/>
          <w:szCs w:val="22"/>
          <w:rtl/>
        </w:rPr>
      </w:pPr>
    </w:p>
    <w:p w14:paraId="1939F40F" w14:textId="77777777" w:rsidR="00C75575" w:rsidRPr="00C75575" w:rsidRDefault="00C75575" w:rsidP="00C75575">
      <w:pPr>
        <w:keepNext/>
        <w:rPr>
          <w:rFonts w:ascii="David" w:hAnsi="David"/>
          <w:color w:val="000000"/>
          <w:sz w:val="22"/>
          <w:szCs w:val="22"/>
          <w:rtl/>
        </w:rPr>
      </w:pPr>
      <w:r w:rsidRPr="00C75575">
        <w:rPr>
          <w:rFonts w:ascii="David" w:hAnsi="David"/>
          <w:color w:val="000000"/>
          <w:sz w:val="22"/>
          <w:szCs w:val="22"/>
          <w:rtl/>
        </w:rPr>
        <w:t>יניב בן הרוש 54678313-/</w:t>
      </w:r>
    </w:p>
    <w:p w14:paraId="5F54B319" w14:textId="77777777" w:rsidR="00D56B14" w:rsidRPr="00D56B14" w:rsidRDefault="00C75575" w:rsidP="00C75575">
      <w:pPr>
        <w:rPr>
          <w:color w:val="0000FF"/>
          <w:u w:val="single"/>
        </w:rPr>
      </w:pPr>
      <w:r w:rsidRPr="00C75575">
        <w:rPr>
          <w:color w:val="000000"/>
          <w:u w:val="single"/>
          <w:rtl/>
        </w:rPr>
        <w:t>נוסח מסמך זה כפוף לשינויי ניסוח ועריכה</w:t>
      </w:r>
    </w:p>
    <w:sectPr w:rsidR="00D56B14" w:rsidRPr="00D56B14" w:rsidSect="00C75575">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18F77" w14:textId="77777777" w:rsidR="00A335C1" w:rsidRDefault="00A335C1" w:rsidP="00CA0072">
      <w:r>
        <w:separator/>
      </w:r>
    </w:p>
  </w:endnote>
  <w:endnote w:type="continuationSeparator" w:id="0">
    <w:p w14:paraId="356C2B76" w14:textId="77777777" w:rsidR="00A335C1" w:rsidRDefault="00A335C1" w:rsidP="00CA0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53BA3" w14:textId="77777777" w:rsidR="00C75575" w:rsidRDefault="00C75575" w:rsidP="00C75575">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9BDCA95" w14:textId="77777777" w:rsidR="00AF5A9A" w:rsidRPr="00C75575" w:rsidRDefault="00C75575" w:rsidP="00C75575">
    <w:pPr>
      <w:pStyle w:val="a6"/>
      <w:pBdr>
        <w:top w:val="single" w:sz="4" w:space="1" w:color="auto"/>
        <w:between w:val="single" w:sz="4" w:space="0" w:color="auto"/>
      </w:pBdr>
      <w:spacing w:after="60"/>
      <w:jc w:val="center"/>
      <w:rPr>
        <w:rFonts w:ascii="FrankRuehl" w:hAnsi="FrankRuehl" w:cs="FrankRuehl"/>
        <w:color w:val="000000"/>
      </w:rPr>
    </w:pPr>
    <w:r w:rsidRPr="00C7557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029E9" w14:textId="77777777" w:rsidR="00C75575" w:rsidRDefault="00C75575" w:rsidP="00C75575">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32A25">
      <w:rPr>
        <w:rFonts w:ascii="FrankRuehl" w:hAnsi="FrankRuehl" w:cs="FrankRuehl"/>
        <w:noProof/>
        <w:rtl/>
      </w:rPr>
      <w:t>1</w:t>
    </w:r>
    <w:r>
      <w:rPr>
        <w:rFonts w:ascii="FrankRuehl" w:hAnsi="FrankRuehl" w:cs="FrankRuehl"/>
        <w:rtl/>
      </w:rPr>
      <w:fldChar w:fldCharType="end"/>
    </w:r>
  </w:p>
  <w:p w14:paraId="5A54916E" w14:textId="77777777" w:rsidR="00AF5A9A" w:rsidRPr="00C75575" w:rsidRDefault="00C75575" w:rsidP="00C75575">
    <w:pPr>
      <w:pStyle w:val="a6"/>
      <w:pBdr>
        <w:top w:val="single" w:sz="4" w:space="1" w:color="auto"/>
        <w:between w:val="single" w:sz="4" w:space="0" w:color="auto"/>
      </w:pBdr>
      <w:spacing w:after="60"/>
      <w:jc w:val="center"/>
      <w:rPr>
        <w:rFonts w:ascii="FrankRuehl" w:hAnsi="FrankRuehl" w:cs="FrankRuehl"/>
        <w:color w:val="000000"/>
      </w:rPr>
    </w:pPr>
    <w:r w:rsidRPr="00C75575">
      <w:rPr>
        <w:rFonts w:ascii="FrankRuehl" w:hAnsi="FrankRuehl" w:cs="FrankRuehl"/>
        <w:color w:val="000000"/>
      </w:rPr>
      <w:pict w14:anchorId="1CC0D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EA8CD8" w14:textId="77777777" w:rsidR="00A335C1" w:rsidRDefault="00A335C1" w:rsidP="00CA0072">
      <w:r>
        <w:separator/>
      </w:r>
    </w:p>
  </w:footnote>
  <w:footnote w:type="continuationSeparator" w:id="0">
    <w:p w14:paraId="457933EE" w14:textId="77777777" w:rsidR="00A335C1" w:rsidRDefault="00A335C1" w:rsidP="00CA00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DC339" w14:textId="77777777" w:rsidR="00D56B14" w:rsidRPr="00C75575" w:rsidRDefault="00C75575" w:rsidP="00C75575">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68456-11-20</w:t>
    </w:r>
    <w:r>
      <w:rPr>
        <w:rFonts w:ascii="David" w:hAnsi="David"/>
        <w:color w:val="000000"/>
        <w:sz w:val="22"/>
        <w:szCs w:val="22"/>
        <w:rtl/>
      </w:rPr>
      <w:tab/>
      <w:t xml:space="preserve"> מדינת ישראל נ' דמיטרי יוחננוב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06D4F" w14:textId="77777777" w:rsidR="00D56B14" w:rsidRPr="00C75575" w:rsidRDefault="00C75575" w:rsidP="00C75575">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68456-11-20</w:t>
    </w:r>
    <w:r>
      <w:rPr>
        <w:rFonts w:ascii="David" w:hAnsi="David"/>
        <w:color w:val="000000"/>
        <w:sz w:val="22"/>
        <w:szCs w:val="22"/>
        <w:rtl/>
      </w:rPr>
      <w:tab/>
      <w:t xml:space="preserve"> מדינת ישראל נ' דמיטרי יוחננוב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24C97"/>
    <w:multiLevelType w:val="hybridMultilevel"/>
    <w:tmpl w:val="2C84096A"/>
    <w:lvl w:ilvl="0" w:tplc="32AE8638">
      <w:start w:val="1"/>
      <w:numFmt w:val="decimal"/>
      <w:lvlText w:val="%1."/>
      <w:lvlJc w:val="left"/>
      <w:pPr>
        <w:ind w:left="360" w:hanging="360"/>
      </w:pPr>
      <w:rPr>
        <w:rFonts w:ascii="Times New Roman" w:hAnsi="Times New Roman" w:cs="David" w:hint="default"/>
        <w:bCs w:val="0"/>
        <w:iCs w:val="0"/>
        <w:szCs w:val="24"/>
        <w:lang w:bidi="he-IL"/>
      </w:rPr>
    </w:lvl>
    <w:lvl w:ilvl="1" w:tplc="E76CC2E4">
      <w:start w:val="1"/>
      <w:numFmt w:val="hebrew1"/>
      <w:lvlText w:val="%2."/>
      <w:lvlJc w:val="center"/>
      <w:pPr>
        <w:ind w:left="785" w:hanging="360"/>
      </w:pPr>
      <w:rPr>
        <w:b w:val="0"/>
        <w:bCs w:val="0"/>
      </w:rPr>
    </w:lvl>
    <w:lvl w:ilvl="2" w:tplc="49A01638">
      <w:start w:val="1"/>
      <w:numFmt w:val="lowerRoman"/>
      <w:lvlText w:val="%3."/>
      <w:lvlJc w:val="right"/>
      <w:pPr>
        <w:ind w:left="2160" w:hanging="180"/>
      </w:pPr>
    </w:lvl>
    <w:lvl w:ilvl="3" w:tplc="BEA4446A">
      <w:start w:val="1"/>
      <w:numFmt w:val="decimal"/>
      <w:lvlText w:val="%4."/>
      <w:lvlJc w:val="left"/>
      <w:pPr>
        <w:ind w:left="2880" w:hanging="360"/>
      </w:pPr>
    </w:lvl>
    <w:lvl w:ilvl="4" w:tplc="2A427D62">
      <w:start w:val="1"/>
      <w:numFmt w:val="lowerLetter"/>
      <w:lvlText w:val="%5."/>
      <w:lvlJc w:val="left"/>
      <w:pPr>
        <w:ind w:left="3600" w:hanging="360"/>
      </w:pPr>
    </w:lvl>
    <w:lvl w:ilvl="5" w:tplc="86EA3C7A">
      <w:start w:val="1"/>
      <w:numFmt w:val="lowerRoman"/>
      <w:lvlText w:val="%6."/>
      <w:lvlJc w:val="right"/>
      <w:pPr>
        <w:ind w:left="4320" w:hanging="180"/>
      </w:pPr>
    </w:lvl>
    <w:lvl w:ilvl="6" w:tplc="7826C268">
      <w:start w:val="1"/>
      <w:numFmt w:val="decimal"/>
      <w:lvlText w:val="%7."/>
      <w:lvlJc w:val="left"/>
      <w:pPr>
        <w:ind w:left="5040" w:hanging="360"/>
      </w:pPr>
    </w:lvl>
    <w:lvl w:ilvl="7" w:tplc="CB76EBC0">
      <w:start w:val="1"/>
      <w:numFmt w:val="lowerLetter"/>
      <w:lvlText w:val="%8."/>
      <w:lvlJc w:val="left"/>
      <w:pPr>
        <w:ind w:left="5760" w:hanging="360"/>
      </w:pPr>
    </w:lvl>
    <w:lvl w:ilvl="8" w:tplc="D2269096">
      <w:start w:val="1"/>
      <w:numFmt w:val="lowerRoman"/>
      <w:lvlText w:val="%9."/>
      <w:lvlJc w:val="right"/>
      <w:pPr>
        <w:ind w:left="6480" w:hanging="180"/>
      </w:pPr>
    </w:lvl>
  </w:abstractNum>
  <w:abstractNum w:abstractNumId="1" w15:restartNumberingAfterBreak="0">
    <w:nsid w:val="1C5E6DF5"/>
    <w:multiLevelType w:val="hybridMultilevel"/>
    <w:tmpl w:val="9BF6A320"/>
    <w:lvl w:ilvl="0" w:tplc="51CA0740">
      <w:start w:val="1"/>
      <w:numFmt w:val="decimal"/>
      <w:pStyle w:val="a"/>
      <w:lvlText w:val="%1."/>
      <w:lvlJc w:val="left"/>
      <w:pPr>
        <w:tabs>
          <w:tab w:val="num" w:pos="720"/>
        </w:tabs>
        <w:ind w:left="720" w:hanging="720"/>
      </w:pPr>
      <w:rPr>
        <w:rFonts w:cs="Times New Roman"/>
      </w:rPr>
    </w:lvl>
    <w:lvl w:ilvl="1" w:tplc="9BDE36B6">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1422336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2433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202B4"/>
    <w:rsid w:val="000051BD"/>
    <w:rsid w:val="001202B4"/>
    <w:rsid w:val="001A5849"/>
    <w:rsid w:val="001B5A3B"/>
    <w:rsid w:val="002C3236"/>
    <w:rsid w:val="005F727E"/>
    <w:rsid w:val="00632A25"/>
    <w:rsid w:val="00712D1F"/>
    <w:rsid w:val="00A335C1"/>
    <w:rsid w:val="00AF5A9A"/>
    <w:rsid w:val="00B06E9F"/>
    <w:rsid w:val="00C75575"/>
    <w:rsid w:val="00CA0072"/>
    <w:rsid w:val="00D56B14"/>
    <w:rsid w:val="00E121C9"/>
    <w:rsid w:val="00F463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4207D6"/>
  <w15:chartTrackingRefBased/>
  <w15:docId w15:val="{6E0FCBC6-3C07-412F-B115-519937FB9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1202B4"/>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1202B4"/>
    <w:pPr>
      <w:tabs>
        <w:tab w:val="center" w:pos="4153"/>
        <w:tab w:val="right" w:pos="8306"/>
      </w:tabs>
    </w:pPr>
  </w:style>
  <w:style w:type="character" w:customStyle="1" w:styleId="a5">
    <w:name w:val="כותרת עליונה תו"/>
    <w:link w:val="a4"/>
    <w:rsid w:val="001202B4"/>
    <w:rPr>
      <w:rFonts w:ascii="Times New Roman" w:eastAsia="Times New Roman" w:hAnsi="Times New Roman" w:cs="David"/>
      <w:sz w:val="24"/>
      <w:szCs w:val="24"/>
    </w:rPr>
  </w:style>
  <w:style w:type="paragraph" w:styleId="a6">
    <w:name w:val="footer"/>
    <w:basedOn w:val="a0"/>
    <w:link w:val="a7"/>
    <w:rsid w:val="001202B4"/>
    <w:pPr>
      <w:tabs>
        <w:tab w:val="center" w:pos="4153"/>
        <w:tab w:val="right" w:pos="8306"/>
      </w:tabs>
    </w:pPr>
  </w:style>
  <w:style w:type="character" w:customStyle="1" w:styleId="a7">
    <w:name w:val="כותרת תחתונה תו"/>
    <w:link w:val="a6"/>
    <w:rsid w:val="001202B4"/>
    <w:rPr>
      <w:rFonts w:ascii="Times New Roman" w:eastAsia="Times New Roman" w:hAnsi="Times New Roman" w:cs="David"/>
      <w:sz w:val="24"/>
      <w:szCs w:val="24"/>
    </w:rPr>
  </w:style>
  <w:style w:type="table" w:styleId="a8">
    <w:name w:val="Table Grid"/>
    <w:basedOn w:val="a2"/>
    <w:rsid w:val="001202B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1202B4"/>
  </w:style>
  <w:style w:type="character" w:customStyle="1" w:styleId="aa">
    <w:name w:val="פיסקת רשימה תו"/>
    <w:link w:val="ab"/>
    <w:locked/>
    <w:rsid w:val="001202B4"/>
  </w:style>
  <w:style w:type="paragraph" w:styleId="ab">
    <w:name w:val="List Paragraph"/>
    <w:basedOn w:val="a0"/>
    <w:link w:val="aa"/>
    <w:qFormat/>
    <w:rsid w:val="001202B4"/>
    <w:pPr>
      <w:spacing w:after="160" w:line="256" w:lineRule="auto"/>
      <w:ind w:left="720"/>
      <w:contextualSpacing/>
    </w:pPr>
    <w:rPr>
      <w:rFonts w:ascii="Calibri" w:eastAsia="Calibri" w:hAnsi="Calibri" w:cs="Arial"/>
      <w:sz w:val="22"/>
      <w:szCs w:val="22"/>
    </w:rPr>
  </w:style>
  <w:style w:type="paragraph" w:customStyle="1" w:styleId="a">
    <w:name w:val="ממוספר"/>
    <w:basedOn w:val="a0"/>
    <w:rsid w:val="001202B4"/>
    <w:pPr>
      <w:numPr>
        <w:numId w:val="1"/>
      </w:numPr>
      <w:spacing w:after="120" w:line="360" w:lineRule="auto"/>
    </w:pPr>
    <w:rPr>
      <w:rFonts w:ascii="David" w:hAnsi="David"/>
      <w:color w:val="000000"/>
    </w:rPr>
  </w:style>
  <w:style w:type="character" w:styleId="Hyperlink">
    <w:name w:val="Hyperlink"/>
    <w:rsid w:val="001202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1553" TargetMode="External"/><Relationship Id="rId18" Type="http://schemas.openxmlformats.org/officeDocument/2006/relationships/hyperlink" Target="http://www.nevo.co.il/law/4216/6" TargetMode="External"/><Relationship Id="rId26" Type="http://schemas.openxmlformats.org/officeDocument/2006/relationships/hyperlink" Target="http://www.nevo.co.il/law/70301/71a" TargetMode="External"/><Relationship Id="rId39" Type="http://schemas.openxmlformats.org/officeDocument/2006/relationships/hyperlink" Target="http://www.nevo.co.il/case/24345651" TargetMode="External"/><Relationship Id="rId21" Type="http://schemas.openxmlformats.org/officeDocument/2006/relationships/hyperlink" Target="http://www.nevo.co.il/law/4216/7.c" TargetMode="External"/><Relationship Id="rId34" Type="http://schemas.openxmlformats.org/officeDocument/2006/relationships/hyperlink" Target="http://www.nevo.co.il/case/19994809"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9" Type="http://schemas.openxmlformats.org/officeDocument/2006/relationships/hyperlink" Target="http://www.nevo.co.il/case/58497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903" TargetMode="External"/><Relationship Id="rId24" Type="http://schemas.openxmlformats.org/officeDocument/2006/relationships/hyperlink" Target="http://www.nevo.co.il/law/71553/1.2" TargetMode="External"/><Relationship Id="rId32" Type="http://schemas.openxmlformats.org/officeDocument/2006/relationships/hyperlink" Target="http://www.nevo.co.il/case/16941543" TargetMode="External"/><Relationship Id="rId37" Type="http://schemas.openxmlformats.org/officeDocument/2006/relationships/hyperlink" Target="http://www.nevo.co.il/case/26246488" TargetMode="External"/><Relationship Id="rId40" Type="http://schemas.openxmlformats.org/officeDocument/2006/relationships/hyperlink" Target="http://www.nevo.co.il/case/25478758"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4903" TargetMode="External"/><Relationship Id="rId28" Type="http://schemas.openxmlformats.org/officeDocument/2006/relationships/hyperlink" Target="http://www.nevo.co.il/case/5810781" TargetMode="External"/><Relationship Id="rId36" Type="http://schemas.openxmlformats.org/officeDocument/2006/relationships/hyperlink" Target="http://www.nevo.co.il/case/27313460"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 TargetMode="External"/><Relationship Id="rId31" Type="http://schemas.openxmlformats.org/officeDocument/2006/relationships/hyperlink" Target="http://www.nevo.co.il/case/18118854"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1553/1.2" TargetMode="External"/><Relationship Id="rId22" Type="http://schemas.openxmlformats.org/officeDocument/2006/relationships/hyperlink" Target="http://www.nevo.co.il/law/74903/192a"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6793458" TargetMode="External"/><Relationship Id="rId35" Type="http://schemas.openxmlformats.org/officeDocument/2006/relationships/hyperlink" Target="http://www.nevo.co.il/case/5681787"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4903/192a" TargetMode="External"/><Relationship Id="rId17" Type="http://schemas.openxmlformats.org/officeDocument/2006/relationships/hyperlink" Target="http://www.nevo.co.il/law/70301/71a" TargetMode="External"/><Relationship Id="rId25" Type="http://schemas.openxmlformats.org/officeDocument/2006/relationships/hyperlink" Target="http://www.nevo.co.il/law/71553" TargetMode="External"/><Relationship Id="rId33" Type="http://schemas.openxmlformats.org/officeDocument/2006/relationships/hyperlink" Target="http://www.nevo.co.il/case/6136956" TargetMode="External"/><Relationship Id="rId38" Type="http://schemas.openxmlformats.org/officeDocument/2006/relationships/hyperlink" Target="http://www.nevo.co.il/case/24492956" TargetMode="External"/><Relationship Id="rId46" Type="http://schemas.openxmlformats.org/officeDocument/2006/relationships/footer" Target="footer2.xml"/><Relationship Id="rId20" Type="http://schemas.openxmlformats.org/officeDocument/2006/relationships/hyperlink" Target="http://www.nevo.co.il/law/4216/7.a" TargetMode="External"/><Relationship Id="rId41" Type="http://schemas.openxmlformats.org/officeDocument/2006/relationships/hyperlink" Target="http://www.nevo.co.il/law/70301/40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1995</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11947</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6619233</vt:i4>
      </vt:variant>
      <vt:variant>
        <vt:i4>102</vt:i4>
      </vt:variant>
      <vt:variant>
        <vt:i4>0</vt:i4>
      </vt:variant>
      <vt:variant>
        <vt:i4>5</vt:i4>
      </vt:variant>
      <vt:variant>
        <vt:lpwstr>http://www.nevo.co.il/law/70301/40i</vt:lpwstr>
      </vt:variant>
      <vt:variant>
        <vt:lpwstr/>
      </vt:variant>
      <vt:variant>
        <vt:i4>3866737</vt:i4>
      </vt:variant>
      <vt:variant>
        <vt:i4>99</vt:i4>
      </vt:variant>
      <vt:variant>
        <vt:i4>0</vt:i4>
      </vt:variant>
      <vt:variant>
        <vt:i4>5</vt:i4>
      </vt:variant>
      <vt:variant>
        <vt:lpwstr>http://www.nevo.co.il/case/25478758</vt:lpwstr>
      </vt:variant>
      <vt:variant>
        <vt:lpwstr/>
      </vt:variant>
      <vt:variant>
        <vt:i4>3211378</vt:i4>
      </vt:variant>
      <vt:variant>
        <vt:i4>96</vt:i4>
      </vt:variant>
      <vt:variant>
        <vt:i4>0</vt:i4>
      </vt:variant>
      <vt:variant>
        <vt:i4>5</vt:i4>
      </vt:variant>
      <vt:variant>
        <vt:lpwstr>http://www.nevo.co.il/case/24345651</vt:lpwstr>
      </vt:variant>
      <vt:variant>
        <vt:lpwstr/>
      </vt:variant>
      <vt:variant>
        <vt:i4>3211376</vt:i4>
      </vt:variant>
      <vt:variant>
        <vt:i4>93</vt:i4>
      </vt:variant>
      <vt:variant>
        <vt:i4>0</vt:i4>
      </vt:variant>
      <vt:variant>
        <vt:i4>5</vt:i4>
      </vt:variant>
      <vt:variant>
        <vt:lpwstr>http://www.nevo.co.il/case/24492956</vt:lpwstr>
      </vt:variant>
      <vt:variant>
        <vt:lpwstr/>
      </vt:variant>
      <vt:variant>
        <vt:i4>4063346</vt:i4>
      </vt:variant>
      <vt:variant>
        <vt:i4>90</vt:i4>
      </vt:variant>
      <vt:variant>
        <vt:i4>0</vt:i4>
      </vt:variant>
      <vt:variant>
        <vt:i4>5</vt:i4>
      </vt:variant>
      <vt:variant>
        <vt:lpwstr>http://www.nevo.co.il/case/26246488</vt:lpwstr>
      </vt:variant>
      <vt:variant>
        <vt:lpwstr/>
      </vt:variant>
      <vt:variant>
        <vt:i4>3407990</vt:i4>
      </vt:variant>
      <vt:variant>
        <vt:i4>87</vt:i4>
      </vt:variant>
      <vt:variant>
        <vt:i4>0</vt:i4>
      </vt:variant>
      <vt:variant>
        <vt:i4>5</vt:i4>
      </vt:variant>
      <vt:variant>
        <vt:lpwstr>http://www.nevo.co.il/case/27313460</vt:lpwstr>
      </vt:variant>
      <vt:variant>
        <vt:lpwstr/>
      </vt:variant>
      <vt:variant>
        <vt:i4>3997819</vt:i4>
      </vt:variant>
      <vt:variant>
        <vt:i4>84</vt:i4>
      </vt:variant>
      <vt:variant>
        <vt:i4>0</vt:i4>
      </vt:variant>
      <vt:variant>
        <vt:i4>5</vt:i4>
      </vt:variant>
      <vt:variant>
        <vt:lpwstr>http://www.nevo.co.il/case/5681787</vt:lpwstr>
      </vt:variant>
      <vt:variant>
        <vt:lpwstr/>
      </vt:variant>
      <vt:variant>
        <vt:i4>3932284</vt:i4>
      </vt:variant>
      <vt:variant>
        <vt:i4>81</vt:i4>
      </vt:variant>
      <vt:variant>
        <vt:i4>0</vt:i4>
      </vt:variant>
      <vt:variant>
        <vt:i4>5</vt:i4>
      </vt:variant>
      <vt:variant>
        <vt:lpwstr>http://www.nevo.co.il/case/19994809</vt:lpwstr>
      </vt:variant>
      <vt:variant>
        <vt:lpwstr/>
      </vt:variant>
      <vt:variant>
        <vt:i4>3801206</vt:i4>
      </vt:variant>
      <vt:variant>
        <vt:i4>78</vt:i4>
      </vt:variant>
      <vt:variant>
        <vt:i4>0</vt:i4>
      </vt:variant>
      <vt:variant>
        <vt:i4>5</vt:i4>
      </vt:variant>
      <vt:variant>
        <vt:lpwstr>http://www.nevo.co.il/case/6136956</vt:lpwstr>
      </vt:variant>
      <vt:variant>
        <vt:lpwstr/>
      </vt:variant>
      <vt:variant>
        <vt:i4>3997811</vt:i4>
      </vt:variant>
      <vt:variant>
        <vt:i4>75</vt:i4>
      </vt:variant>
      <vt:variant>
        <vt:i4>0</vt:i4>
      </vt:variant>
      <vt:variant>
        <vt:i4>5</vt:i4>
      </vt:variant>
      <vt:variant>
        <vt:lpwstr>http://www.nevo.co.il/case/16941543</vt:lpwstr>
      </vt:variant>
      <vt:variant>
        <vt:lpwstr/>
      </vt:variant>
      <vt:variant>
        <vt:i4>3997813</vt:i4>
      </vt:variant>
      <vt:variant>
        <vt:i4>72</vt:i4>
      </vt:variant>
      <vt:variant>
        <vt:i4>0</vt:i4>
      </vt:variant>
      <vt:variant>
        <vt:i4>5</vt:i4>
      </vt:variant>
      <vt:variant>
        <vt:lpwstr>http://www.nevo.co.il/case/18118854</vt:lpwstr>
      </vt:variant>
      <vt:variant>
        <vt:lpwstr/>
      </vt:variant>
      <vt:variant>
        <vt:i4>3342463</vt:i4>
      </vt:variant>
      <vt:variant>
        <vt:i4>69</vt:i4>
      </vt:variant>
      <vt:variant>
        <vt:i4>0</vt:i4>
      </vt:variant>
      <vt:variant>
        <vt:i4>5</vt:i4>
      </vt:variant>
      <vt:variant>
        <vt:lpwstr>http://www.nevo.co.il/case/26793458</vt:lpwstr>
      </vt:variant>
      <vt:variant>
        <vt:lpwstr/>
      </vt:variant>
      <vt:variant>
        <vt:i4>3211388</vt:i4>
      </vt:variant>
      <vt:variant>
        <vt:i4>66</vt:i4>
      </vt:variant>
      <vt:variant>
        <vt:i4>0</vt:i4>
      </vt:variant>
      <vt:variant>
        <vt:i4>5</vt:i4>
      </vt:variant>
      <vt:variant>
        <vt:lpwstr>http://www.nevo.co.il/case/5849797</vt:lpwstr>
      </vt:variant>
      <vt:variant>
        <vt:lpwstr/>
      </vt:variant>
      <vt:variant>
        <vt:i4>3276916</vt:i4>
      </vt:variant>
      <vt:variant>
        <vt:i4>63</vt:i4>
      </vt:variant>
      <vt:variant>
        <vt:i4>0</vt:i4>
      </vt:variant>
      <vt:variant>
        <vt:i4>5</vt:i4>
      </vt:variant>
      <vt:variant>
        <vt:lpwstr>http://www.nevo.co.il/case/5810781</vt:lpwstr>
      </vt:variant>
      <vt:variant>
        <vt:lpwstr/>
      </vt:variant>
      <vt:variant>
        <vt:i4>7995492</vt:i4>
      </vt:variant>
      <vt:variant>
        <vt:i4>60</vt:i4>
      </vt:variant>
      <vt:variant>
        <vt:i4>0</vt:i4>
      </vt:variant>
      <vt:variant>
        <vt:i4>5</vt:i4>
      </vt:variant>
      <vt:variant>
        <vt:lpwstr>http://www.nevo.co.il/law/70301</vt:lpwstr>
      </vt:variant>
      <vt:variant>
        <vt:lpwstr/>
      </vt:variant>
      <vt:variant>
        <vt:i4>6553698</vt:i4>
      </vt:variant>
      <vt:variant>
        <vt:i4>57</vt:i4>
      </vt:variant>
      <vt:variant>
        <vt:i4>0</vt:i4>
      </vt:variant>
      <vt:variant>
        <vt:i4>5</vt:i4>
      </vt:variant>
      <vt:variant>
        <vt:lpwstr>http://www.nevo.co.il/law/70301/71a</vt:lpwstr>
      </vt:variant>
      <vt:variant>
        <vt:lpwstr/>
      </vt:variant>
      <vt:variant>
        <vt:i4>8257634</vt:i4>
      </vt:variant>
      <vt:variant>
        <vt:i4>54</vt:i4>
      </vt:variant>
      <vt:variant>
        <vt:i4>0</vt:i4>
      </vt:variant>
      <vt:variant>
        <vt:i4>5</vt:i4>
      </vt:variant>
      <vt:variant>
        <vt:lpwstr>http://www.nevo.co.il/law/71553</vt:lpwstr>
      </vt:variant>
      <vt:variant>
        <vt:lpwstr/>
      </vt:variant>
      <vt:variant>
        <vt:i4>8323168</vt:i4>
      </vt:variant>
      <vt:variant>
        <vt:i4>51</vt:i4>
      </vt:variant>
      <vt:variant>
        <vt:i4>0</vt:i4>
      </vt:variant>
      <vt:variant>
        <vt:i4>5</vt:i4>
      </vt:variant>
      <vt:variant>
        <vt:lpwstr>http://www.nevo.co.il/law/71553/1.2</vt:lpwstr>
      </vt:variant>
      <vt:variant>
        <vt:lpwstr/>
      </vt:variant>
      <vt:variant>
        <vt:i4>8257646</vt:i4>
      </vt:variant>
      <vt:variant>
        <vt:i4>48</vt:i4>
      </vt:variant>
      <vt:variant>
        <vt:i4>0</vt:i4>
      </vt:variant>
      <vt:variant>
        <vt:i4>5</vt:i4>
      </vt:variant>
      <vt:variant>
        <vt:lpwstr>http://www.nevo.co.il/law/74903</vt:lpwstr>
      </vt:variant>
      <vt:variant>
        <vt:lpwstr/>
      </vt:variant>
      <vt:variant>
        <vt:i4>589918</vt:i4>
      </vt:variant>
      <vt:variant>
        <vt:i4>45</vt:i4>
      </vt:variant>
      <vt:variant>
        <vt:i4>0</vt:i4>
      </vt:variant>
      <vt:variant>
        <vt:i4>5</vt:i4>
      </vt:variant>
      <vt:variant>
        <vt:lpwstr>http://www.nevo.co.il/law/74903/192a</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4718666</vt:i4>
      </vt:variant>
      <vt:variant>
        <vt:i4>33</vt:i4>
      </vt:variant>
      <vt:variant>
        <vt:i4>0</vt:i4>
      </vt:variant>
      <vt:variant>
        <vt:i4>5</vt:i4>
      </vt:variant>
      <vt:variant>
        <vt:lpwstr>http://www.nevo.co.il/law/4216/6</vt:lpwstr>
      </vt:variant>
      <vt:variant>
        <vt:lpwstr/>
      </vt:variant>
      <vt:variant>
        <vt:i4>6553698</vt:i4>
      </vt:variant>
      <vt:variant>
        <vt:i4>30</vt:i4>
      </vt:variant>
      <vt:variant>
        <vt:i4>0</vt:i4>
      </vt:variant>
      <vt:variant>
        <vt:i4>5</vt:i4>
      </vt:variant>
      <vt:variant>
        <vt:lpwstr>http://www.nevo.co.il/law/70301/71a</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7995492</vt:i4>
      </vt:variant>
      <vt:variant>
        <vt:i4>24</vt:i4>
      </vt:variant>
      <vt:variant>
        <vt:i4>0</vt:i4>
      </vt:variant>
      <vt:variant>
        <vt:i4>5</vt:i4>
      </vt:variant>
      <vt:variant>
        <vt:lpwstr>http://www.nevo.co.il/law/70301</vt:lpwstr>
      </vt:variant>
      <vt:variant>
        <vt:lpwstr/>
      </vt:variant>
      <vt:variant>
        <vt:i4>8323168</vt:i4>
      </vt:variant>
      <vt:variant>
        <vt:i4>21</vt:i4>
      </vt:variant>
      <vt:variant>
        <vt:i4>0</vt:i4>
      </vt:variant>
      <vt:variant>
        <vt:i4>5</vt:i4>
      </vt:variant>
      <vt:variant>
        <vt:lpwstr>http://www.nevo.co.il/law/71553/1.2</vt:lpwstr>
      </vt:variant>
      <vt:variant>
        <vt:lpwstr/>
      </vt:variant>
      <vt:variant>
        <vt:i4>8257634</vt:i4>
      </vt:variant>
      <vt:variant>
        <vt:i4>18</vt:i4>
      </vt:variant>
      <vt:variant>
        <vt:i4>0</vt:i4>
      </vt:variant>
      <vt:variant>
        <vt:i4>5</vt:i4>
      </vt:variant>
      <vt:variant>
        <vt:lpwstr>http://www.nevo.co.il/law/71553</vt:lpwstr>
      </vt:variant>
      <vt:variant>
        <vt:lpwstr/>
      </vt:variant>
      <vt:variant>
        <vt:i4>589918</vt:i4>
      </vt:variant>
      <vt:variant>
        <vt:i4>15</vt:i4>
      </vt:variant>
      <vt:variant>
        <vt:i4>0</vt:i4>
      </vt:variant>
      <vt:variant>
        <vt:i4>5</vt:i4>
      </vt:variant>
      <vt:variant>
        <vt:lpwstr>http://www.nevo.co.il/law/74903/192a</vt:lpwstr>
      </vt:variant>
      <vt:variant>
        <vt:lpwstr/>
      </vt:variant>
      <vt:variant>
        <vt:i4>8257646</vt:i4>
      </vt:variant>
      <vt:variant>
        <vt:i4>12</vt:i4>
      </vt:variant>
      <vt:variant>
        <vt:i4>0</vt:i4>
      </vt:variant>
      <vt:variant>
        <vt:i4>5</vt:i4>
      </vt:variant>
      <vt:variant>
        <vt:lpwstr>http://www.nevo.co.il/law/74903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2025-04-23T00:49:00Z</dcterms:created>
  <dcterms:modified xsi:type="dcterms:W3CDTF">2025-04-23T00:49:00Z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68456</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דמיטרי יוחננוב</vt:lpwstr>
  </property>
  <property fmtid="{D5CDD505-2E9C-101B-9397-08002B2CF9AE}" pid="10" name="LAWYER">
    <vt:lpwstr>שירה רוג;מאירי רלב;אפרת צרפתי</vt:lpwstr>
  </property>
  <property fmtid="{D5CDD505-2E9C-101B-9397-08002B2CF9AE}" pid="11" name="JUDGE">
    <vt:lpwstr>יניב בן הרוש</vt:lpwstr>
  </property>
  <property fmtid="{D5CDD505-2E9C-101B-9397-08002B2CF9AE}" pid="12" name="CITY">
    <vt:lpwstr>ב"ש</vt:lpwstr>
  </property>
  <property fmtid="{D5CDD505-2E9C-101B-9397-08002B2CF9AE}" pid="13" name="DATE">
    <vt:lpwstr>20221121</vt:lpwstr>
  </property>
  <property fmtid="{D5CDD505-2E9C-101B-9397-08002B2CF9AE}" pid="14" name="TYPE_N_DATE">
    <vt:lpwstr>38020221121</vt:lpwstr>
  </property>
  <property fmtid="{D5CDD505-2E9C-101B-9397-08002B2CF9AE}" pid="15" name="WORDNUMPAGES">
    <vt:lpwstr>6</vt:lpwstr>
  </property>
  <property fmtid="{D5CDD505-2E9C-101B-9397-08002B2CF9AE}" pid="16" name="TYPE_ABS_DATE">
    <vt:lpwstr>380020221121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5810781;5849797;26793458;18118854;16941543;6136956;19994809;5681787;27313460;26246488;24492956;24345651;25478758</vt:lpwstr>
  </property>
  <property fmtid="{D5CDD505-2E9C-101B-9397-08002B2CF9AE}" pid="36" name="LAWLISTTMP1">
    <vt:lpwstr>4216/006;007.a;007.c</vt:lpwstr>
  </property>
  <property fmtid="{D5CDD505-2E9C-101B-9397-08002B2CF9AE}" pid="37" name="LAWLISTTMP2">
    <vt:lpwstr>74903/192a</vt:lpwstr>
  </property>
  <property fmtid="{D5CDD505-2E9C-101B-9397-08002B2CF9AE}" pid="38" name="LAWLISTTMP3">
    <vt:lpwstr>71553/001.2</vt:lpwstr>
  </property>
  <property fmtid="{D5CDD505-2E9C-101B-9397-08002B2CF9AE}" pid="39" name="LAWLISTTMP4">
    <vt:lpwstr>70301/071a;040i</vt:lpwstr>
  </property>
</Properties>
</file>