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D13689" w:rsidRPr="00ED1764" w14:paraId="4BB0A5CA" w14:textId="77777777" w:rsidTr="00D55ABC">
        <w:trPr>
          <w:trHeight w:hRule="exact" w:val="418"/>
          <w:jc w:val="center"/>
        </w:trPr>
        <w:tc>
          <w:tcPr>
            <w:tcW w:w="8721" w:type="dxa"/>
            <w:gridSpan w:val="2"/>
          </w:tcPr>
          <w:p w14:paraId="78F78B87" w14:textId="77777777" w:rsidR="00D13689" w:rsidRPr="00ED1764" w:rsidRDefault="00D13689" w:rsidP="006225CA">
            <w:pPr>
              <w:pStyle w:val="a3"/>
              <w:jc w:val="center"/>
              <w:rPr>
                <w:rFonts w:ascii="Tahoma" w:hAnsi="Tahoma" w:cs="Tahoma"/>
                <w:color w:val="000080"/>
                <w:rtl/>
              </w:rPr>
            </w:pPr>
            <w:r w:rsidRPr="00ED1764">
              <w:rPr>
                <w:rFonts w:ascii="Tahoma" w:hAnsi="Tahoma" w:cs="Tahoma"/>
                <w:b/>
                <w:bCs/>
                <w:color w:val="000080"/>
                <w:rtl/>
              </w:rPr>
              <w:t>בית משפט השלום בבאר שבע</w:t>
            </w:r>
          </w:p>
        </w:tc>
      </w:tr>
      <w:tr w:rsidR="00D13689" w:rsidRPr="00ED1764" w14:paraId="4AFEA9CD" w14:textId="77777777" w:rsidTr="00D55ABC">
        <w:trPr>
          <w:trHeight w:val="337"/>
          <w:jc w:val="center"/>
        </w:trPr>
        <w:tc>
          <w:tcPr>
            <w:tcW w:w="5060" w:type="dxa"/>
          </w:tcPr>
          <w:p w14:paraId="52D51803" w14:textId="77777777" w:rsidR="00D13689" w:rsidRPr="00ED1764" w:rsidRDefault="00D13689" w:rsidP="006225CA">
            <w:pPr>
              <w:rPr>
                <w:rFonts w:ascii="David" w:hAnsi="David"/>
                <w:b/>
                <w:bCs/>
                <w:sz w:val="26"/>
                <w:szCs w:val="26"/>
                <w:rtl/>
              </w:rPr>
            </w:pPr>
            <w:r w:rsidRPr="00ED1764">
              <w:rPr>
                <w:rFonts w:ascii="David" w:hAnsi="David"/>
                <w:b/>
                <w:bCs/>
                <w:sz w:val="26"/>
                <w:szCs w:val="26"/>
                <w:rtl/>
              </w:rPr>
              <w:t xml:space="preserve">ת"פ </w:t>
            </w:r>
            <w:hyperlink r:id="rId7" w:history="1">
              <w:r w:rsidR="00A812BA" w:rsidRPr="00A812BA">
                <w:rPr>
                  <w:rFonts w:ascii="David" w:hAnsi="David"/>
                  <w:b/>
                  <w:bCs/>
                  <w:color w:val="0000FF"/>
                  <w:sz w:val="26"/>
                  <w:szCs w:val="26"/>
                  <w:u w:val="single"/>
                  <w:rtl/>
                </w:rPr>
                <w:t xml:space="preserve">68645-11-20 </w:t>
              </w:r>
            </w:hyperlink>
            <w:r w:rsidRPr="00ED1764">
              <w:rPr>
                <w:rFonts w:ascii="David" w:hAnsi="David"/>
                <w:b/>
                <w:bCs/>
                <w:sz w:val="26"/>
                <w:szCs w:val="26"/>
                <w:rtl/>
              </w:rPr>
              <w:t xml:space="preserve"> מדינת ישראל נ' אגיבייב(עציר)</w:t>
            </w:r>
          </w:p>
          <w:p w14:paraId="54071EEE" w14:textId="77777777" w:rsidR="00D13689" w:rsidRPr="00ED1764" w:rsidRDefault="00D13689" w:rsidP="006225CA">
            <w:pPr>
              <w:pStyle w:val="a3"/>
              <w:rPr>
                <w:rFonts w:cs="FrankRuehl"/>
                <w:sz w:val="28"/>
                <w:szCs w:val="28"/>
                <w:rtl/>
              </w:rPr>
            </w:pPr>
          </w:p>
        </w:tc>
        <w:tc>
          <w:tcPr>
            <w:tcW w:w="3661" w:type="dxa"/>
          </w:tcPr>
          <w:p w14:paraId="303A6342" w14:textId="77777777" w:rsidR="00D13689" w:rsidRPr="00ED1764" w:rsidRDefault="00D13689" w:rsidP="006225CA">
            <w:pPr>
              <w:pStyle w:val="a3"/>
              <w:jc w:val="right"/>
              <w:rPr>
                <w:rFonts w:cs="FrankRuehl"/>
                <w:sz w:val="28"/>
                <w:szCs w:val="28"/>
                <w:rtl/>
              </w:rPr>
            </w:pPr>
          </w:p>
        </w:tc>
      </w:tr>
    </w:tbl>
    <w:p w14:paraId="26C4FA9C" w14:textId="77777777" w:rsidR="00D13689" w:rsidRPr="00ED1764" w:rsidRDefault="00D13689" w:rsidP="00D13689">
      <w:pPr>
        <w:pStyle w:val="a3"/>
        <w:rPr>
          <w:rtl/>
        </w:rPr>
      </w:pPr>
      <w:r w:rsidRPr="00ED1764">
        <w:rPr>
          <w:rFonts w:hint="cs"/>
          <w:rtl/>
        </w:rPr>
        <w:t xml:space="preserve"> </w:t>
      </w:r>
    </w:p>
    <w:p w14:paraId="6DCF040B" w14:textId="77777777" w:rsidR="00D13689" w:rsidRPr="00ED1764" w:rsidRDefault="00D13689" w:rsidP="00D13689">
      <w:pPr>
        <w:rPr>
          <w:sz w:val="26"/>
          <w:szCs w:val="26"/>
          <w:rtl/>
        </w:rPr>
      </w:pPr>
    </w:p>
    <w:p w14:paraId="39DAFDE0" w14:textId="77777777" w:rsidR="00D13689" w:rsidRPr="00ED1764" w:rsidRDefault="00D13689" w:rsidP="00D13689">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13689" w:rsidRPr="00ED1764" w14:paraId="35BCB6F4" w14:textId="77777777" w:rsidTr="00D13689">
        <w:trPr>
          <w:trHeight w:val="295"/>
          <w:jc w:val="center"/>
        </w:trPr>
        <w:tc>
          <w:tcPr>
            <w:tcW w:w="923" w:type="dxa"/>
            <w:tcBorders>
              <w:top w:val="nil"/>
              <w:left w:val="nil"/>
              <w:bottom w:val="nil"/>
              <w:right w:val="nil"/>
            </w:tcBorders>
            <w:shd w:val="clear" w:color="auto" w:fill="auto"/>
          </w:tcPr>
          <w:p w14:paraId="214A5929" w14:textId="77777777" w:rsidR="00D13689" w:rsidRPr="00ED1764" w:rsidRDefault="00D13689" w:rsidP="00D13689">
            <w:pPr>
              <w:jc w:val="both"/>
              <w:rPr>
                <w:rFonts w:ascii="David" w:hAnsi="David"/>
                <w:b/>
                <w:bCs/>
                <w:sz w:val="26"/>
                <w:szCs w:val="26"/>
              </w:rPr>
            </w:pPr>
            <w:r w:rsidRPr="00ED1764">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3C4B4B1E" w14:textId="77777777" w:rsidR="00D13689" w:rsidRPr="00ED1764" w:rsidRDefault="00D13689" w:rsidP="006225CA">
            <w:pPr>
              <w:rPr>
                <w:rFonts w:ascii="David" w:hAnsi="David"/>
                <w:b/>
                <w:bCs/>
                <w:sz w:val="26"/>
                <w:szCs w:val="26"/>
                <w:rtl/>
              </w:rPr>
            </w:pPr>
            <w:r w:rsidRPr="00ED1764">
              <w:rPr>
                <w:rFonts w:ascii="David" w:hAnsi="David"/>
                <w:b/>
                <w:bCs/>
                <w:sz w:val="26"/>
                <w:szCs w:val="26"/>
                <w:rtl/>
              </w:rPr>
              <w:t>כבוד השופטת, סגנית הנשיא  ענת חולתא</w:t>
            </w:r>
          </w:p>
          <w:p w14:paraId="2F8D93D8" w14:textId="77777777" w:rsidR="00D13689" w:rsidRPr="00ED1764" w:rsidRDefault="00D13689" w:rsidP="006225CA">
            <w:pPr>
              <w:rPr>
                <w:rFonts w:ascii="David" w:hAnsi="David"/>
                <w:b/>
                <w:bCs/>
                <w:sz w:val="26"/>
                <w:szCs w:val="26"/>
                <w:rtl/>
              </w:rPr>
            </w:pPr>
          </w:p>
          <w:p w14:paraId="656D860E" w14:textId="77777777" w:rsidR="00D13689" w:rsidRPr="00ED1764" w:rsidRDefault="00D13689" w:rsidP="00D13689">
            <w:pPr>
              <w:jc w:val="both"/>
              <w:rPr>
                <w:rFonts w:ascii="David" w:hAnsi="David"/>
                <w:b/>
                <w:bCs/>
                <w:sz w:val="26"/>
                <w:szCs w:val="26"/>
              </w:rPr>
            </w:pPr>
          </w:p>
        </w:tc>
      </w:tr>
      <w:tr w:rsidR="00D13689" w:rsidRPr="00ED1764" w14:paraId="4CEA61AC" w14:textId="77777777" w:rsidTr="00D13689">
        <w:trPr>
          <w:trHeight w:val="355"/>
          <w:jc w:val="center"/>
        </w:trPr>
        <w:tc>
          <w:tcPr>
            <w:tcW w:w="923" w:type="dxa"/>
            <w:tcBorders>
              <w:top w:val="nil"/>
              <w:left w:val="nil"/>
              <w:bottom w:val="nil"/>
              <w:right w:val="nil"/>
            </w:tcBorders>
            <w:shd w:val="clear" w:color="auto" w:fill="auto"/>
          </w:tcPr>
          <w:p w14:paraId="23C38FC0" w14:textId="77777777" w:rsidR="00D13689" w:rsidRPr="00ED1764" w:rsidRDefault="00D13689" w:rsidP="00D13689">
            <w:pPr>
              <w:jc w:val="both"/>
              <w:rPr>
                <w:rFonts w:ascii="David" w:hAnsi="David"/>
                <w:b/>
                <w:bCs/>
                <w:sz w:val="26"/>
                <w:szCs w:val="26"/>
              </w:rPr>
            </w:pPr>
            <w:bookmarkStart w:id="0" w:name="FirstAppellant"/>
            <w:bookmarkStart w:id="1" w:name="LastJudge"/>
            <w:bookmarkEnd w:id="1"/>
            <w:r w:rsidRPr="00ED1764">
              <w:rPr>
                <w:rFonts w:ascii="David" w:hAnsi="David"/>
                <w:b/>
                <w:bCs/>
                <w:sz w:val="26"/>
                <w:szCs w:val="26"/>
                <w:rtl/>
              </w:rPr>
              <w:t>בעניין:</w:t>
            </w:r>
          </w:p>
        </w:tc>
        <w:tc>
          <w:tcPr>
            <w:tcW w:w="4126" w:type="dxa"/>
            <w:tcBorders>
              <w:top w:val="nil"/>
              <w:left w:val="nil"/>
              <w:bottom w:val="nil"/>
              <w:right w:val="nil"/>
            </w:tcBorders>
            <w:shd w:val="clear" w:color="auto" w:fill="auto"/>
          </w:tcPr>
          <w:p w14:paraId="206E7BD0" w14:textId="77777777" w:rsidR="00D13689" w:rsidRPr="00ED1764" w:rsidRDefault="00D13689" w:rsidP="006225CA">
            <w:pPr>
              <w:rPr>
                <w:rFonts w:ascii="David" w:hAnsi="David"/>
                <w:b/>
                <w:bCs/>
                <w:sz w:val="26"/>
                <w:szCs w:val="26"/>
              </w:rPr>
            </w:pPr>
            <w:r w:rsidRPr="00ED1764">
              <w:rPr>
                <w:rFonts w:ascii="David" w:hAnsi="David"/>
                <w:b/>
                <w:bCs/>
                <w:sz w:val="26"/>
                <w:szCs w:val="26"/>
                <w:rtl/>
              </w:rPr>
              <w:t>מדינת ישראל</w:t>
            </w:r>
            <w:r w:rsidRPr="00ED1764">
              <w:rPr>
                <w:rFonts w:ascii="David" w:hAnsi="David" w:hint="cs"/>
                <w:b/>
                <w:bCs/>
                <w:sz w:val="26"/>
                <w:szCs w:val="26"/>
                <w:rtl/>
              </w:rPr>
              <w:t>-תביעות נגב</w:t>
            </w:r>
          </w:p>
        </w:tc>
        <w:tc>
          <w:tcPr>
            <w:tcW w:w="3771" w:type="dxa"/>
            <w:tcBorders>
              <w:top w:val="nil"/>
              <w:left w:val="nil"/>
              <w:bottom w:val="nil"/>
              <w:right w:val="nil"/>
            </w:tcBorders>
            <w:shd w:val="clear" w:color="auto" w:fill="auto"/>
          </w:tcPr>
          <w:p w14:paraId="4990A3D8" w14:textId="77777777" w:rsidR="00D13689" w:rsidRPr="00ED1764" w:rsidRDefault="00D13689" w:rsidP="00D13689">
            <w:pPr>
              <w:jc w:val="both"/>
              <w:rPr>
                <w:rFonts w:ascii="David" w:hAnsi="David"/>
                <w:b/>
                <w:bCs/>
                <w:sz w:val="26"/>
                <w:szCs w:val="26"/>
              </w:rPr>
            </w:pPr>
          </w:p>
        </w:tc>
      </w:tr>
      <w:tr w:rsidR="00D13689" w:rsidRPr="00ED1764" w14:paraId="0188DA31" w14:textId="77777777" w:rsidTr="00D13689">
        <w:trPr>
          <w:trHeight w:val="355"/>
          <w:jc w:val="center"/>
        </w:trPr>
        <w:tc>
          <w:tcPr>
            <w:tcW w:w="923" w:type="dxa"/>
            <w:tcBorders>
              <w:top w:val="nil"/>
              <w:left w:val="nil"/>
              <w:bottom w:val="nil"/>
              <w:right w:val="nil"/>
            </w:tcBorders>
            <w:shd w:val="clear" w:color="auto" w:fill="auto"/>
          </w:tcPr>
          <w:p w14:paraId="56B1D2E8" w14:textId="77777777" w:rsidR="00D13689" w:rsidRPr="00ED1764" w:rsidRDefault="00D13689" w:rsidP="00D13689">
            <w:pPr>
              <w:jc w:val="both"/>
              <w:rPr>
                <w:rFonts w:ascii="David" w:hAnsi="David"/>
                <w:b/>
                <w:bCs/>
                <w:sz w:val="26"/>
                <w:szCs w:val="26"/>
                <w:rtl/>
              </w:rPr>
            </w:pPr>
            <w:bookmarkStart w:id="2" w:name="FirstLawyer"/>
            <w:bookmarkEnd w:id="0"/>
          </w:p>
        </w:tc>
        <w:tc>
          <w:tcPr>
            <w:tcW w:w="4126" w:type="dxa"/>
            <w:tcBorders>
              <w:top w:val="nil"/>
              <w:left w:val="nil"/>
              <w:bottom w:val="nil"/>
              <w:right w:val="nil"/>
            </w:tcBorders>
            <w:shd w:val="clear" w:color="auto" w:fill="auto"/>
          </w:tcPr>
          <w:p w14:paraId="7EF4FCCC" w14:textId="77777777" w:rsidR="00D13689" w:rsidRPr="00ED1764" w:rsidRDefault="00D13689" w:rsidP="00D13689">
            <w:pPr>
              <w:jc w:val="both"/>
              <w:rPr>
                <w:rFonts w:ascii="David" w:hAnsi="David"/>
                <w:b/>
                <w:bCs/>
                <w:sz w:val="26"/>
                <w:szCs w:val="26"/>
                <w:rtl/>
              </w:rPr>
            </w:pPr>
            <w:r w:rsidRPr="00ED1764">
              <w:rPr>
                <w:rFonts w:ascii="David" w:hAnsi="David" w:hint="cs"/>
                <w:b/>
                <w:bCs/>
                <w:sz w:val="26"/>
                <w:szCs w:val="26"/>
                <w:rtl/>
              </w:rPr>
              <w:t>ע"י ב"כ עו"ד רומן זילברמן</w:t>
            </w:r>
          </w:p>
        </w:tc>
        <w:tc>
          <w:tcPr>
            <w:tcW w:w="3771" w:type="dxa"/>
            <w:tcBorders>
              <w:top w:val="nil"/>
              <w:left w:val="nil"/>
              <w:bottom w:val="nil"/>
              <w:right w:val="nil"/>
            </w:tcBorders>
            <w:shd w:val="clear" w:color="auto" w:fill="auto"/>
          </w:tcPr>
          <w:p w14:paraId="17931B3E" w14:textId="77777777" w:rsidR="00D13689" w:rsidRPr="00ED1764" w:rsidRDefault="00D13689" w:rsidP="00D13689">
            <w:pPr>
              <w:jc w:val="right"/>
              <w:rPr>
                <w:rFonts w:ascii="David" w:hAnsi="David"/>
                <w:b/>
                <w:bCs/>
                <w:sz w:val="26"/>
                <w:szCs w:val="26"/>
                <w:rtl/>
              </w:rPr>
            </w:pPr>
            <w:r w:rsidRPr="00ED1764">
              <w:rPr>
                <w:rFonts w:ascii="David" w:hAnsi="David"/>
                <w:b/>
                <w:bCs/>
                <w:sz w:val="26"/>
                <w:szCs w:val="26"/>
                <w:rtl/>
              </w:rPr>
              <w:t>המאשימה</w:t>
            </w:r>
          </w:p>
        </w:tc>
      </w:tr>
      <w:bookmarkEnd w:id="2"/>
      <w:tr w:rsidR="00D13689" w:rsidRPr="00ED1764" w14:paraId="207DDABE" w14:textId="77777777" w:rsidTr="00D13689">
        <w:trPr>
          <w:trHeight w:val="355"/>
          <w:jc w:val="center"/>
        </w:trPr>
        <w:tc>
          <w:tcPr>
            <w:tcW w:w="923" w:type="dxa"/>
            <w:tcBorders>
              <w:top w:val="nil"/>
              <w:left w:val="nil"/>
              <w:bottom w:val="nil"/>
              <w:right w:val="nil"/>
            </w:tcBorders>
            <w:shd w:val="clear" w:color="auto" w:fill="auto"/>
          </w:tcPr>
          <w:p w14:paraId="7A2733E8" w14:textId="77777777" w:rsidR="00D13689" w:rsidRPr="00ED1764" w:rsidRDefault="00D13689" w:rsidP="00D13689">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4CFF4EA2" w14:textId="77777777" w:rsidR="00D13689" w:rsidRPr="00ED1764" w:rsidRDefault="00D13689" w:rsidP="00D13689">
            <w:pPr>
              <w:jc w:val="center"/>
              <w:rPr>
                <w:rFonts w:ascii="David" w:hAnsi="David"/>
                <w:b/>
                <w:bCs/>
                <w:sz w:val="26"/>
                <w:szCs w:val="26"/>
                <w:rtl/>
              </w:rPr>
            </w:pPr>
          </w:p>
          <w:p w14:paraId="79786BE6" w14:textId="77777777" w:rsidR="00D13689" w:rsidRPr="00ED1764" w:rsidRDefault="00D13689" w:rsidP="00D13689">
            <w:pPr>
              <w:jc w:val="center"/>
              <w:rPr>
                <w:rFonts w:ascii="David" w:hAnsi="David"/>
                <w:b/>
                <w:bCs/>
                <w:sz w:val="26"/>
                <w:szCs w:val="26"/>
                <w:rtl/>
              </w:rPr>
            </w:pPr>
            <w:r w:rsidRPr="00ED1764">
              <w:rPr>
                <w:rFonts w:ascii="David" w:hAnsi="David"/>
                <w:b/>
                <w:bCs/>
                <w:sz w:val="26"/>
                <w:szCs w:val="26"/>
                <w:rtl/>
              </w:rPr>
              <w:t>נגד</w:t>
            </w:r>
          </w:p>
          <w:p w14:paraId="1BD04899" w14:textId="77777777" w:rsidR="00D13689" w:rsidRPr="00ED1764" w:rsidRDefault="00D13689" w:rsidP="00D13689">
            <w:pPr>
              <w:jc w:val="both"/>
              <w:rPr>
                <w:rFonts w:ascii="David" w:hAnsi="David"/>
                <w:b/>
                <w:bCs/>
                <w:sz w:val="26"/>
                <w:szCs w:val="26"/>
              </w:rPr>
            </w:pPr>
          </w:p>
        </w:tc>
      </w:tr>
      <w:tr w:rsidR="00D13689" w:rsidRPr="00ED1764" w14:paraId="70910806" w14:textId="77777777" w:rsidTr="00D13689">
        <w:trPr>
          <w:trHeight w:val="355"/>
          <w:jc w:val="center"/>
        </w:trPr>
        <w:tc>
          <w:tcPr>
            <w:tcW w:w="923" w:type="dxa"/>
            <w:tcBorders>
              <w:top w:val="nil"/>
              <w:left w:val="nil"/>
              <w:bottom w:val="nil"/>
              <w:right w:val="nil"/>
            </w:tcBorders>
            <w:shd w:val="clear" w:color="auto" w:fill="auto"/>
          </w:tcPr>
          <w:p w14:paraId="173D779A" w14:textId="77777777" w:rsidR="00D13689" w:rsidRPr="00ED1764" w:rsidRDefault="00D13689" w:rsidP="006225CA">
            <w:pPr>
              <w:rPr>
                <w:rFonts w:ascii="David" w:hAnsi="David"/>
                <w:b/>
                <w:bCs/>
                <w:sz w:val="26"/>
                <w:szCs w:val="26"/>
                <w:rtl/>
              </w:rPr>
            </w:pPr>
          </w:p>
        </w:tc>
        <w:tc>
          <w:tcPr>
            <w:tcW w:w="4126" w:type="dxa"/>
            <w:tcBorders>
              <w:top w:val="nil"/>
              <w:left w:val="nil"/>
              <w:bottom w:val="nil"/>
              <w:right w:val="nil"/>
            </w:tcBorders>
            <w:shd w:val="clear" w:color="auto" w:fill="auto"/>
          </w:tcPr>
          <w:p w14:paraId="2C221AD9" w14:textId="77777777" w:rsidR="00D13689" w:rsidRPr="00ED1764" w:rsidRDefault="00D13689" w:rsidP="006225CA">
            <w:pPr>
              <w:rPr>
                <w:rFonts w:ascii="David" w:hAnsi="David"/>
                <w:b/>
                <w:bCs/>
                <w:sz w:val="26"/>
                <w:szCs w:val="26"/>
                <w:rtl/>
              </w:rPr>
            </w:pPr>
            <w:r w:rsidRPr="00ED1764">
              <w:rPr>
                <w:rFonts w:ascii="David" w:hAnsi="David"/>
                <w:b/>
                <w:bCs/>
                <w:sz w:val="26"/>
                <w:szCs w:val="26"/>
                <w:rtl/>
              </w:rPr>
              <w:t>דניאל אגיבייב (עציר)</w:t>
            </w:r>
            <w:r w:rsidRPr="00ED1764">
              <w:rPr>
                <w:rFonts w:ascii="David" w:hAnsi="David" w:hint="cs"/>
                <w:b/>
                <w:bCs/>
                <w:sz w:val="26"/>
                <w:szCs w:val="26"/>
                <w:rtl/>
              </w:rPr>
              <w:t>-ויעוד חזותי</w:t>
            </w:r>
          </w:p>
        </w:tc>
        <w:tc>
          <w:tcPr>
            <w:tcW w:w="3771" w:type="dxa"/>
            <w:tcBorders>
              <w:top w:val="nil"/>
              <w:left w:val="nil"/>
              <w:bottom w:val="nil"/>
              <w:right w:val="nil"/>
            </w:tcBorders>
            <w:shd w:val="clear" w:color="auto" w:fill="auto"/>
          </w:tcPr>
          <w:p w14:paraId="336CD0BF" w14:textId="77777777" w:rsidR="00D13689" w:rsidRPr="00ED1764" w:rsidRDefault="00D13689" w:rsidP="00D13689">
            <w:pPr>
              <w:jc w:val="right"/>
              <w:rPr>
                <w:rFonts w:ascii="David" w:hAnsi="David"/>
                <w:b/>
                <w:bCs/>
                <w:sz w:val="26"/>
                <w:szCs w:val="26"/>
              </w:rPr>
            </w:pPr>
          </w:p>
        </w:tc>
      </w:tr>
      <w:tr w:rsidR="00D13689" w:rsidRPr="00ED1764" w14:paraId="08328B15" w14:textId="77777777" w:rsidTr="00D13689">
        <w:trPr>
          <w:trHeight w:val="355"/>
          <w:jc w:val="center"/>
        </w:trPr>
        <w:tc>
          <w:tcPr>
            <w:tcW w:w="923" w:type="dxa"/>
            <w:tcBorders>
              <w:top w:val="nil"/>
              <w:left w:val="nil"/>
              <w:bottom w:val="nil"/>
              <w:right w:val="nil"/>
            </w:tcBorders>
            <w:shd w:val="clear" w:color="auto" w:fill="auto"/>
          </w:tcPr>
          <w:p w14:paraId="06EDC9D1" w14:textId="77777777" w:rsidR="00D13689" w:rsidRPr="00ED1764" w:rsidRDefault="00D13689" w:rsidP="00D13689">
            <w:pPr>
              <w:jc w:val="both"/>
              <w:rPr>
                <w:rFonts w:ascii="David" w:hAnsi="David"/>
                <w:b/>
                <w:bCs/>
                <w:sz w:val="26"/>
                <w:szCs w:val="26"/>
                <w:rtl/>
              </w:rPr>
            </w:pPr>
          </w:p>
        </w:tc>
        <w:tc>
          <w:tcPr>
            <w:tcW w:w="4126" w:type="dxa"/>
            <w:tcBorders>
              <w:top w:val="nil"/>
              <w:left w:val="nil"/>
              <w:bottom w:val="nil"/>
              <w:right w:val="nil"/>
            </w:tcBorders>
            <w:shd w:val="clear" w:color="auto" w:fill="auto"/>
          </w:tcPr>
          <w:p w14:paraId="6B63FF4F" w14:textId="77777777" w:rsidR="00D13689" w:rsidRPr="00ED1764" w:rsidRDefault="00D13689" w:rsidP="00D13689">
            <w:pPr>
              <w:jc w:val="both"/>
              <w:rPr>
                <w:rFonts w:ascii="David" w:hAnsi="David"/>
                <w:b/>
                <w:bCs/>
                <w:sz w:val="26"/>
                <w:szCs w:val="26"/>
                <w:rtl/>
              </w:rPr>
            </w:pPr>
            <w:r w:rsidRPr="00ED1764">
              <w:rPr>
                <w:rFonts w:ascii="David" w:hAnsi="David" w:hint="cs"/>
                <w:b/>
                <w:bCs/>
                <w:sz w:val="26"/>
                <w:szCs w:val="26"/>
                <w:rtl/>
              </w:rPr>
              <w:t>ע"י ב"כ עו"ד אפרת צרפתי</w:t>
            </w:r>
          </w:p>
        </w:tc>
        <w:tc>
          <w:tcPr>
            <w:tcW w:w="3771" w:type="dxa"/>
            <w:tcBorders>
              <w:top w:val="nil"/>
              <w:left w:val="nil"/>
              <w:bottom w:val="nil"/>
              <w:right w:val="nil"/>
            </w:tcBorders>
            <w:shd w:val="clear" w:color="auto" w:fill="auto"/>
          </w:tcPr>
          <w:p w14:paraId="7646763A" w14:textId="77777777" w:rsidR="00D13689" w:rsidRPr="00ED1764" w:rsidRDefault="00D13689" w:rsidP="00D13689">
            <w:pPr>
              <w:jc w:val="right"/>
              <w:rPr>
                <w:rFonts w:ascii="David" w:hAnsi="David"/>
                <w:b/>
                <w:bCs/>
                <w:sz w:val="26"/>
                <w:szCs w:val="26"/>
              </w:rPr>
            </w:pPr>
            <w:r w:rsidRPr="00ED1764">
              <w:rPr>
                <w:rFonts w:ascii="David" w:hAnsi="David"/>
                <w:b/>
                <w:bCs/>
                <w:sz w:val="26"/>
                <w:szCs w:val="26"/>
                <w:rtl/>
              </w:rPr>
              <w:t>הנאשם</w:t>
            </w:r>
          </w:p>
        </w:tc>
      </w:tr>
    </w:tbl>
    <w:p w14:paraId="160E496C" w14:textId="77777777" w:rsidR="00D55ABC" w:rsidRDefault="00D55ABC" w:rsidP="00D13689">
      <w:pPr>
        <w:rPr>
          <w:sz w:val="26"/>
          <w:szCs w:val="26"/>
          <w:rtl/>
        </w:rPr>
      </w:pPr>
    </w:p>
    <w:p w14:paraId="3D236ED4" w14:textId="77777777" w:rsidR="00D55ABC" w:rsidRPr="00D55ABC" w:rsidRDefault="00D55ABC" w:rsidP="00D55ABC">
      <w:pPr>
        <w:spacing w:after="120" w:line="240" w:lineRule="exact"/>
        <w:ind w:left="283" w:hanging="283"/>
        <w:jc w:val="both"/>
        <w:rPr>
          <w:rFonts w:ascii="FrankRuehl" w:hAnsi="FrankRuehl" w:cs="FrankRuehl"/>
          <w:rtl/>
        </w:rPr>
      </w:pPr>
    </w:p>
    <w:p w14:paraId="135F9682" w14:textId="77777777" w:rsidR="00A812BA" w:rsidRPr="00A812BA" w:rsidRDefault="00A812BA" w:rsidP="00A812BA">
      <w:pPr>
        <w:spacing w:before="120" w:after="120" w:line="240" w:lineRule="exact"/>
        <w:ind w:left="283" w:hanging="283"/>
        <w:jc w:val="both"/>
        <w:rPr>
          <w:rFonts w:ascii="FrankRuehl" w:hAnsi="FrankRuehl" w:cs="FrankRuehl"/>
          <w:rtl/>
        </w:rPr>
      </w:pPr>
    </w:p>
    <w:p w14:paraId="551DA462" w14:textId="77777777" w:rsidR="009E6628" w:rsidRDefault="009E6628" w:rsidP="009E6628">
      <w:pPr>
        <w:rPr>
          <w:rFonts w:ascii="David" w:hAnsi="David"/>
          <w:sz w:val="26"/>
          <w:szCs w:val="26"/>
          <w:rtl/>
        </w:rPr>
      </w:pPr>
      <w:bookmarkStart w:id="3" w:name="LawTable"/>
      <w:bookmarkEnd w:id="3"/>
    </w:p>
    <w:p w14:paraId="6D38356A" w14:textId="77777777" w:rsidR="009E6628" w:rsidRPr="009E6628" w:rsidRDefault="009E6628" w:rsidP="009E6628">
      <w:pPr>
        <w:spacing w:before="120" w:after="120" w:line="240" w:lineRule="exact"/>
        <w:ind w:left="283" w:hanging="283"/>
        <w:jc w:val="both"/>
        <w:rPr>
          <w:rFonts w:ascii="FrankRuehl" w:hAnsi="FrankRuehl" w:cs="FrankRuehl"/>
          <w:rtl/>
        </w:rPr>
      </w:pPr>
    </w:p>
    <w:p w14:paraId="20662057" w14:textId="77777777" w:rsidR="009E6628" w:rsidRPr="009E6628" w:rsidRDefault="009E6628" w:rsidP="009E6628">
      <w:pPr>
        <w:spacing w:before="120" w:after="120" w:line="240" w:lineRule="exact"/>
        <w:ind w:left="283" w:hanging="283"/>
        <w:jc w:val="both"/>
        <w:rPr>
          <w:rFonts w:ascii="FrankRuehl" w:hAnsi="FrankRuehl" w:cs="FrankRuehl"/>
          <w:rtl/>
        </w:rPr>
      </w:pPr>
    </w:p>
    <w:p w14:paraId="08F374C3" w14:textId="77777777" w:rsidR="009E6628" w:rsidRPr="009E6628" w:rsidRDefault="009E6628" w:rsidP="009E6628">
      <w:pPr>
        <w:spacing w:before="120" w:after="120" w:line="240" w:lineRule="exact"/>
        <w:ind w:left="283" w:hanging="283"/>
        <w:jc w:val="both"/>
        <w:rPr>
          <w:rFonts w:ascii="FrankRuehl" w:hAnsi="FrankRuehl" w:cs="FrankRuehl"/>
          <w:rtl/>
        </w:rPr>
      </w:pPr>
      <w:r w:rsidRPr="009E6628">
        <w:rPr>
          <w:rFonts w:ascii="FrankRuehl" w:hAnsi="FrankRuehl" w:cs="FrankRuehl"/>
          <w:rtl/>
        </w:rPr>
        <w:t xml:space="preserve">חקיקה שאוזכרה: </w:t>
      </w:r>
    </w:p>
    <w:p w14:paraId="7ED3176E" w14:textId="77777777" w:rsidR="009E6628" w:rsidRPr="009E6628" w:rsidRDefault="009E6628" w:rsidP="009E6628">
      <w:pPr>
        <w:spacing w:before="120" w:after="120" w:line="240" w:lineRule="exact"/>
        <w:ind w:left="283" w:hanging="283"/>
        <w:jc w:val="both"/>
        <w:rPr>
          <w:rFonts w:ascii="FrankRuehl" w:hAnsi="FrankRuehl" w:cs="FrankRuehl"/>
          <w:rtl/>
        </w:rPr>
      </w:pPr>
      <w:hyperlink r:id="rId8" w:history="1">
        <w:r w:rsidRPr="009E6628">
          <w:rPr>
            <w:rFonts w:ascii="FrankRuehl" w:hAnsi="FrankRuehl" w:cs="FrankRuehl"/>
            <w:color w:val="0000FF"/>
            <w:rtl/>
          </w:rPr>
          <w:t>פקודת הסמים המסוכנים [נוסח חדש], תשל"ג-1973</w:t>
        </w:r>
      </w:hyperlink>
      <w:r w:rsidRPr="009E6628">
        <w:rPr>
          <w:rFonts w:ascii="FrankRuehl" w:hAnsi="FrankRuehl" w:cs="FrankRuehl"/>
          <w:rtl/>
        </w:rPr>
        <w:t xml:space="preserve">: סע'  </w:t>
      </w:r>
      <w:hyperlink r:id="rId9" w:history="1">
        <w:r w:rsidRPr="009E6628">
          <w:rPr>
            <w:rFonts w:ascii="FrankRuehl" w:hAnsi="FrankRuehl" w:cs="FrankRuehl"/>
            <w:color w:val="0000FF"/>
            <w:rtl/>
          </w:rPr>
          <w:t>6</w:t>
        </w:r>
      </w:hyperlink>
      <w:r w:rsidRPr="009E6628">
        <w:rPr>
          <w:rFonts w:ascii="FrankRuehl" w:hAnsi="FrankRuehl" w:cs="FrankRuehl"/>
          <w:rtl/>
        </w:rPr>
        <w:t xml:space="preserve">, </w:t>
      </w:r>
      <w:hyperlink r:id="rId10" w:history="1">
        <w:r w:rsidRPr="009E6628">
          <w:rPr>
            <w:rFonts w:ascii="FrankRuehl" w:hAnsi="FrankRuehl" w:cs="FrankRuehl"/>
            <w:color w:val="0000FF"/>
            <w:rtl/>
          </w:rPr>
          <w:t>10</w:t>
        </w:r>
      </w:hyperlink>
    </w:p>
    <w:p w14:paraId="0336D8D1" w14:textId="77777777" w:rsidR="009E6628" w:rsidRPr="009E6628" w:rsidRDefault="009E6628" w:rsidP="009E6628">
      <w:pPr>
        <w:rPr>
          <w:rFonts w:ascii="David" w:hAnsi="David"/>
          <w:sz w:val="26"/>
          <w:szCs w:val="26"/>
          <w:rtl/>
        </w:rPr>
      </w:pPr>
      <w:bookmarkStart w:id="4" w:name="LawTable_End"/>
      <w:bookmarkEnd w:id="4"/>
    </w:p>
    <w:p w14:paraId="6A287528" w14:textId="77777777" w:rsidR="00D13689" w:rsidRPr="00A812BA" w:rsidRDefault="00D13689" w:rsidP="00A812BA">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13689" w14:paraId="537D289B" w14:textId="77777777" w:rsidTr="00D13689">
        <w:trPr>
          <w:trHeight w:val="355"/>
          <w:jc w:val="center"/>
        </w:trPr>
        <w:tc>
          <w:tcPr>
            <w:tcW w:w="8820" w:type="dxa"/>
            <w:tcBorders>
              <w:top w:val="nil"/>
              <w:left w:val="nil"/>
              <w:bottom w:val="nil"/>
              <w:right w:val="nil"/>
            </w:tcBorders>
            <w:shd w:val="clear" w:color="auto" w:fill="auto"/>
          </w:tcPr>
          <w:p w14:paraId="2D237852" w14:textId="77777777" w:rsidR="00ED1764" w:rsidRPr="00ED1764" w:rsidRDefault="00ED1764" w:rsidP="00ED1764">
            <w:pPr>
              <w:jc w:val="center"/>
              <w:rPr>
                <w:rFonts w:ascii="David" w:hAnsi="David"/>
                <w:b/>
                <w:bCs/>
                <w:sz w:val="32"/>
                <w:szCs w:val="32"/>
                <w:u w:val="single"/>
                <w:rtl/>
              </w:rPr>
            </w:pPr>
            <w:bookmarkStart w:id="5" w:name="PsakDin" w:colFirst="0" w:colLast="0"/>
            <w:r w:rsidRPr="00ED1764">
              <w:rPr>
                <w:rFonts w:ascii="David" w:hAnsi="David"/>
                <w:b/>
                <w:bCs/>
                <w:sz w:val="32"/>
                <w:szCs w:val="32"/>
                <w:u w:val="single"/>
                <w:rtl/>
              </w:rPr>
              <w:t>גזר דין</w:t>
            </w:r>
          </w:p>
          <w:p w14:paraId="44CBA4C6" w14:textId="77777777" w:rsidR="00D13689" w:rsidRPr="00ED1764" w:rsidRDefault="00D13689" w:rsidP="00ED1764">
            <w:pPr>
              <w:jc w:val="center"/>
              <w:rPr>
                <w:rFonts w:ascii="David" w:hAnsi="David"/>
                <w:bCs/>
                <w:sz w:val="32"/>
                <w:szCs w:val="32"/>
                <w:u w:val="single"/>
                <w:rtl/>
              </w:rPr>
            </w:pPr>
          </w:p>
        </w:tc>
      </w:tr>
      <w:bookmarkEnd w:id="5"/>
    </w:tbl>
    <w:p w14:paraId="038B92A3" w14:textId="77777777" w:rsidR="00D13689" w:rsidRPr="002B7D23" w:rsidRDefault="00D13689" w:rsidP="00D13689">
      <w:pPr>
        <w:rPr>
          <w:rFonts w:ascii="David" w:hAnsi="David"/>
          <w:sz w:val="26"/>
          <w:szCs w:val="26"/>
          <w:rtl/>
        </w:rPr>
      </w:pPr>
    </w:p>
    <w:p w14:paraId="1C851FE7" w14:textId="77777777" w:rsidR="00D13689" w:rsidRPr="00475B69" w:rsidRDefault="00D13689" w:rsidP="00D13689">
      <w:pPr>
        <w:spacing w:after="160" w:line="360" w:lineRule="auto"/>
        <w:rPr>
          <w:rFonts w:ascii="David" w:hAnsi="David"/>
          <w:b/>
          <w:bCs/>
          <w:u w:val="single"/>
          <w:rtl/>
        </w:rPr>
      </w:pPr>
      <w:r w:rsidRPr="00475B69">
        <w:rPr>
          <w:rFonts w:ascii="David" w:hAnsi="David"/>
          <w:b/>
          <w:bCs/>
          <w:u w:val="single"/>
          <w:rtl/>
        </w:rPr>
        <w:t>רקע</w:t>
      </w:r>
    </w:p>
    <w:p w14:paraId="3A25AC99" w14:textId="77777777" w:rsidR="00D13689" w:rsidRPr="00475B69" w:rsidRDefault="00D13689" w:rsidP="00D13689">
      <w:pPr>
        <w:spacing w:after="160" w:line="360" w:lineRule="auto"/>
        <w:ind w:left="720" w:hanging="720"/>
        <w:jc w:val="both"/>
        <w:rPr>
          <w:rFonts w:ascii="David" w:hAnsi="David"/>
          <w:rtl/>
        </w:rPr>
      </w:pPr>
      <w:r>
        <w:rPr>
          <w:rFonts w:ascii="David" w:hAnsi="David" w:hint="cs"/>
          <w:rtl/>
        </w:rPr>
        <w:t>1.</w:t>
      </w:r>
      <w:r>
        <w:rPr>
          <w:rFonts w:ascii="David" w:hAnsi="David" w:hint="cs"/>
          <w:rtl/>
        </w:rPr>
        <w:tab/>
      </w:r>
      <w:bookmarkStart w:id="6" w:name="ABSTRACT_START"/>
      <w:bookmarkEnd w:id="6"/>
      <w:r w:rsidRPr="00475B69">
        <w:rPr>
          <w:rFonts w:ascii="David" w:hAnsi="David"/>
          <w:rtl/>
        </w:rPr>
        <w:t xml:space="preserve">הנאשם הורשע  בהתאם להודאתו בעובדות כתב אישום מתוקן במסגרת הסדר טיעון מיום 7.4.2021 בעבירות של גידול סמים, לפי </w:t>
      </w:r>
      <w:hyperlink r:id="rId11" w:history="1">
        <w:bookmarkStart w:id="7" w:name="Seif2"/>
        <w:r w:rsidR="00D55ABC" w:rsidRPr="00D55ABC">
          <w:rPr>
            <w:rStyle w:val="Hyperlink"/>
            <w:rFonts w:ascii="David" w:hAnsi="David"/>
            <w:rtl/>
          </w:rPr>
          <w:t xml:space="preserve">סעיף </w:t>
        </w:r>
        <w:bookmarkEnd w:id="7"/>
        <w:r w:rsidR="00D55ABC" w:rsidRPr="00D55ABC">
          <w:rPr>
            <w:rStyle w:val="Hyperlink"/>
            <w:rFonts w:ascii="David" w:hAnsi="David"/>
            <w:rtl/>
          </w:rPr>
          <w:t>6</w:t>
        </w:r>
      </w:hyperlink>
      <w:r w:rsidRPr="00475B69">
        <w:rPr>
          <w:rFonts w:ascii="David" w:hAnsi="David"/>
          <w:rtl/>
        </w:rPr>
        <w:t xml:space="preserve"> ב</w:t>
      </w:r>
      <w:hyperlink r:id="rId12" w:history="1">
        <w:r w:rsidR="00ED1764" w:rsidRPr="00ED1764">
          <w:rPr>
            <w:rFonts w:ascii="David" w:hAnsi="David"/>
            <w:color w:val="0000FF"/>
            <w:u w:val="single"/>
            <w:rtl/>
          </w:rPr>
          <w:t>פקודת הסמים המסוכנים</w:t>
        </w:r>
      </w:hyperlink>
      <w:r w:rsidRPr="00475B69">
        <w:rPr>
          <w:rFonts w:ascii="David" w:hAnsi="David"/>
          <w:rtl/>
        </w:rPr>
        <w:t xml:space="preserve"> [נוסח חדש] תשל"ג-1973 [להלן: </w:t>
      </w:r>
      <w:r w:rsidRPr="00475B69">
        <w:rPr>
          <w:rFonts w:ascii="David" w:hAnsi="David"/>
          <w:b/>
          <w:bCs/>
          <w:rtl/>
        </w:rPr>
        <w:t>"פקודת הסמים"</w:t>
      </w:r>
      <w:r w:rsidRPr="00475B69">
        <w:rPr>
          <w:rFonts w:ascii="David" w:hAnsi="David"/>
          <w:rtl/>
        </w:rPr>
        <w:t xml:space="preserve">] ועבירה של החזקת כלים להכנת סם, לפי </w:t>
      </w:r>
      <w:hyperlink r:id="rId13" w:history="1">
        <w:bookmarkStart w:id="8" w:name="Seif3"/>
        <w:r w:rsidR="00D55ABC" w:rsidRPr="00D55ABC">
          <w:rPr>
            <w:rStyle w:val="Hyperlink"/>
            <w:rFonts w:ascii="David" w:hAnsi="David"/>
            <w:rtl/>
          </w:rPr>
          <w:t xml:space="preserve">סעיף </w:t>
        </w:r>
        <w:bookmarkEnd w:id="8"/>
        <w:r w:rsidR="00D55ABC" w:rsidRPr="00D55ABC">
          <w:rPr>
            <w:rStyle w:val="Hyperlink"/>
            <w:rFonts w:ascii="David" w:hAnsi="David"/>
            <w:rtl/>
          </w:rPr>
          <w:t>10</w:t>
        </w:r>
      </w:hyperlink>
      <w:r w:rsidRPr="00475B69">
        <w:rPr>
          <w:rFonts w:ascii="David" w:hAnsi="David"/>
          <w:rtl/>
        </w:rPr>
        <w:t xml:space="preserve"> רישא לפקודת הסמים.</w:t>
      </w:r>
    </w:p>
    <w:p w14:paraId="525B2E97" w14:textId="77777777" w:rsidR="00D13689" w:rsidRPr="00475B69" w:rsidRDefault="00D13689" w:rsidP="00D13689">
      <w:pPr>
        <w:spacing w:after="160" w:line="360" w:lineRule="auto"/>
        <w:ind w:left="720" w:hanging="720"/>
        <w:jc w:val="both"/>
        <w:rPr>
          <w:rFonts w:ascii="David" w:hAnsi="David"/>
          <w:rtl/>
        </w:rPr>
      </w:pPr>
      <w:bookmarkStart w:id="9" w:name="ABSTRACT_END"/>
      <w:bookmarkEnd w:id="9"/>
      <w:r>
        <w:rPr>
          <w:rFonts w:ascii="David" w:hAnsi="David" w:hint="cs"/>
          <w:rtl/>
        </w:rPr>
        <w:t>2.</w:t>
      </w:r>
      <w:r>
        <w:rPr>
          <w:rFonts w:ascii="David" w:hAnsi="David" w:hint="cs"/>
          <w:rtl/>
        </w:rPr>
        <w:tab/>
      </w:r>
      <w:r w:rsidRPr="00475B69">
        <w:rPr>
          <w:rFonts w:ascii="David" w:hAnsi="David"/>
          <w:rtl/>
        </w:rPr>
        <w:t xml:space="preserve">על פי כתב האישום המתוקן, ביום 23.11.2020 הסב הנאשם דירה בבאר שבע למעבדת סמים בכך שהתקין בה 65 מנורות פלורסנט, 8 שנאים, 2 מפוחים, אוהל חממה, 16 תאורות לד, 3 מאווררים, 32 מדפים עליהם הניח אדניות והכל בכוונה לגדל סמים. ביום 23.11.2020 </w:t>
      </w:r>
      <w:r w:rsidRPr="00475B69">
        <w:rPr>
          <w:rFonts w:ascii="David" w:hAnsi="David"/>
          <w:rtl/>
        </w:rPr>
        <w:lastRenderedPageBreak/>
        <w:t>נמצאו בדירה 1,800 שתילים של קנבוס במשקל כולל של 12.5 ק"ג. באותו מעמד החזיק הנאשם בדירה 3 משקלים אלקטרוניים וסך של 2,880 ₪.</w:t>
      </w:r>
    </w:p>
    <w:p w14:paraId="0F173BDD" w14:textId="77777777" w:rsidR="00D13689" w:rsidRPr="00475B69" w:rsidRDefault="00D13689" w:rsidP="00D13689">
      <w:pPr>
        <w:spacing w:after="160" w:line="360" w:lineRule="auto"/>
        <w:jc w:val="both"/>
        <w:rPr>
          <w:rFonts w:ascii="David" w:hAnsi="David"/>
          <w:rtl/>
        </w:rPr>
      </w:pPr>
    </w:p>
    <w:p w14:paraId="09603B12" w14:textId="77777777" w:rsidR="00D13689" w:rsidRPr="00475B69" w:rsidRDefault="00D13689" w:rsidP="00D13689">
      <w:pPr>
        <w:spacing w:after="160" w:line="360" w:lineRule="auto"/>
        <w:jc w:val="both"/>
        <w:rPr>
          <w:rFonts w:ascii="David" w:hAnsi="David"/>
          <w:b/>
          <w:bCs/>
          <w:u w:val="single"/>
          <w:rtl/>
        </w:rPr>
      </w:pPr>
      <w:r w:rsidRPr="00475B69">
        <w:rPr>
          <w:rFonts w:ascii="David" w:hAnsi="David"/>
          <w:b/>
          <w:bCs/>
          <w:u w:val="single"/>
          <w:rtl/>
        </w:rPr>
        <w:t>טענות הצדדים</w:t>
      </w:r>
    </w:p>
    <w:p w14:paraId="4BC6D457" w14:textId="77777777" w:rsidR="00D13689" w:rsidRPr="00475B69" w:rsidRDefault="00D13689" w:rsidP="00D13689">
      <w:pPr>
        <w:spacing w:after="160" w:line="360" w:lineRule="auto"/>
        <w:ind w:left="720" w:hanging="720"/>
        <w:jc w:val="both"/>
        <w:rPr>
          <w:rFonts w:ascii="David" w:hAnsi="David"/>
          <w:rtl/>
        </w:rPr>
      </w:pPr>
      <w:r>
        <w:rPr>
          <w:rFonts w:ascii="David" w:hAnsi="David" w:hint="cs"/>
          <w:rtl/>
        </w:rPr>
        <w:t>3.</w:t>
      </w:r>
      <w:r>
        <w:rPr>
          <w:rFonts w:ascii="David" w:hAnsi="David" w:hint="cs"/>
          <w:rtl/>
        </w:rPr>
        <w:tab/>
      </w:r>
      <w:r w:rsidRPr="00475B69">
        <w:rPr>
          <w:rFonts w:ascii="David" w:hAnsi="David"/>
          <w:b/>
          <w:bCs/>
          <w:rtl/>
        </w:rPr>
        <w:t xml:space="preserve">ב"כ המאשימה </w:t>
      </w:r>
      <w:r w:rsidRPr="00475B69">
        <w:rPr>
          <w:rFonts w:ascii="David" w:hAnsi="David"/>
          <w:rtl/>
        </w:rPr>
        <w:t xml:space="preserve">הגישה טיעון לעונש בכתב וכן את גיליון הרישום הפלילי של הנאשם. המאשימה עמדה על הערכים המוגנים בעבירות של גידול הסמים כמי שעומדים בראש שרשרת הפצת הסם. נטען כי הנאשם הקים בעצמו את המעבדה, השקיע מכספו ומזמנו. מדובר בעבירה שקדמו לה תכנון, מאמץ, רכישת ידע והשגת אמצעים שעלותם לא מבוטלת. מכמות השתילים שנתפסו ניתן ללמוד על פוטנציאל נזק אדיר שטרם הספיק להתממש מהפצת הסם. המשקל הכולל של השתילים תומך בכך. החזקת המשקלים האלקטרוניים וסכום כסף במזומן תומכת בטענה כי הנאשם עסק בהפצת הסם הלכה למעשה. בנסיבות אלה ניתן להתרשם כי מדובר בנאשם "מקצועי" ומידת הפגיעה שלו בערכים המוגנים היא גבוהה. </w:t>
      </w:r>
    </w:p>
    <w:p w14:paraId="25CCED4A" w14:textId="77777777" w:rsidR="00D13689" w:rsidRPr="00475B69" w:rsidRDefault="00D13689" w:rsidP="00D13689">
      <w:pPr>
        <w:spacing w:after="160" w:line="360" w:lineRule="auto"/>
        <w:ind w:left="720"/>
        <w:jc w:val="both"/>
        <w:rPr>
          <w:rFonts w:ascii="David" w:hAnsi="David"/>
          <w:rtl/>
        </w:rPr>
      </w:pPr>
      <w:r w:rsidRPr="00475B69">
        <w:rPr>
          <w:rFonts w:ascii="David" w:hAnsi="David"/>
          <w:rtl/>
        </w:rPr>
        <w:t xml:space="preserve">המאשימה הפנתה לאסמכתאות מהן עלה הצורך בהחמרה בעבירות אלה שהפכו מכת מדינה. בין היתר הפנתה לפסק דין קודם של מותב זה שבו הורשע הנאשם בגידול 350 שתילים ונקבע מתחם המתחיל מ12 חודשי מאסר. המאשימה הדגישה את סכומי הכסף הגדולים המתגלגלים בשוק הסמים, את זמינותם, את קלות הביצוע ביחס לסיכון הנמוך בחשיפה, לאור הפיתוי הגדול לביצוע העבירה, גם ביחס למי שאינם עבריינים, יש מקום לענישה מרתיעה.  המאשימה טענה כי קיימים שיקולים מיוחדים המצדיקים החמרה בענישה, הן משיקולי הרתעת היחיד והן משיקולי הרתעת הרבים. </w:t>
      </w:r>
    </w:p>
    <w:p w14:paraId="41B80800" w14:textId="77777777" w:rsidR="00D13689" w:rsidRPr="00475B69" w:rsidRDefault="00D13689" w:rsidP="00D13689">
      <w:pPr>
        <w:spacing w:after="160" w:line="360" w:lineRule="auto"/>
        <w:ind w:left="720"/>
        <w:jc w:val="both"/>
        <w:rPr>
          <w:rFonts w:ascii="David" w:hAnsi="David"/>
          <w:rtl/>
        </w:rPr>
      </w:pPr>
      <w:r w:rsidRPr="00475B69">
        <w:rPr>
          <w:rFonts w:ascii="David" w:hAnsi="David"/>
          <w:rtl/>
        </w:rPr>
        <w:t xml:space="preserve">המאשימה הפנתה לאסמכתאות בנוגע לענישה הנוהגת וטענה למתחם ענישה של 28 עד 46 חודשי מאסר בפועל בצירוף עונשים נלווים. </w:t>
      </w:r>
    </w:p>
    <w:p w14:paraId="4C17B2DA" w14:textId="77777777" w:rsidR="00D13689" w:rsidRPr="00475B69" w:rsidRDefault="00D13689" w:rsidP="00D13689">
      <w:pPr>
        <w:spacing w:after="160" w:line="360" w:lineRule="auto"/>
        <w:ind w:left="720"/>
        <w:jc w:val="both"/>
        <w:rPr>
          <w:rFonts w:ascii="David" w:hAnsi="David"/>
          <w:rtl/>
        </w:rPr>
      </w:pPr>
      <w:r w:rsidRPr="00475B69">
        <w:rPr>
          <w:rFonts w:ascii="David" w:hAnsi="David"/>
          <w:rtl/>
        </w:rPr>
        <w:t xml:space="preserve">נטען כי יש לזקוף לזכות הנאשם את הודאתו בעובדות כתב האישום המתוקן והחיסכון בזמן השיפוטי. מנגד, לחובת הנאשם 6 הרשעות קודמות מרביתן בעבירות סמים והוא אף ריצה עונשי מאסר. אין במקרה זה שיקולי שיקום והנאשם לא ביקש כי יוגש בעניינו תסקיר. על כן, התבקשה ענישה בחלקו האמצעי של המתחם בצירוף עונשים נלווים. </w:t>
      </w:r>
    </w:p>
    <w:p w14:paraId="443540A4" w14:textId="77777777" w:rsidR="00D13689" w:rsidRPr="00475B69" w:rsidRDefault="00D13689" w:rsidP="00D13689">
      <w:pPr>
        <w:spacing w:after="160" w:line="360" w:lineRule="auto"/>
        <w:ind w:left="720" w:hanging="720"/>
        <w:jc w:val="both"/>
        <w:rPr>
          <w:rFonts w:ascii="David" w:hAnsi="David"/>
          <w:rtl/>
        </w:rPr>
      </w:pPr>
      <w:r>
        <w:rPr>
          <w:rFonts w:ascii="David" w:hAnsi="David" w:hint="cs"/>
          <w:rtl/>
        </w:rPr>
        <w:t>4.</w:t>
      </w:r>
      <w:r>
        <w:rPr>
          <w:rFonts w:ascii="David" w:hAnsi="David" w:hint="cs"/>
          <w:rtl/>
        </w:rPr>
        <w:tab/>
      </w:r>
      <w:r w:rsidRPr="00475B69">
        <w:rPr>
          <w:rFonts w:ascii="David" w:hAnsi="David"/>
          <w:b/>
          <w:bCs/>
          <w:rtl/>
        </w:rPr>
        <w:t>ב"כ הנאשם</w:t>
      </w:r>
      <w:r w:rsidRPr="00475B69">
        <w:rPr>
          <w:rFonts w:ascii="David" w:hAnsi="David"/>
          <w:rtl/>
        </w:rPr>
        <w:t xml:space="preserve"> טענה, במעבדה נתפסו שתילים בראשית גידולם והם היו קטנים. בעניין זה התקבלה התנגדות המאשימה לטיעון החורג מעובדות כתב האישום המתוקן, לאחר שהתקבלה התנגדות ב"כ הנאשם לבקשת המאשימה להגיש לתיק תמונות המעבדה, מנימוק דומה.  אכן, אין התייחסות בכתב האישום לשלבי הגידול והאם המשקל הכולל מלמד על שתילים קטנים במשקל של כ-1.5 גרם או שמדובר בשתילים בשלבי גידול שונים. בהתאם </w:t>
      </w:r>
      <w:r w:rsidRPr="00475B69">
        <w:rPr>
          <w:rFonts w:ascii="David" w:hAnsi="David"/>
          <w:rtl/>
        </w:rPr>
        <w:lastRenderedPageBreak/>
        <w:t>להוראות הדין בית המשפט לא יניח הנחות בעניין זה – לא לזכות הנאשם וודאי שלא לחובתו.</w:t>
      </w:r>
    </w:p>
    <w:p w14:paraId="49FDBF8D" w14:textId="77777777" w:rsidR="00D13689" w:rsidRPr="00475B69" w:rsidRDefault="00D13689" w:rsidP="00D13689">
      <w:pPr>
        <w:spacing w:after="160" w:line="360" w:lineRule="auto"/>
        <w:ind w:left="720"/>
        <w:jc w:val="both"/>
        <w:rPr>
          <w:rFonts w:ascii="David" w:hAnsi="David"/>
          <w:rtl/>
        </w:rPr>
      </w:pPr>
      <w:r w:rsidRPr="00475B69">
        <w:rPr>
          <w:rFonts w:ascii="David" w:hAnsi="David"/>
          <w:rtl/>
        </w:rPr>
        <w:t xml:space="preserve">ב"כ הנאשם סבורה כי מתחם העונש ההולם נמוך משמעותית מזה שהמאשימה טוענת לו ולכל היותר 12-20 חודשי מאסר. </w:t>
      </w:r>
    </w:p>
    <w:p w14:paraId="26AA543F" w14:textId="77777777" w:rsidR="00D13689" w:rsidRPr="00475B69" w:rsidRDefault="00D13689" w:rsidP="00D13689">
      <w:pPr>
        <w:spacing w:after="160" w:line="360" w:lineRule="auto"/>
        <w:ind w:left="720"/>
        <w:jc w:val="both"/>
        <w:rPr>
          <w:rFonts w:ascii="David" w:hAnsi="David"/>
          <w:rtl/>
        </w:rPr>
      </w:pPr>
      <w:r w:rsidRPr="00475B69">
        <w:rPr>
          <w:rFonts w:ascii="David" w:hAnsi="David"/>
          <w:rtl/>
        </w:rPr>
        <w:t xml:space="preserve">ב"כ הנאשם הפנתה לאסמכתאות במקרים שונים ואף צירפה בהמשך פסקי דין לתיק בית המשפט. </w:t>
      </w:r>
    </w:p>
    <w:p w14:paraId="6F6ECE6C" w14:textId="77777777" w:rsidR="00D13689" w:rsidRPr="00475B69" w:rsidRDefault="00D13689" w:rsidP="00D13689">
      <w:pPr>
        <w:spacing w:after="160" w:line="360" w:lineRule="auto"/>
        <w:ind w:left="720"/>
        <w:jc w:val="both"/>
        <w:rPr>
          <w:rFonts w:ascii="David" w:hAnsi="David"/>
          <w:rtl/>
        </w:rPr>
      </w:pPr>
      <w:r w:rsidRPr="00475B69">
        <w:rPr>
          <w:rFonts w:ascii="David" w:hAnsi="David"/>
          <w:rtl/>
        </w:rPr>
        <w:t>בקביעת העונש בתוך המתחם, ביקשה לתת משקל לנטילת האחריות כבר בשלב החקירה ולהודאה טרם ניהול ההוכחות. בנוסף נטען, כי אף שלנאשם הרשעות קודמות, לא מדובר בעבר פלילי מכביד. נטען, כי הנאשם עצור מזה תקופה ולו ילדה קטנה שלא ראה הרבה זמן ועל כן יש מקום שלא למצות את הדין עם הנאשם ולהטיל עליו עונש הקרוב לתחתית מתחם הענישה.</w:t>
      </w:r>
    </w:p>
    <w:p w14:paraId="08F207C3" w14:textId="77777777" w:rsidR="00D13689" w:rsidRPr="00475B69" w:rsidRDefault="00D13689" w:rsidP="00D13689">
      <w:pPr>
        <w:spacing w:after="160" w:line="360" w:lineRule="auto"/>
        <w:ind w:left="720" w:hanging="720"/>
        <w:jc w:val="both"/>
        <w:rPr>
          <w:rFonts w:ascii="David" w:hAnsi="David"/>
          <w:rtl/>
        </w:rPr>
      </w:pPr>
      <w:r>
        <w:rPr>
          <w:rFonts w:ascii="David" w:hAnsi="David" w:hint="cs"/>
          <w:rtl/>
        </w:rPr>
        <w:t>5.</w:t>
      </w:r>
      <w:r>
        <w:rPr>
          <w:rFonts w:ascii="David" w:hAnsi="David" w:hint="cs"/>
          <w:rtl/>
        </w:rPr>
        <w:tab/>
      </w:r>
      <w:r w:rsidRPr="00475B69">
        <w:rPr>
          <w:rFonts w:ascii="David" w:hAnsi="David"/>
          <w:b/>
          <w:bCs/>
          <w:rtl/>
        </w:rPr>
        <w:t>הנאשם</w:t>
      </w:r>
      <w:r w:rsidRPr="00475B69">
        <w:rPr>
          <w:rFonts w:ascii="David" w:hAnsi="David"/>
          <w:rtl/>
        </w:rPr>
        <w:t xml:space="preserve"> בדבריו האחרונים הביע צער על מעשיו וביקש לחזור לחיק משפחתו "ולהפסיק עם כל השטויות האלה".</w:t>
      </w:r>
    </w:p>
    <w:p w14:paraId="48208780" w14:textId="77777777" w:rsidR="00D13689" w:rsidRPr="00475B69" w:rsidRDefault="00D13689" w:rsidP="00D13689">
      <w:pPr>
        <w:spacing w:after="160" w:line="360" w:lineRule="auto"/>
        <w:jc w:val="both"/>
        <w:rPr>
          <w:rFonts w:ascii="David" w:hAnsi="David"/>
          <w:rtl/>
        </w:rPr>
      </w:pPr>
    </w:p>
    <w:p w14:paraId="22FB142A" w14:textId="77777777" w:rsidR="00D13689" w:rsidRPr="00475B69" w:rsidRDefault="00D13689" w:rsidP="00D13689">
      <w:pPr>
        <w:spacing w:after="160" w:line="360" w:lineRule="auto"/>
        <w:jc w:val="both"/>
        <w:rPr>
          <w:rFonts w:ascii="David" w:hAnsi="David"/>
          <w:b/>
          <w:bCs/>
          <w:u w:val="single"/>
          <w:rtl/>
        </w:rPr>
      </w:pPr>
      <w:r w:rsidRPr="00475B69">
        <w:rPr>
          <w:rFonts w:ascii="David" w:hAnsi="David"/>
          <w:b/>
          <w:bCs/>
          <w:u w:val="single"/>
          <w:rtl/>
        </w:rPr>
        <w:t>קביעת מתחם העונש ההולם:</w:t>
      </w:r>
    </w:p>
    <w:p w14:paraId="154160DC" w14:textId="77777777" w:rsidR="00D13689" w:rsidRPr="00475B69" w:rsidRDefault="00D13689" w:rsidP="00D13689">
      <w:pPr>
        <w:spacing w:after="160" w:line="360" w:lineRule="auto"/>
        <w:ind w:left="720" w:hanging="720"/>
        <w:jc w:val="both"/>
        <w:rPr>
          <w:rFonts w:ascii="David" w:hAnsi="David"/>
          <w:rtl/>
        </w:rPr>
      </w:pPr>
      <w:r>
        <w:rPr>
          <w:rFonts w:ascii="David" w:hAnsi="David" w:hint="cs"/>
          <w:rtl/>
        </w:rPr>
        <w:t>6.</w:t>
      </w:r>
      <w:r>
        <w:rPr>
          <w:rFonts w:ascii="David" w:hAnsi="David" w:hint="cs"/>
          <w:rtl/>
        </w:rPr>
        <w:tab/>
      </w:r>
      <w:r w:rsidRPr="00475B69">
        <w:rPr>
          <w:rFonts w:ascii="David" w:hAnsi="David"/>
          <w:rtl/>
        </w:rPr>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082D83FC" w14:textId="77777777" w:rsidR="00D13689" w:rsidRPr="00475B69" w:rsidRDefault="00D13689" w:rsidP="00D13689">
      <w:pPr>
        <w:spacing w:after="160" w:line="360" w:lineRule="auto"/>
        <w:ind w:left="720" w:hanging="720"/>
        <w:jc w:val="both"/>
        <w:rPr>
          <w:rFonts w:ascii="David" w:hAnsi="David"/>
        </w:rPr>
      </w:pPr>
      <w:r>
        <w:rPr>
          <w:rFonts w:ascii="David" w:hAnsi="David" w:hint="cs"/>
          <w:rtl/>
        </w:rPr>
        <w:t>7.</w:t>
      </w:r>
      <w:r>
        <w:rPr>
          <w:rFonts w:ascii="David" w:hAnsi="David" w:hint="cs"/>
          <w:rtl/>
        </w:rPr>
        <w:tab/>
      </w:r>
      <w:r w:rsidRPr="00475B69">
        <w:rPr>
          <w:rFonts w:ascii="David" w:hAnsi="David"/>
          <w:rtl/>
        </w:rPr>
        <w:t xml:space="preserve">הערכים המוגנים בעבירות סמים הם הגנה על בריאות הציבור ועל שלומו הפיזי והנפשי וכן על רכושו, מפני הנזקים הישירים והעקיפים הנגרמים עקב השימוש בסמים. חקיקת הסמים נועדה לעקור את נגע הסמים מהשורש, והמחוקק מצא להחמיר בעבירות ייצור וגידול הסם ולהשוותן לסחר בסמים, מבחינה נורמטיבית.  בגידול הסמים לצרכי הפצה טמון פוטנציאל לנזק רחב, לא רק למעורבים הישירים בביצוע העבירה ואף לא רק לצרכנים המיועדים, אלא לציבור כולו: לבני משפחותיהם, לבעלי העסקים ולכל נפגעי עבירות הרכוש הנלוות לעיתים קרובות לתלות בסם; לשוהים במרחבים הציבוריים שהאווירה ואיכות החיים בהם נפגמת כתוצאה מהתופעה הנרחבת של הפצת הסם והשימוש בו. כך, במקומות הבילוי, בכבישי הארץ, בגנים ובפארקים הציבוריים. </w:t>
      </w:r>
    </w:p>
    <w:p w14:paraId="552D0687" w14:textId="77777777" w:rsidR="00D13689" w:rsidRPr="00475B69" w:rsidRDefault="00D13689" w:rsidP="00D13689">
      <w:pPr>
        <w:spacing w:after="160" w:line="360" w:lineRule="auto"/>
        <w:ind w:left="720"/>
        <w:jc w:val="both"/>
        <w:rPr>
          <w:rFonts w:ascii="David" w:hAnsi="David"/>
        </w:rPr>
      </w:pPr>
      <w:r w:rsidRPr="00475B69">
        <w:rPr>
          <w:rFonts w:ascii="David" w:hAnsi="David"/>
          <w:rtl/>
        </w:rPr>
        <w:t xml:space="preserve">לעניין זה ראו דבריו הברורים של הרכב בית המשפט המחוזי בתל-אביב במסגרת </w:t>
      </w:r>
      <w:hyperlink r:id="rId14" w:history="1">
        <w:r w:rsidR="00ED1764" w:rsidRPr="00ED1764">
          <w:rPr>
            <w:rFonts w:ascii="David" w:hAnsi="David"/>
            <w:color w:val="0000FF"/>
            <w:u w:val="single"/>
            <w:rtl/>
          </w:rPr>
          <w:t>עפ"ג 46738-09-14</w:t>
        </w:r>
      </w:hyperlink>
      <w:r w:rsidRPr="00475B69">
        <w:rPr>
          <w:rFonts w:ascii="David" w:hAnsi="David"/>
          <w:rtl/>
        </w:rPr>
        <w:t xml:space="preserve"> </w:t>
      </w:r>
      <w:r w:rsidRPr="00475B69">
        <w:rPr>
          <w:rFonts w:ascii="David" w:hAnsi="David"/>
          <w:b/>
          <w:bCs/>
          <w:rtl/>
        </w:rPr>
        <w:t>מדינת ישראל נ' צקבאשווילי ואח'</w:t>
      </w:r>
      <w:r w:rsidRPr="00475B69">
        <w:rPr>
          <w:rFonts w:ascii="David" w:hAnsi="David"/>
          <w:rtl/>
        </w:rPr>
        <w:t xml:space="preserve"> (31.12.14):</w:t>
      </w:r>
    </w:p>
    <w:p w14:paraId="3B605AC9" w14:textId="77777777" w:rsidR="00D13689" w:rsidRPr="00475B69" w:rsidRDefault="00D13689" w:rsidP="00D13689">
      <w:pPr>
        <w:widowControl w:val="0"/>
        <w:spacing w:before="60" w:after="160" w:line="360" w:lineRule="auto"/>
        <w:ind w:left="1440" w:right="993"/>
        <w:jc w:val="both"/>
        <w:rPr>
          <w:rFonts w:ascii="David" w:hAnsi="David"/>
          <w:b/>
          <w:bCs/>
          <w:rtl/>
        </w:rPr>
      </w:pPr>
      <w:r w:rsidRPr="00475B69">
        <w:rPr>
          <w:rFonts w:ascii="David" w:hAnsi="David"/>
          <w:b/>
          <w:bCs/>
          <w:rtl/>
        </w:rPr>
        <w:t>"גידול סמים לשיטתנו כמוהו, מבחינת החומרה, כסחר והפצת סמים. לא זו בלבד, אלא שבהינתן המציאות הנוכחית שבה גידול הסמים הפך להיות למכת מדינה יש להילחם בו בחומרה כאשר הביטוי לכך יהיה בהרמת רף הענישה. המגדלים והמפיצים מצויים באותו מקום עצמו מבחינה ערכית ומעשית גם יחד. שניהם גורמים לכך שכמות סם מוצאת דרכה לשוק הסמים הרווי ממילא. הגידול, הסחר והיבוא, תהא הדרך לכניסתו לשוק של הסם אשר תהא - המכורים לסמים עושים בעזרתו צעד נוסף במדרון הסמים ומי שאינו מכור עדיין, יכול ויעשה את הצעד הראשון והקריטי בדרך להתמכרות לסם. הפגיעה בערך המוגן היא אותה פגיעה. ספציפית באשר למעבדות סמים: לצערנו, שוב ושוב אנו נתקלים במקרים כדוגמת המקרה הנוכחי...".</w:t>
      </w:r>
    </w:p>
    <w:p w14:paraId="7A87A084" w14:textId="77777777" w:rsidR="00D13689" w:rsidRPr="00475B69" w:rsidRDefault="00D13689" w:rsidP="00D13689">
      <w:pPr>
        <w:widowControl w:val="0"/>
        <w:spacing w:before="120" w:after="160" w:line="360" w:lineRule="auto"/>
        <w:ind w:left="720"/>
        <w:jc w:val="both"/>
        <w:rPr>
          <w:rFonts w:ascii="David" w:hAnsi="David"/>
          <w:rtl/>
        </w:rPr>
      </w:pPr>
      <w:r w:rsidRPr="00475B69">
        <w:rPr>
          <w:rFonts w:ascii="David" w:hAnsi="David"/>
          <w:rtl/>
        </w:rPr>
        <w:t>גם בחלוף השנים, הדברים נכונים וניכרים בעבודתו היומיומית של בית המשפט, ואף ביתר שאת.  ראו עוד גם ב</w:t>
      </w:r>
      <w:hyperlink r:id="rId15" w:history="1">
        <w:r w:rsidR="00ED1764" w:rsidRPr="00ED1764">
          <w:rPr>
            <w:rFonts w:ascii="David" w:hAnsi="David"/>
            <w:color w:val="0000FF"/>
            <w:u w:val="single"/>
            <w:rtl/>
          </w:rPr>
          <w:t>עפ"ג 42358-10-14</w:t>
        </w:r>
      </w:hyperlink>
      <w:r w:rsidRPr="00475B69">
        <w:rPr>
          <w:rFonts w:ascii="David" w:hAnsi="David"/>
          <w:rtl/>
        </w:rPr>
        <w:t xml:space="preserve"> </w:t>
      </w:r>
      <w:r w:rsidRPr="00475B69">
        <w:rPr>
          <w:rFonts w:ascii="David" w:hAnsi="David"/>
          <w:b/>
          <w:bCs/>
          <w:rtl/>
        </w:rPr>
        <w:t xml:space="preserve">גיא נ' מדינת ישראל </w:t>
      </w:r>
      <w:r w:rsidRPr="00475B69">
        <w:rPr>
          <w:rFonts w:ascii="David" w:hAnsi="David"/>
          <w:rtl/>
        </w:rPr>
        <w:t xml:space="preserve">(18.2.15):  </w:t>
      </w:r>
    </w:p>
    <w:p w14:paraId="4025DD71" w14:textId="77777777" w:rsidR="00D13689" w:rsidRPr="00475B69" w:rsidRDefault="00D13689" w:rsidP="00D13689">
      <w:pPr>
        <w:widowControl w:val="0"/>
        <w:spacing w:before="120" w:after="160" w:line="360" w:lineRule="auto"/>
        <w:ind w:left="1502" w:right="993"/>
        <w:jc w:val="both"/>
        <w:rPr>
          <w:rFonts w:ascii="David" w:hAnsi="David"/>
          <w:b/>
          <w:bCs/>
        </w:rPr>
      </w:pPr>
      <w:r w:rsidRPr="00475B69">
        <w:rPr>
          <w:rFonts w:ascii="David" w:hAnsi="David"/>
          <w:b/>
          <w:bCs/>
          <w:rtl/>
        </w:rPr>
        <w:t>"דומה שמעבדות הסם הפכו למכת מדינה. נראה שהקלות שבגידול הסם, הבטחון היחסי באי חשיפת העבירה כאשר מדובר בפעילות בתוך תחומי הבית והפוטנציאל הגלום בה משמשים קרקע נוחה להפיכתה לנפוצה. נפוצות העבירה מחייבת אמירה ברורה ונורמטיבית של בתי המשפט העוסקים בתחום זה".</w:t>
      </w:r>
    </w:p>
    <w:p w14:paraId="07AD0AB3" w14:textId="77777777" w:rsidR="00D13689" w:rsidRPr="00475B69" w:rsidRDefault="00D13689" w:rsidP="00D13689">
      <w:pPr>
        <w:spacing w:after="160" w:line="360" w:lineRule="auto"/>
        <w:ind w:left="720"/>
        <w:jc w:val="both"/>
        <w:rPr>
          <w:rFonts w:ascii="David" w:hAnsi="David"/>
          <w:rtl/>
        </w:rPr>
      </w:pPr>
      <w:r w:rsidRPr="00475B69">
        <w:rPr>
          <w:rFonts w:ascii="David" w:hAnsi="David"/>
          <w:rtl/>
        </w:rPr>
        <w:t>וראו גם דברים שנכתבו על ידי מותב זה לאחרונה בתיק אחר (</w:t>
      </w:r>
      <w:hyperlink r:id="rId16" w:history="1">
        <w:r w:rsidR="00ED1764" w:rsidRPr="00ED1764">
          <w:rPr>
            <w:rFonts w:ascii="David" w:hAnsi="David"/>
            <w:color w:val="0000FF"/>
            <w:u w:val="single"/>
            <w:rtl/>
          </w:rPr>
          <w:t>ת"פ 38680-05-20</w:t>
        </w:r>
      </w:hyperlink>
      <w:r w:rsidRPr="00475B69">
        <w:rPr>
          <w:rFonts w:ascii="David" w:hAnsi="David"/>
          <w:rtl/>
        </w:rPr>
        <w:t xml:space="preserve"> </w:t>
      </w:r>
      <w:r w:rsidRPr="00475B69">
        <w:rPr>
          <w:rFonts w:ascii="David" w:hAnsi="David"/>
          <w:b/>
          <w:bCs/>
          <w:rtl/>
        </w:rPr>
        <w:t xml:space="preserve">מדינת ישראל נ' גבאי </w:t>
      </w:r>
      <w:r w:rsidRPr="00475B69">
        <w:rPr>
          <w:rFonts w:ascii="David" w:hAnsi="David"/>
          <w:rtl/>
        </w:rPr>
        <w:t xml:space="preserve">מיום 18.4.21):  </w:t>
      </w:r>
    </w:p>
    <w:p w14:paraId="148035EB" w14:textId="77777777" w:rsidR="00D13689" w:rsidRPr="00475B69" w:rsidRDefault="00D13689" w:rsidP="00D13689">
      <w:pPr>
        <w:spacing w:after="160" w:line="360" w:lineRule="auto"/>
        <w:ind w:left="720"/>
        <w:jc w:val="both"/>
        <w:rPr>
          <w:rFonts w:ascii="David" w:hAnsi="David"/>
          <w:b/>
          <w:bCs/>
        </w:rPr>
      </w:pPr>
      <w:r w:rsidRPr="00475B69">
        <w:rPr>
          <w:rFonts w:ascii="David" w:hAnsi="David"/>
          <w:b/>
          <w:bCs/>
          <w:rtl/>
        </w:rPr>
        <w:t>"...כל המתואר לעיל, על קצה המזלג, מוביל למסקנה מצערת אחת, כי הציבור בישראל – על רבדיו ומעגליו השונים – הוא המשלם את המחירים שוב ושוב ושוב – פעם כמכור לסמים, פעם כמשפחתו של המכור, פעם כמי שסובל מתופעות פשיעה הנלוות להתנהגותו של המכור, פעם כמי שסובל מניוונו ומקשיי תפקודו של המכור כאזרח פעיל ויצרני, פעם כמי שמממן את רשויות האכיפה, פעם כמי שמממן את גורמי הגמילה והטיפול. הציבור הוא גם זה שמשלם את המחירים בגין התעשרותם ושגשוגם של מחוללי הפשיעה האמיתיים – אלה שברגיל אינם מובאים בפועל לבתי המשפט בגין חלקם בתעשיית הסמים המרעילה, אלא הם נהנים מפירות העבירות, ובד בבד מנהלים ברחבי ארצנו, וברחובות עירנו מלחמות כנופיות עקובות מדם".</w:t>
      </w:r>
    </w:p>
    <w:p w14:paraId="15A13764" w14:textId="77777777" w:rsidR="00D13689" w:rsidRPr="00475B69" w:rsidRDefault="00D13689" w:rsidP="00D13689">
      <w:pPr>
        <w:snapToGrid w:val="0"/>
        <w:spacing w:after="200" w:line="360" w:lineRule="auto"/>
        <w:jc w:val="both"/>
        <w:rPr>
          <w:rFonts w:ascii="David" w:hAnsi="David"/>
          <w:rtl/>
        </w:rPr>
      </w:pPr>
    </w:p>
    <w:p w14:paraId="64D6A196" w14:textId="77777777" w:rsidR="00D13689" w:rsidRPr="00475B69" w:rsidRDefault="00D13689" w:rsidP="00D13689">
      <w:pPr>
        <w:snapToGrid w:val="0"/>
        <w:spacing w:after="200" w:line="360" w:lineRule="auto"/>
        <w:ind w:left="720" w:hanging="720"/>
        <w:jc w:val="both"/>
        <w:rPr>
          <w:rFonts w:ascii="David" w:hAnsi="David"/>
          <w:rtl/>
        </w:rPr>
      </w:pPr>
      <w:r>
        <w:rPr>
          <w:rFonts w:ascii="David" w:hAnsi="David" w:hint="cs"/>
          <w:rtl/>
        </w:rPr>
        <w:t>8.</w:t>
      </w:r>
      <w:r>
        <w:rPr>
          <w:rFonts w:ascii="David" w:hAnsi="David" w:hint="cs"/>
          <w:rtl/>
        </w:rPr>
        <w:tab/>
      </w:r>
      <w:r w:rsidRPr="00475B69">
        <w:rPr>
          <w:rFonts w:ascii="David" w:hAnsi="David"/>
          <w:rtl/>
        </w:rPr>
        <w:t xml:space="preserve">בבחינת </w:t>
      </w:r>
      <w:r w:rsidRPr="00475B69">
        <w:rPr>
          <w:rFonts w:ascii="David" w:hAnsi="David"/>
          <w:b/>
          <w:bCs/>
          <w:rtl/>
        </w:rPr>
        <w:t xml:space="preserve">מדיניות הענישה הנוהגת </w:t>
      </w:r>
      <w:r w:rsidRPr="00475B69">
        <w:rPr>
          <w:rFonts w:ascii="David" w:hAnsi="David"/>
          <w:rtl/>
        </w:rPr>
        <w:t>עיון באסמכתאות השונות מלמד, כי במקרים שונים נקבעו מתחמי ענישה במנעד המשקף את מידת הפגיעה בערכים המוגנים ומידת האשם. כך, נשקלו, בין היתר, נסיבות הגידול, היקף הגידול, משך הפעילות, טיב והיקף התשתית, מיקום בהירארכיה העבריינית.</w:t>
      </w:r>
    </w:p>
    <w:p w14:paraId="1901E26B" w14:textId="77777777" w:rsidR="00D13689" w:rsidRPr="00475B69" w:rsidRDefault="00D13689" w:rsidP="00D13689">
      <w:pPr>
        <w:snapToGrid w:val="0"/>
        <w:spacing w:after="200" w:line="360" w:lineRule="auto"/>
        <w:ind w:left="720"/>
        <w:jc w:val="both"/>
        <w:rPr>
          <w:rFonts w:ascii="David" w:hAnsi="David"/>
          <w:rtl/>
        </w:rPr>
      </w:pPr>
      <w:r>
        <w:rPr>
          <w:rFonts w:ascii="David" w:hAnsi="David"/>
          <w:rtl/>
        </w:rPr>
        <w:t>במקרים מסו</w:t>
      </w:r>
      <w:r w:rsidRPr="00475B69">
        <w:rPr>
          <w:rFonts w:ascii="David" w:hAnsi="David"/>
          <w:rtl/>
        </w:rPr>
        <w:t xml:space="preserve">ימים, הודגשה כמות השתילים ובמקרים אחרים הודגש משקלם. כן ניתן דגש בפסיקה לשלבי הגידול של השתילים שנתפסו ולשלבי הפקת הסם.  </w:t>
      </w:r>
    </w:p>
    <w:p w14:paraId="7857DE10" w14:textId="77777777" w:rsidR="00D13689" w:rsidRPr="00475B69" w:rsidRDefault="00D13689" w:rsidP="00D13689">
      <w:pPr>
        <w:snapToGrid w:val="0"/>
        <w:spacing w:after="200" w:line="360" w:lineRule="auto"/>
        <w:ind w:left="720"/>
        <w:jc w:val="both"/>
        <w:rPr>
          <w:rFonts w:ascii="David" w:hAnsi="David"/>
          <w:rtl/>
        </w:rPr>
      </w:pPr>
      <w:r w:rsidRPr="00475B69">
        <w:rPr>
          <w:rFonts w:ascii="David" w:hAnsi="David"/>
          <w:rtl/>
        </w:rPr>
        <w:t xml:space="preserve">גידול מספר רב של שתילים, בתשתית המלמדת על רכישת ידע, עיסוק מקצועי והיקף מסחרי של הגידול מהווים נסיבה מחמירה בביצוע העבירה, גם אם משקל הסם בפועל (ביחס לכמות השתילים) אינו גדול. </w:t>
      </w:r>
    </w:p>
    <w:p w14:paraId="5DEEF8AF" w14:textId="77777777" w:rsidR="00D13689" w:rsidRPr="00475B69" w:rsidRDefault="00D13689" w:rsidP="00D13689">
      <w:pPr>
        <w:snapToGrid w:val="0"/>
        <w:spacing w:after="200" w:line="360" w:lineRule="auto"/>
        <w:ind w:left="720"/>
        <w:jc w:val="both"/>
        <w:rPr>
          <w:rFonts w:ascii="David" w:hAnsi="David"/>
          <w:rtl/>
        </w:rPr>
      </w:pPr>
      <w:r w:rsidRPr="00475B69">
        <w:rPr>
          <w:rFonts w:ascii="David" w:hAnsi="David"/>
          <w:rtl/>
        </w:rPr>
        <w:t>השאלה באיזה שלב בוצעה פעולת האכיפה והו</w:t>
      </w:r>
      <w:bookmarkStart w:id="10" w:name="Seif4"/>
      <w:r w:rsidRPr="00475B69">
        <w:rPr>
          <w:rFonts w:ascii="David" w:hAnsi="David"/>
          <w:rtl/>
        </w:rPr>
        <w:t xml:space="preserve">פסקה </w:t>
      </w:r>
      <w:bookmarkEnd w:id="10"/>
      <w:r w:rsidRPr="00475B69">
        <w:rPr>
          <w:rFonts w:ascii="David" w:hAnsi="David"/>
          <w:rtl/>
        </w:rPr>
        <w:t>פעילות מ</w:t>
      </w:r>
      <w:r>
        <w:rPr>
          <w:rFonts w:ascii="David" w:hAnsi="David"/>
          <w:rtl/>
        </w:rPr>
        <w:t>עבדת הסמים היא נתון מקרי מבחינת</w:t>
      </w:r>
      <w:r>
        <w:rPr>
          <w:rFonts w:ascii="David" w:hAnsi="David" w:hint="cs"/>
          <w:rtl/>
        </w:rPr>
        <w:t>ו</w:t>
      </w:r>
      <w:r w:rsidRPr="00475B69">
        <w:rPr>
          <w:rFonts w:ascii="David" w:hAnsi="David"/>
          <w:rtl/>
        </w:rPr>
        <w:t xml:space="preserve"> של העבריין ואין בה כדי להשליך על מידת אשמו או על מידת פוטנציאל הנזק הטמונה במעשיו. נקודת הזמן קשורה בעיקר לאיכות עבודת רשויות האכיפה ומידת נחישותה. </w:t>
      </w:r>
    </w:p>
    <w:p w14:paraId="33C72891" w14:textId="77777777" w:rsidR="00D13689" w:rsidRPr="00475B69" w:rsidRDefault="00D13689" w:rsidP="00D13689">
      <w:pPr>
        <w:snapToGrid w:val="0"/>
        <w:spacing w:after="200" w:line="360" w:lineRule="auto"/>
        <w:ind w:left="720"/>
        <w:jc w:val="both"/>
        <w:rPr>
          <w:rFonts w:ascii="David" w:hAnsi="David"/>
          <w:rtl/>
        </w:rPr>
      </w:pPr>
      <w:r w:rsidRPr="00475B69">
        <w:rPr>
          <w:rFonts w:ascii="David" w:hAnsi="David"/>
          <w:rtl/>
        </w:rPr>
        <w:t>עם זאת, לא ניתן להתעלם כליל משאלת משקל הסם הכולל שנתפס, שכן ככל שתהליך הגידול מתקרב לשיאו כך גדלה הערכת פוטנציאל הנזק הכרוך בהפצת הסם בפועל.</w:t>
      </w:r>
    </w:p>
    <w:p w14:paraId="7A6C1817" w14:textId="77777777" w:rsidR="00D13689" w:rsidRPr="00475B69" w:rsidRDefault="00D13689" w:rsidP="00D13689">
      <w:pPr>
        <w:snapToGrid w:val="0"/>
        <w:spacing w:after="200" w:line="360" w:lineRule="auto"/>
        <w:jc w:val="both"/>
        <w:rPr>
          <w:rFonts w:ascii="David" w:hAnsi="David"/>
        </w:rPr>
      </w:pPr>
      <w:r w:rsidRPr="00475B69">
        <w:rPr>
          <w:rFonts w:ascii="David" w:hAnsi="David"/>
          <w:rtl/>
        </w:rPr>
        <w:t>להתרשמות מרמת הענישה הנוהגת ושיקולי הענישה בקביעת המתחם ראו, למשל:</w:t>
      </w:r>
    </w:p>
    <w:p w14:paraId="1FE52D42" w14:textId="77777777" w:rsidR="00D13689" w:rsidRPr="00475B69" w:rsidRDefault="00D13689" w:rsidP="00D13689">
      <w:pPr>
        <w:spacing w:after="200" w:line="360" w:lineRule="auto"/>
        <w:ind w:left="360"/>
        <w:contextualSpacing/>
        <w:jc w:val="both"/>
        <w:rPr>
          <w:rFonts w:ascii="David" w:hAnsi="David" w:cs="Arial"/>
          <w:szCs w:val="22"/>
          <w:rtl/>
        </w:rPr>
      </w:pPr>
      <w:r>
        <w:rPr>
          <w:rFonts w:ascii="David" w:hAnsi="David" w:cs="Arial"/>
          <w:szCs w:val="22"/>
          <w:rtl/>
        </w:rPr>
        <w:tab/>
      </w:r>
    </w:p>
    <w:p w14:paraId="3605FD0B" w14:textId="77777777" w:rsidR="00D13689" w:rsidRPr="00475B69" w:rsidRDefault="00ED1764" w:rsidP="00D13689">
      <w:pPr>
        <w:widowControl w:val="0"/>
        <w:numPr>
          <w:ilvl w:val="0"/>
          <w:numId w:val="2"/>
        </w:numPr>
        <w:snapToGrid w:val="0"/>
        <w:spacing w:before="120" w:line="360" w:lineRule="auto"/>
        <w:jc w:val="both"/>
        <w:rPr>
          <w:rFonts w:ascii="David" w:hAnsi="David"/>
        </w:rPr>
      </w:pPr>
      <w:hyperlink r:id="rId17" w:history="1">
        <w:r w:rsidRPr="00ED1764">
          <w:rPr>
            <w:rFonts w:ascii="David" w:hAnsi="David"/>
            <w:color w:val="0000FF"/>
            <w:u w:val="single"/>
            <w:rtl/>
          </w:rPr>
          <w:t>רע"פ 8563/18</w:t>
        </w:r>
      </w:hyperlink>
      <w:r w:rsidR="00D13689" w:rsidRPr="00475B69">
        <w:rPr>
          <w:rFonts w:ascii="David" w:hAnsi="David"/>
          <w:rtl/>
        </w:rPr>
        <w:t xml:space="preserve"> </w:t>
      </w:r>
      <w:r w:rsidR="00D13689" w:rsidRPr="00475B69">
        <w:rPr>
          <w:rFonts w:ascii="David" w:hAnsi="David"/>
          <w:b/>
          <w:bCs/>
          <w:rtl/>
        </w:rPr>
        <w:t>שרפוב נ' מדינת ישראל</w:t>
      </w:r>
      <w:r w:rsidR="00D13689" w:rsidRPr="00475B69">
        <w:rPr>
          <w:rFonts w:ascii="David" w:hAnsi="David"/>
          <w:rtl/>
        </w:rPr>
        <w:t xml:space="preserve"> (12.12.18) – שם הורשעו הנאשם ושותפיו בגידול של כ- 18 ק"ג קנבוס, תוך גניבת חשמל. בהתאם להסכם עם שני שותפיו, הנאשם הקים את המעבדה תחת הנחיותיהם ופיקוחם וקיבל 30% מרווחי הגידול.  נקבע מתחם ענישה של  10-30.  </w:t>
      </w:r>
    </w:p>
    <w:p w14:paraId="1EC94E17" w14:textId="77777777" w:rsidR="00D13689" w:rsidRPr="00475B69" w:rsidRDefault="00ED1764" w:rsidP="00D13689">
      <w:pPr>
        <w:widowControl w:val="0"/>
        <w:numPr>
          <w:ilvl w:val="0"/>
          <w:numId w:val="2"/>
        </w:numPr>
        <w:snapToGrid w:val="0"/>
        <w:spacing w:before="120" w:line="360" w:lineRule="auto"/>
        <w:jc w:val="both"/>
        <w:rPr>
          <w:rFonts w:ascii="David" w:hAnsi="David"/>
        </w:rPr>
      </w:pPr>
      <w:hyperlink r:id="rId18" w:history="1">
        <w:r w:rsidRPr="00ED1764">
          <w:rPr>
            <w:rFonts w:ascii="David" w:hAnsi="David"/>
            <w:color w:val="0000FF"/>
            <w:u w:val="single"/>
            <w:rtl/>
          </w:rPr>
          <w:t>עפ"ג 33215-12-18</w:t>
        </w:r>
      </w:hyperlink>
      <w:r w:rsidR="00D13689" w:rsidRPr="00475B69">
        <w:rPr>
          <w:rFonts w:ascii="David" w:hAnsi="David"/>
          <w:rtl/>
        </w:rPr>
        <w:t xml:space="preserve"> </w:t>
      </w:r>
      <w:r w:rsidR="00D13689" w:rsidRPr="00475B69">
        <w:rPr>
          <w:rFonts w:ascii="David" w:hAnsi="David"/>
          <w:b/>
          <w:bCs/>
          <w:rtl/>
        </w:rPr>
        <w:t>אבו עיאדה נ' מדינת ישראל</w:t>
      </w:r>
      <w:r w:rsidR="00D13689" w:rsidRPr="00475B69">
        <w:rPr>
          <w:rFonts w:ascii="David" w:hAnsi="David"/>
          <w:rtl/>
        </w:rPr>
        <w:t xml:space="preserve"> (23.1.19) – שם אושר פסק הדין במסגרתו נקבע מתחם ענישה של 10-20 חודשי מאסר בפועל בגין גידול 900 שתילי קנבוס במשקל כולל של 44.80 </w:t>
      </w:r>
      <w:r w:rsidR="00D13689" w:rsidRPr="00475B69">
        <w:rPr>
          <w:rFonts w:ascii="David" w:hAnsi="David"/>
          <w:b/>
          <w:bCs/>
          <w:rtl/>
        </w:rPr>
        <w:t>גרם</w:t>
      </w:r>
      <w:r w:rsidR="00D13689" w:rsidRPr="00475B69">
        <w:rPr>
          <w:rFonts w:ascii="David" w:hAnsi="David"/>
          <w:rtl/>
        </w:rPr>
        <w:t>. על הנאשם, בן 26 ללא הרשעות קודמות, הוטלו 12 חודשי מאסר לריצוי בפועל.</w:t>
      </w:r>
    </w:p>
    <w:p w14:paraId="2BC57996" w14:textId="77777777" w:rsidR="00D13689" w:rsidRPr="00475B69" w:rsidRDefault="00ED1764" w:rsidP="00D13689">
      <w:pPr>
        <w:widowControl w:val="0"/>
        <w:numPr>
          <w:ilvl w:val="0"/>
          <w:numId w:val="2"/>
        </w:numPr>
        <w:snapToGrid w:val="0"/>
        <w:spacing w:before="120" w:line="360" w:lineRule="auto"/>
        <w:jc w:val="both"/>
        <w:rPr>
          <w:rFonts w:ascii="David" w:hAnsi="David"/>
        </w:rPr>
      </w:pPr>
      <w:hyperlink r:id="rId19" w:history="1">
        <w:r w:rsidRPr="00ED1764">
          <w:rPr>
            <w:rFonts w:ascii="David" w:hAnsi="David"/>
            <w:color w:val="0000FF"/>
            <w:u w:val="single"/>
            <w:rtl/>
          </w:rPr>
          <w:t>עפ"ג 5788-09-18</w:t>
        </w:r>
      </w:hyperlink>
      <w:r w:rsidR="00D13689" w:rsidRPr="00475B69">
        <w:rPr>
          <w:rFonts w:ascii="David" w:hAnsi="David"/>
          <w:rtl/>
        </w:rPr>
        <w:t xml:space="preserve"> </w:t>
      </w:r>
      <w:r w:rsidR="00D13689" w:rsidRPr="00475B69">
        <w:rPr>
          <w:rFonts w:ascii="David" w:hAnsi="David"/>
          <w:b/>
          <w:bCs/>
          <w:rtl/>
        </w:rPr>
        <w:t>אבו עסא נ' מדינת ישראל</w:t>
      </w:r>
      <w:r w:rsidR="00D13689" w:rsidRPr="00475B69">
        <w:rPr>
          <w:rFonts w:ascii="David" w:hAnsi="David"/>
          <w:rtl/>
        </w:rPr>
        <w:t xml:space="preserve"> (28.11.18) – שם אושר פסק הדין במסגרתו נקבע מתחם ענישה של 9-22 חודשי מאסר בפועל בגין גידול 254 שתילי קנבוס במשקל של כ-6.5 ק"ג. </w:t>
      </w:r>
    </w:p>
    <w:p w14:paraId="51D62FEE" w14:textId="77777777" w:rsidR="00D13689" w:rsidRPr="00475B69" w:rsidRDefault="00D13689" w:rsidP="00D13689">
      <w:pPr>
        <w:widowControl w:val="0"/>
        <w:numPr>
          <w:ilvl w:val="0"/>
          <w:numId w:val="2"/>
        </w:numPr>
        <w:snapToGrid w:val="0"/>
        <w:spacing w:before="120" w:line="360" w:lineRule="auto"/>
        <w:jc w:val="both"/>
        <w:rPr>
          <w:rFonts w:ascii="David" w:hAnsi="David"/>
        </w:rPr>
      </w:pPr>
      <w:r w:rsidRPr="00475B69">
        <w:rPr>
          <w:rFonts w:ascii="David" w:hAnsi="David"/>
          <w:rtl/>
        </w:rPr>
        <w:t xml:space="preserve">בעניין </w:t>
      </w:r>
      <w:r w:rsidRPr="00475B69">
        <w:rPr>
          <w:rFonts w:ascii="David" w:hAnsi="David"/>
          <w:b/>
          <w:bCs/>
          <w:rtl/>
        </w:rPr>
        <w:t xml:space="preserve">גבאי </w:t>
      </w:r>
      <w:r w:rsidRPr="00475B69">
        <w:rPr>
          <w:rFonts w:ascii="David" w:hAnsi="David"/>
          <w:rtl/>
        </w:rPr>
        <w:t>הנ"ל נקבע על ידי מותב זה מתחם של 12-24 חודשי מאסר בגין גידול 350 שתילים במעבדה 'מקצועית' ולאחר שנקבע, כי הנאשם לא היה מחולל הפשיעה העיקרי, אלא 'נשכר' לעבוד במקום על ידי אחרים. על הנאשם עצמו הוטל עונש מקל ביותר – 8 חודשי מאסר לריצוי בעבודות שירות - בשים לב לשיקולי שיקום משמעותיים בעניינו.</w:t>
      </w:r>
    </w:p>
    <w:p w14:paraId="20F99F65" w14:textId="77777777" w:rsidR="00D13689" w:rsidRPr="00475B69" w:rsidRDefault="00D13689" w:rsidP="00D13689">
      <w:pPr>
        <w:widowControl w:val="0"/>
        <w:snapToGrid w:val="0"/>
        <w:spacing w:before="120" w:line="360" w:lineRule="auto"/>
        <w:jc w:val="both"/>
        <w:rPr>
          <w:rFonts w:ascii="David" w:hAnsi="David"/>
        </w:rPr>
      </w:pPr>
      <w:r w:rsidRPr="00475B69">
        <w:rPr>
          <w:rFonts w:ascii="David" w:hAnsi="David"/>
          <w:rtl/>
        </w:rPr>
        <w:t>עיינתי בפסקי הדין אליהם הפנתה ב"כ הנאשם:</w:t>
      </w:r>
    </w:p>
    <w:p w14:paraId="2364A8AE" w14:textId="77777777" w:rsidR="00D13689" w:rsidRPr="00475B69" w:rsidRDefault="00D13689" w:rsidP="00D13689">
      <w:pPr>
        <w:widowControl w:val="0"/>
        <w:numPr>
          <w:ilvl w:val="0"/>
          <w:numId w:val="2"/>
        </w:numPr>
        <w:snapToGrid w:val="0"/>
        <w:spacing w:before="120" w:line="360" w:lineRule="auto"/>
        <w:jc w:val="both"/>
        <w:rPr>
          <w:rFonts w:ascii="David" w:hAnsi="David"/>
        </w:rPr>
      </w:pPr>
      <w:r w:rsidRPr="00475B69">
        <w:rPr>
          <w:rFonts w:ascii="David" w:hAnsi="David"/>
          <w:rtl/>
        </w:rPr>
        <w:t>ב</w:t>
      </w:r>
      <w:hyperlink r:id="rId20" w:history="1">
        <w:r w:rsidR="00ED1764" w:rsidRPr="00ED1764">
          <w:rPr>
            <w:rFonts w:ascii="David" w:hAnsi="David"/>
            <w:color w:val="0000FF"/>
            <w:u w:val="single"/>
            <w:rtl/>
          </w:rPr>
          <w:t>ת"פ (מח', ב"ש) 2813-11-19</w:t>
        </w:r>
      </w:hyperlink>
      <w:r w:rsidRPr="00475B69">
        <w:rPr>
          <w:rFonts w:ascii="David" w:hAnsi="David"/>
          <w:rtl/>
        </w:rPr>
        <w:t xml:space="preserve"> </w:t>
      </w:r>
      <w:r w:rsidRPr="00475B69">
        <w:rPr>
          <w:rFonts w:ascii="David" w:hAnsi="David"/>
          <w:b/>
          <w:bCs/>
          <w:rtl/>
        </w:rPr>
        <w:t xml:space="preserve">מדינת ישראל נ' פלדמן </w:t>
      </w:r>
      <w:r w:rsidRPr="00475B69">
        <w:rPr>
          <w:rFonts w:ascii="David" w:hAnsi="David"/>
          <w:rtl/>
        </w:rPr>
        <w:t xml:space="preserve">(21.10.20) הורשע הנאשם בגידול 208 שתילי קנבוס, בדירה שאותה הכשיר לשם כך (במשקל כולל של 87 ק"ג) ובגניבת חשמל. נקבע, כי מתחם העונש ההולם הוא 24-48 חודשי מאסר. </w:t>
      </w:r>
    </w:p>
    <w:p w14:paraId="67A7DD85" w14:textId="77777777" w:rsidR="00D13689" w:rsidRPr="00475B69" w:rsidRDefault="00D13689" w:rsidP="00D13689">
      <w:pPr>
        <w:widowControl w:val="0"/>
        <w:numPr>
          <w:ilvl w:val="0"/>
          <w:numId w:val="2"/>
        </w:numPr>
        <w:snapToGrid w:val="0"/>
        <w:spacing w:before="120" w:line="360" w:lineRule="auto"/>
        <w:jc w:val="both"/>
        <w:rPr>
          <w:rFonts w:ascii="David" w:hAnsi="David"/>
        </w:rPr>
      </w:pPr>
      <w:r w:rsidRPr="00475B69">
        <w:rPr>
          <w:rFonts w:ascii="David" w:hAnsi="David"/>
          <w:rtl/>
        </w:rPr>
        <w:t>ב</w:t>
      </w:r>
      <w:hyperlink r:id="rId21" w:history="1">
        <w:r w:rsidR="00ED1764" w:rsidRPr="00ED1764">
          <w:rPr>
            <w:rFonts w:ascii="David" w:hAnsi="David"/>
            <w:color w:val="0000FF"/>
            <w:u w:val="single"/>
            <w:rtl/>
          </w:rPr>
          <w:t>ת"פ (מח', ב"ש) 37903-03-15</w:t>
        </w:r>
      </w:hyperlink>
      <w:r w:rsidRPr="00475B69">
        <w:rPr>
          <w:rFonts w:ascii="David" w:hAnsi="David"/>
          <w:rtl/>
        </w:rPr>
        <w:t xml:space="preserve"> </w:t>
      </w:r>
      <w:r w:rsidRPr="00475B69">
        <w:rPr>
          <w:rFonts w:ascii="David" w:hAnsi="David"/>
          <w:b/>
          <w:bCs/>
          <w:rtl/>
        </w:rPr>
        <w:t xml:space="preserve">מדינת ישראל נ' מאירוב </w:t>
      </w:r>
      <w:r w:rsidRPr="00475B69">
        <w:rPr>
          <w:rFonts w:ascii="David" w:hAnsi="David"/>
          <w:rtl/>
        </w:rPr>
        <w:t xml:space="preserve">(9.11.15) הורשע הנאשם הורשע הנאשם בגידול בצוותא חדא שלקנבוס, בשתי דירות. הנאשם פעל בהנחיית האחרים וביצע פעולות להכשרת הדירות ולגידול שתילי הסם במשקל כולל של 60 ק"ג. נקבע, כי בדירות נמצאו שתילים בגדלים שונים, חלקם פורחים. כן הורשע הנאשם בגניבת חשמל. נקבע, כי מתחם העונש ההולם הוא 18-30 חודשי מאסר. </w:t>
      </w:r>
    </w:p>
    <w:p w14:paraId="2DEA2E01" w14:textId="77777777" w:rsidR="00D13689" w:rsidRPr="00475B69" w:rsidRDefault="00D13689" w:rsidP="00D13689">
      <w:pPr>
        <w:widowControl w:val="0"/>
        <w:numPr>
          <w:ilvl w:val="0"/>
          <w:numId w:val="2"/>
        </w:numPr>
        <w:snapToGrid w:val="0"/>
        <w:spacing w:before="120" w:line="360" w:lineRule="auto"/>
        <w:jc w:val="both"/>
        <w:rPr>
          <w:rFonts w:ascii="David" w:hAnsi="David"/>
        </w:rPr>
      </w:pPr>
      <w:r w:rsidRPr="00475B69">
        <w:rPr>
          <w:rFonts w:ascii="David" w:hAnsi="David"/>
          <w:rtl/>
        </w:rPr>
        <w:t>ב</w:t>
      </w:r>
      <w:hyperlink r:id="rId22" w:history="1">
        <w:r w:rsidR="00ED1764" w:rsidRPr="00ED1764">
          <w:rPr>
            <w:rFonts w:ascii="David" w:hAnsi="David"/>
            <w:color w:val="0000FF"/>
            <w:u w:val="single"/>
            <w:rtl/>
          </w:rPr>
          <w:t>ע"פ 5093-17</w:t>
        </w:r>
      </w:hyperlink>
      <w:r w:rsidRPr="00475B69">
        <w:rPr>
          <w:rFonts w:ascii="David" w:hAnsi="David"/>
          <w:rtl/>
        </w:rPr>
        <w:t xml:space="preserve"> </w:t>
      </w:r>
      <w:r w:rsidRPr="00475B69">
        <w:rPr>
          <w:rFonts w:ascii="David" w:hAnsi="David"/>
          <w:b/>
          <w:bCs/>
          <w:rtl/>
        </w:rPr>
        <w:t xml:space="preserve">בקשט ואח' נ' מדינת ישראל </w:t>
      </w:r>
      <w:r w:rsidRPr="00475B69">
        <w:rPr>
          <w:rFonts w:ascii="David" w:hAnsi="David"/>
          <w:rtl/>
        </w:rPr>
        <w:t>(1.1.18) הורשעו הנאשמים בהקמת מעבדת 'הידרו' וגידול סמים במסגרת קשר פלילי. על הנאשמים הוטלו בבית המשפט המחוזי 34 ו-30 חודשי מאסר. בית המשפט העליון קבע, כי עונש זה "אינו חורג מרף הענישה הנוהג" ומצא לנכון, נוכח התסקירים החיוביים בעניינם המלמדים על דרך שיקום משמעותית, להפחית מעונשם.</w:t>
      </w:r>
    </w:p>
    <w:p w14:paraId="0BF3AB6B" w14:textId="77777777" w:rsidR="00D13689" w:rsidRPr="00475B69" w:rsidRDefault="00D13689" w:rsidP="00D13689">
      <w:pPr>
        <w:widowControl w:val="0"/>
        <w:numPr>
          <w:ilvl w:val="0"/>
          <w:numId w:val="2"/>
        </w:numPr>
        <w:snapToGrid w:val="0"/>
        <w:spacing w:before="120" w:line="360" w:lineRule="auto"/>
        <w:jc w:val="both"/>
        <w:rPr>
          <w:rFonts w:ascii="David" w:hAnsi="David"/>
        </w:rPr>
      </w:pPr>
      <w:r w:rsidRPr="00475B69">
        <w:rPr>
          <w:rFonts w:ascii="David" w:hAnsi="David"/>
          <w:rtl/>
        </w:rPr>
        <w:t>ב</w:t>
      </w:r>
      <w:hyperlink r:id="rId23" w:history="1">
        <w:r w:rsidR="00ED1764" w:rsidRPr="00ED1764">
          <w:rPr>
            <w:rFonts w:ascii="David" w:hAnsi="David"/>
            <w:color w:val="0000FF"/>
            <w:u w:val="single"/>
            <w:rtl/>
          </w:rPr>
          <w:t>ת"פ (מח', מר') 30876-03-17</w:t>
        </w:r>
      </w:hyperlink>
      <w:r w:rsidRPr="00475B69">
        <w:rPr>
          <w:rFonts w:ascii="David" w:hAnsi="David"/>
          <w:rtl/>
        </w:rPr>
        <w:t xml:space="preserve"> </w:t>
      </w:r>
      <w:r w:rsidRPr="00475B69">
        <w:rPr>
          <w:rFonts w:ascii="David" w:hAnsi="David"/>
          <w:b/>
          <w:bCs/>
          <w:rtl/>
        </w:rPr>
        <w:t xml:space="preserve">מדינת ישראל נ' בן אדיבה </w:t>
      </w:r>
      <w:r w:rsidRPr="00475B69">
        <w:rPr>
          <w:rFonts w:ascii="David" w:hAnsi="David"/>
          <w:rtl/>
        </w:rPr>
        <w:t>(20.9.18) הורשע הנאשם בכך שיחד עם אחרים, הקים מעבדת סמים בה גידלו 1,246 שתילים, בכמות כוללת של 140 ק"ג נטו, בתהליך ש</w:t>
      </w:r>
      <w:bookmarkStart w:id="11" w:name="Seif6"/>
      <w:r w:rsidRPr="00475B69">
        <w:rPr>
          <w:rFonts w:ascii="David" w:hAnsi="David"/>
          <w:rtl/>
        </w:rPr>
        <w:t xml:space="preserve">כלל גם </w:t>
      </w:r>
      <w:bookmarkEnd w:id="11"/>
      <w:r w:rsidRPr="00475B69">
        <w:rPr>
          <w:rFonts w:ascii="David" w:hAnsi="David"/>
          <w:rtl/>
        </w:rPr>
        <w:t xml:space="preserve">ייבוש הסם והפקתו וכן גניבת חשמל. נקבע, כי מתחם העונש ההולם הוא 27-50 חודשי מאסר בפועל בצד עונשין נלווים. </w:t>
      </w:r>
    </w:p>
    <w:p w14:paraId="1E03CD30" w14:textId="77777777" w:rsidR="00D13689" w:rsidRPr="00475B69" w:rsidRDefault="00D13689" w:rsidP="00D13689">
      <w:pPr>
        <w:widowControl w:val="0"/>
        <w:numPr>
          <w:ilvl w:val="0"/>
          <w:numId w:val="2"/>
        </w:numPr>
        <w:snapToGrid w:val="0"/>
        <w:spacing w:before="120" w:line="360" w:lineRule="auto"/>
        <w:jc w:val="both"/>
        <w:rPr>
          <w:rFonts w:ascii="David" w:hAnsi="David"/>
        </w:rPr>
      </w:pPr>
      <w:r w:rsidRPr="00475B69">
        <w:rPr>
          <w:rFonts w:ascii="David" w:hAnsi="David"/>
          <w:rtl/>
        </w:rPr>
        <w:t>ב</w:t>
      </w:r>
      <w:hyperlink r:id="rId24" w:history="1">
        <w:r w:rsidR="00ED1764" w:rsidRPr="00ED1764">
          <w:rPr>
            <w:rFonts w:ascii="David" w:hAnsi="David"/>
            <w:color w:val="0000FF"/>
            <w:u w:val="single"/>
            <w:rtl/>
          </w:rPr>
          <w:t>ת"פ (מח' ב"ש) 69278-05-18</w:t>
        </w:r>
      </w:hyperlink>
      <w:r w:rsidRPr="00475B69">
        <w:rPr>
          <w:rFonts w:ascii="David" w:hAnsi="David"/>
          <w:rtl/>
        </w:rPr>
        <w:t xml:space="preserve"> </w:t>
      </w:r>
      <w:r w:rsidRPr="00475B69">
        <w:rPr>
          <w:rFonts w:ascii="David" w:hAnsi="David"/>
          <w:b/>
          <w:bCs/>
          <w:rtl/>
        </w:rPr>
        <w:t xml:space="preserve">מדינת ישראל נ' אלוכילי </w:t>
      </w:r>
      <w:r w:rsidRPr="00475B69">
        <w:rPr>
          <w:rFonts w:ascii="David" w:hAnsi="David"/>
          <w:rtl/>
        </w:rPr>
        <w:t xml:space="preserve">(24.11.19) אליו הפנתה ב"כ הנאשם הורשע הנאשם בגידול 558 שתילי קנבוס בחממות במתחם ביתו, ובמשקל כולל של 97 ק"ג. נקבע, כי מתחם העונש ההולם הוא 18-48 חודשי מאסר בפועל. </w:t>
      </w:r>
    </w:p>
    <w:p w14:paraId="12E36F73" w14:textId="77777777" w:rsidR="00D13689" w:rsidRPr="00475B69" w:rsidRDefault="00D13689" w:rsidP="00D13689">
      <w:pPr>
        <w:widowControl w:val="0"/>
        <w:numPr>
          <w:ilvl w:val="0"/>
          <w:numId w:val="2"/>
        </w:numPr>
        <w:snapToGrid w:val="0"/>
        <w:spacing w:before="120" w:line="360" w:lineRule="auto"/>
        <w:jc w:val="both"/>
        <w:rPr>
          <w:rFonts w:ascii="David" w:hAnsi="David"/>
        </w:rPr>
      </w:pPr>
      <w:r w:rsidRPr="00475B69">
        <w:rPr>
          <w:rFonts w:ascii="David" w:hAnsi="David"/>
          <w:rtl/>
        </w:rPr>
        <w:t>ב</w:t>
      </w:r>
      <w:hyperlink r:id="rId25" w:history="1">
        <w:r w:rsidR="00ED1764" w:rsidRPr="00ED1764">
          <w:rPr>
            <w:rFonts w:ascii="David" w:hAnsi="David"/>
            <w:color w:val="0000FF"/>
            <w:u w:val="single"/>
            <w:rtl/>
          </w:rPr>
          <w:t>ת"פ (מח' ב"ש) 49625-04-17</w:t>
        </w:r>
      </w:hyperlink>
      <w:r w:rsidRPr="00475B69">
        <w:rPr>
          <w:rFonts w:ascii="David" w:hAnsi="David"/>
          <w:rtl/>
        </w:rPr>
        <w:t xml:space="preserve"> </w:t>
      </w:r>
      <w:r w:rsidRPr="00475B69">
        <w:rPr>
          <w:rFonts w:ascii="David" w:hAnsi="David"/>
          <w:b/>
          <w:bCs/>
          <w:rtl/>
        </w:rPr>
        <w:t xml:space="preserve">מדינת ישראל נ' אלאטרש </w:t>
      </w:r>
      <w:r w:rsidRPr="00475B69">
        <w:rPr>
          <w:rFonts w:ascii="David" w:hAnsi="David"/>
          <w:rtl/>
        </w:rPr>
        <w:t xml:space="preserve">(18.3.18) הורשע הנאשם בגידול 888 שתילי קנבוס, במשקל כולל של 253 ק"ג, בחממה שליד ביתו. נקבע, כי מתחם העונש ההולם הוא 30-60 חודשי מאסר בפועל. </w:t>
      </w:r>
    </w:p>
    <w:p w14:paraId="3A374D6B" w14:textId="77777777" w:rsidR="00D13689" w:rsidRPr="00475B69" w:rsidRDefault="00D13689" w:rsidP="00D13689">
      <w:pPr>
        <w:widowControl w:val="0"/>
        <w:numPr>
          <w:ilvl w:val="0"/>
          <w:numId w:val="2"/>
        </w:numPr>
        <w:snapToGrid w:val="0"/>
        <w:spacing w:before="120" w:line="360" w:lineRule="auto"/>
        <w:jc w:val="both"/>
        <w:rPr>
          <w:rFonts w:ascii="David" w:hAnsi="David"/>
        </w:rPr>
      </w:pPr>
      <w:r w:rsidRPr="00475B69">
        <w:rPr>
          <w:rFonts w:ascii="David" w:hAnsi="David"/>
          <w:rtl/>
        </w:rPr>
        <w:t>ב</w:t>
      </w:r>
      <w:hyperlink r:id="rId26" w:history="1">
        <w:r w:rsidR="00ED1764" w:rsidRPr="00ED1764">
          <w:rPr>
            <w:rFonts w:ascii="David" w:hAnsi="David"/>
            <w:color w:val="0000FF"/>
            <w:u w:val="single"/>
            <w:rtl/>
          </w:rPr>
          <w:t>ת"פ (מח' י-ם) 58033-11-16</w:t>
        </w:r>
      </w:hyperlink>
      <w:r w:rsidRPr="00475B69">
        <w:rPr>
          <w:rFonts w:ascii="David" w:hAnsi="David"/>
          <w:rtl/>
        </w:rPr>
        <w:t xml:space="preserve"> </w:t>
      </w:r>
      <w:r w:rsidRPr="00475B69">
        <w:rPr>
          <w:rFonts w:ascii="David" w:hAnsi="David"/>
          <w:b/>
          <w:bCs/>
          <w:rtl/>
        </w:rPr>
        <w:t xml:space="preserve">מדינת ישראל נ' קריספיל </w:t>
      </w:r>
      <w:r w:rsidRPr="00475B69">
        <w:rPr>
          <w:rFonts w:ascii="David" w:hAnsi="David"/>
          <w:rtl/>
        </w:rPr>
        <w:t>(9.11.17) הורשע הנאשם בגידול סם במשקל כולל של 77 ק"ג – חלקו בשלב הגידול וחלקו לאחר הקטיף. על הנאשם הוטל בהסכמה במסגרת הסדר טיעון מאסר של 12 חודשים ובית המשפט לא נדרש לשאלת המתחם.</w:t>
      </w:r>
    </w:p>
    <w:p w14:paraId="76A1D603" w14:textId="77777777" w:rsidR="00D13689" w:rsidRPr="00475B69" w:rsidRDefault="00D13689" w:rsidP="00D13689">
      <w:pPr>
        <w:widowControl w:val="0"/>
        <w:spacing w:before="120" w:after="160" w:line="360" w:lineRule="auto"/>
        <w:jc w:val="both"/>
        <w:rPr>
          <w:rFonts w:ascii="David" w:hAnsi="David" w:cs="Arial"/>
          <w:szCs w:val="22"/>
          <w:rtl/>
        </w:rPr>
      </w:pPr>
    </w:p>
    <w:p w14:paraId="399C309E" w14:textId="77777777" w:rsidR="00D13689" w:rsidRPr="00475B69" w:rsidRDefault="00D13689" w:rsidP="00D13689">
      <w:pPr>
        <w:spacing w:after="160" w:line="360" w:lineRule="auto"/>
        <w:ind w:left="360" w:hanging="360"/>
        <w:contextualSpacing/>
        <w:jc w:val="both"/>
        <w:rPr>
          <w:rFonts w:ascii="David" w:hAnsi="David"/>
          <w:b/>
          <w:bCs/>
          <w:rtl/>
        </w:rPr>
      </w:pPr>
      <w:r>
        <w:rPr>
          <w:rFonts w:ascii="David" w:hAnsi="David" w:hint="cs"/>
          <w:b/>
          <w:bCs/>
          <w:rtl/>
        </w:rPr>
        <w:t>9.</w:t>
      </w:r>
      <w:r>
        <w:rPr>
          <w:rFonts w:ascii="David" w:hAnsi="David" w:hint="cs"/>
          <w:b/>
          <w:bCs/>
          <w:rtl/>
        </w:rPr>
        <w:tab/>
      </w:r>
      <w:r w:rsidRPr="00475B69">
        <w:rPr>
          <w:rFonts w:ascii="David" w:hAnsi="David"/>
          <w:b/>
          <w:bCs/>
          <w:rtl/>
        </w:rPr>
        <w:t>לקחתי בחשבון את היקף וטיב תשתית הגידול, כמפורט בכתב האישום ואת כמות השתילים הגדולה מאד (ואף בשים לב למשקל הכולל של הסם שאינו גבוה ביחס לכמות השתילים). מדובר בנסיבות המלמדות על גידול קנביס מקצועי למטרות מסחריות, במעבדה שאותה הקים הנאשם בעצמו, לאחר תכנון ומתוך השקעה לא מבוטלת.</w:t>
      </w:r>
    </w:p>
    <w:p w14:paraId="3801FD3C" w14:textId="77777777" w:rsidR="00D13689" w:rsidRPr="00475B69" w:rsidRDefault="00D13689" w:rsidP="00D13689">
      <w:pPr>
        <w:spacing w:after="160" w:line="360" w:lineRule="auto"/>
        <w:ind w:left="360"/>
        <w:contextualSpacing/>
        <w:jc w:val="both"/>
        <w:rPr>
          <w:rFonts w:ascii="David" w:hAnsi="David"/>
          <w:b/>
          <w:bCs/>
          <w:rtl/>
        </w:rPr>
      </w:pPr>
      <w:r w:rsidRPr="00475B69">
        <w:rPr>
          <w:rFonts w:ascii="David" w:hAnsi="David"/>
          <w:b/>
          <w:bCs/>
          <w:rtl/>
        </w:rPr>
        <w:t>בשים לב למכלול הנסיבות, מתחם העונש ההולם במקרה הוא 20-36 חודשי מאסר, בצירוף עונשים נלווים ומתחם הקנס נע בין 10,000 ל-50,000 ₪.</w:t>
      </w:r>
    </w:p>
    <w:p w14:paraId="3F5CA67C" w14:textId="77777777" w:rsidR="00D13689" w:rsidRPr="00475B69" w:rsidRDefault="00D13689" w:rsidP="00D13689">
      <w:pPr>
        <w:spacing w:after="160" w:line="360" w:lineRule="auto"/>
        <w:jc w:val="both"/>
        <w:rPr>
          <w:rFonts w:ascii="David" w:hAnsi="David"/>
          <w:rtl/>
        </w:rPr>
      </w:pPr>
    </w:p>
    <w:p w14:paraId="606BCC05" w14:textId="77777777" w:rsidR="00D13689" w:rsidRPr="00475B69" w:rsidRDefault="00D13689" w:rsidP="00D13689">
      <w:pPr>
        <w:spacing w:after="160" w:line="360" w:lineRule="auto"/>
        <w:jc w:val="both"/>
        <w:rPr>
          <w:rFonts w:ascii="David" w:hAnsi="David"/>
          <w:u w:val="single"/>
          <w:rtl/>
        </w:rPr>
      </w:pPr>
      <w:r w:rsidRPr="00475B69">
        <w:rPr>
          <w:rFonts w:ascii="David" w:hAnsi="David"/>
          <w:b/>
          <w:bCs/>
          <w:u w:val="single"/>
          <w:rtl/>
        </w:rPr>
        <w:t>קביעת העונש המתאים בגדרי המתחם</w:t>
      </w:r>
    </w:p>
    <w:p w14:paraId="227EC804" w14:textId="77777777" w:rsidR="00D13689" w:rsidRPr="00475B69" w:rsidRDefault="00D13689" w:rsidP="00D13689">
      <w:pPr>
        <w:spacing w:after="160" w:line="360" w:lineRule="auto"/>
        <w:ind w:left="720" w:hanging="720"/>
        <w:jc w:val="both"/>
        <w:rPr>
          <w:rFonts w:ascii="David" w:hAnsi="David"/>
          <w:rtl/>
        </w:rPr>
      </w:pPr>
      <w:r>
        <w:rPr>
          <w:rFonts w:ascii="David" w:hAnsi="David" w:hint="cs"/>
          <w:rtl/>
        </w:rPr>
        <w:t>10.</w:t>
      </w:r>
      <w:r>
        <w:rPr>
          <w:rFonts w:ascii="David" w:hAnsi="David" w:hint="cs"/>
          <w:rtl/>
        </w:rPr>
        <w:tab/>
      </w:r>
      <w:r w:rsidRPr="00475B69">
        <w:rPr>
          <w:rFonts w:ascii="David" w:hAnsi="David"/>
          <w:rtl/>
        </w:rPr>
        <w:t xml:space="preserve">בגזירת העונש המתאים לנאשם, בגדרי מתחם העונש ההולם, יתחשב בית המשפט בשיקולים כלליים ובשיקולים פרטניים, שאינם קשורים בנסיבות ביצוע העבירה. </w:t>
      </w:r>
    </w:p>
    <w:p w14:paraId="74CC0004" w14:textId="77777777" w:rsidR="00D13689" w:rsidRPr="00475B69" w:rsidRDefault="00D13689" w:rsidP="00D13689">
      <w:pPr>
        <w:spacing w:after="160" w:line="360" w:lineRule="auto"/>
        <w:ind w:left="720"/>
        <w:jc w:val="both"/>
        <w:rPr>
          <w:rFonts w:ascii="David" w:hAnsi="David"/>
          <w:rtl/>
        </w:rPr>
      </w:pPr>
      <w:r w:rsidRPr="00475B69">
        <w:rPr>
          <w:rFonts w:ascii="David" w:hAnsi="David"/>
          <w:rtl/>
        </w:rPr>
        <w:t>במקרה זה לקחתי בחשבון את נטילת האחריות מצד הנאשם, אשר הודה במיוחס לו בכתב האישום המתוקן וכן חסך בכך משאבי ציבור יקרים.</w:t>
      </w:r>
    </w:p>
    <w:p w14:paraId="51298CFE" w14:textId="77777777" w:rsidR="00D13689" w:rsidRPr="00475B69" w:rsidRDefault="00D13689" w:rsidP="00D13689">
      <w:pPr>
        <w:spacing w:after="160" w:line="360" w:lineRule="auto"/>
        <w:ind w:left="720"/>
        <w:jc w:val="both"/>
        <w:rPr>
          <w:rFonts w:ascii="David" w:hAnsi="David"/>
          <w:rtl/>
        </w:rPr>
      </w:pPr>
      <w:r w:rsidRPr="00475B69">
        <w:rPr>
          <w:rFonts w:ascii="David" w:hAnsi="David"/>
          <w:rtl/>
        </w:rPr>
        <w:t xml:space="preserve">לקחתי בחשבון את עברו הפלילי של הנאשם, הכולל 5 הרשעות קודמות בעבירות רכוש וסמים והוא אף ריצה עונש מאסר בעברו. מנגד לקחתי בחשבון כי </w:t>
      </w:r>
      <w:bookmarkStart w:id="12" w:name="Seif5"/>
      <w:r w:rsidRPr="00475B69">
        <w:rPr>
          <w:rFonts w:ascii="David" w:hAnsi="David"/>
          <w:rtl/>
        </w:rPr>
        <w:t xml:space="preserve">חלק מהרשעותיו </w:t>
      </w:r>
      <w:bookmarkEnd w:id="12"/>
      <w:r w:rsidRPr="00475B69">
        <w:rPr>
          <w:rFonts w:ascii="David" w:hAnsi="David"/>
          <w:rtl/>
        </w:rPr>
        <w:t>הן בגין החזקת סם בכמות לצריכה עצמית. עבר פלילי זה אכן תומך בטיעון המאשימה בדבר הצורך בהרתעת היחיד, אשר מגלה הסלמה בהתנהגותו הפלילית במהלך השנים.</w:t>
      </w:r>
    </w:p>
    <w:p w14:paraId="4212C9B6" w14:textId="77777777" w:rsidR="00D13689" w:rsidRPr="00475B69" w:rsidRDefault="00D13689" w:rsidP="00D13689">
      <w:pPr>
        <w:spacing w:after="160" w:line="360" w:lineRule="auto"/>
        <w:ind w:left="720"/>
        <w:jc w:val="both"/>
        <w:rPr>
          <w:rFonts w:ascii="David" w:hAnsi="David"/>
          <w:rtl/>
        </w:rPr>
      </w:pPr>
      <w:r w:rsidRPr="00475B69">
        <w:rPr>
          <w:rFonts w:ascii="David" w:hAnsi="David"/>
          <w:rtl/>
        </w:rPr>
        <w:t xml:space="preserve">שיקלול הנסיבות מוביל למסקנה, כי יש להטיל על הנאשם עונש ברף הבינוני של מתחם הענישה. </w:t>
      </w:r>
    </w:p>
    <w:p w14:paraId="65D111FF" w14:textId="77777777" w:rsidR="00D13689" w:rsidRPr="00475B69" w:rsidRDefault="00D13689" w:rsidP="00D13689">
      <w:pPr>
        <w:spacing w:after="160" w:line="360" w:lineRule="auto"/>
        <w:jc w:val="both"/>
        <w:rPr>
          <w:rFonts w:ascii="David" w:hAnsi="David"/>
          <w:rtl/>
        </w:rPr>
      </w:pPr>
    </w:p>
    <w:p w14:paraId="20AC5D66" w14:textId="77777777" w:rsidR="00D13689" w:rsidRPr="00475B69" w:rsidRDefault="00D13689" w:rsidP="00D13689">
      <w:pPr>
        <w:spacing w:after="160" w:line="360" w:lineRule="auto"/>
        <w:jc w:val="both"/>
        <w:rPr>
          <w:rFonts w:ascii="David" w:hAnsi="David"/>
          <w:b/>
          <w:bCs/>
          <w:u w:val="single"/>
          <w:rtl/>
        </w:rPr>
      </w:pPr>
      <w:r w:rsidRPr="00475B69">
        <w:rPr>
          <w:rFonts w:ascii="David" w:hAnsi="David"/>
          <w:b/>
          <w:bCs/>
          <w:u w:val="single"/>
          <w:rtl/>
        </w:rPr>
        <w:t>סוף דבר:</w:t>
      </w:r>
    </w:p>
    <w:p w14:paraId="0F87CBE7" w14:textId="77777777" w:rsidR="00D13689" w:rsidRPr="00475B69" w:rsidRDefault="00D13689" w:rsidP="00D13689">
      <w:pPr>
        <w:spacing w:after="160" w:line="360" w:lineRule="auto"/>
        <w:jc w:val="both"/>
        <w:rPr>
          <w:rFonts w:ascii="David" w:hAnsi="David"/>
          <w:rtl/>
        </w:rPr>
      </w:pPr>
      <w:r>
        <w:rPr>
          <w:rFonts w:ascii="David" w:hAnsi="David" w:hint="cs"/>
          <w:rtl/>
        </w:rPr>
        <w:t>11.</w:t>
      </w:r>
      <w:r>
        <w:rPr>
          <w:rFonts w:ascii="David" w:hAnsi="David" w:hint="cs"/>
          <w:rtl/>
        </w:rPr>
        <w:tab/>
      </w:r>
      <w:r w:rsidRPr="00475B69">
        <w:rPr>
          <w:rFonts w:ascii="David" w:hAnsi="David"/>
          <w:rtl/>
        </w:rPr>
        <w:t>אני מטילה על הנאשם את העונשים הבאים:</w:t>
      </w:r>
    </w:p>
    <w:p w14:paraId="67A61915" w14:textId="77777777" w:rsidR="00D13689" w:rsidRPr="00475B69" w:rsidRDefault="00D13689" w:rsidP="00D13689">
      <w:pPr>
        <w:numPr>
          <w:ilvl w:val="0"/>
          <w:numId w:val="1"/>
        </w:numPr>
        <w:spacing w:after="160" w:line="360" w:lineRule="auto"/>
        <w:contextualSpacing/>
        <w:jc w:val="both"/>
        <w:rPr>
          <w:rFonts w:ascii="Arial" w:hAnsi="Arial"/>
          <w:rtl/>
        </w:rPr>
      </w:pPr>
      <w:r w:rsidRPr="00475B69">
        <w:rPr>
          <w:rFonts w:ascii="Arial" w:hAnsi="Arial"/>
          <w:rtl/>
        </w:rPr>
        <w:t xml:space="preserve">28 חודשי מאסר בפועל, בניכוי ימי מעצרו </w:t>
      </w:r>
      <w:r>
        <w:rPr>
          <w:rFonts w:ascii="Arial" w:hAnsi="Arial" w:hint="cs"/>
          <w:rtl/>
        </w:rPr>
        <w:t>בהתאם לרישומי שב"ס</w:t>
      </w:r>
      <w:r w:rsidRPr="00475B69">
        <w:rPr>
          <w:rFonts w:ascii="Arial" w:hAnsi="Arial"/>
          <w:rtl/>
        </w:rPr>
        <w:t>.</w:t>
      </w:r>
    </w:p>
    <w:p w14:paraId="6A1D355C" w14:textId="77777777" w:rsidR="00D13689" w:rsidRPr="00475B69" w:rsidRDefault="00D13689" w:rsidP="00D13689">
      <w:pPr>
        <w:numPr>
          <w:ilvl w:val="0"/>
          <w:numId w:val="1"/>
        </w:numPr>
        <w:spacing w:after="160" w:line="360" w:lineRule="auto"/>
        <w:contextualSpacing/>
        <w:jc w:val="both"/>
        <w:rPr>
          <w:rFonts w:ascii="Arial" w:hAnsi="Arial"/>
          <w:rtl/>
        </w:rPr>
      </w:pPr>
      <w:r w:rsidRPr="00475B69">
        <w:rPr>
          <w:rFonts w:ascii="Arial" w:hAnsi="Arial"/>
          <w:rtl/>
        </w:rPr>
        <w:t>מאסר על תנאי לתקופה של 6 חודשים.</w:t>
      </w:r>
    </w:p>
    <w:p w14:paraId="7D94F87D" w14:textId="77777777" w:rsidR="00D13689" w:rsidRPr="00475B69" w:rsidRDefault="00D13689" w:rsidP="00D13689">
      <w:pPr>
        <w:spacing w:after="160" w:line="360" w:lineRule="auto"/>
        <w:ind w:left="702"/>
        <w:jc w:val="both"/>
        <w:rPr>
          <w:rFonts w:ascii="Arial" w:hAnsi="Arial"/>
          <w:rtl/>
        </w:rPr>
      </w:pPr>
      <w:r w:rsidRPr="00475B69">
        <w:rPr>
          <w:rFonts w:ascii="Arial" w:hAnsi="Arial"/>
          <w:rtl/>
        </w:rPr>
        <w:t xml:space="preserve">המאסר המותנה יופעל אם תוך תקופה של 3 שנים מיום שחרורו, יעבור הנאשם עבירת סמים מסוג פשע. </w:t>
      </w:r>
    </w:p>
    <w:p w14:paraId="570DCD18" w14:textId="77777777" w:rsidR="00D13689" w:rsidRPr="00475B69" w:rsidRDefault="00D13689" w:rsidP="00D13689">
      <w:pPr>
        <w:numPr>
          <w:ilvl w:val="0"/>
          <w:numId w:val="1"/>
        </w:numPr>
        <w:spacing w:after="160" w:line="360" w:lineRule="auto"/>
        <w:contextualSpacing/>
        <w:jc w:val="both"/>
        <w:rPr>
          <w:rFonts w:ascii="Arial" w:hAnsi="Arial"/>
          <w:rtl/>
        </w:rPr>
      </w:pPr>
      <w:r w:rsidRPr="00475B69">
        <w:rPr>
          <w:rFonts w:ascii="Arial" w:hAnsi="Arial"/>
          <w:rtl/>
        </w:rPr>
        <w:t>קנס בסך 20,000</w:t>
      </w:r>
      <w:r w:rsidR="00ED1764">
        <w:rPr>
          <w:rFonts w:ascii="Arial" w:hAnsi="Arial"/>
          <w:rtl/>
        </w:rPr>
        <w:t xml:space="preserve"> </w:t>
      </w:r>
      <w:r w:rsidRPr="00475B69">
        <w:rPr>
          <w:rFonts w:ascii="Arial" w:hAnsi="Arial"/>
          <w:rtl/>
        </w:rPr>
        <w:t xml:space="preserve"> ₪</w:t>
      </w:r>
      <w:r w:rsidR="00ED1764">
        <w:rPr>
          <w:rFonts w:ascii="Arial" w:hAnsi="Arial"/>
          <w:rtl/>
        </w:rPr>
        <w:t xml:space="preserve"> </w:t>
      </w:r>
      <w:r w:rsidRPr="00475B69">
        <w:rPr>
          <w:rFonts w:ascii="Arial" w:hAnsi="Arial"/>
          <w:rtl/>
        </w:rPr>
        <w:t xml:space="preserve"> או 100</w:t>
      </w:r>
      <w:r w:rsidR="00ED1764">
        <w:rPr>
          <w:rFonts w:ascii="Arial" w:hAnsi="Arial"/>
          <w:rtl/>
        </w:rPr>
        <w:t xml:space="preserve"> </w:t>
      </w:r>
      <w:r w:rsidRPr="00475B69">
        <w:rPr>
          <w:rFonts w:ascii="Arial" w:hAnsi="Arial"/>
          <w:rtl/>
        </w:rPr>
        <w:t xml:space="preserve"> ימי מאסר תמורתו. </w:t>
      </w:r>
    </w:p>
    <w:p w14:paraId="4781EAF5" w14:textId="77777777" w:rsidR="00D13689" w:rsidRPr="00475B69" w:rsidRDefault="00D13689" w:rsidP="00D13689">
      <w:pPr>
        <w:spacing w:after="160" w:line="360" w:lineRule="auto"/>
        <w:ind w:left="702" w:firstLine="18"/>
        <w:jc w:val="both"/>
        <w:rPr>
          <w:rFonts w:ascii="Arial" w:hAnsi="Arial"/>
          <w:rtl/>
        </w:rPr>
      </w:pPr>
      <w:r w:rsidRPr="00475B69">
        <w:rPr>
          <w:rFonts w:ascii="Arial" w:hAnsi="Arial"/>
          <w:rtl/>
        </w:rPr>
        <w:t>הקנס ישולם ב-</w:t>
      </w:r>
      <w:r w:rsidR="00ED1764">
        <w:rPr>
          <w:rFonts w:ascii="Arial" w:hAnsi="Arial"/>
          <w:rtl/>
        </w:rPr>
        <w:t xml:space="preserve"> </w:t>
      </w:r>
      <w:r w:rsidRPr="00475B69">
        <w:rPr>
          <w:rFonts w:ascii="Arial" w:hAnsi="Arial"/>
          <w:rtl/>
        </w:rPr>
        <w:t>5</w:t>
      </w:r>
      <w:r w:rsidR="00ED1764">
        <w:rPr>
          <w:rFonts w:ascii="Arial" w:hAnsi="Arial"/>
          <w:rtl/>
        </w:rPr>
        <w:t xml:space="preserve"> </w:t>
      </w:r>
      <w:r w:rsidRPr="00475B69">
        <w:rPr>
          <w:rFonts w:ascii="Arial" w:hAnsi="Arial"/>
          <w:rtl/>
        </w:rPr>
        <w:t xml:space="preserve"> תשלומים חודשיים שווים ורצופים, החל מיום</w:t>
      </w:r>
      <w:r>
        <w:rPr>
          <w:rFonts w:ascii="Arial" w:hAnsi="Arial" w:hint="cs"/>
          <w:rtl/>
        </w:rPr>
        <w:t xml:space="preserve"> </w:t>
      </w:r>
      <w:r w:rsidRPr="00475B69">
        <w:rPr>
          <w:rFonts w:ascii="Arial" w:hAnsi="Arial"/>
          <w:rtl/>
        </w:rPr>
        <w:t>1.1.22.</w:t>
      </w:r>
      <w:r w:rsidR="00ED1764">
        <w:rPr>
          <w:rFonts w:ascii="Arial" w:hAnsi="Arial"/>
          <w:rtl/>
        </w:rPr>
        <w:t xml:space="preserve"> </w:t>
      </w:r>
      <w:r w:rsidRPr="00475B69">
        <w:rPr>
          <w:rFonts w:ascii="Arial" w:hAnsi="Arial"/>
          <w:rtl/>
        </w:rPr>
        <w:t xml:space="preserve">תשומת לב הנאשם, כי אי עמידה בתשלום תביא להעמדת הסכום כולו לפירעון. </w:t>
      </w:r>
    </w:p>
    <w:p w14:paraId="5E1F9FA7" w14:textId="77777777" w:rsidR="00D13689" w:rsidRDefault="00D13689" w:rsidP="00D13689">
      <w:pPr>
        <w:spacing w:after="160" w:line="360" w:lineRule="auto"/>
        <w:jc w:val="both"/>
        <w:rPr>
          <w:rFonts w:ascii="Arial" w:hAnsi="Arial"/>
          <w:b/>
          <w:bCs/>
          <w:rtl/>
        </w:rPr>
      </w:pPr>
    </w:p>
    <w:p w14:paraId="7E3CC406" w14:textId="77777777" w:rsidR="00D13689" w:rsidRPr="00475B69" w:rsidRDefault="00D13689" w:rsidP="00D13689">
      <w:pPr>
        <w:spacing w:after="160" w:line="360" w:lineRule="auto"/>
        <w:jc w:val="both"/>
        <w:rPr>
          <w:rFonts w:ascii="Calibri" w:hAnsi="Calibri"/>
          <w:b/>
          <w:bCs/>
          <w:rtl/>
        </w:rPr>
      </w:pPr>
      <w:r w:rsidRPr="00475B69">
        <w:rPr>
          <w:rFonts w:ascii="Arial" w:hAnsi="Arial"/>
          <w:b/>
          <w:bCs/>
          <w:rtl/>
        </w:rPr>
        <w:t>ניתן בזאת צו להשמדת מוצג – סמים - בכפוף לחלוף תקופת הערעור.</w:t>
      </w:r>
    </w:p>
    <w:p w14:paraId="7C390BC5" w14:textId="77777777" w:rsidR="00D13689" w:rsidRPr="00475B69" w:rsidRDefault="00D13689" w:rsidP="00D13689">
      <w:pPr>
        <w:spacing w:after="160" w:line="360" w:lineRule="auto"/>
        <w:jc w:val="both"/>
        <w:rPr>
          <w:rFonts w:ascii="Arial" w:hAnsi="Arial"/>
          <w:b/>
          <w:bCs/>
          <w:rtl/>
        </w:rPr>
      </w:pPr>
      <w:r w:rsidRPr="00475B69">
        <w:rPr>
          <w:rFonts w:ascii="Arial" w:hAnsi="Arial"/>
          <w:b/>
          <w:bCs/>
          <w:rtl/>
        </w:rPr>
        <w:t>מורה על חילוט הרכוש אשר נתפס במעבדת הסמים, כמפורט בכתב האישום.</w:t>
      </w:r>
    </w:p>
    <w:p w14:paraId="33856C7E" w14:textId="77777777" w:rsidR="00D13689" w:rsidRPr="00D13689" w:rsidRDefault="00D13689" w:rsidP="00D13689">
      <w:pPr>
        <w:spacing w:line="360" w:lineRule="auto"/>
        <w:jc w:val="both"/>
        <w:rPr>
          <w:rFonts w:ascii="Calibri" w:hAnsi="Calibri"/>
          <w:rtl/>
        </w:rPr>
      </w:pPr>
    </w:p>
    <w:p w14:paraId="209FF538" w14:textId="77777777" w:rsidR="00D13689" w:rsidRPr="00D13689" w:rsidRDefault="00ED1764" w:rsidP="00D13689">
      <w:pPr>
        <w:spacing w:line="360" w:lineRule="auto"/>
        <w:jc w:val="both"/>
        <w:rPr>
          <w:rFonts w:ascii="Calibri" w:hAnsi="Calibri"/>
          <w:b/>
          <w:bCs/>
          <w:rtl/>
        </w:rPr>
      </w:pPr>
      <w:r w:rsidRPr="00ED1764">
        <w:rPr>
          <w:rFonts w:ascii="Calibri" w:hAnsi="Calibri"/>
          <w:b/>
          <w:bCs/>
          <w:color w:val="FFFFFF"/>
          <w:sz w:val="2"/>
          <w:szCs w:val="2"/>
          <w:rtl/>
        </w:rPr>
        <w:t>5129371</w:t>
      </w:r>
      <w:r w:rsidR="00D13689" w:rsidRPr="00D13689">
        <w:rPr>
          <w:rFonts w:ascii="Calibri" w:hAnsi="Calibri" w:hint="eastAsia"/>
          <w:b/>
          <w:bCs/>
          <w:rtl/>
        </w:rPr>
        <w:t>זכות</w:t>
      </w:r>
      <w:r w:rsidR="00D13689" w:rsidRPr="00D13689">
        <w:rPr>
          <w:rFonts w:ascii="Calibri" w:hAnsi="Calibri"/>
          <w:b/>
          <w:bCs/>
          <w:rtl/>
        </w:rPr>
        <w:t xml:space="preserve"> </w:t>
      </w:r>
      <w:r w:rsidR="00D13689" w:rsidRPr="00D13689">
        <w:rPr>
          <w:rFonts w:ascii="Calibri" w:hAnsi="Calibri" w:hint="eastAsia"/>
          <w:b/>
          <w:bCs/>
          <w:rtl/>
        </w:rPr>
        <w:t>ערעור</w:t>
      </w:r>
      <w:r w:rsidR="00D13689" w:rsidRPr="00D13689">
        <w:rPr>
          <w:rFonts w:ascii="Calibri" w:hAnsi="Calibri"/>
          <w:b/>
          <w:bCs/>
          <w:rtl/>
        </w:rPr>
        <w:t xml:space="preserve"> </w:t>
      </w:r>
      <w:r w:rsidR="00D13689" w:rsidRPr="00D13689">
        <w:rPr>
          <w:rFonts w:ascii="Calibri" w:hAnsi="Calibri" w:hint="eastAsia"/>
          <w:b/>
          <w:bCs/>
          <w:rtl/>
        </w:rPr>
        <w:t>כחוק</w:t>
      </w:r>
      <w:r w:rsidR="00D13689" w:rsidRPr="00D13689">
        <w:rPr>
          <w:rFonts w:ascii="Calibri" w:hAnsi="Calibri"/>
          <w:b/>
          <w:bCs/>
          <w:rtl/>
        </w:rPr>
        <w:t xml:space="preserve">. </w:t>
      </w:r>
    </w:p>
    <w:p w14:paraId="338F17D9" w14:textId="77777777" w:rsidR="00D13689" w:rsidRPr="00ED1764" w:rsidRDefault="00ED1764" w:rsidP="00D13689">
      <w:pPr>
        <w:rPr>
          <w:rFonts w:ascii="David" w:hAnsi="David"/>
          <w:color w:val="FFFFFF"/>
          <w:sz w:val="2"/>
          <w:szCs w:val="2"/>
          <w:rtl/>
        </w:rPr>
      </w:pPr>
      <w:r w:rsidRPr="00ED1764">
        <w:rPr>
          <w:rFonts w:ascii="David" w:hAnsi="David"/>
          <w:color w:val="FFFFFF"/>
          <w:sz w:val="2"/>
          <w:szCs w:val="2"/>
          <w:rtl/>
        </w:rPr>
        <w:t>54678313</w:t>
      </w:r>
    </w:p>
    <w:p w14:paraId="1392A3A5" w14:textId="77777777" w:rsidR="00D13689" w:rsidRPr="00475B69" w:rsidRDefault="00D13689" w:rsidP="00D13689">
      <w:pPr>
        <w:rPr>
          <w:rFonts w:ascii="David" w:hAnsi="David"/>
          <w:b/>
          <w:bCs/>
          <w:sz w:val="26"/>
          <w:szCs w:val="26"/>
          <w:rtl/>
        </w:rPr>
      </w:pPr>
    </w:p>
    <w:p w14:paraId="7B9CB32D" w14:textId="77777777" w:rsidR="00D13689" w:rsidRPr="00475B69" w:rsidRDefault="00ED1764" w:rsidP="00D13689">
      <w:pPr>
        <w:rPr>
          <w:rFonts w:ascii="David" w:hAnsi="David"/>
          <w:b/>
          <w:bCs/>
          <w:sz w:val="26"/>
          <w:szCs w:val="26"/>
          <w:rtl/>
        </w:rPr>
      </w:pPr>
      <w:bookmarkStart w:id="13" w:name="Nitan"/>
      <w:r>
        <w:rPr>
          <w:rFonts w:ascii="David" w:hAnsi="David"/>
          <w:b/>
          <w:bCs/>
          <w:sz w:val="26"/>
          <w:szCs w:val="26"/>
          <w:rtl/>
        </w:rPr>
        <w:t xml:space="preserve">ניתן היום,  ט' סיוון תשפ"א, 20 מאי 2021, במעמד הצדדים. </w:t>
      </w:r>
      <w:bookmarkEnd w:id="13"/>
    </w:p>
    <w:p w14:paraId="4592B511" w14:textId="77777777" w:rsidR="00D13689" w:rsidRPr="00475B69" w:rsidRDefault="00D13689" w:rsidP="00ED1764">
      <w:pPr>
        <w:jc w:val="center"/>
      </w:pPr>
      <w:r w:rsidRPr="00475B69">
        <w:rPr>
          <w:rFonts w:ascii="David" w:hAnsi="David"/>
          <w:b/>
          <w:bCs/>
          <w:sz w:val="26"/>
          <w:szCs w:val="26"/>
          <w:rtl/>
        </w:rPr>
        <w:t xml:space="preserve">   </w:t>
      </w:r>
      <w:r w:rsidRPr="00475B69">
        <w:rPr>
          <w:rFonts w:ascii="David" w:hAnsi="David"/>
          <w:b/>
          <w:bCs/>
          <w:sz w:val="26"/>
          <w:szCs w:val="26"/>
          <w:rtl/>
        </w:rPr>
        <w:tab/>
      </w:r>
      <w:r w:rsidRPr="00475B69">
        <w:rPr>
          <w:rFonts w:ascii="David" w:hAnsi="David"/>
          <w:b/>
          <w:bCs/>
          <w:sz w:val="26"/>
          <w:szCs w:val="26"/>
          <w:rtl/>
        </w:rPr>
        <w:tab/>
      </w:r>
      <w:r w:rsidRPr="00475B69">
        <w:rPr>
          <w:rFonts w:ascii="David" w:hAnsi="David"/>
          <w:b/>
          <w:bCs/>
          <w:sz w:val="26"/>
          <w:szCs w:val="26"/>
          <w:rtl/>
        </w:rPr>
        <w:tab/>
      </w:r>
      <w:r w:rsidRPr="00475B69">
        <w:rPr>
          <w:rFonts w:ascii="David" w:hAnsi="David"/>
          <w:b/>
          <w:bCs/>
          <w:sz w:val="26"/>
          <w:szCs w:val="26"/>
          <w:rtl/>
        </w:rPr>
        <w:tab/>
      </w:r>
      <w:r w:rsidRPr="00475B69">
        <w:rPr>
          <w:rFonts w:ascii="David" w:hAnsi="David"/>
          <w:b/>
          <w:bCs/>
          <w:sz w:val="26"/>
          <w:szCs w:val="26"/>
          <w:rtl/>
        </w:rPr>
        <w:tab/>
      </w:r>
    </w:p>
    <w:p w14:paraId="2839206C" w14:textId="77777777" w:rsidR="00D13689" w:rsidRPr="00D55ABC" w:rsidRDefault="00D55ABC" w:rsidP="00D13689">
      <w:pPr>
        <w:jc w:val="center"/>
        <w:rPr>
          <w:rFonts w:ascii="David" w:hAnsi="David"/>
          <w:b/>
          <w:bCs/>
          <w:color w:val="FFFFFF"/>
          <w:sz w:val="2"/>
          <w:szCs w:val="2"/>
          <w:rtl/>
        </w:rPr>
      </w:pPr>
      <w:r w:rsidRPr="00D55ABC">
        <w:rPr>
          <w:rFonts w:ascii="David" w:hAnsi="David"/>
          <w:b/>
          <w:bCs/>
          <w:color w:val="FFFFFF"/>
          <w:sz w:val="2"/>
          <w:szCs w:val="2"/>
          <w:rtl/>
        </w:rPr>
        <w:t>5129371</w:t>
      </w:r>
    </w:p>
    <w:p w14:paraId="329DA182" w14:textId="77777777" w:rsidR="008756B2" w:rsidRPr="00D55ABC" w:rsidRDefault="00D55ABC" w:rsidP="00ED1764">
      <w:pPr>
        <w:keepNext/>
        <w:rPr>
          <w:rFonts w:ascii="David" w:hAnsi="David"/>
          <w:color w:val="FFFFFF"/>
          <w:sz w:val="2"/>
          <w:szCs w:val="2"/>
          <w:rtl/>
        </w:rPr>
      </w:pPr>
      <w:r w:rsidRPr="00D55ABC">
        <w:rPr>
          <w:rFonts w:ascii="David" w:hAnsi="David"/>
          <w:color w:val="FFFFFF"/>
          <w:sz w:val="2"/>
          <w:szCs w:val="2"/>
          <w:rtl/>
        </w:rPr>
        <w:t>54678313</w:t>
      </w:r>
    </w:p>
    <w:p w14:paraId="6449BCA2" w14:textId="77777777" w:rsidR="00ED1764" w:rsidRDefault="00ED1764" w:rsidP="00ED1764">
      <w:pPr>
        <w:rPr>
          <w:rtl/>
        </w:rPr>
      </w:pPr>
    </w:p>
    <w:p w14:paraId="7BD68CD5" w14:textId="77777777" w:rsidR="00ED1764" w:rsidRDefault="00ED1764" w:rsidP="00ED1764">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70E5BC7D" w14:textId="77777777" w:rsidR="00D55ABC" w:rsidRPr="00D55ABC" w:rsidRDefault="00D55ABC" w:rsidP="00D55ABC">
      <w:pPr>
        <w:keepNext/>
        <w:rPr>
          <w:rFonts w:ascii="David" w:hAnsi="David"/>
          <w:color w:val="000000"/>
          <w:sz w:val="22"/>
          <w:szCs w:val="22"/>
          <w:rtl/>
        </w:rPr>
      </w:pPr>
    </w:p>
    <w:p w14:paraId="387D0404" w14:textId="77777777" w:rsidR="00D55ABC" w:rsidRPr="00D55ABC" w:rsidRDefault="00D55ABC" w:rsidP="00D55ABC">
      <w:pPr>
        <w:keepNext/>
        <w:rPr>
          <w:rFonts w:ascii="David" w:hAnsi="David"/>
          <w:color w:val="000000"/>
          <w:sz w:val="22"/>
          <w:szCs w:val="22"/>
          <w:rtl/>
        </w:rPr>
      </w:pPr>
      <w:r w:rsidRPr="00D55ABC">
        <w:rPr>
          <w:rFonts w:ascii="David" w:hAnsi="David"/>
          <w:color w:val="000000"/>
          <w:sz w:val="22"/>
          <w:szCs w:val="22"/>
          <w:rtl/>
        </w:rPr>
        <w:t>ענת חולתא 54678313-/</w:t>
      </w:r>
    </w:p>
    <w:p w14:paraId="2F0FE9FE" w14:textId="77777777" w:rsidR="00ED1764" w:rsidRPr="00ED1764" w:rsidRDefault="00D55ABC" w:rsidP="00D55ABC">
      <w:pPr>
        <w:rPr>
          <w:color w:val="0000FF"/>
          <w:u w:val="single"/>
        </w:rPr>
      </w:pPr>
      <w:r w:rsidRPr="00D55ABC">
        <w:rPr>
          <w:color w:val="000000"/>
          <w:u w:val="single"/>
          <w:rtl/>
        </w:rPr>
        <w:t>נוסח מסמך זה כפוף לשינויי ניסוח ועריכה</w:t>
      </w:r>
    </w:p>
    <w:sectPr w:rsidR="00ED1764" w:rsidRPr="00ED1764" w:rsidSect="00D55ABC">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2F9447" w14:textId="77777777" w:rsidR="004B78BF" w:rsidRDefault="004B78BF" w:rsidP="002F42B4">
      <w:r>
        <w:separator/>
      </w:r>
    </w:p>
  </w:endnote>
  <w:endnote w:type="continuationSeparator" w:id="0">
    <w:p w14:paraId="39E2A73F" w14:textId="77777777" w:rsidR="004B78BF" w:rsidRDefault="004B78BF" w:rsidP="002F4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38D67" w14:textId="77777777" w:rsidR="00C55BB4" w:rsidRDefault="00C55BB4" w:rsidP="00D55AB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1A46D94" w14:textId="77777777" w:rsidR="00C55BB4" w:rsidRPr="00D55ABC" w:rsidRDefault="00C55BB4" w:rsidP="00D55ABC">
    <w:pPr>
      <w:pStyle w:val="a5"/>
      <w:pBdr>
        <w:top w:val="single" w:sz="4" w:space="1" w:color="auto"/>
        <w:between w:val="single" w:sz="4" w:space="0" w:color="auto"/>
      </w:pBdr>
      <w:spacing w:after="60"/>
      <w:jc w:val="center"/>
      <w:rPr>
        <w:rFonts w:ascii="FrankRuehl" w:hAnsi="FrankRuehl" w:cs="FrankRuehl"/>
        <w:color w:val="000000"/>
      </w:rPr>
    </w:pPr>
    <w:r w:rsidRPr="00D55AB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D62DE" w14:textId="77777777" w:rsidR="00C55BB4" w:rsidRDefault="00C55BB4" w:rsidP="00D55AB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2C59">
      <w:rPr>
        <w:rFonts w:ascii="FrankRuehl" w:hAnsi="FrankRuehl" w:cs="FrankRuehl"/>
        <w:noProof/>
        <w:rtl/>
      </w:rPr>
      <w:t>1</w:t>
    </w:r>
    <w:r>
      <w:rPr>
        <w:rFonts w:ascii="FrankRuehl" w:hAnsi="FrankRuehl" w:cs="FrankRuehl"/>
        <w:rtl/>
      </w:rPr>
      <w:fldChar w:fldCharType="end"/>
    </w:r>
  </w:p>
  <w:p w14:paraId="0A46DEEE" w14:textId="77777777" w:rsidR="00C55BB4" w:rsidRPr="00D55ABC" w:rsidRDefault="00C55BB4" w:rsidP="00D55ABC">
    <w:pPr>
      <w:pStyle w:val="a5"/>
      <w:pBdr>
        <w:top w:val="single" w:sz="4" w:space="1" w:color="auto"/>
        <w:between w:val="single" w:sz="4" w:space="0" w:color="auto"/>
      </w:pBdr>
      <w:spacing w:after="60"/>
      <w:jc w:val="center"/>
      <w:rPr>
        <w:rFonts w:ascii="FrankRuehl" w:hAnsi="FrankRuehl" w:cs="FrankRuehl"/>
        <w:color w:val="000000"/>
      </w:rPr>
    </w:pPr>
    <w:r w:rsidRPr="00D55ABC">
      <w:rPr>
        <w:rFonts w:ascii="FrankRuehl" w:hAnsi="FrankRuehl" w:cs="FrankRuehl"/>
        <w:color w:val="000000"/>
      </w:rPr>
      <w:pict w14:anchorId="50A43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F69D4" w14:textId="77777777" w:rsidR="004B78BF" w:rsidRDefault="004B78BF" w:rsidP="002F42B4">
      <w:r>
        <w:separator/>
      </w:r>
    </w:p>
  </w:footnote>
  <w:footnote w:type="continuationSeparator" w:id="0">
    <w:p w14:paraId="77DD9936" w14:textId="77777777" w:rsidR="004B78BF" w:rsidRDefault="004B78BF" w:rsidP="002F42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46057" w14:textId="77777777" w:rsidR="00C55BB4" w:rsidRPr="00D55ABC" w:rsidRDefault="00C55BB4" w:rsidP="00D55A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68645-11-20</w:t>
    </w:r>
    <w:r>
      <w:rPr>
        <w:rFonts w:ascii="David" w:hAnsi="David"/>
        <w:color w:val="000000"/>
        <w:sz w:val="22"/>
        <w:szCs w:val="22"/>
        <w:rtl/>
      </w:rPr>
      <w:tab/>
      <w:t xml:space="preserve"> מדינת ישראל נ' דניאל אגיבייב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93223" w14:textId="77777777" w:rsidR="00C55BB4" w:rsidRPr="00D55ABC" w:rsidRDefault="00C55BB4" w:rsidP="00D55A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68645-11-20</w:t>
    </w:r>
    <w:r>
      <w:rPr>
        <w:rFonts w:ascii="David" w:hAnsi="David"/>
        <w:color w:val="000000"/>
        <w:sz w:val="22"/>
        <w:szCs w:val="22"/>
        <w:rtl/>
      </w:rPr>
      <w:tab/>
      <w:t xml:space="preserve"> מדינת ישראל נ' דניאל אגיבייב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81929"/>
    <w:multiLevelType w:val="hybridMultilevel"/>
    <w:tmpl w:val="41AA65A2"/>
    <w:lvl w:ilvl="0" w:tplc="A4ACDB64">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9B3242C"/>
    <w:multiLevelType w:val="hybridMultilevel"/>
    <w:tmpl w:val="AE30E6E2"/>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685740055">
    <w:abstractNumId w:val="0"/>
  </w:num>
  <w:num w:numId="2" w16cid:durableId="2067947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3689"/>
    <w:rsid w:val="000C775E"/>
    <w:rsid w:val="001B5A3B"/>
    <w:rsid w:val="002D724F"/>
    <w:rsid w:val="002F42B4"/>
    <w:rsid w:val="00410B81"/>
    <w:rsid w:val="00493BA8"/>
    <w:rsid w:val="004B78BF"/>
    <w:rsid w:val="004E471C"/>
    <w:rsid w:val="006225CA"/>
    <w:rsid w:val="006A2C59"/>
    <w:rsid w:val="008756B2"/>
    <w:rsid w:val="009E6628"/>
    <w:rsid w:val="00A812BA"/>
    <w:rsid w:val="00C55BB4"/>
    <w:rsid w:val="00D13689"/>
    <w:rsid w:val="00D55ABC"/>
    <w:rsid w:val="00ED17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329FBC"/>
  <w15:chartTrackingRefBased/>
  <w15:docId w15:val="{3FCC7A84-0E1A-4F1F-A28B-9C756A60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368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3689"/>
    <w:pPr>
      <w:tabs>
        <w:tab w:val="center" w:pos="4153"/>
        <w:tab w:val="right" w:pos="8306"/>
      </w:tabs>
    </w:pPr>
  </w:style>
  <w:style w:type="character" w:customStyle="1" w:styleId="a4">
    <w:name w:val="כותרת עליונה תו"/>
    <w:link w:val="a3"/>
    <w:rsid w:val="00D13689"/>
    <w:rPr>
      <w:rFonts w:ascii="Times New Roman" w:eastAsia="Times New Roman" w:hAnsi="Times New Roman" w:cs="David"/>
      <w:sz w:val="24"/>
      <w:szCs w:val="24"/>
    </w:rPr>
  </w:style>
  <w:style w:type="paragraph" w:styleId="a5">
    <w:name w:val="footer"/>
    <w:basedOn w:val="a"/>
    <w:link w:val="a6"/>
    <w:rsid w:val="00D13689"/>
    <w:pPr>
      <w:tabs>
        <w:tab w:val="center" w:pos="4153"/>
        <w:tab w:val="right" w:pos="8306"/>
      </w:tabs>
    </w:pPr>
  </w:style>
  <w:style w:type="character" w:customStyle="1" w:styleId="a6">
    <w:name w:val="כותרת תחתונה תו"/>
    <w:link w:val="a5"/>
    <w:rsid w:val="00D13689"/>
    <w:rPr>
      <w:rFonts w:ascii="Times New Roman" w:eastAsia="Times New Roman" w:hAnsi="Times New Roman" w:cs="David"/>
      <w:sz w:val="24"/>
      <w:szCs w:val="24"/>
    </w:rPr>
  </w:style>
  <w:style w:type="table" w:styleId="a7">
    <w:name w:val="Table Grid"/>
    <w:basedOn w:val="a1"/>
    <w:rsid w:val="00D1368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13689"/>
  </w:style>
  <w:style w:type="character" w:styleId="Hyperlink">
    <w:name w:val="Hyperlink"/>
    <w:rsid w:val="00ED17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0" TargetMode="External"/><Relationship Id="rId18" Type="http://schemas.openxmlformats.org/officeDocument/2006/relationships/hyperlink" Target="http://www.nevo.co.il/case/25231460" TargetMode="External"/><Relationship Id="rId26" Type="http://schemas.openxmlformats.org/officeDocument/2006/relationships/hyperlink" Target="http://www.nevo.co.il/case/21673783" TargetMode="External"/><Relationship Id="rId3" Type="http://schemas.openxmlformats.org/officeDocument/2006/relationships/settings" Target="settings.xml"/><Relationship Id="rId21" Type="http://schemas.openxmlformats.org/officeDocument/2006/relationships/hyperlink" Target="http://www.nevo.co.il/case/20126486" TargetMode="External"/><Relationship Id="rId7" Type="http://schemas.openxmlformats.org/officeDocument/2006/relationships/hyperlink" Target="http://www.nevo.co.il/case/27195450"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5202760" TargetMode="External"/><Relationship Id="rId25" Type="http://schemas.openxmlformats.org/officeDocument/2006/relationships/hyperlink" Target="http://www.nevo.co.il/case/22558068"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6678297" TargetMode="External"/><Relationship Id="rId20" Type="http://schemas.openxmlformats.org/officeDocument/2006/relationships/hyperlink" Target="http://www.nevo.co.il/case/26150009"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24221950"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18119161" TargetMode="External"/><Relationship Id="rId23" Type="http://schemas.openxmlformats.org/officeDocument/2006/relationships/hyperlink" Target="http://www.nevo.co.il/case/22326873" TargetMode="External"/><Relationship Id="rId28" Type="http://schemas.openxmlformats.org/officeDocument/2006/relationships/header" Target="header1.xml"/><Relationship Id="rId10" Type="http://schemas.openxmlformats.org/officeDocument/2006/relationships/hyperlink" Target="http://www.nevo.co.il/law/4216/10" TargetMode="External"/><Relationship Id="rId19" Type="http://schemas.openxmlformats.org/officeDocument/2006/relationships/hyperlink" Target="http://www.nevo.co.il/case/24965143"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case/18045843" TargetMode="External"/><Relationship Id="rId22" Type="http://schemas.openxmlformats.org/officeDocument/2006/relationships/hyperlink" Target="http://www.nevo.co.il/case/22791245"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2194</Words>
  <Characters>10972</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13140</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4128885</vt:i4>
      </vt:variant>
      <vt:variant>
        <vt:i4>57</vt:i4>
      </vt:variant>
      <vt:variant>
        <vt:i4>0</vt:i4>
      </vt:variant>
      <vt:variant>
        <vt:i4>5</vt:i4>
      </vt:variant>
      <vt:variant>
        <vt:lpwstr>http://www.nevo.co.il/case/21673783</vt:lpwstr>
      </vt:variant>
      <vt:variant>
        <vt:lpwstr/>
      </vt:variant>
      <vt:variant>
        <vt:i4>3735667</vt:i4>
      </vt:variant>
      <vt:variant>
        <vt:i4>54</vt:i4>
      </vt:variant>
      <vt:variant>
        <vt:i4>0</vt:i4>
      </vt:variant>
      <vt:variant>
        <vt:i4>5</vt:i4>
      </vt:variant>
      <vt:variant>
        <vt:lpwstr>http://www.nevo.co.il/case/22558068</vt:lpwstr>
      </vt:variant>
      <vt:variant>
        <vt:lpwstr/>
      </vt:variant>
      <vt:variant>
        <vt:i4>3407995</vt:i4>
      </vt:variant>
      <vt:variant>
        <vt:i4>51</vt:i4>
      </vt:variant>
      <vt:variant>
        <vt:i4>0</vt:i4>
      </vt:variant>
      <vt:variant>
        <vt:i4>5</vt:i4>
      </vt:variant>
      <vt:variant>
        <vt:lpwstr>http://www.nevo.co.il/case/24221950</vt:lpwstr>
      </vt:variant>
      <vt:variant>
        <vt:lpwstr/>
      </vt:variant>
      <vt:variant>
        <vt:i4>3145852</vt:i4>
      </vt:variant>
      <vt:variant>
        <vt:i4>48</vt:i4>
      </vt:variant>
      <vt:variant>
        <vt:i4>0</vt:i4>
      </vt:variant>
      <vt:variant>
        <vt:i4>5</vt:i4>
      </vt:variant>
      <vt:variant>
        <vt:lpwstr>http://www.nevo.co.il/case/22326873</vt:lpwstr>
      </vt:variant>
      <vt:variant>
        <vt:lpwstr/>
      </vt:variant>
      <vt:variant>
        <vt:i4>3145853</vt:i4>
      </vt:variant>
      <vt:variant>
        <vt:i4>45</vt:i4>
      </vt:variant>
      <vt:variant>
        <vt:i4>0</vt:i4>
      </vt:variant>
      <vt:variant>
        <vt:i4>5</vt:i4>
      </vt:variant>
      <vt:variant>
        <vt:lpwstr>http://www.nevo.co.il/case/22791245</vt:lpwstr>
      </vt:variant>
      <vt:variant>
        <vt:lpwstr/>
      </vt:variant>
      <vt:variant>
        <vt:i4>3997810</vt:i4>
      </vt:variant>
      <vt:variant>
        <vt:i4>42</vt:i4>
      </vt:variant>
      <vt:variant>
        <vt:i4>0</vt:i4>
      </vt:variant>
      <vt:variant>
        <vt:i4>5</vt:i4>
      </vt:variant>
      <vt:variant>
        <vt:lpwstr>http://www.nevo.co.il/case/20126486</vt:lpwstr>
      </vt:variant>
      <vt:variant>
        <vt:lpwstr/>
      </vt:variant>
      <vt:variant>
        <vt:i4>3342455</vt:i4>
      </vt:variant>
      <vt:variant>
        <vt:i4>39</vt:i4>
      </vt:variant>
      <vt:variant>
        <vt:i4>0</vt:i4>
      </vt:variant>
      <vt:variant>
        <vt:i4>5</vt:i4>
      </vt:variant>
      <vt:variant>
        <vt:lpwstr>http://www.nevo.co.il/case/26150009</vt:lpwstr>
      </vt:variant>
      <vt:variant>
        <vt:lpwstr/>
      </vt:variant>
      <vt:variant>
        <vt:i4>3801207</vt:i4>
      </vt:variant>
      <vt:variant>
        <vt:i4>36</vt:i4>
      </vt:variant>
      <vt:variant>
        <vt:i4>0</vt:i4>
      </vt:variant>
      <vt:variant>
        <vt:i4>5</vt:i4>
      </vt:variant>
      <vt:variant>
        <vt:lpwstr>http://www.nevo.co.il/case/24965143</vt:lpwstr>
      </vt:variant>
      <vt:variant>
        <vt:lpwstr/>
      </vt:variant>
      <vt:variant>
        <vt:i4>3604598</vt:i4>
      </vt:variant>
      <vt:variant>
        <vt:i4>33</vt:i4>
      </vt:variant>
      <vt:variant>
        <vt:i4>0</vt:i4>
      </vt:variant>
      <vt:variant>
        <vt:i4>5</vt:i4>
      </vt:variant>
      <vt:variant>
        <vt:lpwstr>http://www.nevo.co.il/case/25231460</vt:lpwstr>
      </vt:variant>
      <vt:variant>
        <vt:lpwstr/>
      </vt:variant>
      <vt:variant>
        <vt:i4>3407990</vt:i4>
      </vt:variant>
      <vt:variant>
        <vt:i4>30</vt:i4>
      </vt:variant>
      <vt:variant>
        <vt:i4>0</vt:i4>
      </vt:variant>
      <vt:variant>
        <vt:i4>5</vt:i4>
      </vt:variant>
      <vt:variant>
        <vt:lpwstr>http://www.nevo.co.il/case/25202760</vt:lpwstr>
      </vt:variant>
      <vt:variant>
        <vt:lpwstr/>
      </vt:variant>
      <vt:variant>
        <vt:i4>3473527</vt:i4>
      </vt:variant>
      <vt:variant>
        <vt:i4>27</vt:i4>
      </vt:variant>
      <vt:variant>
        <vt:i4>0</vt:i4>
      </vt:variant>
      <vt:variant>
        <vt:i4>5</vt:i4>
      </vt:variant>
      <vt:variant>
        <vt:lpwstr>http://www.nevo.co.il/case/26678297</vt:lpwstr>
      </vt:variant>
      <vt:variant>
        <vt:lpwstr/>
      </vt:variant>
      <vt:variant>
        <vt:i4>4128892</vt:i4>
      </vt:variant>
      <vt:variant>
        <vt:i4>24</vt:i4>
      </vt:variant>
      <vt:variant>
        <vt:i4>0</vt:i4>
      </vt:variant>
      <vt:variant>
        <vt:i4>5</vt:i4>
      </vt:variant>
      <vt:variant>
        <vt:lpwstr>http://www.nevo.co.il/case/18119161</vt:lpwstr>
      </vt:variant>
      <vt:variant>
        <vt:lpwstr/>
      </vt:variant>
      <vt:variant>
        <vt:i4>3145840</vt:i4>
      </vt:variant>
      <vt:variant>
        <vt:i4>21</vt:i4>
      </vt:variant>
      <vt:variant>
        <vt:i4>0</vt:i4>
      </vt:variant>
      <vt:variant>
        <vt:i4>5</vt:i4>
      </vt:variant>
      <vt:variant>
        <vt:lpwstr>http://www.nevo.co.il/case/18045843</vt:lpwstr>
      </vt:variant>
      <vt:variant>
        <vt:lpwstr/>
      </vt:variant>
      <vt:variant>
        <vt:i4>5177418</vt:i4>
      </vt:variant>
      <vt:variant>
        <vt:i4>18</vt:i4>
      </vt:variant>
      <vt:variant>
        <vt:i4>0</vt:i4>
      </vt:variant>
      <vt:variant>
        <vt:i4>5</vt:i4>
      </vt:variant>
      <vt:variant>
        <vt:lpwstr>http://www.nevo.co.il/law/4216/10</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5177418</vt:i4>
      </vt:variant>
      <vt:variant>
        <vt:i4>9</vt:i4>
      </vt:variant>
      <vt:variant>
        <vt:i4>0</vt:i4>
      </vt:variant>
      <vt:variant>
        <vt:i4>5</vt:i4>
      </vt:variant>
      <vt:variant>
        <vt:lpwstr>http://www.nevo.co.il/law/4216/10</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3342462</vt:i4>
      </vt:variant>
      <vt:variant>
        <vt:i4>0</vt:i4>
      </vt:variant>
      <vt:variant>
        <vt:i4>0</vt:i4>
      </vt:variant>
      <vt:variant>
        <vt:i4>5</vt:i4>
      </vt:variant>
      <vt:variant>
        <vt:lpwstr>http://www.nevo.co.il/case/27195450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2025-04-23T00:49:00Z</dcterms:created>
  <dcterms:modified xsi:type="dcterms:W3CDTF">2025-04-23T00:49:00Z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68645</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דניאל אגיבייב </vt:lpwstr>
  </property>
  <property fmtid="{D5CDD505-2E9C-101B-9397-08002B2CF9AE}" pid="10" name="LAWYER">
    <vt:lpwstr>רומן זילברמן;אפרת צרפתי</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20210520</vt:lpwstr>
  </property>
  <property fmtid="{D5CDD505-2E9C-101B-9397-08002B2CF9AE}" pid="14" name="TYPE_N_DATE">
    <vt:lpwstr>38020210520</vt:lpwstr>
  </property>
  <property fmtid="{D5CDD505-2E9C-101B-9397-08002B2CF9AE}" pid="15" name="WORDNUMPAGES">
    <vt:lpwstr>8</vt:lpwstr>
  </property>
  <property fmtid="{D5CDD505-2E9C-101B-9397-08002B2CF9AE}" pid="16" name="TYPE_ABS_DATE">
    <vt:lpwstr>380020210520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27195450;18045843;18119161;26678297;25202760;25231460;24965143;26150009;20126486;22791245;22326873;24221950;22558068;21673783</vt:lpwstr>
  </property>
  <property fmtid="{D5CDD505-2E9C-101B-9397-08002B2CF9AE}" pid="36" name="LAWLISTTMP1">
    <vt:lpwstr>4216/006;010</vt:lpwstr>
  </property>
</Properties>
</file>