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C18F8" w:rsidRPr="00BC0350" w14:paraId="0BB2C9AC" w14:textId="77777777" w:rsidTr="00055CF7">
        <w:trPr>
          <w:trHeight w:hRule="exact" w:val="418"/>
          <w:jc w:val="center"/>
        </w:trPr>
        <w:tc>
          <w:tcPr>
            <w:tcW w:w="8721" w:type="dxa"/>
            <w:gridSpan w:val="2"/>
          </w:tcPr>
          <w:p w14:paraId="51D24BCD" w14:textId="77777777" w:rsidR="00DC18F8" w:rsidRPr="00BC0350" w:rsidRDefault="00DC18F8" w:rsidP="008E0241">
            <w:pPr>
              <w:pStyle w:val="a3"/>
              <w:jc w:val="center"/>
              <w:rPr>
                <w:rFonts w:ascii="Tahoma" w:hAnsi="Tahoma" w:cs="Tahoma"/>
                <w:color w:val="000080"/>
                <w:rtl/>
              </w:rPr>
            </w:pPr>
            <w:bookmarkStart w:id="0" w:name="LastJudge"/>
            <w:r w:rsidRPr="00BC0350">
              <w:rPr>
                <w:rFonts w:ascii="Tahoma" w:hAnsi="Tahoma" w:cs="Tahoma"/>
                <w:b/>
                <w:bCs/>
                <w:color w:val="000080"/>
                <w:rtl/>
              </w:rPr>
              <w:t>בית משפט השלום ברחובות</w:t>
            </w:r>
          </w:p>
        </w:tc>
      </w:tr>
      <w:tr w:rsidR="00DC18F8" w:rsidRPr="00BC0350" w14:paraId="4D72915F" w14:textId="77777777" w:rsidTr="00055CF7">
        <w:trPr>
          <w:trHeight w:val="337"/>
          <w:jc w:val="center"/>
        </w:trPr>
        <w:tc>
          <w:tcPr>
            <w:tcW w:w="5054" w:type="dxa"/>
          </w:tcPr>
          <w:p w14:paraId="64EF88EC" w14:textId="77777777" w:rsidR="00DC18F8" w:rsidRPr="00BC0350" w:rsidRDefault="00DC18F8" w:rsidP="008E0241">
            <w:pPr>
              <w:rPr>
                <w:rFonts w:cs="FrankRuehl"/>
                <w:sz w:val="28"/>
                <w:szCs w:val="28"/>
                <w:rtl/>
              </w:rPr>
            </w:pPr>
            <w:r w:rsidRPr="00BC0350">
              <w:rPr>
                <w:rFonts w:cs="FrankRuehl"/>
                <w:sz w:val="28"/>
                <w:szCs w:val="28"/>
                <w:rtl/>
              </w:rPr>
              <w:t>ת"פ</w:t>
            </w:r>
            <w:r w:rsidRPr="00BC0350">
              <w:rPr>
                <w:rFonts w:cs="FrankRuehl" w:hint="cs"/>
                <w:sz w:val="28"/>
                <w:szCs w:val="28"/>
                <w:rtl/>
              </w:rPr>
              <w:t xml:space="preserve"> </w:t>
            </w:r>
            <w:r w:rsidRPr="00BC0350">
              <w:rPr>
                <w:rFonts w:cs="FrankRuehl"/>
                <w:sz w:val="28"/>
                <w:szCs w:val="28"/>
                <w:rtl/>
              </w:rPr>
              <w:t>69281-11-20</w:t>
            </w:r>
            <w:r w:rsidRPr="00BC0350">
              <w:rPr>
                <w:rFonts w:cs="FrankRuehl" w:hint="cs"/>
                <w:sz w:val="28"/>
                <w:szCs w:val="28"/>
                <w:rtl/>
              </w:rPr>
              <w:t xml:space="preserve"> </w:t>
            </w:r>
            <w:r w:rsidRPr="00BC0350">
              <w:rPr>
                <w:rFonts w:cs="FrankRuehl"/>
                <w:sz w:val="28"/>
                <w:szCs w:val="28"/>
                <w:rtl/>
              </w:rPr>
              <w:t>מדינת ישראל נ' אורדמן</w:t>
            </w:r>
          </w:p>
          <w:p w14:paraId="5464C3D6" w14:textId="77777777" w:rsidR="00DC18F8" w:rsidRPr="00BC0350" w:rsidRDefault="00DC18F8" w:rsidP="008E0241">
            <w:pPr>
              <w:pStyle w:val="a3"/>
              <w:rPr>
                <w:rFonts w:cs="FrankRuehl"/>
                <w:sz w:val="28"/>
                <w:szCs w:val="28"/>
                <w:rtl/>
              </w:rPr>
            </w:pPr>
          </w:p>
        </w:tc>
        <w:tc>
          <w:tcPr>
            <w:tcW w:w="3667" w:type="dxa"/>
          </w:tcPr>
          <w:p w14:paraId="38B9DD7B" w14:textId="77777777" w:rsidR="00DC18F8" w:rsidRPr="00BC0350" w:rsidRDefault="00DC18F8" w:rsidP="008E0241">
            <w:pPr>
              <w:pStyle w:val="a3"/>
              <w:jc w:val="right"/>
              <w:rPr>
                <w:rFonts w:cs="FrankRuehl"/>
                <w:sz w:val="28"/>
                <w:szCs w:val="28"/>
                <w:rtl/>
              </w:rPr>
            </w:pPr>
          </w:p>
        </w:tc>
      </w:tr>
    </w:tbl>
    <w:p w14:paraId="3F3FD39C" w14:textId="77777777" w:rsidR="00DC18F8" w:rsidRPr="00BC0350" w:rsidRDefault="00DC18F8" w:rsidP="00DC18F8">
      <w:pPr>
        <w:pStyle w:val="a3"/>
        <w:rPr>
          <w:rtl/>
        </w:rPr>
      </w:pPr>
      <w:r w:rsidRPr="00BC0350">
        <w:rPr>
          <w:rFonts w:hint="cs"/>
          <w:rtl/>
        </w:rPr>
        <w:t xml:space="preserve"> </w:t>
      </w:r>
    </w:p>
    <w:p w14:paraId="0EA5E94F" w14:textId="77777777" w:rsidR="00DC18F8" w:rsidRPr="00BC0350" w:rsidRDefault="00DC18F8" w:rsidP="00DC18F8">
      <w:pPr>
        <w:rPr>
          <w:rtl/>
        </w:rPr>
      </w:pPr>
    </w:p>
    <w:p w14:paraId="0DF422D1" w14:textId="77777777" w:rsidR="00DC18F8" w:rsidRPr="00BC0350" w:rsidRDefault="00DC18F8" w:rsidP="00DC18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3662"/>
        <w:gridCol w:w="340"/>
        <w:gridCol w:w="3622"/>
      </w:tblGrid>
      <w:tr w:rsidR="00DC18F8" w:rsidRPr="00BC0350" w14:paraId="6EBD8E19" w14:textId="77777777" w:rsidTr="00DC18F8">
        <w:trPr>
          <w:trHeight w:val="295"/>
          <w:jc w:val="center"/>
        </w:trPr>
        <w:tc>
          <w:tcPr>
            <w:tcW w:w="923" w:type="dxa"/>
            <w:tcBorders>
              <w:top w:val="nil"/>
              <w:left w:val="nil"/>
              <w:bottom w:val="nil"/>
              <w:right w:val="nil"/>
            </w:tcBorders>
            <w:shd w:val="clear" w:color="auto" w:fill="auto"/>
          </w:tcPr>
          <w:p w14:paraId="69E8585B" w14:textId="77777777" w:rsidR="00DC18F8" w:rsidRPr="00BC0350" w:rsidRDefault="00DC18F8" w:rsidP="00DC18F8">
            <w:pPr>
              <w:jc w:val="both"/>
              <w:rPr>
                <w:rFonts w:ascii="David" w:hAnsi="David"/>
                <w:sz w:val="26"/>
                <w:szCs w:val="26"/>
              </w:rPr>
            </w:pPr>
            <w:r w:rsidRPr="00BC0350">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11929040" w14:textId="77777777" w:rsidR="00DC18F8" w:rsidRPr="00BC0350" w:rsidRDefault="00DC18F8" w:rsidP="008E0241">
            <w:pPr>
              <w:rPr>
                <w:rFonts w:ascii="David" w:hAnsi="David"/>
                <w:b/>
                <w:bCs/>
                <w:sz w:val="26"/>
                <w:szCs w:val="26"/>
                <w:rtl/>
              </w:rPr>
            </w:pPr>
            <w:r w:rsidRPr="00BC0350">
              <w:rPr>
                <w:rFonts w:ascii="David" w:hAnsi="David"/>
                <w:b/>
                <w:bCs/>
                <w:sz w:val="26"/>
                <w:szCs w:val="26"/>
                <w:rtl/>
              </w:rPr>
              <w:t>כבוד השופטת  זהר דיבון סגל</w:t>
            </w:r>
          </w:p>
          <w:p w14:paraId="3EB49E06" w14:textId="77777777" w:rsidR="00DC18F8" w:rsidRPr="00BC0350" w:rsidRDefault="00DC18F8" w:rsidP="008E0241">
            <w:pPr>
              <w:rPr>
                <w:rFonts w:ascii="David" w:hAnsi="David"/>
                <w:sz w:val="26"/>
                <w:szCs w:val="26"/>
                <w:rtl/>
              </w:rPr>
            </w:pPr>
          </w:p>
          <w:p w14:paraId="321F1D8E" w14:textId="77777777" w:rsidR="00DC18F8" w:rsidRPr="00BC0350" w:rsidRDefault="00DC18F8" w:rsidP="00DC18F8">
            <w:pPr>
              <w:jc w:val="both"/>
              <w:rPr>
                <w:rFonts w:ascii="David" w:hAnsi="David"/>
                <w:sz w:val="26"/>
                <w:szCs w:val="26"/>
              </w:rPr>
            </w:pPr>
          </w:p>
        </w:tc>
      </w:tr>
      <w:tr w:rsidR="00DC18F8" w:rsidRPr="00BC0350" w14:paraId="4B632B13" w14:textId="77777777" w:rsidTr="00DC18F8">
        <w:trPr>
          <w:trHeight w:val="355"/>
          <w:jc w:val="center"/>
        </w:trPr>
        <w:tc>
          <w:tcPr>
            <w:tcW w:w="923" w:type="dxa"/>
            <w:tcBorders>
              <w:top w:val="nil"/>
              <w:left w:val="nil"/>
              <w:bottom w:val="nil"/>
              <w:right w:val="nil"/>
            </w:tcBorders>
            <w:shd w:val="clear" w:color="auto" w:fill="auto"/>
          </w:tcPr>
          <w:p w14:paraId="79015A27" w14:textId="77777777" w:rsidR="00DC18F8" w:rsidRPr="00BC0350" w:rsidRDefault="00DC18F8" w:rsidP="00DC18F8">
            <w:pPr>
              <w:jc w:val="both"/>
              <w:rPr>
                <w:rFonts w:ascii="David" w:hAnsi="David"/>
                <w:sz w:val="26"/>
                <w:szCs w:val="26"/>
              </w:rPr>
            </w:pPr>
            <w:bookmarkStart w:id="1" w:name="FirstAppellant"/>
            <w:r w:rsidRPr="00BC0350">
              <w:rPr>
                <w:rFonts w:ascii="David" w:hAnsi="David"/>
                <w:sz w:val="26"/>
                <w:szCs w:val="26"/>
                <w:rtl/>
              </w:rPr>
              <w:t>בעניין:</w:t>
            </w:r>
          </w:p>
        </w:tc>
        <w:tc>
          <w:tcPr>
            <w:tcW w:w="4126" w:type="dxa"/>
            <w:gridSpan w:val="2"/>
            <w:tcBorders>
              <w:top w:val="nil"/>
              <w:left w:val="nil"/>
              <w:bottom w:val="nil"/>
              <w:right w:val="nil"/>
            </w:tcBorders>
            <w:shd w:val="clear" w:color="auto" w:fill="auto"/>
          </w:tcPr>
          <w:p w14:paraId="43EC7AC9" w14:textId="77777777" w:rsidR="00DC18F8" w:rsidRPr="00BC0350" w:rsidRDefault="00DC18F8" w:rsidP="008E0241">
            <w:pPr>
              <w:rPr>
                <w:rFonts w:ascii="David" w:hAnsi="David"/>
                <w:sz w:val="26"/>
                <w:szCs w:val="26"/>
              </w:rPr>
            </w:pPr>
            <w:r w:rsidRPr="00BC0350">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22F4B28" w14:textId="77777777" w:rsidR="00DC18F8" w:rsidRPr="00BC0350" w:rsidRDefault="00DC18F8" w:rsidP="00DC18F8">
            <w:pPr>
              <w:jc w:val="both"/>
              <w:rPr>
                <w:rFonts w:ascii="David" w:hAnsi="David"/>
                <w:sz w:val="26"/>
                <w:szCs w:val="26"/>
              </w:rPr>
            </w:pPr>
          </w:p>
        </w:tc>
      </w:tr>
      <w:bookmarkEnd w:id="1"/>
      <w:tr w:rsidR="00DC18F8" w:rsidRPr="00BC0350" w14:paraId="5D3EDE4D" w14:textId="77777777" w:rsidTr="00DC18F8">
        <w:trPr>
          <w:gridAfter w:val="2"/>
          <w:wAfter w:w="3962" w:type="dxa"/>
          <w:trHeight w:val="355"/>
          <w:jc w:val="center"/>
        </w:trPr>
        <w:tc>
          <w:tcPr>
            <w:tcW w:w="923" w:type="dxa"/>
            <w:tcBorders>
              <w:top w:val="nil"/>
              <w:left w:val="nil"/>
              <w:bottom w:val="nil"/>
              <w:right w:val="nil"/>
            </w:tcBorders>
            <w:shd w:val="clear" w:color="auto" w:fill="auto"/>
          </w:tcPr>
          <w:p w14:paraId="3678672C" w14:textId="77777777" w:rsidR="00DC18F8" w:rsidRPr="00BC0350" w:rsidRDefault="00DC18F8" w:rsidP="00DC18F8">
            <w:pPr>
              <w:jc w:val="both"/>
              <w:rPr>
                <w:rFonts w:ascii="David" w:hAnsi="David"/>
                <w:sz w:val="26"/>
                <w:szCs w:val="26"/>
                <w:rtl/>
              </w:rPr>
            </w:pPr>
            <w:r w:rsidRPr="00BC0350">
              <w:rPr>
                <w:rFonts w:ascii="David" w:hAnsi="David" w:hint="cs"/>
                <w:sz w:val="26"/>
                <w:szCs w:val="26"/>
                <w:rtl/>
              </w:rPr>
              <w:t xml:space="preserve">המאשימה </w:t>
            </w:r>
          </w:p>
        </w:tc>
        <w:tc>
          <w:tcPr>
            <w:tcW w:w="3771" w:type="dxa"/>
            <w:tcBorders>
              <w:top w:val="nil"/>
              <w:left w:val="nil"/>
              <w:bottom w:val="nil"/>
              <w:right w:val="nil"/>
            </w:tcBorders>
            <w:shd w:val="clear" w:color="auto" w:fill="auto"/>
          </w:tcPr>
          <w:p w14:paraId="441AD2B5" w14:textId="77777777" w:rsidR="00DC18F8" w:rsidRPr="00BC0350" w:rsidRDefault="00DC18F8" w:rsidP="008E0241">
            <w:pPr>
              <w:rPr>
                <w:rFonts w:ascii="David" w:hAnsi="David"/>
                <w:sz w:val="26"/>
                <w:szCs w:val="26"/>
                <w:rtl/>
              </w:rPr>
            </w:pPr>
            <w:r w:rsidRPr="00BC0350">
              <w:rPr>
                <w:rFonts w:ascii="David" w:hAnsi="David" w:hint="cs"/>
                <w:sz w:val="26"/>
                <w:szCs w:val="26"/>
                <w:rtl/>
              </w:rPr>
              <w:t xml:space="preserve">פרקליטות מחוז מרכז </w:t>
            </w:r>
          </w:p>
          <w:p w14:paraId="54124DC8" w14:textId="77777777" w:rsidR="00DC18F8" w:rsidRPr="00BC0350" w:rsidRDefault="00DC18F8" w:rsidP="008E0241">
            <w:pPr>
              <w:rPr>
                <w:rFonts w:ascii="David" w:hAnsi="David"/>
                <w:sz w:val="26"/>
                <w:szCs w:val="26"/>
                <w:rtl/>
              </w:rPr>
            </w:pPr>
            <w:r w:rsidRPr="00BC0350">
              <w:rPr>
                <w:rFonts w:ascii="David" w:hAnsi="David" w:hint="cs"/>
                <w:sz w:val="26"/>
                <w:szCs w:val="26"/>
                <w:rtl/>
              </w:rPr>
              <w:t xml:space="preserve">באמצעות עוה"ד עומר סגל </w:t>
            </w:r>
          </w:p>
        </w:tc>
      </w:tr>
      <w:tr w:rsidR="00DC18F8" w:rsidRPr="00BC0350" w14:paraId="59853718" w14:textId="77777777" w:rsidTr="00DC18F8">
        <w:trPr>
          <w:trHeight w:val="355"/>
          <w:jc w:val="center"/>
        </w:trPr>
        <w:tc>
          <w:tcPr>
            <w:tcW w:w="923" w:type="dxa"/>
            <w:tcBorders>
              <w:top w:val="nil"/>
              <w:left w:val="nil"/>
              <w:bottom w:val="nil"/>
              <w:right w:val="nil"/>
            </w:tcBorders>
            <w:shd w:val="clear" w:color="auto" w:fill="auto"/>
          </w:tcPr>
          <w:p w14:paraId="4FE31859" w14:textId="77777777" w:rsidR="00DC18F8" w:rsidRPr="00BC0350" w:rsidRDefault="00DC18F8" w:rsidP="00DC18F8">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5629E925" w14:textId="77777777" w:rsidR="00DC18F8" w:rsidRPr="00BC0350" w:rsidRDefault="00DC18F8" w:rsidP="00DC18F8">
            <w:pPr>
              <w:jc w:val="center"/>
              <w:rPr>
                <w:rFonts w:ascii="David" w:hAnsi="David"/>
                <w:b/>
                <w:bCs/>
                <w:sz w:val="26"/>
                <w:szCs w:val="26"/>
                <w:rtl/>
              </w:rPr>
            </w:pPr>
          </w:p>
          <w:p w14:paraId="20E20FFA" w14:textId="77777777" w:rsidR="00DC18F8" w:rsidRPr="00BC0350" w:rsidRDefault="00DC18F8" w:rsidP="008E0241">
            <w:pPr>
              <w:rPr>
                <w:rFonts w:ascii="David" w:hAnsi="David"/>
                <w:b/>
                <w:bCs/>
                <w:sz w:val="26"/>
                <w:szCs w:val="26"/>
                <w:rtl/>
              </w:rPr>
            </w:pPr>
            <w:r w:rsidRPr="00BC0350">
              <w:rPr>
                <w:rFonts w:ascii="David" w:hAnsi="David" w:hint="cs"/>
                <w:b/>
                <w:bCs/>
                <w:sz w:val="26"/>
                <w:szCs w:val="26"/>
                <w:rtl/>
              </w:rPr>
              <w:t xml:space="preserve">                                          </w:t>
            </w:r>
            <w:r w:rsidRPr="00BC0350">
              <w:rPr>
                <w:rFonts w:ascii="David" w:hAnsi="David"/>
                <w:b/>
                <w:bCs/>
                <w:sz w:val="26"/>
                <w:szCs w:val="26"/>
                <w:rtl/>
              </w:rPr>
              <w:t>נגד</w:t>
            </w:r>
          </w:p>
          <w:p w14:paraId="1B8BB400" w14:textId="77777777" w:rsidR="00DC18F8" w:rsidRPr="00BC0350" w:rsidRDefault="00DC18F8" w:rsidP="00DC18F8">
            <w:pPr>
              <w:jc w:val="both"/>
              <w:rPr>
                <w:rFonts w:ascii="David" w:hAnsi="David"/>
                <w:sz w:val="26"/>
                <w:szCs w:val="26"/>
              </w:rPr>
            </w:pPr>
          </w:p>
        </w:tc>
      </w:tr>
      <w:tr w:rsidR="00DC18F8" w:rsidRPr="00BC0350" w14:paraId="4BD19504" w14:textId="77777777" w:rsidTr="00DC18F8">
        <w:trPr>
          <w:trHeight w:val="355"/>
          <w:jc w:val="center"/>
        </w:trPr>
        <w:tc>
          <w:tcPr>
            <w:tcW w:w="923" w:type="dxa"/>
            <w:tcBorders>
              <w:top w:val="nil"/>
              <w:left w:val="nil"/>
              <w:bottom w:val="nil"/>
              <w:right w:val="nil"/>
            </w:tcBorders>
            <w:shd w:val="clear" w:color="auto" w:fill="auto"/>
          </w:tcPr>
          <w:p w14:paraId="669F7E6A" w14:textId="77777777" w:rsidR="00DC18F8" w:rsidRPr="00BC0350" w:rsidRDefault="00DC18F8" w:rsidP="008E0241">
            <w:pPr>
              <w:rPr>
                <w:rFonts w:ascii="David" w:hAnsi="David"/>
                <w:sz w:val="26"/>
                <w:szCs w:val="26"/>
                <w:rtl/>
              </w:rPr>
            </w:pPr>
            <w:r w:rsidRPr="00BC0350">
              <w:rPr>
                <w:rFonts w:ascii="David" w:hAnsi="David" w:hint="cs"/>
                <w:sz w:val="26"/>
                <w:szCs w:val="26"/>
                <w:rtl/>
              </w:rPr>
              <w:t>הנאשם</w:t>
            </w:r>
          </w:p>
        </w:tc>
        <w:tc>
          <w:tcPr>
            <w:tcW w:w="4126" w:type="dxa"/>
            <w:gridSpan w:val="2"/>
            <w:tcBorders>
              <w:top w:val="nil"/>
              <w:left w:val="nil"/>
              <w:bottom w:val="nil"/>
              <w:right w:val="nil"/>
            </w:tcBorders>
            <w:shd w:val="clear" w:color="auto" w:fill="auto"/>
          </w:tcPr>
          <w:p w14:paraId="0FC19B87" w14:textId="77777777" w:rsidR="00DC18F8" w:rsidRPr="00BC0350" w:rsidRDefault="00DC18F8" w:rsidP="008E0241">
            <w:pPr>
              <w:rPr>
                <w:rFonts w:ascii="David" w:hAnsi="David"/>
                <w:sz w:val="26"/>
                <w:szCs w:val="26"/>
                <w:rtl/>
              </w:rPr>
            </w:pPr>
            <w:r w:rsidRPr="00BC0350">
              <w:rPr>
                <w:rFonts w:ascii="David" w:hAnsi="David" w:hint="cs"/>
                <w:b/>
                <w:bCs/>
                <w:sz w:val="26"/>
                <w:szCs w:val="26"/>
                <w:rtl/>
              </w:rPr>
              <w:t xml:space="preserve"> </w:t>
            </w:r>
            <w:r w:rsidRPr="00BC0350">
              <w:rPr>
                <w:rFonts w:ascii="David" w:hAnsi="David"/>
                <w:b/>
                <w:bCs/>
                <w:sz w:val="26"/>
                <w:szCs w:val="26"/>
                <w:rtl/>
              </w:rPr>
              <w:t>זיו אורדמן</w:t>
            </w:r>
          </w:p>
        </w:tc>
        <w:tc>
          <w:tcPr>
            <w:tcW w:w="3771" w:type="dxa"/>
            <w:tcBorders>
              <w:top w:val="nil"/>
              <w:left w:val="nil"/>
              <w:bottom w:val="nil"/>
              <w:right w:val="nil"/>
            </w:tcBorders>
            <w:shd w:val="clear" w:color="auto" w:fill="auto"/>
          </w:tcPr>
          <w:p w14:paraId="1178368E" w14:textId="77777777" w:rsidR="00DC18F8" w:rsidRPr="00BC0350" w:rsidRDefault="00DC18F8" w:rsidP="00DC18F8">
            <w:pPr>
              <w:jc w:val="right"/>
              <w:rPr>
                <w:rFonts w:ascii="David" w:hAnsi="David"/>
                <w:sz w:val="26"/>
                <w:szCs w:val="26"/>
              </w:rPr>
            </w:pPr>
          </w:p>
        </w:tc>
      </w:tr>
      <w:tr w:rsidR="00DC18F8" w:rsidRPr="00BC0350" w14:paraId="46F0CDF7" w14:textId="77777777" w:rsidTr="00DC18F8">
        <w:trPr>
          <w:gridAfter w:val="2"/>
          <w:wAfter w:w="3962" w:type="dxa"/>
          <w:trHeight w:val="355"/>
          <w:jc w:val="center"/>
        </w:trPr>
        <w:tc>
          <w:tcPr>
            <w:tcW w:w="923" w:type="dxa"/>
            <w:tcBorders>
              <w:top w:val="nil"/>
              <w:left w:val="nil"/>
              <w:bottom w:val="nil"/>
              <w:right w:val="nil"/>
            </w:tcBorders>
            <w:shd w:val="clear" w:color="auto" w:fill="auto"/>
          </w:tcPr>
          <w:p w14:paraId="424E9378" w14:textId="77777777" w:rsidR="00DC18F8" w:rsidRPr="00BC0350" w:rsidRDefault="00DC18F8" w:rsidP="00DC18F8">
            <w:pPr>
              <w:jc w:val="both"/>
              <w:rPr>
                <w:rFonts w:ascii="David" w:hAnsi="David"/>
                <w:sz w:val="26"/>
                <w:szCs w:val="26"/>
                <w:rtl/>
              </w:rPr>
            </w:pPr>
          </w:p>
        </w:tc>
        <w:tc>
          <w:tcPr>
            <w:tcW w:w="3771" w:type="dxa"/>
            <w:tcBorders>
              <w:top w:val="nil"/>
              <w:left w:val="nil"/>
              <w:bottom w:val="nil"/>
              <w:right w:val="nil"/>
            </w:tcBorders>
            <w:shd w:val="clear" w:color="auto" w:fill="auto"/>
          </w:tcPr>
          <w:p w14:paraId="5B7C3457" w14:textId="77777777" w:rsidR="00DC18F8" w:rsidRPr="00BC0350" w:rsidRDefault="00DC18F8" w:rsidP="008E0241">
            <w:pPr>
              <w:rPr>
                <w:rFonts w:ascii="David" w:hAnsi="David"/>
                <w:sz w:val="26"/>
                <w:szCs w:val="26"/>
                <w:rtl/>
              </w:rPr>
            </w:pPr>
            <w:r w:rsidRPr="00BC0350">
              <w:rPr>
                <w:rFonts w:ascii="David" w:hAnsi="David" w:hint="cs"/>
                <w:sz w:val="26"/>
                <w:szCs w:val="26"/>
                <w:rtl/>
              </w:rPr>
              <w:t xml:space="preserve"> באמצעות עוה"ד ירון פורר </w:t>
            </w:r>
          </w:p>
        </w:tc>
      </w:tr>
    </w:tbl>
    <w:p w14:paraId="1F1A46D6" w14:textId="77777777" w:rsidR="00055CF7" w:rsidRPr="00055CF7" w:rsidRDefault="00055CF7" w:rsidP="00055CF7">
      <w:pPr>
        <w:spacing w:before="120" w:after="120" w:line="240" w:lineRule="exact"/>
        <w:ind w:left="283" w:hanging="283"/>
        <w:jc w:val="both"/>
        <w:rPr>
          <w:rFonts w:ascii="FrankRuehl" w:hAnsi="FrankRuehl" w:cs="FrankRuehl"/>
          <w:rtl/>
        </w:rPr>
      </w:pPr>
    </w:p>
    <w:p w14:paraId="4E1C4BDE" w14:textId="77777777" w:rsidR="00456B5E" w:rsidRPr="00456B5E" w:rsidRDefault="00456B5E" w:rsidP="00456B5E">
      <w:pPr>
        <w:spacing w:before="120" w:after="120" w:line="240" w:lineRule="exact"/>
        <w:ind w:left="283" w:hanging="283"/>
        <w:jc w:val="both"/>
        <w:rPr>
          <w:rFonts w:ascii="FrankRuehl" w:hAnsi="FrankRuehl" w:cs="FrankRuehl"/>
          <w:rtl/>
        </w:rPr>
      </w:pPr>
    </w:p>
    <w:p w14:paraId="2E977278" w14:textId="77777777" w:rsidR="00AF7971" w:rsidRDefault="00AF7971" w:rsidP="00AF7971">
      <w:pPr>
        <w:rPr>
          <w:sz w:val="26"/>
          <w:szCs w:val="26"/>
          <w:rtl/>
        </w:rPr>
      </w:pPr>
      <w:bookmarkStart w:id="2" w:name="LawTable"/>
      <w:bookmarkEnd w:id="2"/>
    </w:p>
    <w:p w14:paraId="030F31E0" w14:textId="77777777" w:rsidR="00AF7971" w:rsidRPr="00AF7971" w:rsidRDefault="00AF7971" w:rsidP="00AF7971">
      <w:pPr>
        <w:spacing w:before="120" w:after="120" w:line="240" w:lineRule="exact"/>
        <w:ind w:left="283" w:hanging="283"/>
        <w:jc w:val="both"/>
        <w:rPr>
          <w:rFonts w:ascii="FrankRuehl" w:hAnsi="FrankRuehl" w:cs="FrankRuehl"/>
          <w:rtl/>
        </w:rPr>
      </w:pPr>
    </w:p>
    <w:p w14:paraId="78F90E67" w14:textId="77777777" w:rsidR="00AF7971" w:rsidRPr="00AF7971" w:rsidRDefault="00AF7971" w:rsidP="00AF7971">
      <w:pPr>
        <w:spacing w:before="120" w:after="120" w:line="240" w:lineRule="exact"/>
        <w:ind w:left="283" w:hanging="283"/>
        <w:jc w:val="both"/>
        <w:rPr>
          <w:rFonts w:ascii="FrankRuehl" w:hAnsi="FrankRuehl" w:cs="FrankRuehl"/>
          <w:rtl/>
        </w:rPr>
      </w:pPr>
    </w:p>
    <w:p w14:paraId="05AA6FD3" w14:textId="77777777" w:rsidR="00AF7971" w:rsidRPr="00AF7971" w:rsidRDefault="00AF7971" w:rsidP="00AF7971">
      <w:pPr>
        <w:spacing w:before="120" w:after="120" w:line="240" w:lineRule="exact"/>
        <w:ind w:left="283" w:hanging="283"/>
        <w:jc w:val="both"/>
        <w:rPr>
          <w:rFonts w:ascii="FrankRuehl" w:hAnsi="FrankRuehl" w:cs="FrankRuehl"/>
          <w:rtl/>
        </w:rPr>
      </w:pPr>
      <w:r w:rsidRPr="00AF7971">
        <w:rPr>
          <w:rFonts w:ascii="FrankRuehl" w:hAnsi="FrankRuehl" w:cs="FrankRuehl"/>
          <w:rtl/>
        </w:rPr>
        <w:t xml:space="preserve">חקיקה שאוזכרה: </w:t>
      </w:r>
    </w:p>
    <w:p w14:paraId="76909324" w14:textId="77777777" w:rsidR="00AF7971" w:rsidRPr="00AF7971" w:rsidRDefault="00AF7971" w:rsidP="00AF7971">
      <w:pPr>
        <w:spacing w:before="120" w:after="120" w:line="240" w:lineRule="exact"/>
        <w:ind w:left="283" w:hanging="283"/>
        <w:jc w:val="both"/>
        <w:rPr>
          <w:rFonts w:ascii="FrankRuehl" w:hAnsi="FrankRuehl" w:cs="FrankRuehl"/>
          <w:rtl/>
        </w:rPr>
      </w:pPr>
      <w:hyperlink r:id="rId7" w:history="1">
        <w:r w:rsidRPr="00AF7971">
          <w:rPr>
            <w:rFonts w:ascii="FrankRuehl" w:hAnsi="FrankRuehl" w:cs="FrankRuehl"/>
            <w:color w:val="0000FF"/>
            <w:rtl/>
          </w:rPr>
          <w:t>פקודת הסמים המסוכנים [נוסח חדש], תשל"ג-1973</w:t>
        </w:r>
      </w:hyperlink>
      <w:r w:rsidRPr="00AF7971">
        <w:rPr>
          <w:rFonts w:ascii="FrankRuehl" w:hAnsi="FrankRuehl" w:cs="FrankRuehl"/>
          <w:rtl/>
        </w:rPr>
        <w:t xml:space="preserve">: סע'  </w:t>
      </w:r>
      <w:hyperlink r:id="rId8" w:history="1">
        <w:r w:rsidRPr="00AF7971">
          <w:rPr>
            <w:rFonts w:ascii="FrankRuehl" w:hAnsi="FrankRuehl" w:cs="FrankRuehl"/>
            <w:color w:val="0000FF"/>
            <w:rtl/>
          </w:rPr>
          <w:t>6</w:t>
        </w:r>
      </w:hyperlink>
      <w:r w:rsidRPr="00AF7971">
        <w:rPr>
          <w:rFonts w:ascii="FrankRuehl" w:hAnsi="FrankRuehl" w:cs="FrankRuehl"/>
          <w:rtl/>
        </w:rPr>
        <w:t xml:space="preserve">, </w:t>
      </w:r>
      <w:hyperlink r:id="rId9" w:history="1">
        <w:r w:rsidRPr="00AF7971">
          <w:rPr>
            <w:rFonts w:ascii="FrankRuehl" w:hAnsi="FrankRuehl" w:cs="FrankRuehl"/>
            <w:color w:val="0000FF"/>
            <w:rtl/>
          </w:rPr>
          <w:t>7(א)</w:t>
        </w:r>
      </w:hyperlink>
      <w:r w:rsidRPr="00AF7971">
        <w:rPr>
          <w:rFonts w:ascii="FrankRuehl" w:hAnsi="FrankRuehl" w:cs="FrankRuehl"/>
          <w:rtl/>
        </w:rPr>
        <w:t xml:space="preserve">, </w:t>
      </w:r>
      <w:hyperlink r:id="rId10" w:history="1">
        <w:r w:rsidRPr="00AF7971">
          <w:rPr>
            <w:rFonts w:ascii="FrankRuehl" w:hAnsi="FrankRuehl" w:cs="FrankRuehl"/>
            <w:color w:val="0000FF"/>
            <w:rtl/>
          </w:rPr>
          <w:t>7(ג)</w:t>
        </w:r>
      </w:hyperlink>
      <w:r w:rsidRPr="00AF7971">
        <w:rPr>
          <w:rFonts w:ascii="FrankRuehl" w:hAnsi="FrankRuehl" w:cs="FrankRuehl"/>
          <w:rtl/>
        </w:rPr>
        <w:t xml:space="preserve">, </w:t>
      </w:r>
      <w:hyperlink r:id="rId11" w:history="1">
        <w:r w:rsidRPr="00AF7971">
          <w:rPr>
            <w:rFonts w:ascii="FrankRuehl" w:hAnsi="FrankRuehl" w:cs="FrankRuehl"/>
            <w:color w:val="0000FF"/>
            <w:rtl/>
          </w:rPr>
          <w:t>10</w:t>
        </w:r>
      </w:hyperlink>
    </w:p>
    <w:p w14:paraId="2369D3B3" w14:textId="77777777" w:rsidR="00AF7971" w:rsidRPr="00AF7971" w:rsidRDefault="00AF7971" w:rsidP="00AF7971">
      <w:pPr>
        <w:spacing w:before="120" w:after="120" w:line="240" w:lineRule="exact"/>
        <w:ind w:left="283" w:hanging="283"/>
        <w:jc w:val="both"/>
        <w:rPr>
          <w:rFonts w:ascii="FrankRuehl" w:hAnsi="FrankRuehl" w:cs="FrankRuehl"/>
          <w:rtl/>
        </w:rPr>
      </w:pPr>
      <w:hyperlink r:id="rId12" w:history="1">
        <w:r w:rsidRPr="00AF7971">
          <w:rPr>
            <w:rFonts w:ascii="FrankRuehl" w:hAnsi="FrankRuehl" w:cs="FrankRuehl"/>
            <w:color w:val="0000FF"/>
            <w:rtl/>
          </w:rPr>
          <w:t>חוק העונשין, תשל"ז-1977</w:t>
        </w:r>
      </w:hyperlink>
      <w:r w:rsidRPr="00AF7971">
        <w:rPr>
          <w:rFonts w:ascii="FrankRuehl" w:hAnsi="FrankRuehl" w:cs="FrankRuehl"/>
          <w:rtl/>
        </w:rPr>
        <w:t xml:space="preserve">: סע'  </w:t>
      </w:r>
      <w:hyperlink r:id="rId13" w:history="1">
        <w:r w:rsidRPr="00AF7971">
          <w:rPr>
            <w:rFonts w:ascii="FrankRuehl" w:hAnsi="FrankRuehl" w:cs="FrankRuehl"/>
            <w:color w:val="0000FF"/>
            <w:rtl/>
          </w:rPr>
          <w:t>400</w:t>
        </w:r>
      </w:hyperlink>
      <w:r w:rsidRPr="00AF7971">
        <w:rPr>
          <w:rFonts w:ascii="FrankRuehl" w:hAnsi="FrankRuehl" w:cs="FrankRuehl"/>
          <w:rtl/>
        </w:rPr>
        <w:t xml:space="preserve">, </w:t>
      </w:r>
      <w:hyperlink r:id="rId14" w:history="1">
        <w:r w:rsidRPr="00AF7971">
          <w:rPr>
            <w:rFonts w:ascii="FrankRuehl" w:hAnsi="FrankRuehl" w:cs="FrankRuehl"/>
            <w:color w:val="0000FF"/>
            <w:rtl/>
          </w:rPr>
          <w:t>40יא'</w:t>
        </w:r>
      </w:hyperlink>
    </w:p>
    <w:p w14:paraId="2DEB4B2D" w14:textId="77777777" w:rsidR="00AF7971" w:rsidRPr="00AF7971" w:rsidRDefault="00AF7971" w:rsidP="00AF7971">
      <w:pPr>
        <w:rPr>
          <w:sz w:val="26"/>
          <w:szCs w:val="26"/>
          <w:rtl/>
        </w:rPr>
      </w:pPr>
      <w:bookmarkStart w:id="3" w:name="LawTable_End"/>
      <w:bookmarkEnd w:id="3"/>
    </w:p>
    <w:p w14:paraId="36AFCC53" w14:textId="77777777" w:rsidR="00DC18F8" w:rsidRPr="00456B5E" w:rsidRDefault="00DC18F8" w:rsidP="00456B5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18F8" w14:paraId="06108224" w14:textId="77777777" w:rsidTr="00DC18F8">
        <w:trPr>
          <w:trHeight w:val="355"/>
          <w:jc w:val="center"/>
        </w:trPr>
        <w:tc>
          <w:tcPr>
            <w:tcW w:w="8820" w:type="dxa"/>
            <w:tcBorders>
              <w:top w:val="nil"/>
              <w:left w:val="nil"/>
              <w:bottom w:val="nil"/>
              <w:right w:val="nil"/>
            </w:tcBorders>
            <w:shd w:val="clear" w:color="auto" w:fill="auto"/>
          </w:tcPr>
          <w:p w14:paraId="113E50DD" w14:textId="77777777" w:rsidR="00BC0350" w:rsidRPr="00BC0350" w:rsidRDefault="00BC0350" w:rsidP="00BC0350">
            <w:pPr>
              <w:jc w:val="center"/>
              <w:rPr>
                <w:rFonts w:ascii="David" w:hAnsi="David"/>
                <w:b/>
                <w:bCs/>
                <w:sz w:val="32"/>
                <w:szCs w:val="32"/>
                <w:u w:val="single"/>
                <w:rtl/>
              </w:rPr>
            </w:pPr>
            <w:bookmarkStart w:id="4" w:name="PsakDin" w:colFirst="0" w:colLast="0"/>
            <w:bookmarkEnd w:id="0"/>
            <w:r w:rsidRPr="00BC0350">
              <w:rPr>
                <w:rFonts w:ascii="David" w:hAnsi="David"/>
                <w:b/>
                <w:bCs/>
                <w:sz w:val="32"/>
                <w:szCs w:val="32"/>
                <w:u w:val="single"/>
                <w:rtl/>
              </w:rPr>
              <w:t>גזר דין</w:t>
            </w:r>
          </w:p>
          <w:p w14:paraId="1EB0F76B" w14:textId="77777777" w:rsidR="00DC18F8" w:rsidRPr="00BC0350" w:rsidRDefault="00DC18F8" w:rsidP="00BC0350">
            <w:pPr>
              <w:jc w:val="center"/>
              <w:rPr>
                <w:rFonts w:ascii="David" w:hAnsi="David"/>
                <w:bCs/>
                <w:sz w:val="32"/>
                <w:szCs w:val="32"/>
                <w:u w:val="single"/>
                <w:rtl/>
              </w:rPr>
            </w:pPr>
          </w:p>
        </w:tc>
      </w:tr>
      <w:bookmarkEnd w:id="4"/>
    </w:tbl>
    <w:p w14:paraId="425D5062" w14:textId="77777777" w:rsidR="00DC18F8" w:rsidRPr="002B7D23" w:rsidRDefault="00DC18F8" w:rsidP="00DC18F8">
      <w:pPr>
        <w:rPr>
          <w:rFonts w:ascii="David" w:hAnsi="David"/>
          <w:sz w:val="26"/>
          <w:szCs w:val="26"/>
          <w:rtl/>
        </w:rPr>
      </w:pPr>
    </w:p>
    <w:p w14:paraId="10E18703"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Miriam" w:hAnsi="Miriam" w:cs="Miriam"/>
          <w:rtl/>
        </w:rPr>
      </w:pPr>
      <w:bookmarkStart w:id="5" w:name="ABSTRACT_START"/>
      <w:bookmarkEnd w:id="5"/>
      <w:r w:rsidRPr="000F2D31">
        <w:rPr>
          <w:rFonts w:cs="FrankRuehl"/>
          <w:sz w:val="28"/>
          <w:szCs w:val="28"/>
          <w:rtl/>
        </w:rPr>
        <w:t xml:space="preserve">הנאשם הורשע על יסוד הודאתו בהתאם להסדר טיעון דיוני בכתב אישום מתוקן ביצור הכנה והפקת סם עבירה לפי </w:t>
      </w:r>
      <w:hyperlink r:id="rId15" w:history="1">
        <w:r w:rsidR="00055CF7" w:rsidRPr="00055CF7">
          <w:rPr>
            <w:rStyle w:val="Hyperlink"/>
            <w:rFonts w:ascii="Miriam" w:hAnsi="Miriam" w:cs="Miriam"/>
            <w:rtl/>
          </w:rPr>
          <w:t>סעיף 6</w:t>
        </w:r>
      </w:hyperlink>
      <w:r w:rsidRPr="000F2D31">
        <w:rPr>
          <w:rFonts w:ascii="Miriam" w:hAnsi="Miriam" w:cs="Miriam"/>
          <w:rtl/>
        </w:rPr>
        <w:t xml:space="preserve"> </w:t>
      </w:r>
      <w:r w:rsidRPr="000F2D31">
        <w:rPr>
          <w:rFonts w:ascii="Miriam" w:hAnsi="Miriam" w:cs="Miriam" w:hint="eastAsia"/>
          <w:rtl/>
        </w:rPr>
        <w:t>ל</w:t>
      </w:r>
      <w:hyperlink r:id="rId16" w:history="1">
        <w:r w:rsidR="00BC0350" w:rsidRPr="00BC0350">
          <w:rPr>
            <w:rFonts w:ascii="Miriam" w:hAnsi="Miriam" w:cs="Miriam"/>
            <w:color w:val="0000FF"/>
            <w:u w:val="single"/>
            <w:rtl/>
          </w:rPr>
          <w:t>פקודת הסמים המסוכנים</w:t>
        </w:r>
      </w:hyperlink>
      <w:r w:rsidRPr="000F2D31">
        <w:rPr>
          <w:rFonts w:ascii="Miriam" w:hAnsi="Miriam" w:cs="Miriam"/>
          <w:rtl/>
        </w:rPr>
        <w:t xml:space="preserve"> [</w:t>
      </w:r>
      <w:r w:rsidRPr="000F2D31">
        <w:rPr>
          <w:rFonts w:ascii="Miriam" w:hAnsi="Miriam" w:cs="Miriam" w:hint="eastAsia"/>
          <w:rtl/>
        </w:rPr>
        <w:t>נוסח</w:t>
      </w:r>
      <w:r w:rsidRPr="000F2D31">
        <w:rPr>
          <w:rFonts w:ascii="Miriam" w:hAnsi="Miriam" w:cs="Miriam"/>
          <w:rtl/>
        </w:rPr>
        <w:t xml:space="preserve"> </w:t>
      </w:r>
      <w:r w:rsidRPr="000F2D31">
        <w:rPr>
          <w:rFonts w:ascii="Miriam" w:hAnsi="Miriam" w:cs="Miriam" w:hint="eastAsia"/>
          <w:rtl/>
        </w:rPr>
        <w:t>חדש</w:t>
      </w:r>
      <w:r w:rsidRPr="000F2D31">
        <w:rPr>
          <w:rFonts w:ascii="Miriam" w:hAnsi="Miriam" w:cs="Miriam"/>
          <w:rtl/>
        </w:rPr>
        <w:t xml:space="preserve">], </w:t>
      </w:r>
      <w:r w:rsidRPr="000F2D31">
        <w:rPr>
          <w:rFonts w:ascii="Miriam" w:hAnsi="Miriam" w:cs="Miriam" w:hint="eastAsia"/>
          <w:rtl/>
        </w:rPr>
        <w:t>התשל</w:t>
      </w:r>
      <w:r w:rsidRPr="000F2D31">
        <w:rPr>
          <w:rFonts w:ascii="Miriam" w:hAnsi="Miriam" w:cs="Miriam"/>
          <w:rtl/>
        </w:rPr>
        <w:t>"</w:t>
      </w:r>
      <w:r w:rsidRPr="000F2D31">
        <w:rPr>
          <w:rFonts w:ascii="Miriam" w:hAnsi="Miriam" w:cs="Miriam" w:hint="eastAsia"/>
          <w:rtl/>
        </w:rPr>
        <w:t>ג</w:t>
      </w:r>
      <w:r w:rsidRPr="000F2D31">
        <w:rPr>
          <w:rFonts w:ascii="Miriam" w:hAnsi="Miriam" w:cs="Miriam"/>
          <w:rtl/>
        </w:rPr>
        <w:t>–1973</w:t>
      </w:r>
      <w:r w:rsidRPr="000F2D31">
        <w:rPr>
          <w:rFonts w:cs="FrankRuehl"/>
          <w:sz w:val="28"/>
          <w:szCs w:val="28"/>
          <w:rtl/>
        </w:rPr>
        <w:t xml:space="preserve"> (להלן: </w:t>
      </w:r>
      <w:r w:rsidRPr="000F2D31">
        <w:rPr>
          <w:rFonts w:ascii="Miriam" w:hAnsi="Miriam" w:cs="Miriam" w:hint="eastAsia"/>
          <w:rtl/>
        </w:rPr>
        <w:t>פקודת</w:t>
      </w:r>
      <w:r w:rsidRPr="000F2D31">
        <w:rPr>
          <w:rFonts w:ascii="Miriam" w:hAnsi="Miriam" w:cs="Miriam"/>
          <w:rtl/>
        </w:rPr>
        <w:t xml:space="preserve"> </w:t>
      </w:r>
      <w:r w:rsidRPr="000F2D31">
        <w:rPr>
          <w:rFonts w:ascii="Miriam" w:hAnsi="Miriam" w:cs="Miriam" w:hint="eastAsia"/>
          <w:rtl/>
        </w:rPr>
        <w:t>הסמים</w:t>
      </w:r>
      <w:r w:rsidRPr="000F2D31">
        <w:rPr>
          <w:rFonts w:ascii="Miriam" w:hAnsi="Miriam" w:cs="Miriam"/>
          <w:rtl/>
        </w:rPr>
        <w:t xml:space="preserve"> </w:t>
      </w:r>
      <w:r w:rsidRPr="000F2D31">
        <w:rPr>
          <w:rFonts w:ascii="Miriam" w:hAnsi="Miriam" w:cs="Miriam" w:hint="eastAsia"/>
          <w:rtl/>
        </w:rPr>
        <w:t>או</w:t>
      </w:r>
      <w:r w:rsidRPr="000F2D31">
        <w:rPr>
          <w:rFonts w:ascii="Miriam" w:hAnsi="Miriam" w:cs="Miriam"/>
          <w:rtl/>
        </w:rPr>
        <w:t xml:space="preserve"> </w:t>
      </w:r>
      <w:r w:rsidRPr="000F2D31">
        <w:rPr>
          <w:rFonts w:ascii="Miriam" w:hAnsi="Miriam" w:cs="Miriam" w:hint="eastAsia"/>
          <w:rtl/>
        </w:rPr>
        <w:t>הפקודה</w:t>
      </w:r>
      <w:r w:rsidRPr="000F2D31">
        <w:rPr>
          <w:rFonts w:cs="FrankRuehl"/>
          <w:sz w:val="28"/>
          <w:szCs w:val="28"/>
          <w:rtl/>
        </w:rPr>
        <w:t>),</w:t>
      </w:r>
      <w:r w:rsidRPr="000F2D31">
        <w:rPr>
          <w:rFonts w:ascii="Miriam" w:hAnsi="Miriam" w:cs="Miriam"/>
          <w:rtl/>
        </w:rPr>
        <w:t xml:space="preserve"> </w:t>
      </w:r>
      <w:r w:rsidRPr="000F2D31">
        <w:rPr>
          <w:rFonts w:cs="FrankRuehl"/>
          <w:sz w:val="28"/>
          <w:szCs w:val="28"/>
          <w:rtl/>
        </w:rPr>
        <w:t xml:space="preserve">החזקת סם מסוכן שלא לצריכה עצמית עבירה לפי </w:t>
      </w:r>
      <w:hyperlink r:id="rId17" w:history="1">
        <w:r w:rsidR="00055CF7" w:rsidRPr="00055CF7">
          <w:rPr>
            <w:rStyle w:val="Hyperlink"/>
            <w:rFonts w:ascii="Miriam" w:hAnsi="Miriam" w:cs="Miriam"/>
            <w:rtl/>
          </w:rPr>
          <w:t>סעיף 7(א)</w:t>
        </w:r>
      </w:hyperlink>
      <w:r w:rsidRPr="00BC0350">
        <w:rPr>
          <w:rFonts w:ascii="Miriam" w:hAnsi="Miriam" w:cs="Miriam"/>
          <w:color w:val="000000"/>
          <w:rtl/>
        </w:rPr>
        <w:t xml:space="preserve"> </w:t>
      </w:r>
      <w:r w:rsidRPr="00BC0350">
        <w:rPr>
          <w:rFonts w:cs="FrankRuehl"/>
          <w:color w:val="000000"/>
          <w:sz w:val="28"/>
          <w:szCs w:val="28"/>
          <w:rtl/>
        </w:rPr>
        <w:t>בצירוף</w:t>
      </w:r>
      <w:r w:rsidRPr="00BC0350">
        <w:rPr>
          <w:rFonts w:ascii="Miriam" w:hAnsi="Miriam" w:cs="Miriam"/>
          <w:color w:val="000000"/>
          <w:rtl/>
        </w:rPr>
        <w:t xml:space="preserve"> </w:t>
      </w:r>
      <w:hyperlink r:id="rId18" w:history="1">
        <w:r w:rsidR="00055CF7" w:rsidRPr="00055CF7">
          <w:rPr>
            <w:rStyle w:val="Hyperlink"/>
            <w:rFonts w:ascii="Miriam" w:hAnsi="Miriam" w:cs="Miriam"/>
            <w:rtl/>
          </w:rPr>
          <w:t>סעיף 7(ג)</w:t>
        </w:r>
      </w:hyperlink>
      <w:r w:rsidRPr="000F2D31">
        <w:rPr>
          <w:rFonts w:ascii="Miriam" w:hAnsi="Miriam" w:cs="Miriam"/>
          <w:rtl/>
        </w:rPr>
        <w:t xml:space="preserve"> </w:t>
      </w:r>
      <w:r w:rsidRPr="000F2D31">
        <w:rPr>
          <w:rFonts w:ascii="Miriam" w:hAnsi="Miriam" w:cs="Miriam" w:hint="eastAsia"/>
          <w:rtl/>
        </w:rPr>
        <w:t>רישא</w:t>
      </w:r>
      <w:r w:rsidRPr="000F2D31">
        <w:rPr>
          <w:rFonts w:ascii="Miriam" w:hAnsi="Miriam" w:cs="Miriam"/>
          <w:rtl/>
        </w:rPr>
        <w:t xml:space="preserve"> </w:t>
      </w:r>
      <w:r w:rsidRPr="000F2D31">
        <w:rPr>
          <w:rFonts w:ascii="Miriam" w:hAnsi="Miriam" w:cs="Miriam" w:hint="eastAsia"/>
          <w:rtl/>
        </w:rPr>
        <w:t>לפקודה</w:t>
      </w:r>
      <w:r w:rsidRPr="000F2D31">
        <w:rPr>
          <w:rFonts w:cs="FrankRuehl"/>
          <w:sz w:val="28"/>
          <w:szCs w:val="28"/>
          <w:rtl/>
        </w:rPr>
        <w:t xml:space="preserve">, החזקת כלים המשמשים להכנת סם מסוכן עבירה לפי </w:t>
      </w:r>
      <w:hyperlink r:id="rId19" w:history="1">
        <w:r w:rsidR="00055CF7" w:rsidRPr="00055CF7">
          <w:rPr>
            <w:rStyle w:val="Hyperlink"/>
            <w:rFonts w:ascii="Miriam" w:hAnsi="Miriam" w:cs="Miriam"/>
            <w:rtl/>
          </w:rPr>
          <w:t>סעיף 10</w:t>
        </w:r>
      </w:hyperlink>
      <w:r w:rsidRPr="000F2D31">
        <w:rPr>
          <w:rFonts w:ascii="Miriam" w:hAnsi="Miriam" w:cs="Miriam"/>
          <w:rtl/>
        </w:rPr>
        <w:t xml:space="preserve"> </w:t>
      </w:r>
      <w:r w:rsidRPr="000F2D31">
        <w:rPr>
          <w:rFonts w:ascii="Miriam" w:hAnsi="Miriam" w:cs="Miriam" w:hint="eastAsia"/>
          <w:rtl/>
        </w:rPr>
        <w:t>לפקודה</w:t>
      </w:r>
      <w:r w:rsidRPr="000F2D31">
        <w:rPr>
          <w:rFonts w:cs="FrankRuehl"/>
          <w:sz w:val="28"/>
          <w:szCs w:val="28"/>
          <w:rtl/>
        </w:rPr>
        <w:t xml:space="preserve"> ונטילת חשמל עבירה לפי </w:t>
      </w:r>
      <w:hyperlink r:id="rId20" w:history="1">
        <w:r w:rsidR="00055CF7" w:rsidRPr="00055CF7">
          <w:rPr>
            <w:rStyle w:val="Hyperlink"/>
            <w:rFonts w:ascii="Miriam" w:hAnsi="Miriam" w:cs="Miriam"/>
            <w:rtl/>
          </w:rPr>
          <w:t>סעיף 400</w:t>
        </w:r>
      </w:hyperlink>
      <w:r w:rsidRPr="000F2D31">
        <w:rPr>
          <w:rFonts w:ascii="Miriam" w:hAnsi="Miriam" w:cs="Miriam"/>
          <w:rtl/>
        </w:rPr>
        <w:t xml:space="preserve"> </w:t>
      </w:r>
      <w:r w:rsidRPr="000F2D31">
        <w:rPr>
          <w:rFonts w:ascii="Miriam" w:hAnsi="Miriam" w:cs="Miriam" w:hint="eastAsia"/>
          <w:rtl/>
        </w:rPr>
        <w:t>ל</w:t>
      </w:r>
      <w:hyperlink r:id="rId21" w:history="1">
        <w:r w:rsidR="00BC0350" w:rsidRPr="00BC0350">
          <w:rPr>
            <w:rFonts w:ascii="Miriam" w:hAnsi="Miriam" w:cs="Miriam"/>
            <w:color w:val="0000FF"/>
            <w:u w:val="single"/>
            <w:rtl/>
          </w:rPr>
          <w:t>חוק העונשין</w:t>
        </w:r>
      </w:hyperlink>
      <w:r w:rsidRPr="000F2D31">
        <w:rPr>
          <w:rFonts w:ascii="Miriam" w:hAnsi="Miriam" w:cs="Miriam"/>
          <w:rtl/>
        </w:rPr>
        <w:t xml:space="preserve">, </w:t>
      </w:r>
      <w:r w:rsidRPr="000F2D31">
        <w:rPr>
          <w:rFonts w:ascii="Miriam" w:hAnsi="Miriam" w:cs="Miriam" w:hint="eastAsia"/>
          <w:rtl/>
        </w:rPr>
        <w:t>התשל</w:t>
      </w:r>
      <w:r w:rsidRPr="000F2D31">
        <w:rPr>
          <w:rFonts w:ascii="Miriam" w:hAnsi="Miriam" w:cs="Miriam"/>
          <w:rtl/>
        </w:rPr>
        <w:t>"</w:t>
      </w:r>
      <w:r w:rsidRPr="000F2D31">
        <w:rPr>
          <w:rFonts w:ascii="Miriam" w:hAnsi="Miriam" w:cs="Miriam" w:hint="eastAsia"/>
          <w:rtl/>
        </w:rPr>
        <w:t>ז</w:t>
      </w:r>
      <w:r w:rsidRPr="000F2D31">
        <w:rPr>
          <w:rFonts w:ascii="Miriam" w:hAnsi="Miriam" w:cs="Miriam"/>
          <w:rtl/>
        </w:rPr>
        <w:t>–1977</w:t>
      </w:r>
      <w:r w:rsidRPr="000F2D31">
        <w:rPr>
          <w:rFonts w:cs="FrankRuehl"/>
          <w:sz w:val="28"/>
          <w:szCs w:val="28"/>
          <w:rtl/>
        </w:rPr>
        <w:t xml:space="preserve"> (להלן: </w:t>
      </w:r>
      <w:r w:rsidRPr="000F2D31">
        <w:rPr>
          <w:rFonts w:ascii="Miriam" w:hAnsi="Miriam" w:cs="Miriam" w:hint="eastAsia"/>
          <w:rtl/>
        </w:rPr>
        <w:t>חוק</w:t>
      </w:r>
      <w:r w:rsidRPr="000F2D31">
        <w:rPr>
          <w:rFonts w:ascii="Miriam" w:hAnsi="Miriam" w:cs="Miriam"/>
          <w:rtl/>
        </w:rPr>
        <w:t xml:space="preserve"> </w:t>
      </w:r>
      <w:r w:rsidRPr="000F2D31">
        <w:rPr>
          <w:rFonts w:ascii="Miriam" w:hAnsi="Miriam" w:cs="Miriam" w:hint="eastAsia"/>
          <w:rtl/>
        </w:rPr>
        <w:t>העונשין</w:t>
      </w:r>
      <w:r w:rsidRPr="000F2D31">
        <w:rPr>
          <w:rFonts w:cs="FrankRuehl"/>
          <w:sz w:val="28"/>
          <w:szCs w:val="28"/>
          <w:rtl/>
        </w:rPr>
        <w:t>).</w:t>
      </w:r>
      <w:r w:rsidRPr="000F2D31">
        <w:rPr>
          <w:rFonts w:ascii="Miriam" w:hAnsi="Miriam" w:cs="Miriam"/>
          <w:rtl/>
        </w:rPr>
        <w:t xml:space="preserve"> </w:t>
      </w:r>
      <w:r w:rsidRPr="000F2D31">
        <w:rPr>
          <w:rFonts w:cs="FrankRuehl"/>
          <w:sz w:val="28"/>
          <w:szCs w:val="28"/>
          <w:rtl/>
        </w:rPr>
        <w:t>הסדר הטיעון הדיוני לא כלל הסכמה לעניין העונש. המאשימה עתרה בנוסף לחילוט רכוש ציוד המעבדה וכסף מזומן בסך 10,500 ₪ שנתפסו ברשות הנאשם במעצרו.</w:t>
      </w:r>
    </w:p>
    <w:p w14:paraId="3705358A" w14:textId="77777777" w:rsidR="00DC18F8" w:rsidRPr="000F2D31" w:rsidRDefault="00DC18F8" w:rsidP="00DC18F8">
      <w:pPr>
        <w:tabs>
          <w:tab w:val="left" w:pos="84"/>
        </w:tabs>
        <w:spacing w:before="100" w:beforeAutospacing="1" w:after="120" w:line="360" w:lineRule="auto"/>
        <w:ind w:left="84"/>
        <w:jc w:val="both"/>
        <w:rPr>
          <w:rFonts w:ascii="Arial" w:hAnsi="Arial"/>
        </w:rPr>
      </w:pPr>
      <w:bookmarkStart w:id="6" w:name="ABSTRACT_END"/>
      <w:bookmarkEnd w:id="6"/>
      <w:r w:rsidRPr="000F2D31">
        <w:rPr>
          <w:rFonts w:ascii="Miriam" w:hAnsi="Miriam" w:cs="Miriam" w:hint="eastAsia"/>
          <w:rtl/>
        </w:rPr>
        <w:lastRenderedPageBreak/>
        <w:t>כתב</w:t>
      </w:r>
      <w:r w:rsidRPr="000F2D31">
        <w:rPr>
          <w:rFonts w:ascii="Miriam" w:hAnsi="Miriam" w:cs="Miriam"/>
          <w:rtl/>
        </w:rPr>
        <w:t xml:space="preserve"> </w:t>
      </w:r>
      <w:r w:rsidRPr="000F2D31">
        <w:rPr>
          <w:rFonts w:ascii="Miriam" w:hAnsi="Miriam" w:cs="Miriam" w:hint="eastAsia"/>
          <w:rtl/>
        </w:rPr>
        <w:t>האישום</w:t>
      </w:r>
      <w:r w:rsidRPr="000F2D31">
        <w:rPr>
          <w:rFonts w:ascii="Miriam" w:hAnsi="Miriam" w:cs="Miriam"/>
          <w:rtl/>
        </w:rPr>
        <w:t xml:space="preserve"> </w:t>
      </w:r>
      <w:r w:rsidRPr="000F2D31">
        <w:rPr>
          <w:rFonts w:ascii="Miriam" w:hAnsi="Miriam" w:cs="Miriam" w:hint="eastAsia"/>
          <w:rtl/>
        </w:rPr>
        <w:t>המתוקן</w:t>
      </w:r>
    </w:p>
    <w:p w14:paraId="5DE3B27E"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tl/>
        </w:rPr>
      </w:pPr>
      <w:r w:rsidRPr="000F2D31">
        <w:rPr>
          <w:rFonts w:cs="FrankRuehl"/>
          <w:sz w:val="28"/>
          <w:szCs w:val="28"/>
          <w:rtl/>
        </w:rPr>
        <w:t xml:space="preserve">בהתאם לעובדות כתב האישום המתוקן, עובר ליום 16.11.20 גמר הנאשם אומר בליבו לגדל סם מסוכן מסוג קנבוס (להלן: </w:t>
      </w:r>
      <w:r w:rsidRPr="000F2D31">
        <w:rPr>
          <w:rFonts w:ascii="Miriam" w:hAnsi="Miriam" w:cs="Miriam" w:hint="eastAsia"/>
          <w:rtl/>
        </w:rPr>
        <w:t>הסם</w:t>
      </w:r>
      <w:r w:rsidRPr="000F2D31">
        <w:rPr>
          <w:rFonts w:cs="FrankRuehl"/>
          <w:sz w:val="28"/>
          <w:szCs w:val="28"/>
          <w:rtl/>
        </w:rPr>
        <w:t>). לצורך גידול הסם צפה הנאשם בסרטונים המלמדים על גידול</w:t>
      </w:r>
      <w:r>
        <w:rPr>
          <w:rFonts w:cs="FrankRuehl" w:hint="cs"/>
          <w:sz w:val="28"/>
          <w:szCs w:val="28"/>
          <w:rtl/>
        </w:rPr>
        <w:t>ו,</w:t>
      </w:r>
      <w:r w:rsidRPr="000F2D31">
        <w:rPr>
          <w:rFonts w:cs="FrankRuehl"/>
          <w:sz w:val="28"/>
          <w:szCs w:val="28"/>
          <w:rtl/>
        </w:rPr>
        <w:t xml:space="preserve"> הצטייד בציוד המשמש לגידול הסם ובזרעי קנבוס והקים בחצר ביתו במושב בנייה חממה לגידול סמים שכוללת תעלות מים ורשתות צל (להלן: </w:t>
      </w:r>
      <w:r w:rsidRPr="000F2D31">
        <w:rPr>
          <w:rFonts w:ascii="Miriam" w:hAnsi="Miriam" w:cs="Miriam" w:hint="eastAsia"/>
          <w:rtl/>
        </w:rPr>
        <w:t>החממה</w:t>
      </w:r>
      <w:r w:rsidRPr="000F2D31">
        <w:rPr>
          <w:rFonts w:cs="FrankRuehl"/>
          <w:sz w:val="28"/>
          <w:szCs w:val="28"/>
          <w:rtl/>
        </w:rPr>
        <w:t xml:space="preserve">), וכן הקים במחסן שבחצר הבית מעבדה לגידול הסם הכוללת ציוד ובכלל זה אדניות, 2 שנאים, 8 מנורות מזגן ומאווררים. הנאשם גידל והפיק סם ממועד שאינו ידוע למאשימה ועד ליום מעצרו 16.11.20, כאשר המעבדה הכילה 45 צמחי קנבוס והחממה הכילה 223 צמחי קנבוס, במשקל 42.06 ק"ג נטו. במהלך תקופה זו, הנאשם יחד עם אחרים חיבל במערכת חשמל בבית הוריו כדי שלא תתגלה צריכת החשמל החריגה וכדי שלא ישלם עבורה </w:t>
      </w:r>
      <w:r>
        <w:rPr>
          <w:rFonts w:cs="FrankRuehl" w:hint="cs"/>
          <w:sz w:val="28"/>
          <w:szCs w:val="28"/>
          <w:rtl/>
        </w:rPr>
        <w:t>ו</w:t>
      </w:r>
      <w:r w:rsidRPr="000F2D31">
        <w:rPr>
          <w:rFonts w:cs="FrankRuehl"/>
          <w:sz w:val="28"/>
          <w:szCs w:val="28"/>
          <w:rtl/>
        </w:rPr>
        <w:t>בכך נטל שלא כדין, יחד עם אחרים, חשמל בעלות שאינה ידועה מחברת החשמל.</w:t>
      </w:r>
    </w:p>
    <w:p w14:paraId="034370EE" w14:textId="77777777" w:rsidR="00DC18F8" w:rsidRPr="000F2D31" w:rsidRDefault="00DC18F8" w:rsidP="00DC18F8">
      <w:pPr>
        <w:tabs>
          <w:tab w:val="left" w:pos="-58"/>
        </w:tabs>
        <w:spacing w:before="100" w:beforeAutospacing="1" w:after="120" w:line="360" w:lineRule="auto"/>
        <w:ind w:left="-58"/>
        <w:jc w:val="both"/>
        <w:rPr>
          <w:rFonts w:ascii="Miriam" w:hAnsi="Miriam" w:cs="Miriam"/>
          <w:rtl/>
        </w:rPr>
      </w:pPr>
      <w:r w:rsidRPr="000F2D31">
        <w:rPr>
          <w:rFonts w:ascii="Miriam" w:hAnsi="Miriam" w:cs="Miriam" w:hint="eastAsia"/>
          <w:rtl/>
        </w:rPr>
        <w:t>טיעוני</w:t>
      </w:r>
      <w:r w:rsidRPr="000F2D31">
        <w:rPr>
          <w:rFonts w:ascii="Miriam" w:hAnsi="Miriam" w:cs="Miriam"/>
          <w:rtl/>
        </w:rPr>
        <w:t xml:space="preserve"> </w:t>
      </w:r>
      <w:r w:rsidRPr="000F2D31">
        <w:rPr>
          <w:rFonts w:ascii="Miriam" w:hAnsi="Miriam" w:cs="Miriam" w:hint="eastAsia"/>
          <w:rtl/>
        </w:rPr>
        <w:t>הצדדים</w:t>
      </w:r>
      <w:r w:rsidRPr="000F2D31">
        <w:rPr>
          <w:rFonts w:ascii="Miriam" w:hAnsi="Miriam" w:cs="Miriam"/>
          <w:rtl/>
        </w:rPr>
        <w:t xml:space="preserve"> </w:t>
      </w:r>
      <w:r w:rsidRPr="000F2D31">
        <w:rPr>
          <w:rFonts w:ascii="Miriam" w:hAnsi="Miriam" w:cs="Miriam" w:hint="eastAsia"/>
          <w:rtl/>
        </w:rPr>
        <w:t>לעונש</w:t>
      </w:r>
    </w:p>
    <w:p w14:paraId="4D50162E"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Pr>
      </w:pPr>
      <w:r w:rsidRPr="000F2D31">
        <w:rPr>
          <w:rFonts w:ascii="Miriam" w:hAnsi="Miriam" w:cs="Miriam" w:hint="eastAsia"/>
          <w:rtl/>
        </w:rPr>
        <w:t>המאשימה</w:t>
      </w:r>
      <w:r w:rsidRPr="000F2D31">
        <w:rPr>
          <w:rFonts w:cs="FrankRuehl"/>
          <w:sz w:val="28"/>
          <w:szCs w:val="28"/>
          <w:rtl/>
        </w:rPr>
        <w:t xml:space="preserve"> בטיעוניה עמדה על הערכים החברתיים המוגנים שנפגעו כתוצאה מביצוע העבירות בהן הורשע הנאשם ובהם הגנה על שלום ובריאות הציבור, מניעת נזקים נלווים לשימוש בסמים ובפרט </w:t>
      </w:r>
      <w:r>
        <w:rPr>
          <w:rFonts w:cs="FrankRuehl" w:hint="cs"/>
          <w:sz w:val="28"/>
          <w:szCs w:val="28"/>
          <w:rtl/>
        </w:rPr>
        <w:t>ה</w:t>
      </w:r>
      <w:r w:rsidRPr="000F2D31">
        <w:rPr>
          <w:rFonts w:cs="FrankRuehl"/>
          <w:sz w:val="28"/>
          <w:szCs w:val="28"/>
          <w:rtl/>
        </w:rPr>
        <w:t>יותו של נגע הסמים כמחולל פשיעה. המאשימה הרחיבה אודות נסיבות ביצוע העבירה, התכנון שקדם לביצוען, הנאשם למד על אופן גידול הסמים באמצעות צפייה בסרטונים, רכש זרעי קנבוס, פעל להצטייד בכלים המתאימים לגידולו, כאשר לנאשם היו מספר רב של הזדמנויות לחדול ממעשיו, ואולם האחרון לא עשה כן. כמו כן נטען כי הנאשם גידל את הסמים על פני תקופה ממושכת ורציפה ולראייה כמות השתילים וגודלם כפי שאפשר ללמוד מ</w:t>
      </w:r>
      <w:r>
        <w:rPr>
          <w:rFonts w:cs="FrankRuehl" w:hint="cs"/>
          <w:sz w:val="28"/>
          <w:szCs w:val="28"/>
          <w:rtl/>
        </w:rPr>
        <w:t>ה</w:t>
      </w:r>
      <w:r w:rsidRPr="000F2D31">
        <w:rPr>
          <w:rFonts w:cs="FrankRuehl"/>
          <w:sz w:val="28"/>
          <w:szCs w:val="28"/>
          <w:rtl/>
        </w:rPr>
        <w:t>תצלומים שהוצגו (</w:t>
      </w:r>
      <w:r w:rsidRPr="000F2D31">
        <w:rPr>
          <w:rFonts w:ascii="Miriam" w:hAnsi="Miriam" w:cs="Miriam" w:hint="eastAsia"/>
          <w:rtl/>
        </w:rPr>
        <w:t>טעת</w:t>
      </w:r>
      <w:r w:rsidRPr="000F2D31">
        <w:rPr>
          <w:rFonts w:cs="FrankRuehl"/>
          <w:sz w:val="28"/>
          <w:szCs w:val="28"/>
          <w:rtl/>
        </w:rPr>
        <w:t xml:space="preserve">/3 – </w:t>
      </w:r>
      <w:r w:rsidRPr="000F2D31">
        <w:rPr>
          <w:rFonts w:ascii="Miriam" w:hAnsi="Miriam" w:cs="Miriam" w:hint="eastAsia"/>
          <w:rtl/>
        </w:rPr>
        <w:t>טעת</w:t>
      </w:r>
      <w:r w:rsidRPr="000F2D31">
        <w:rPr>
          <w:rFonts w:ascii="Miriam" w:hAnsi="Miriam" w:cs="Miriam"/>
          <w:rtl/>
        </w:rPr>
        <w:t>/4</w:t>
      </w:r>
      <w:r w:rsidRPr="000F2D31">
        <w:rPr>
          <w:rFonts w:cs="FrankRuehl"/>
          <w:sz w:val="28"/>
          <w:szCs w:val="28"/>
          <w:rtl/>
        </w:rPr>
        <w:t>). עוד הודגש כי הנזק שעלול היה להיגרם ממעשיו של הנאשם ומזליגת הסמים למשתמשים ברחוב רב, כך גם הרווח הכלכלי הגבוה שהיה עתיד להרוויח מהפצת הסמים.</w:t>
      </w:r>
    </w:p>
    <w:p w14:paraId="146FB3A4" w14:textId="77777777" w:rsidR="00DC18F8" w:rsidRPr="000F2D31" w:rsidRDefault="00DC18F8" w:rsidP="00DC18F8">
      <w:pPr>
        <w:tabs>
          <w:tab w:val="left" w:pos="-58"/>
        </w:tabs>
        <w:spacing w:before="100" w:beforeAutospacing="1" w:after="120" w:line="360" w:lineRule="auto"/>
        <w:ind w:left="-58"/>
        <w:jc w:val="both"/>
        <w:rPr>
          <w:rFonts w:cs="FrankRuehl"/>
          <w:sz w:val="28"/>
          <w:szCs w:val="28"/>
        </w:rPr>
      </w:pPr>
      <w:r w:rsidRPr="000F2D31">
        <w:rPr>
          <w:rFonts w:cs="FrankRuehl"/>
          <w:sz w:val="28"/>
          <w:szCs w:val="28"/>
          <w:rtl/>
        </w:rPr>
        <w:tab/>
      </w:r>
      <w:r w:rsidRPr="000F2D31">
        <w:rPr>
          <w:rFonts w:cs="FrankRuehl"/>
          <w:sz w:val="28"/>
          <w:szCs w:val="28"/>
          <w:rtl/>
        </w:rPr>
        <w:tab/>
        <w:t xml:space="preserve">המאשימה עתרה לקביעת מתחם עונש הולם הנע בין 40-20 חודשי מאסר בפועל, מאסר מותנה וקנס שלא יפחת מ-15,000 ₪, </w:t>
      </w:r>
      <w:r>
        <w:rPr>
          <w:rFonts w:cs="FrankRuehl" w:hint="cs"/>
          <w:sz w:val="28"/>
          <w:szCs w:val="28"/>
          <w:rtl/>
        </w:rPr>
        <w:t>וכן עתרה ל</w:t>
      </w:r>
      <w:r w:rsidRPr="000F2D31">
        <w:rPr>
          <w:rFonts w:cs="FrankRuehl"/>
          <w:sz w:val="28"/>
          <w:szCs w:val="28"/>
          <w:rtl/>
        </w:rPr>
        <w:t>חילוט</w:t>
      </w:r>
      <w:r>
        <w:rPr>
          <w:rFonts w:cs="FrankRuehl" w:hint="cs"/>
          <w:sz w:val="28"/>
          <w:szCs w:val="28"/>
          <w:rtl/>
        </w:rPr>
        <w:t xml:space="preserve"> הרכוש שנתפס</w:t>
      </w:r>
      <w:r w:rsidRPr="000F2D31">
        <w:rPr>
          <w:rFonts w:cs="FrankRuehl"/>
          <w:sz w:val="28"/>
          <w:szCs w:val="28"/>
          <w:rtl/>
        </w:rPr>
        <w:t xml:space="preserve"> </w:t>
      </w:r>
      <w:r>
        <w:rPr>
          <w:rFonts w:cs="FrankRuehl" w:hint="cs"/>
          <w:sz w:val="28"/>
          <w:szCs w:val="28"/>
          <w:rtl/>
        </w:rPr>
        <w:t xml:space="preserve">ותמכה עתירתה </w:t>
      </w:r>
      <w:r w:rsidRPr="000F2D31">
        <w:rPr>
          <w:rFonts w:cs="FrankRuehl"/>
          <w:sz w:val="28"/>
          <w:szCs w:val="28"/>
          <w:rtl/>
        </w:rPr>
        <w:t xml:space="preserve">בפסיקה. </w:t>
      </w:r>
    </w:p>
    <w:p w14:paraId="1C4B454A" w14:textId="77777777" w:rsidR="00DC18F8" w:rsidRPr="000F2D31" w:rsidRDefault="00DC18F8" w:rsidP="00DC18F8">
      <w:pPr>
        <w:tabs>
          <w:tab w:val="left" w:pos="-58"/>
        </w:tabs>
        <w:spacing w:before="100" w:beforeAutospacing="1" w:after="120" w:line="360" w:lineRule="auto"/>
        <w:ind w:left="-58"/>
        <w:jc w:val="both"/>
        <w:rPr>
          <w:rFonts w:cs="FrankRuehl"/>
          <w:sz w:val="28"/>
          <w:szCs w:val="28"/>
        </w:rPr>
      </w:pPr>
      <w:r w:rsidRPr="000F2D31">
        <w:rPr>
          <w:rFonts w:cs="FrankRuehl"/>
          <w:sz w:val="28"/>
          <w:szCs w:val="28"/>
          <w:rtl/>
        </w:rPr>
        <w:tab/>
      </w:r>
      <w:r w:rsidRPr="000F2D31">
        <w:rPr>
          <w:rFonts w:cs="FrankRuehl"/>
          <w:sz w:val="28"/>
          <w:szCs w:val="28"/>
          <w:rtl/>
        </w:rPr>
        <w:tab/>
      </w:r>
      <w:r>
        <w:rPr>
          <w:rFonts w:cs="FrankRuehl" w:hint="cs"/>
          <w:sz w:val="28"/>
          <w:szCs w:val="28"/>
          <w:rtl/>
        </w:rPr>
        <w:t xml:space="preserve">באשר לנסיבות שאינן קשורות בביצוע העבירה, עמדה המאשימה על עברו הפלילי של הנאשם </w:t>
      </w:r>
      <w:r w:rsidRPr="000F2D31">
        <w:rPr>
          <w:rFonts w:cs="FrankRuehl"/>
          <w:sz w:val="28"/>
          <w:szCs w:val="28"/>
          <w:rtl/>
        </w:rPr>
        <w:t>בתחום עבירות הסמים</w:t>
      </w:r>
      <w:r>
        <w:rPr>
          <w:rFonts w:cs="FrankRuehl" w:hint="cs"/>
          <w:sz w:val="28"/>
          <w:szCs w:val="28"/>
          <w:rtl/>
        </w:rPr>
        <w:t xml:space="preserve"> ובעבירה זהה וביקשה לראות חומרה ייתרה במעשיו שכן </w:t>
      </w:r>
      <w:r w:rsidRPr="000F2D31">
        <w:rPr>
          <w:rFonts w:cs="FrankRuehl"/>
          <w:sz w:val="28"/>
          <w:szCs w:val="28"/>
          <w:rtl/>
        </w:rPr>
        <w:t xml:space="preserve">הנאשם הבין </w:t>
      </w:r>
      <w:r>
        <w:rPr>
          <w:rFonts w:cs="FrankRuehl" w:hint="cs"/>
          <w:sz w:val="28"/>
          <w:szCs w:val="28"/>
          <w:rtl/>
        </w:rPr>
        <w:t xml:space="preserve">היטב </w:t>
      </w:r>
      <w:r w:rsidRPr="000F2D31">
        <w:rPr>
          <w:rFonts w:cs="FrankRuehl"/>
          <w:sz w:val="28"/>
          <w:szCs w:val="28"/>
          <w:rtl/>
        </w:rPr>
        <w:t xml:space="preserve">את פליליות המעשה והחמיר לעשות וביצע </w:t>
      </w:r>
      <w:r>
        <w:rPr>
          <w:rFonts w:cs="FrankRuehl" w:hint="cs"/>
          <w:sz w:val="28"/>
          <w:szCs w:val="28"/>
          <w:rtl/>
        </w:rPr>
        <w:t xml:space="preserve">את אותה העבירה ממש בהיקף רב מזו שהייתה </w:t>
      </w:r>
      <w:r w:rsidRPr="000F2D31">
        <w:rPr>
          <w:rFonts w:cs="FrankRuehl"/>
          <w:sz w:val="28"/>
          <w:szCs w:val="28"/>
          <w:rtl/>
        </w:rPr>
        <w:t>במעורבותו הקודמת בפלילים בגינה הורשע כאמור (</w:t>
      </w:r>
      <w:r w:rsidRPr="000F2D31">
        <w:rPr>
          <w:rFonts w:ascii="Miriam" w:hAnsi="Miriam" w:cs="Miriam" w:hint="eastAsia"/>
          <w:rtl/>
        </w:rPr>
        <w:t>טעת</w:t>
      </w:r>
      <w:r w:rsidRPr="000F2D31">
        <w:rPr>
          <w:rFonts w:ascii="Miriam" w:hAnsi="Miriam" w:cs="Miriam"/>
          <w:rtl/>
        </w:rPr>
        <w:t xml:space="preserve">/1 – </w:t>
      </w:r>
      <w:r w:rsidRPr="000F2D31">
        <w:rPr>
          <w:rFonts w:ascii="Miriam" w:hAnsi="Miriam" w:cs="Miriam" w:hint="eastAsia"/>
          <w:rtl/>
        </w:rPr>
        <w:t>טעת</w:t>
      </w:r>
      <w:r w:rsidRPr="000F2D31">
        <w:rPr>
          <w:rFonts w:ascii="Miriam" w:hAnsi="Miriam" w:cs="Miriam"/>
          <w:rtl/>
        </w:rPr>
        <w:t>/2</w:t>
      </w:r>
      <w:r w:rsidRPr="000F2D31">
        <w:rPr>
          <w:rFonts w:cs="FrankRuehl"/>
          <w:sz w:val="28"/>
          <w:szCs w:val="28"/>
          <w:rtl/>
        </w:rPr>
        <w:t>)</w:t>
      </w:r>
    </w:p>
    <w:p w14:paraId="0EADEFE4" w14:textId="77777777" w:rsidR="00DC18F8" w:rsidRPr="000F2D31" w:rsidRDefault="00DC18F8" w:rsidP="00DC18F8">
      <w:pPr>
        <w:tabs>
          <w:tab w:val="left" w:pos="-58"/>
        </w:tabs>
        <w:spacing w:before="100" w:beforeAutospacing="1" w:after="120" w:line="360" w:lineRule="auto"/>
        <w:ind w:left="-58"/>
        <w:jc w:val="both"/>
        <w:rPr>
          <w:rFonts w:cs="FrankRuehl"/>
          <w:sz w:val="28"/>
          <w:szCs w:val="28"/>
        </w:rPr>
      </w:pPr>
      <w:r w:rsidRPr="000F2D31">
        <w:rPr>
          <w:rFonts w:cs="FrankRuehl"/>
          <w:sz w:val="28"/>
          <w:szCs w:val="28"/>
          <w:rtl/>
        </w:rPr>
        <w:lastRenderedPageBreak/>
        <w:tab/>
      </w:r>
      <w:r w:rsidRPr="000F2D31">
        <w:rPr>
          <w:rFonts w:cs="FrankRuehl"/>
          <w:sz w:val="28"/>
          <w:szCs w:val="28"/>
          <w:rtl/>
        </w:rPr>
        <w:tab/>
        <w:t>לנוכח האמור עתרה המ</w:t>
      </w:r>
      <w:r>
        <w:rPr>
          <w:rFonts w:cs="FrankRuehl"/>
          <w:sz w:val="28"/>
          <w:szCs w:val="28"/>
          <w:rtl/>
        </w:rPr>
        <w:t xml:space="preserve">אשימה למקם את </w:t>
      </w:r>
      <w:r>
        <w:rPr>
          <w:rFonts w:cs="FrankRuehl" w:hint="cs"/>
          <w:sz w:val="28"/>
          <w:szCs w:val="28"/>
          <w:rtl/>
        </w:rPr>
        <w:t xml:space="preserve">עונשו של </w:t>
      </w:r>
      <w:r>
        <w:rPr>
          <w:rFonts w:cs="FrankRuehl"/>
          <w:sz w:val="28"/>
          <w:szCs w:val="28"/>
          <w:rtl/>
        </w:rPr>
        <w:t>הנאשם באמצע המתחם</w:t>
      </w:r>
      <w:r w:rsidRPr="000F2D31">
        <w:rPr>
          <w:rFonts w:cs="FrankRuehl"/>
          <w:sz w:val="28"/>
          <w:szCs w:val="28"/>
          <w:rtl/>
        </w:rPr>
        <w:t xml:space="preserve"> ולהשית עונש מאסר בפועל שלא יפחת מ-30 חודשי מאסר, מאסר מותנה וקנס מכביד שלא יפחת מ-15,000 ₪. כמו כן ביקש ב"כ המאשימה להורות על חילוט </w:t>
      </w:r>
      <w:r>
        <w:rPr>
          <w:rFonts w:cs="FrankRuehl" w:hint="cs"/>
          <w:sz w:val="28"/>
          <w:szCs w:val="28"/>
          <w:rtl/>
        </w:rPr>
        <w:t xml:space="preserve">הרכוש </w:t>
      </w:r>
      <w:r w:rsidRPr="000F2D31">
        <w:rPr>
          <w:rFonts w:cs="FrankRuehl"/>
          <w:sz w:val="28"/>
          <w:szCs w:val="28"/>
          <w:rtl/>
        </w:rPr>
        <w:t xml:space="preserve">כפי שהוסכם במסגרת הסדר הטיעון. </w:t>
      </w:r>
    </w:p>
    <w:p w14:paraId="41D8C6A9"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Pr>
      </w:pPr>
      <w:r w:rsidRPr="000F2D31">
        <w:rPr>
          <w:rFonts w:ascii="Miriam" w:hAnsi="Miriam" w:cs="Miriam" w:hint="eastAsia"/>
          <w:rtl/>
        </w:rPr>
        <w:t>בא</w:t>
      </w:r>
      <w:r w:rsidRPr="000F2D31">
        <w:rPr>
          <w:rFonts w:ascii="Miriam" w:hAnsi="Miriam" w:cs="Miriam"/>
          <w:rtl/>
        </w:rPr>
        <w:t xml:space="preserve"> </w:t>
      </w:r>
      <w:r w:rsidRPr="000F2D31">
        <w:rPr>
          <w:rFonts w:ascii="Miriam" w:hAnsi="Miriam" w:cs="Miriam" w:hint="eastAsia"/>
          <w:rtl/>
        </w:rPr>
        <w:t>כוח</w:t>
      </w:r>
      <w:r w:rsidRPr="000F2D31">
        <w:rPr>
          <w:rFonts w:ascii="Miriam" w:hAnsi="Miriam" w:cs="Miriam"/>
          <w:rtl/>
        </w:rPr>
        <w:t xml:space="preserve"> </w:t>
      </w:r>
      <w:r w:rsidRPr="000F2D31">
        <w:rPr>
          <w:rFonts w:ascii="Miriam" w:hAnsi="Miriam" w:cs="Miriam" w:hint="eastAsia"/>
          <w:rtl/>
        </w:rPr>
        <w:t>הנאשם</w:t>
      </w:r>
      <w:r w:rsidRPr="000F2D31">
        <w:rPr>
          <w:rFonts w:cs="FrankRuehl"/>
          <w:sz w:val="28"/>
          <w:szCs w:val="28"/>
          <w:rtl/>
        </w:rPr>
        <w:t xml:space="preserve"> טען כי העונש אליו עותרת המאשימה אינו מידתי ואינו הולם את נסיבות המקרה ואף אינו תואם את הפסיקה שהוצגה על ידה. כך ובהתאם עמד על נסיבות ביצוע העבירה ובפרט ל</w:t>
      </w:r>
      <w:r>
        <w:rPr>
          <w:rFonts w:cs="FrankRuehl" w:hint="cs"/>
          <w:sz w:val="28"/>
          <w:szCs w:val="28"/>
          <w:rtl/>
        </w:rPr>
        <w:t xml:space="preserve">עובדה </w:t>
      </w:r>
      <w:r w:rsidRPr="000F2D31">
        <w:rPr>
          <w:rFonts w:cs="FrankRuehl"/>
          <w:sz w:val="28"/>
          <w:szCs w:val="28"/>
          <w:rtl/>
        </w:rPr>
        <w:t>כי גידול הסמים בוצע בביתו של הנאשם כאשר מרבית השתילים נתפסו בחצר הבית</w:t>
      </w:r>
      <w:r>
        <w:rPr>
          <w:rFonts w:cs="FrankRuehl" w:hint="cs"/>
          <w:sz w:val="28"/>
          <w:szCs w:val="28"/>
          <w:rtl/>
        </w:rPr>
        <w:t>,</w:t>
      </w:r>
      <w:r w:rsidRPr="000F2D31">
        <w:rPr>
          <w:rFonts w:cs="FrankRuehl"/>
          <w:sz w:val="28"/>
          <w:szCs w:val="28"/>
          <w:rtl/>
        </w:rPr>
        <w:t xml:space="preserve"> בחממה </w:t>
      </w:r>
      <w:r>
        <w:rPr>
          <w:rFonts w:cs="FrankRuehl" w:hint="cs"/>
          <w:sz w:val="28"/>
          <w:szCs w:val="28"/>
          <w:rtl/>
        </w:rPr>
        <w:t xml:space="preserve">שהוקמה </w:t>
      </w:r>
      <w:r w:rsidRPr="000F2D31">
        <w:rPr>
          <w:rFonts w:cs="FrankRuehl"/>
          <w:sz w:val="28"/>
          <w:szCs w:val="28"/>
          <w:rtl/>
        </w:rPr>
        <w:t xml:space="preserve">תחת רשת ולא במעבדה במובן ה"קלאסי", בעוד שבמחסן הייתה מעבדה קטנה ביותר ולא מתוחכמת ובה נתפסו 45 שתילים בלבד. ב"כ הנאשם השווה והבחין בין המקרה דנן לבין הפסיקה שהוצגה על ידי המאשימה וטען כי בשונה ממנה, הנאשם לא שכר אנגר, חממה </w:t>
      </w:r>
      <w:r>
        <w:rPr>
          <w:rFonts w:cs="FrankRuehl" w:hint="cs"/>
          <w:sz w:val="28"/>
          <w:szCs w:val="28"/>
          <w:rtl/>
        </w:rPr>
        <w:t>ואף לא נעזר ב</w:t>
      </w:r>
      <w:r w:rsidRPr="000F2D31">
        <w:rPr>
          <w:rFonts w:cs="FrankRuehl"/>
          <w:sz w:val="28"/>
          <w:szCs w:val="28"/>
          <w:rtl/>
        </w:rPr>
        <w:t xml:space="preserve">אנשי קש ששוכרים דירות לגדל בהם את השתילים, אלא גידל </w:t>
      </w:r>
      <w:r>
        <w:rPr>
          <w:rFonts w:cs="FrankRuehl" w:hint="cs"/>
          <w:sz w:val="28"/>
          <w:szCs w:val="28"/>
          <w:rtl/>
        </w:rPr>
        <w:t xml:space="preserve">את הסם </w:t>
      </w:r>
      <w:r w:rsidRPr="000F2D31">
        <w:rPr>
          <w:rFonts w:cs="FrankRuehl"/>
          <w:sz w:val="28"/>
          <w:szCs w:val="28"/>
          <w:rtl/>
        </w:rPr>
        <w:t>בביתו שלו</w:t>
      </w:r>
      <w:r>
        <w:rPr>
          <w:rFonts w:cs="FrankRuehl" w:hint="cs"/>
          <w:sz w:val="28"/>
          <w:szCs w:val="28"/>
          <w:rtl/>
        </w:rPr>
        <w:t xml:space="preserve"> ללא ת</w:t>
      </w:r>
      <w:r w:rsidRPr="000F2D31">
        <w:rPr>
          <w:rFonts w:cs="FrankRuehl"/>
          <w:sz w:val="28"/>
          <w:szCs w:val="28"/>
          <w:rtl/>
        </w:rPr>
        <w:t xml:space="preserve">חכום </w:t>
      </w:r>
      <w:r>
        <w:rPr>
          <w:rFonts w:cs="FrankRuehl" w:hint="cs"/>
          <w:sz w:val="28"/>
          <w:szCs w:val="28"/>
          <w:rtl/>
        </w:rPr>
        <w:t xml:space="preserve">מיוחד </w:t>
      </w:r>
      <w:r w:rsidRPr="000F2D31">
        <w:rPr>
          <w:rFonts w:cs="FrankRuehl"/>
          <w:sz w:val="28"/>
          <w:szCs w:val="28"/>
          <w:rtl/>
        </w:rPr>
        <w:t>או השקעה ניכרת</w:t>
      </w:r>
      <w:r>
        <w:rPr>
          <w:rFonts w:cs="FrankRuehl" w:hint="cs"/>
          <w:sz w:val="28"/>
          <w:szCs w:val="28"/>
          <w:rtl/>
        </w:rPr>
        <w:t>.</w:t>
      </w:r>
      <w:r w:rsidRPr="000F2D31">
        <w:rPr>
          <w:rFonts w:cs="FrankRuehl"/>
          <w:sz w:val="28"/>
          <w:szCs w:val="28"/>
          <w:rtl/>
        </w:rPr>
        <w:t xml:space="preserve"> כן הפנה בא כוח הנאשם לכך שהמאשימה אינה יכולה לאמוד את שווי גניבת החשמל בפועל.</w:t>
      </w:r>
    </w:p>
    <w:p w14:paraId="344A0A27" w14:textId="77777777" w:rsidR="00DC18F8" w:rsidRPr="000F2D31" w:rsidRDefault="00DC18F8" w:rsidP="00DC18F8">
      <w:pPr>
        <w:tabs>
          <w:tab w:val="left" w:pos="-58"/>
        </w:tabs>
        <w:spacing w:before="100" w:beforeAutospacing="1" w:after="120" w:line="360" w:lineRule="auto"/>
        <w:ind w:left="-58"/>
        <w:jc w:val="both"/>
        <w:rPr>
          <w:rFonts w:cs="FrankRuehl"/>
          <w:sz w:val="28"/>
          <w:szCs w:val="28"/>
          <w:rtl/>
        </w:rPr>
      </w:pPr>
      <w:r w:rsidRPr="000F2D31">
        <w:rPr>
          <w:rFonts w:cs="FrankRuehl"/>
          <w:sz w:val="28"/>
          <w:szCs w:val="28"/>
          <w:rtl/>
        </w:rPr>
        <w:tab/>
      </w:r>
      <w:r w:rsidRPr="000F2D31">
        <w:rPr>
          <w:rFonts w:cs="FrankRuehl"/>
          <w:sz w:val="28"/>
          <w:szCs w:val="28"/>
          <w:rtl/>
        </w:rPr>
        <w:tab/>
        <w:t>ב"כ הנאשם הוסיף והפנה לנסיבותיו האישיות של הנאשם</w:t>
      </w:r>
      <w:r>
        <w:rPr>
          <w:rFonts w:cs="FrankRuehl" w:hint="cs"/>
          <w:sz w:val="28"/>
          <w:szCs w:val="28"/>
          <w:rtl/>
        </w:rPr>
        <w:t xml:space="preserve">, </w:t>
      </w:r>
      <w:r w:rsidRPr="000F2D31">
        <w:rPr>
          <w:rFonts w:cs="FrankRuehl"/>
          <w:sz w:val="28"/>
          <w:szCs w:val="28"/>
          <w:rtl/>
        </w:rPr>
        <w:t>בן למשפחה נורמטיבית, תומכת ואוהבת, לנאשם בת זוג והשניים עומדים להינשא.</w:t>
      </w:r>
      <w:r w:rsidRPr="000F2D31">
        <w:rPr>
          <w:rFonts w:cs="FrankRuehl"/>
          <w:sz w:val="28"/>
          <w:szCs w:val="28"/>
        </w:rPr>
        <w:t xml:space="preserve"> </w:t>
      </w:r>
      <w:r w:rsidRPr="000F2D31">
        <w:rPr>
          <w:rFonts w:cs="FrankRuehl"/>
          <w:sz w:val="28"/>
          <w:szCs w:val="28"/>
          <w:rtl/>
        </w:rPr>
        <w:t>בטיעוניו פירט באריכות אודות מצבם הרפואי המורכב של הורי הנאשם המצריך את עזרתו ונוכחותו בבית, אמו חולה במחלה סופנית ומצבה מתדרדר, וזקוקה לעזרה צמודה, אביו חולה גם הוא, בעל מגבלות רפואיות וזקוק לתמיכה וליווי</w:t>
      </w:r>
      <w:r>
        <w:rPr>
          <w:rFonts w:cs="FrankRuehl" w:hint="cs"/>
          <w:sz w:val="28"/>
          <w:szCs w:val="28"/>
          <w:rtl/>
        </w:rPr>
        <w:t xml:space="preserve">, </w:t>
      </w:r>
      <w:r w:rsidRPr="000F2D31">
        <w:rPr>
          <w:rFonts w:cs="FrankRuehl"/>
          <w:sz w:val="28"/>
          <w:szCs w:val="28"/>
          <w:rtl/>
        </w:rPr>
        <w:t>ותמך האמור במסמכים רפואיים (</w:t>
      </w:r>
      <w:r w:rsidRPr="000F2D31">
        <w:rPr>
          <w:rFonts w:ascii="Miriam" w:hAnsi="Miriam" w:cs="Miriam" w:hint="eastAsia"/>
          <w:rtl/>
        </w:rPr>
        <w:t>טעה</w:t>
      </w:r>
      <w:r w:rsidRPr="000F2D31">
        <w:rPr>
          <w:rFonts w:ascii="Miriam" w:hAnsi="Miriam" w:cs="Miriam"/>
          <w:rtl/>
        </w:rPr>
        <w:t xml:space="preserve">/1- </w:t>
      </w:r>
      <w:r w:rsidRPr="000F2D31">
        <w:rPr>
          <w:rFonts w:ascii="Miriam" w:hAnsi="Miriam" w:cs="Miriam" w:hint="eastAsia"/>
          <w:rtl/>
        </w:rPr>
        <w:t>טעה</w:t>
      </w:r>
      <w:r w:rsidRPr="000F2D31">
        <w:rPr>
          <w:rFonts w:ascii="Miriam" w:hAnsi="Miriam" w:cs="Miriam"/>
          <w:rtl/>
        </w:rPr>
        <w:t xml:space="preserve">/2; </w:t>
      </w:r>
      <w:r w:rsidRPr="000F2D31">
        <w:rPr>
          <w:rFonts w:ascii="Miriam" w:hAnsi="Miriam" w:cs="Miriam" w:hint="eastAsia"/>
          <w:rtl/>
        </w:rPr>
        <w:t>טעה</w:t>
      </w:r>
      <w:r w:rsidRPr="000F2D31">
        <w:rPr>
          <w:rFonts w:ascii="Miriam" w:hAnsi="Miriam" w:cs="Miriam"/>
          <w:rtl/>
        </w:rPr>
        <w:t>/4-</w:t>
      </w:r>
      <w:r w:rsidRPr="000F2D31">
        <w:rPr>
          <w:rFonts w:ascii="Miriam" w:hAnsi="Miriam" w:cs="Miriam" w:hint="eastAsia"/>
          <w:rtl/>
        </w:rPr>
        <w:t>טעה</w:t>
      </w:r>
      <w:r w:rsidRPr="000F2D31">
        <w:rPr>
          <w:rFonts w:ascii="Miriam" w:hAnsi="Miriam" w:cs="Miriam"/>
          <w:rtl/>
        </w:rPr>
        <w:t>/6</w:t>
      </w:r>
      <w:r w:rsidRPr="000F2D31">
        <w:rPr>
          <w:rFonts w:cs="FrankRuehl"/>
          <w:sz w:val="28"/>
          <w:szCs w:val="28"/>
          <w:rtl/>
        </w:rPr>
        <w:t xml:space="preserve">). ב"כ הנאשם הוסיף וביקש להתחשב במצוקתו הכלכלית של הנאשם, כאשר בשל המצב הבריאותי של הוריו הם אינם עובדים, הנאשם לא יכול היה להתפרנס במשך תקופה ארוכה בה שהה בתנאים מגבילים וכן סכום </w:t>
      </w:r>
      <w:r>
        <w:rPr>
          <w:rFonts w:cs="FrankRuehl" w:hint="cs"/>
          <w:sz w:val="28"/>
          <w:szCs w:val="28"/>
          <w:rtl/>
        </w:rPr>
        <w:t xml:space="preserve">כסף נכבד </w:t>
      </w:r>
      <w:r w:rsidRPr="000F2D31">
        <w:rPr>
          <w:rFonts w:cs="FrankRuehl"/>
          <w:sz w:val="28"/>
          <w:szCs w:val="28"/>
          <w:rtl/>
        </w:rPr>
        <w:t>של 10,</w:t>
      </w:r>
      <w:r>
        <w:rPr>
          <w:rFonts w:cs="FrankRuehl" w:hint="cs"/>
          <w:sz w:val="28"/>
          <w:szCs w:val="28"/>
          <w:rtl/>
        </w:rPr>
        <w:t>5</w:t>
      </w:r>
      <w:r w:rsidRPr="000F2D31">
        <w:rPr>
          <w:rFonts w:cs="FrankRuehl"/>
          <w:sz w:val="28"/>
          <w:szCs w:val="28"/>
          <w:rtl/>
        </w:rPr>
        <w:t>00 ₪ עתיד להיות מחולט.</w:t>
      </w:r>
    </w:p>
    <w:p w14:paraId="17743BF5" w14:textId="77777777" w:rsidR="00DC18F8" w:rsidRPr="000F2D31" w:rsidRDefault="00DC18F8" w:rsidP="00DC18F8">
      <w:pPr>
        <w:tabs>
          <w:tab w:val="left" w:pos="-58"/>
        </w:tabs>
        <w:spacing w:before="100" w:beforeAutospacing="1" w:after="120" w:line="360" w:lineRule="auto"/>
        <w:ind w:left="-58"/>
        <w:jc w:val="both"/>
        <w:rPr>
          <w:rFonts w:cs="FrankRuehl"/>
          <w:sz w:val="28"/>
          <w:szCs w:val="28"/>
          <w:rtl/>
        </w:rPr>
      </w:pPr>
      <w:r w:rsidRPr="000F2D31">
        <w:rPr>
          <w:rFonts w:cs="FrankRuehl"/>
          <w:sz w:val="28"/>
          <w:szCs w:val="28"/>
          <w:rtl/>
        </w:rPr>
        <w:tab/>
      </w:r>
      <w:r w:rsidRPr="000F2D31">
        <w:rPr>
          <w:rFonts w:cs="FrankRuehl"/>
          <w:sz w:val="28"/>
          <w:szCs w:val="28"/>
          <w:rtl/>
        </w:rPr>
        <w:tab/>
        <w:t xml:space="preserve">בא כוח הנאשם </w:t>
      </w:r>
      <w:r>
        <w:rPr>
          <w:rFonts w:cs="FrankRuehl" w:hint="cs"/>
          <w:sz w:val="28"/>
          <w:szCs w:val="28"/>
          <w:rtl/>
        </w:rPr>
        <w:t>לא התעלם מהרשעתו הקודמת של הנאשם אלא ב</w:t>
      </w:r>
      <w:r w:rsidRPr="000F2D31">
        <w:rPr>
          <w:rFonts w:cs="FrankRuehl"/>
          <w:sz w:val="28"/>
          <w:szCs w:val="28"/>
          <w:rtl/>
        </w:rPr>
        <w:t xml:space="preserve">יקש </w:t>
      </w:r>
      <w:r>
        <w:rPr>
          <w:rFonts w:cs="FrankRuehl" w:hint="cs"/>
          <w:sz w:val="28"/>
          <w:szCs w:val="28"/>
          <w:rtl/>
        </w:rPr>
        <w:t>כי יינ</w:t>
      </w:r>
      <w:r>
        <w:rPr>
          <w:rFonts w:cs="FrankRuehl"/>
          <w:sz w:val="28"/>
          <w:szCs w:val="28"/>
          <w:rtl/>
        </w:rPr>
        <w:t xml:space="preserve">תן משקל לעובדה כי </w:t>
      </w:r>
      <w:r>
        <w:rPr>
          <w:rFonts w:cs="FrankRuehl" w:hint="cs"/>
          <w:sz w:val="28"/>
          <w:szCs w:val="28"/>
          <w:rtl/>
        </w:rPr>
        <w:t xml:space="preserve">מדובר בהרשעה ישנה באופן יחסי, </w:t>
      </w:r>
      <w:r w:rsidRPr="000F2D31">
        <w:rPr>
          <w:rFonts w:cs="FrankRuehl"/>
          <w:sz w:val="28"/>
          <w:szCs w:val="28"/>
          <w:rtl/>
        </w:rPr>
        <w:t xml:space="preserve">משנת 2013 </w:t>
      </w:r>
      <w:r>
        <w:rPr>
          <w:rFonts w:cs="FrankRuehl" w:hint="cs"/>
          <w:sz w:val="28"/>
          <w:szCs w:val="28"/>
          <w:rtl/>
        </w:rPr>
        <w:t>כאשר הנאשם</w:t>
      </w:r>
      <w:r w:rsidRPr="000F2D31">
        <w:rPr>
          <w:rFonts w:cs="FrankRuehl"/>
          <w:sz w:val="28"/>
          <w:szCs w:val="28"/>
          <w:rtl/>
        </w:rPr>
        <w:t xml:space="preserve"> נידון לעונש של 6 חודשי מאסר לריצוי בעבודות שירות, בכך מילא את חובתו</w:t>
      </w:r>
      <w:r>
        <w:rPr>
          <w:rFonts w:cs="FrankRuehl" w:hint="cs"/>
          <w:sz w:val="28"/>
          <w:szCs w:val="28"/>
          <w:rtl/>
        </w:rPr>
        <w:t xml:space="preserve">. עוד הפנה לכך כי </w:t>
      </w:r>
      <w:r>
        <w:rPr>
          <w:rFonts w:cs="FrankRuehl"/>
          <w:sz w:val="28"/>
          <w:szCs w:val="28"/>
          <w:rtl/>
        </w:rPr>
        <w:t>לא נפתחו כנגד</w:t>
      </w:r>
      <w:r>
        <w:rPr>
          <w:rFonts w:cs="FrankRuehl" w:hint="cs"/>
          <w:sz w:val="28"/>
          <w:szCs w:val="28"/>
          <w:rtl/>
        </w:rPr>
        <w:t xml:space="preserve"> הנאשם </w:t>
      </w:r>
      <w:r w:rsidRPr="000F2D31">
        <w:rPr>
          <w:rFonts w:cs="FrankRuehl"/>
          <w:sz w:val="28"/>
          <w:szCs w:val="28"/>
          <w:rtl/>
        </w:rPr>
        <w:t>תיקים נוספים עד למ</w:t>
      </w:r>
      <w:r>
        <w:rPr>
          <w:rFonts w:cs="FrankRuehl"/>
          <w:sz w:val="28"/>
          <w:szCs w:val="28"/>
          <w:rtl/>
        </w:rPr>
        <w:t>עצרו בתיק דנן</w:t>
      </w:r>
      <w:r>
        <w:rPr>
          <w:rFonts w:cs="FrankRuehl" w:hint="cs"/>
          <w:sz w:val="28"/>
          <w:szCs w:val="28"/>
          <w:rtl/>
        </w:rPr>
        <w:t xml:space="preserve"> או לאחריו. </w:t>
      </w:r>
    </w:p>
    <w:p w14:paraId="612CEBE9" w14:textId="77777777" w:rsidR="00DC18F8" w:rsidRPr="000F2D31" w:rsidRDefault="00DC18F8" w:rsidP="00DC18F8">
      <w:pPr>
        <w:tabs>
          <w:tab w:val="left" w:pos="-58"/>
        </w:tabs>
        <w:spacing w:before="100" w:beforeAutospacing="1" w:after="120" w:line="360" w:lineRule="auto"/>
        <w:ind w:left="-58"/>
        <w:jc w:val="both"/>
        <w:rPr>
          <w:rFonts w:cs="FrankRuehl"/>
          <w:sz w:val="28"/>
          <w:szCs w:val="28"/>
        </w:rPr>
      </w:pPr>
      <w:r w:rsidRPr="000F2D31">
        <w:rPr>
          <w:rFonts w:cs="FrankRuehl"/>
          <w:sz w:val="28"/>
          <w:szCs w:val="28"/>
          <w:rtl/>
        </w:rPr>
        <w:tab/>
      </w:r>
      <w:r w:rsidRPr="000F2D31">
        <w:rPr>
          <w:rFonts w:cs="FrankRuehl"/>
          <w:sz w:val="28"/>
          <w:szCs w:val="28"/>
          <w:rtl/>
        </w:rPr>
        <w:tab/>
        <w:t xml:space="preserve">כמו כן ביקש ב"כ הנאשם ליתן </w:t>
      </w:r>
      <w:r>
        <w:rPr>
          <w:rFonts w:cs="FrankRuehl" w:hint="cs"/>
          <w:sz w:val="28"/>
          <w:szCs w:val="28"/>
          <w:rtl/>
        </w:rPr>
        <w:t>משקל נכבד לכך ש</w:t>
      </w:r>
      <w:r w:rsidRPr="000F2D31">
        <w:rPr>
          <w:rFonts w:cs="FrankRuehl"/>
          <w:sz w:val="28"/>
          <w:szCs w:val="28"/>
          <w:rtl/>
        </w:rPr>
        <w:t xml:space="preserve">הנאשם לא אך שנטל אחריות על מעשיו והודה, אלא גם ביקש להיכנס למאסר, ללא "משחקים", ללא ניסיון להקשות על המאשימה או רצון לגרור את ההליך שלא לצורך ולמעשה ויתר על כל ההליכים המקדמיים ובין היתר על האפשרות לבקש שקילה חוזרת של הסמים, על כל המשתמע מכך.    </w:t>
      </w:r>
    </w:p>
    <w:p w14:paraId="1363358B" w14:textId="77777777" w:rsidR="00DC18F8" w:rsidRPr="000F2D31" w:rsidRDefault="00DC18F8" w:rsidP="00DC18F8">
      <w:pPr>
        <w:tabs>
          <w:tab w:val="left" w:pos="-58"/>
        </w:tabs>
        <w:spacing w:before="100" w:beforeAutospacing="1" w:after="120" w:line="360" w:lineRule="auto"/>
        <w:ind w:left="-58"/>
        <w:jc w:val="both"/>
        <w:rPr>
          <w:rFonts w:cs="FrankRuehl"/>
          <w:sz w:val="28"/>
          <w:szCs w:val="28"/>
          <w:rtl/>
        </w:rPr>
      </w:pPr>
      <w:r w:rsidRPr="000F2D31">
        <w:rPr>
          <w:rFonts w:cs="FrankRuehl"/>
          <w:sz w:val="28"/>
          <w:szCs w:val="28"/>
          <w:rtl/>
        </w:rPr>
        <w:tab/>
      </w:r>
      <w:r w:rsidRPr="000F2D31">
        <w:rPr>
          <w:rFonts w:cs="FrankRuehl"/>
          <w:sz w:val="28"/>
          <w:szCs w:val="28"/>
          <w:rtl/>
        </w:rPr>
        <w:tab/>
        <w:t>בסופו של דבר עתר ב"כ הנאשם לקבוע מתחם העונש ההולם כנע בין 20-10 חודשי מאסר ותמך עתירתו בפסיקה. כמו כן, ביקש בא כוח הנאשם למקם את הנאשם בתחתית המתחם ולהשית עליו 10 חודשי מאסר תוך התחשבות ב</w:t>
      </w:r>
      <w:r>
        <w:rPr>
          <w:rFonts w:cs="FrankRuehl" w:hint="cs"/>
          <w:sz w:val="28"/>
          <w:szCs w:val="28"/>
          <w:rtl/>
        </w:rPr>
        <w:t>נסיבותיו האישיות וב</w:t>
      </w:r>
      <w:r w:rsidRPr="000F2D31">
        <w:rPr>
          <w:rFonts w:cs="FrankRuehl"/>
          <w:sz w:val="28"/>
          <w:szCs w:val="28"/>
          <w:rtl/>
        </w:rPr>
        <w:t xml:space="preserve">תקופה בה שהה בתנאים מגבילים ובמעצר בית מדצמבר 2020 כאשר ממרץ 2021 ניתנה הקלה בתנאי השחרור וכן חילוט, וקנס שיתאים למצוקתו הכלכלית של הנאשם ומשפחתו. </w:t>
      </w:r>
    </w:p>
    <w:p w14:paraId="6009DE8D"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Pr>
      </w:pPr>
      <w:r w:rsidRPr="000F2D31">
        <w:rPr>
          <w:rFonts w:cs="FrankRuehl"/>
          <w:sz w:val="28"/>
          <w:szCs w:val="28"/>
          <w:rtl/>
        </w:rPr>
        <w:t>טרם גזירת העונש ביקש אביו של הנאשם לומר לבית המשפט מספר דברים</w:t>
      </w:r>
      <w:r>
        <w:rPr>
          <w:rFonts w:cs="FrankRuehl" w:hint="cs"/>
          <w:sz w:val="28"/>
          <w:szCs w:val="28"/>
          <w:rtl/>
        </w:rPr>
        <w:t xml:space="preserve">. </w:t>
      </w:r>
      <w:r w:rsidRPr="000F2D31">
        <w:rPr>
          <w:rFonts w:cs="FrankRuehl"/>
          <w:sz w:val="28"/>
          <w:szCs w:val="28"/>
          <w:rtl/>
        </w:rPr>
        <w:t xml:space="preserve">לא ארחיב </w:t>
      </w:r>
      <w:r>
        <w:rPr>
          <w:rFonts w:cs="FrankRuehl" w:hint="cs"/>
          <w:sz w:val="28"/>
          <w:szCs w:val="28"/>
          <w:rtl/>
        </w:rPr>
        <w:t xml:space="preserve">יתר על המידה, </w:t>
      </w:r>
      <w:r w:rsidRPr="000F2D31">
        <w:rPr>
          <w:rFonts w:cs="FrankRuehl"/>
          <w:sz w:val="28"/>
          <w:szCs w:val="28"/>
          <w:rtl/>
        </w:rPr>
        <w:t xml:space="preserve">דיי שייאמר כי </w:t>
      </w:r>
      <w:r>
        <w:rPr>
          <w:rFonts w:cs="FrankRuehl" w:hint="cs"/>
          <w:sz w:val="28"/>
          <w:szCs w:val="28"/>
          <w:rtl/>
        </w:rPr>
        <w:t xml:space="preserve">האב </w:t>
      </w:r>
      <w:r w:rsidRPr="000F2D31">
        <w:rPr>
          <w:rFonts w:cs="FrankRuehl"/>
          <w:sz w:val="28"/>
          <w:szCs w:val="28"/>
          <w:rtl/>
        </w:rPr>
        <w:t xml:space="preserve">בעיניים דומעות סיפר על מצבו </w:t>
      </w:r>
      <w:r>
        <w:rPr>
          <w:rFonts w:cs="FrankRuehl" w:hint="cs"/>
          <w:sz w:val="28"/>
          <w:szCs w:val="28"/>
          <w:rtl/>
        </w:rPr>
        <w:t xml:space="preserve">הבריאותי כמו גם על </w:t>
      </w:r>
      <w:r w:rsidRPr="000F2D31">
        <w:rPr>
          <w:rFonts w:cs="FrankRuehl"/>
          <w:sz w:val="28"/>
          <w:szCs w:val="28"/>
          <w:rtl/>
        </w:rPr>
        <w:t>מצב</w:t>
      </w:r>
      <w:r>
        <w:rPr>
          <w:rFonts w:cs="FrankRuehl" w:hint="cs"/>
          <w:sz w:val="28"/>
          <w:szCs w:val="28"/>
          <w:rtl/>
        </w:rPr>
        <w:t xml:space="preserve">ה הבריאותי הקשה של רעייתו </w:t>
      </w:r>
      <w:r w:rsidRPr="000F2D31">
        <w:rPr>
          <w:rFonts w:cs="FrankRuehl"/>
          <w:sz w:val="28"/>
          <w:szCs w:val="28"/>
          <w:rtl/>
        </w:rPr>
        <w:t xml:space="preserve">בריאותית </w:t>
      </w:r>
      <w:r>
        <w:rPr>
          <w:rFonts w:cs="FrankRuehl" w:hint="cs"/>
          <w:sz w:val="28"/>
          <w:szCs w:val="28"/>
          <w:rtl/>
        </w:rPr>
        <w:t>והנאשם</w:t>
      </w:r>
      <w:r w:rsidRPr="000F2D31">
        <w:rPr>
          <w:rFonts w:cs="FrankRuehl"/>
          <w:sz w:val="28"/>
          <w:szCs w:val="28"/>
          <w:rtl/>
        </w:rPr>
        <w:t xml:space="preserve"> עוזר ומסייע באופן מסור וכי הקנביס היה הדבר היחידי אשר עזר </w:t>
      </w:r>
      <w:r>
        <w:rPr>
          <w:rFonts w:cs="FrankRuehl" w:hint="cs"/>
          <w:sz w:val="28"/>
          <w:szCs w:val="28"/>
          <w:rtl/>
        </w:rPr>
        <w:t>לרעייתו</w:t>
      </w:r>
      <w:r w:rsidRPr="000F2D31">
        <w:rPr>
          <w:rFonts w:cs="FrankRuehl"/>
          <w:sz w:val="28"/>
          <w:szCs w:val="28"/>
          <w:rtl/>
        </w:rPr>
        <w:t xml:space="preserve"> להתמודד עם המחלה הקשה ממנה סובלת. האב מסר כי אכן הנאשם עשה טעות שגידל </w:t>
      </w:r>
      <w:r>
        <w:rPr>
          <w:rFonts w:cs="FrankRuehl" w:hint="cs"/>
          <w:sz w:val="28"/>
          <w:szCs w:val="28"/>
          <w:rtl/>
        </w:rPr>
        <w:t>סמים</w:t>
      </w:r>
      <w:r w:rsidRPr="000F2D31">
        <w:rPr>
          <w:rFonts w:cs="FrankRuehl"/>
          <w:sz w:val="28"/>
          <w:szCs w:val="28"/>
          <w:rtl/>
        </w:rPr>
        <w:t>, אך ב</w:t>
      </w:r>
      <w:r>
        <w:rPr>
          <w:rFonts w:cs="FrankRuehl" w:hint="cs"/>
          <w:sz w:val="28"/>
          <w:szCs w:val="28"/>
          <w:rtl/>
        </w:rPr>
        <w:t>י</w:t>
      </w:r>
      <w:r w:rsidRPr="000F2D31">
        <w:rPr>
          <w:rFonts w:cs="FrankRuehl"/>
          <w:sz w:val="28"/>
          <w:szCs w:val="28"/>
          <w:rtl/>
        </w:rPr>
        <w:t>קש להקל כ</w:t>
      </w:r>
      <w:r>
        <w:rPr>
          <w:rFonts w:cs="FrankRuehl" w:hint="cs"/>
          <w:sz w:val="28"/>
          <w:szCs w:val="28"/>
          <w:rtl/>
        </w:rPr>
        <w:t xml:space="preserve">כל שאפשר </w:t>
      </w:r>
      <w:r w:rsidRPr="000F2D31">
        <w:rPr>
          <w:rFonts w:cs="FrankRuehl"/>
          <w:sz w:val="28"/>
          <w:szCs w:val="28"/>
          <w:rtl/>
        </w:rPr>
        <w:t>בעונשו של בנו.</w:t>
      </w:r>
    </w:p>
    <w:p w14:paraId="75ABA4E1"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Pr>
      </w:pPr>
      <w:r w:rsidRPr="000F2D31">
        <w:rPr>
          <w:rFonts w:cs="FrankRuehl"/>
          <w:sz w:val="28"/>
          <w:szCs w:val="28"/>
          <w:rtl/>
        </w:rPr>
        <w:t>הנאשם בדברו האחרון אמר את הדברים הבאים: "לא יודע מאיפה להתחיל. אני אומר מה שעשיתי עשיתי, אני סה"כ רוצה לסיים את זה, עשיתי טעות, בזמן קורונה והסגר. אני מבקש רחמים".</w:t>
      </w:r>
    </w:p>
    <w:p w14:paraId="54E14DE3" w14:textId="77777777" w:rsidR="00DC18F8" w:rsidRPr="000F2D31" w:rsidRDefault="00DC18F8" w:rsidP="00DC18F8">
      <w:pPr>
        <w:tabs>
          <w:tab w:val="left" w:pos="-58"/>
        </w:tabs>
        <w:spacing w:before="100" w:beforeAutospacing="1" w:after="120" w:line="360" w:lineRule="auto"/>
        <w:ind w:left="-58"/>
        <w:jc w:val="both"/>
        <w:rPr>
          <w:rFonts w:ascii="Miriam" w:hAnsi="Miriam" w:cs="Miriam"/>
          <w:rtl/>
        </w:rPr>
      </w:pPr>
      <w:r w:rsidRPr="000F2D31">
        <w:rPr>
          <w:rFonts w:ascii="Miriam" w:hAnsi="Miriam" w:cs="Miriam" w:hint="eastAsia"/>
          <w:rtl/>
        </w:rPr>
        <w:t>דיון</w:t>
      </w:r>
      <w:r w:rsidRPr="000F2D31">
        <w:rPr>
          <w:rFonts w:ascii="Miriam" w:hAnsi="Miriam" w:cs="Miriam"/>
          <w:rtl/>
        </w:rPr>
        <w:t xml:space="preserve"> </w:t>
      </w:r>
      <w:r w:rsidRPr="000F2D31">
        <w:rPr>
          <w:rFonts w:ascii="Miriam" w:hAnsi="Miriam" w:cs="Miriam" w:hint="eastAsia"/>
          <w:rtl/>
        </w:rPr>
        <w:t>והכרעה</w:t>
      </w:r>
    </w:p>
    <w:p w14:paraId="6275EAEF" w14:textId="77777777" w:rsidR="00DC18F8" w:rsidRPr="000F2D31" w:rsidRDefault="00DC18F8" w:rsidP="00DC18F8">
      <w:pPr>
        <w:tabs>
          <w:tab w:val="left" w:pos="-58"/>
        </w:tabs>
        <w:spacing w:before="100" w:beforeAutospacing="1" w:after="120" w:line="360" w:lineRule="auto"/>
        <w:ind w:left="-58"/>
        <w:jc w:val="both"/>
        <w:rPr>
          <w:rFonts w:ascii="Miriam" w:hAnsi="Miriam" w:cs="Miriam"/>
          <w:rtl/>
        </w:rPr>
      </w:pPr>
      <w:r w:rsidRPr="000F2D31">
        <w:rPr>
          <w:rFonts w:ascii="Miriam" w:hAnsi="Miriam" w:cs="Miriam" w:hint="eastAsia"/>
          <w:rtl/>
        </w:rPr>
        <w:t>מתחם</w:t>
      </w:r>
      <w:r w:rsidRPr="000F2D31">
        <w:rPr>
          <w:rFonts w:ascii="Miriam" w:hAnsi="Miriam" w:cs="Miriam"/>
          <w:rtl/>
        </w:rPr>
        <w:t xml:space="preserve"> </w:t>
      </w:r>
      <w:r w:rsidRPr="000F2D31">
        <w:rPr>
          <w:rFonts w:ascii="Miriam" w:hAnsi="Miriam" w:cs="Miriam" w:hint="eastAsia"/>
          <w:rtl/>
        </w:rPr>
        <w:t>העונש</w:t>
      </w:r>
      <w:r w:rsidRPr="000F2D31">
        <w:rPr>
          <w:rFonts w:ascii="Miriam" w:hAnsi="Miriam" w:cs="Miriam"/>
          <w:rtl/>
        </w:rPr>
        <w:t xml:space="preserve"> </w:t>
      </w:r>
      <w:r w:rsidRPr="000F2D31">
        <w:rPr>
          <w:rFonts w:ascii="Miriam" w:hAnsi="Miriam" w:cs="Miriam" w:hint="eastAsia"/>
          <w:rtl/>
        </w:rPr>
        <w:t>ההולם</w:t>
      </w:r>
    </w:p>
    <w:p w14:paraId="60C2BB1F"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 w:val="28"/>
          <w:szCs w:val="28"/>
          <w:rtl/>
        </w:rPr>
      </w:pPr>
      <w:r w:rsidRPr="000F2D31">
        <w:rPr>
          <w:rFonts w:cs="FrankRuehl"/>
          <w:szCs w:val="28"/>
          <w:rtl/>
        </w:rPr>
        <w:t xml:space="preserve">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אין מחלוקת כי העבירות בהן הורשע הנאשם מחייבות הטלת מאסר בפועל, אלא שהצדדים חלוקים על גבולותיו של מתחם העונש ההולם.   </w:t>
      </w:r>
      <w:r w:rsidRPr="000F2D31">
        <w:rPr>
          <w:rFonts w:cs="FrankRuehl"/>
          <w:sz w:val="28"/>
          <w:szCs w:val="28"/>
          <w:rtl/>
        </w:rPr>
        <w:t xml:space="preserve"> </w:t>
      </w:r>
    </w:p>
    <w:p w14:paraId="29918E79"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 xml:space="preserve">הערכים החברתיים שנפגעו מביצוע העבירה הם הגנה על בריאות הציבור מפני הנזקים הישירים שנגרמים לגופם של הצרכנים הפוטנציאליים עקב השימוש בסמים והנזקים העקיפים שנגרמים כתוצאה מביצוע עבירות הנלוות לצריכת הסם בהיותן מחולל פשיעה.  </w:t>
      </w:r>
    </w:p>
    <w:p w14:paraId="5013753F" w14:textId="77777777" w:rsidR="00DC18F8" w:rsidRPr="000F2D31" w:rsidRDefault="00DC18F8" w:rsidP="00DC18F8">
      <w:pPr>
        <w:tabs>
          <w:tab w:val="left" w:pos="-58"/>
        </w:tabs>
        <w:spacing w:before="100" w:beforeAutospacing="1" w:after="120" w:line="360" w:lineRule="auto"/>
        <w:ind w:left="-58"/>
        <w:jc w:val="both"/>
        <w:rPr>
          <w:rFonts w:cs="FrankRuehl"/>
          <w:szCs w:val="28"/>
          <w:rtl/>
        </w:rPr>
      </w:pPr>
      <w:r w:rsidRPr="000F2D31">
        <w:rPr>
          <w:rFonts w:cs="FrankRuehl"/>
          <w:szCs w:val="28"/>
          <w:rtl/>
        </w:rPr>
        <w:tab/>
      </w:r>
      <w:r w:rsidRPr="000F2D31">
        <w:rPr>
          <w:rFonts w:cs="FrankRuehl"/>
          <w:szCs w:val="28"/>
          <w:rtl/>
        </w:rPr>
        <w:tab/>
        <w:t xml:space="preserve">ריבוי המקרים של הקמת מעבדות לגידול סמים הפך בעת האחרונה לתופעה נפוצה ומסוכנת. מדובר בחוליה הראשונה והעיקרית בשרשרת הפצת הסם, כאשר הכנסת כמות סם חדשה מגדילה את מצאי הסמים וכן, בסופו של דבר, את היקף השימוש בסמים ולהרחבת הנזקים הכרוכים בכך. על כן נקבע לא אחת כי על בית המשפט להרים תרומה במלחמה בנגע הסמים בנקיטת יד קשה כלפי מבצעי עבירות אלו. </w:t>
      </w:r>
    </w:p>
    <w:p w14:paraId="1585E20F" w14:textId="77777777" w:rsidR="00DC18F8" w:rsidRPr="000F2D31" w:rsidRDefault="00DC18F8" w:rsidP="00DC18F8">
      <w:pPr>
        <w:tabs>
          <w:tab w:val="left" w:pos="-58"/>
        </w:tabs>
        <w:spacing w:before="100" w:beforeAutospacing="1" w:after="120" w:line="360" w:lineRule="auto"/>
        <w:ind w:left="-58"/>
        <w:jc w:val="both"/>
        <w:rPr>
          <w:rFonts w:cs="FrankRuehl"/>
          <w:szCs w:val="28"/>
          <w:rtl/>
        </w:rPr>
      </w:pPr>
      <w:r w:rsidRPr="000F2D31">
        <w:rPr>
          <w:rFonts w:cs="FrankRuehl"/>
          <w:szCs w:val="28"/>
          <w:rtl/>
        </w:rPr>
        <w:tab/>
      </w:r>
      <w:r w:rsidRPr="000F2D31">
        <w:rPr>
          <w:rFonts w:cs="FrankRuehl"/>
          <w:szCs w:val="28"/>
          <w:rtl/>
        </w:rPr>
        <w:tab/>
        <w:t>במקרה דנן מדובר בסם מסוג קנבוס, אשר חומרתו פחותה בהשוואה לסוגי סמים אחרים ובהקשר לכך אפנה ל</w:t>
      </w:r>
      <w:hyperlink r:id="rId22" w:history="1">
        <w:r w:rsidR="00BC0350" w:rsidRPr="00BC0350">
          <w:rPr>
            <w:rFonts w:cs="FrankRuehl"/>
            <w:color w:val="0000FF"/>
            <w:szCs w:val="28"/>
            <w:u w:val="single"/>
            <w:rtl/>
          </w:rPr>
          <w:t>בש"פ 8640/20</w:t>
        </w:r>
      </w:hyperlink>
      <w:r w:rsidRPr="000F2D31">
        <w:rPr>
          <w:rFonts w:cs="FrankRuehl"/>
          <w:szCs w:val="28"/>
          <w:rtl/>
        </w:rPr>
        <w:t xml:space="preserve"> </w:t>
      </w:r>
      <w:r w:rsidRPr="000F2D31">
        <w:rPr>
          <w:rFonts w:cs="Miriam"/>
          <w:sz w:val="22"/>
          <w:rtl/>
        </w:rPr>
        <w:t>אבו קרינאת נ' מדינת ישראל</w:t>
      </w:r>
      <w:r w:rsidRPr="000F2D31">
        <w:rPr>
          <w:rFonts w:cs="FrankRuehl"/>
          <w:sz w:val="22"/>
          <w:rtl/>
        </w:rPr>
        <w:t xml:space="preserve"> </w:t>
      </w:r>
      <w:r w:rsidRPr="000F2D31">
        <w:rPr>
          <w:rFonts w:cs="FrankRuehl"/>
          <w:szCs w:val="28"/>
          <w:rtl/>
        </w:rPr>
        <w:t>(23.12.2020) ו</w:t>
      </w:r>
      <w:hyperlink r:id="rId23" w:history="1">
        <w:r w:rsidR="00BC0350" w:rsidRPr="00BC0350">
          <w:rPr>
            <w:rFonts w:cs="FrankRuehl"/>
            <w:color w:val="0000FF"/>
            <w:szCs w:val="28"/>
            <w:u w:val="single"/>
            <w:rtl/>
          </w:rPr>
          <w:t>בש"פ 3812/21</w:t>
        </w:r>
      </w:hyperlink>
      <w:r w:rsidRPr="000F2D31">
        <w:rPr>
          <w:rFonts w:cs="FrankRuehl"/>
          <w:szCs w:val="28"/>
          <w:rtl/>
        </w:rPr>
        <w:t xml:space="preserve"> </w:t>
      </w:r>
      <w:r w:rsidRPr="000F2D31">
        <w:rPr>
          <w:rFonts w:cs="Miriam"/>
          <w:sz w:val="22"/>
          <w:rtl/>
        </w:rPr>
        <w:t>תייסיר מוקלד נ' מדינת ישראל</w:t>
      </w:r>
      <w:r w:rsidRPr="000F2D31">
        <w:rPr>
          <w:rFonts w:cs="FrankRuehl"/>
          <w:szCs w:val="28"/>
          <w:rtl/>
        </w:rPr>
        <w:t xml:space="preserve"> (15.6.2021), </w:t>
      </w:r>
      <w:hyperlink r:id="rId24" w:history="1">
        <w:r w:rsidR="00BC0350" w:rsidRPr="00BC0350">
          <w:rPr>
            <w:rFonts w:cs="FrankRuehl"/>
            <w:color w:val="0000FF"/>
            <w:szCs w:val="28"/>
            <w:u w:val="single"/>
            <w:rtl/>
          </w:rPr>
          <w:t>ת.פ (מחוזי מרכז) 4435-07-19</w:t>
        </w:r>
      </w:hyperlink>
      <w:r w:rsidRPr="000F2D31">
        <w:rPr>
          <w:rFonts w:cs="FrankRuehl"/>
          <w:szCs w:val="28"/>
          <w:rtl/>
        </w:rPr>
        <w:t xml:space="preserve"> </w:t>
      </w:r>
      <w:r w:rsidRPr="000F2D31">
        <w:rPr>
          <w:rFonts w:cs="Miriam"/>
          <w:sz w:val="22"/>
          <w:rtl/>
        </w:rPr>
        <w:t>מדינת</w:t>
      </w:r>
      <w:r w:rsidRPr="000F2D31">
        <w:rPr>
          <w:rFonts w:cs="FrankRuehl"/>
          <w:szCs w:val="28"/>
          <w:rtl/>
        </w:rPr>
        <w:t xml:space="preserve"> </w:t>
      </w:r>
      <w:r w:rsidRPr="000F2D31">
        <w:rPr>
          <w:rFonts w:cs="Miriam"/>
          <w:sz w:val="22"/>
          <w:rtl/>
        </w:rPr>
        <w:t>ישראל נ' אליהו</w:t>
      </w:r>
      <w:r w:rsidRPr="000F2D31">
        <w:rPr>
          <w:rFonts w:cs="FrankRuehl"/>
          <w:szCs w:val="28"/>
          <w:rtl/>
        </w:rPr>
        <w:t>. עם זאת, חשוב שייאמר באופן חד וברור כי מדיניות האכיפה והענישה המקלה אשר ננקטת בשנים אחרונות כלפי המשתמשים בסמים מסוג קנבוס, אינה חלה על מי שמגדל לשם הפצה או סוחר בסמים מסוג זה. מדיניות הענישה הנוהגת כלפי העוסקים בשלבי הייצור או ההספקה של הסמים, נותרה ועודנה ממשית ומרתיעה. בהקשר לכך אפנה ל</w:t>
      </w:r>
      <w:hyperlink r:id="rId25" w:history="1">
        <w:r w:rsidR="00BC0350" w:rsidRPr="00BC0350">
          <w:rPr>
            <w:rFonts w:cs="FrankRuehl"/>
            <w:color w:val="0000FF"/>
            <w:szCs w:val="28"/>
            <w:u w:val="single"/>
            <w:rtl/>
          </w:rPr>
          <w:t>ע"פ 2596/18</w:t>
        </w:r>
      </w:hyperlink>
      <w:r w:rsidRPr="000F2D31">
        <w:rPr>
          <w:rFonts w:cs="FrankRuehl"/>
          <w:szCs w:val="28"/>
          <w:rtl/>
        </w:rPr>
        <w:t xml:space="preserve"> </w:t>
      </w:r>
      <w:r w:rsidRPr="000F2D31">
        <w:rPr>
          <w:rFonts w:cs="Miriam"/>
          <w:sz w:val="22"/>
          <w:rtl/>
        </w:rPr>
        <w:t>זנזורי</w:t>
      </w:r>
      <w:r w:rsidRPr="000F2D31">
        <w:rPr>
          <w:rFonts w:cs="FrankRuehl"/>
          <w:szCs w:val="28"/>
          <w:rtl/>
        </w:rPr>
        <w:t xml:space="preserve"> </w:t>
      </w:r>
      <w:r w:rsidRPr="000F2D31">
        <w:rPr>
          <w:rFonts w:cs="Miriam"/>
          <w:sz w:val="22"/>
          <w:rtl/>
        </w:rPr>
        <w:t>נ' מדינת ישראל</w:t>
      </w:r>
      <w:r w:rsidRPr="000F2D31">
        <w:rPr>
          <w:rFonts w:cs="FrankRuehl"/>
          <w:szCs w:val="28"/>
          <w:rtl/>
        </w:rPr>
        <w:t xml:space="preserve"> (12.8.2018); </w:t>
      </w:r>
      <w:hyperlink r:id="rId26" w:history="1">
        <w:r w:rsidR="00BC0350" w:rsidRPr="00BC0350">
          <w:rPr>
            <w:rFonts w:cs="FrankRuehl"/>
            <w:color w:val="0000FF"/>
            <w:szCs w:val="28"/>
            <w:u w:val="single"/>
            <w:rtl/>
          </w:rPr>
          <w:t>ע"פ 5807/17</w:t>
        </w:r>
      </w:hyperlink>
      <w:r w:rsidRPr="000F2D31">
        <w:rPr>
          <w:rFonts w:cs="FrankRuehl"/>
          <w:szCs w:val="28"/>
          <w:rtl/>
        </w:rPr>
        <w:t xml:space="preserve"> </w:t>
      </w:r>
      <w:r w:rsidRPr="000F2D31">
        <w:rPr>
          <w:rFonts w:cs="Miriam"/>
          <w:sz w:val="22"/>
          <w:rtl/>
        </w:rPr>
        <w:t>דרחי נ' מדינת ישראל</w:t>
      </w:r>
      <w:r w:rsidRPr="000F2D31">
        <w:rPr>
          <w:rFonts w:cs="FrankRuehl"/>
          <w:szCs w:val="28"/>
          <w:rtl/>
        </w:rPr>
        <w:t xml:space="preserve"> (18.6.2018); </w:t>
      </w:r>
      <w:hyperlink r:id="rId27" w:history="1">
        <w:r w:rsidR="00BC0350" w:rsidRPr="00BC0350">
          <w:rPr>
            <w:rFonts w:cs="FrankRuehl"/>
            <w:color w:val="0000FF"/>
            <w:szCs w:val="28"/>
            <w:u w:val="single"/>
            <w:rtl/>
          </w:rPr>
          <w:t>רע"פ 174/21</w:t>
        </w:r>
      </w:hyperlink>
      <w:r w:rsidRPr="000F2D31">
        <w:rPr>
          <w:rFonts w:cs="FrankRuehl"/>
          <w:szCs w:val="28"/>
          <w:rtl/>
        </w:rPr>
        <w:t xml:space="preserve"> </w:t>
      </w:r>
      <w:r w:rsidRPr="000F2D31">
        <w:rPr>
          <w:rFonts w:cs="Miriam"/>
          <w:sz w:val="22"/>
          <w:rtl/>
        </w:rPr>
        <w:t>סויסה נ' מדינת ישראל</w:t>
      </w:r>
      <w:r w:rsidRPr="000F2D31">
        <w:rPr>
          <w:rFonts w:cs="FrankRuehl"/>
          <w:szCs w:val="28"/>
          <w:rtl/>
        </w:rPr>
        <w:t xml:space="preserve"> (25.2.2021) וכן </w:t>
      </w:r>
      <w:r w:rsidRPr="00BC0350">
        <w:rPr>
          <w:rFonts w:cs="FrankRuehl"/>
          <w:color w:val="000000"/>
          <w:szCs w:val="28"/>
          <w:rtl/>
        </w:rPr>
        <w:t>ל</w:t>
      </w:r>
      <w:hyperlink r:id="rId28" w:history="1">
        <w:r w:rsidR="00BC0350" w:rsidRPr="00BC0350">
          <w:rPr>
            <w:rFonts w:cs="FrankRuehl"/>
            <w:color w:val="0000FF"/>
            <w:szCs w:val="28"/>
            <w:u w:val="single"/>
            <w:rtl/>
          </w:rPr>
          <w:t>ע"פ 6299/20</w:t>
        </w:r>
      </w:hyperlink>
      <w:r w:rsidRPr="000F2D31">
        <w:rPr>
          <w:rFonts w:cs="FrankRuehl"/>
          <w:szCs w:val="28"/>
          <w:rtl/>
        </w:rPr>
        <w:t xml:space="preserve"> </w:t>
      </w:r>
      <w:r w:rsidRPr="000F2D31">
        <w:rPr>
          <w:rFonts w:cs="Miriam"/>
          <w:sz w:val="22"/>
          <w:rtl/>
        </w:rPr>
        <w:t>חן נ' מדינת ישראל</w:t>
      </w:r>
      <w:r w:rsidRPr="000F2D31">
        <w:rPr>
          <w:rFonts w:cs="FrankRuehl"/>
          <w:szCs w:val="28"/>
          <w:rtl/>
        </w:rPr>
        <w:t xml:space="preserve"> (4.2.2021).</w:t>
      </w:r>
    </w:p>
    <w:p w14:paraId="4C3E09B4"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Miriam" w:hAnsi="Miriam" w:cs="Miriam"/>
        </w:rPr>
      </w:pPr>
      <w:r w:rsidRPr="000F2D31">
        <w:rPr>
          <w:rFonts w:cs="FrankRuehl"/>
          <w:sz w:val="28"/>
          <w:szCs w:val="28"/>
          <w:rtl/>
        </w:rPr>
        <w:t>על מדיניות הענישה הנוהגת אפשר ללמוד מפסקי הדין הבאים, אך יובהר כי חלק ניכר מפסקי הדין אשר יובאו להלן עוסק</w:t>
      </w:r>
      <w:r>
        <w:rPr>
          <w:rFonts w:cs="FrankRuehl"/>
          <w:sz w:val="28"/>
          <w:szCs w:val="28"/>
          <w:rtl/>
        </w:rPr>
        <w:t xml:space="preserve">ים במקרים חמורים בהרבה ממקרה </w:t>
      </w:r>
      <w:r>
        <w:rPr>
          <w:rFonts w:cs="FrankRuehl" w:hint="cs"/>
          <w:sz w:val="28"/>
          <w:szCs w:val="28"/>
          <w:rtl/>
        </w:rPr>
        <w:t>זה</w:t>
      </w:r>
      <w:r w:rsidRPr="000F2D31">
        <w:rPr>
          <w:rFonts w:cs="FrankRuehl"/>
          <w:sz w:val="28"/>
          <w:szCs w:val="28"/>
          <w:rtl/>
        </w:rPr>
        <w:t>, לרבות תיקי "מעבדות" שנוהלו על ידי מספר נאשמים, חלקם שכרו מבנה ייעודי להקמת המעבדה וחלקם נידונו בבית המשפט המחוזי בהיקף של בין 50 ל-100 קילו ואף למעלה מכך. העונש אשר הוט</w:t>
      </w:r>
      <w:r>
        <w:rPr>
          <w:rFonts w:cs="FrankRuehl"/>
          <w:sz w:val="28"/>
          <w:szCs w:val="28"/>
          <w:rtl/>
        </w:rPr>
        <w:t>ל בסופו של דבר תלוי ב</w:t>
      </w:r>
      <w:r>
        <w:rPr>
          <w:rFonts w:cs="FrankRuehl" w:hint="cs"/>
          <w:sz w:val="28"/>
          <w:szCs w:val="28"/>
          <w:rtl/>
        </w:rPr>
        <w:t xml:space="preserve">נסיבות המעשה והעושה. </w:t>
      </w:r>
      <w:r w:rsidRPr="000F2D31">
        <w:rPr>
          <w:rFonts w:cs="FrankRuehl"/>
          <w:sz w:val="28"/>
          <w:szCs w:val="28"/>
          <w:rtl/>
        </w:rPr>
        <w:t xml:space="preserve"> </w:t>
      </w:r>
    </w:p>
    <w:p w14:paraId="03071756" w14:textId="77777777" w:rsidR="00DC18F8" w:rsidRPr="000F2D31" w:rsidRDefault="00DC18F8" w:rsidP="00DC18F8">
      <w:pPr>
        <w:tabs>
          <w:tab w:val="left" w:pos="-58"/>
        </w:tabs>
        <w:spacing w:before="100" w:beforeAutospacing="1" w:after="120" w:line="360" w:lineRule="auto"/>
        <w:ind w:left="-58"/>
        <w:jc w:val="both"/>
        <w:rPr>
          <w:rFonts w:ascii="Miriam" w:hAnsi="Miriam" w:cs="Miriam"/>
        </w:rPr>
      </w:pPr>
      <w:r w:rsidRPr="000F2D31">
        <w:rPr>
          <w:rFonts w:cs="FrankRuehl"/>
          <w:sz w:val="28"/>
          <w:szCs w:val="28"/>
          <w:rtl/>
        </w:rPr>
        <w:tab/>
      </w:r>
      <w:r w:rsidRPr="000F2D31">
        <w:rPr>
          <w:rFonts w:cs="FrankRuehl"/>
          <w:sz w:val="28"/>
          <w:szCs w:val="28"/>
          <w:rtl/>
        </w:rPr>
        <w:tab/>
        <w:t xml:space="preserve">מכאן, בסקירת פסקי הדין אבקש לשים הדגש על היקף המעבדה, מקום הימצאותה וגודלה; היקף המשאבים שהושקעו במיזם העברייני לרבות ההשקעה הכספית שכללה התשתית שבהקמתה של המעבדה וברכישת אביזרים לתפעולה; מספר המבצעים השותפים בה; תקופת פעילותה של המעבדה; מספר השתילים שגודלו והשלב בו נמצאו; משקלם הסופי של השתילים וכמות הסם המוגמרת. בהתאמה לנתונים אלו יושם הדגש על מתחם הענישה שנקבע בפסיקה ובפרט על הרף התחתון של מתחם העונש </w:t>
      </w:r>
      <w:r>
        <w:rPr>
          <w:rFonts w:cs="FrankRuehl" w:hint="cs"/>
          <w:sz w:val="28"/>
          <w:szCs w:val="28"/>
          <w:rtl/>
        </w:rPr>
        <w:t>ההולם</w:t>
      </w:r>
      <w:r w:rsidRPr="000F2D31">
        <w:rPr>
          <w:rFonts w:cs="FrankRuehl"/>
          <w:sz w:val="28"/>
          <w:szCs w:val="28"/>
          <w:rtl/>
        </w:rPr>
        <w:t xml:space="preserve"> הכולל מאסר מאחורי סורג ובריח, ואלו ישמשו כנקודת מוצא לקביעת מתחם העונש ההולם בעניינו.    </w:t>
      </w:r>
    </w:p>
    <w:p w14:paraId="4216E2A8"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29" w:history="1">
        <w:r w:rsidRPr="00BC0350">
          <w:rPr>
            <w:rFonts w:cs="FrankRuehl"/>
            <w:color w:val="0000FF"/>
            <w:szCs w:val="28"/>
            <w:u w:val="single"/>
            <w:rtl/>
          </w:rPr>
          <w:t>ע"פ 3378/21</w:t>
        </w:r>
      </w:hyperlink>
      <w:r w:rsidR="00DC18F8" w:rsidRPr="000F2D31">
        <w:rPr>
          <w:rFonts w:cs="FrankRuehl"/>
          <w:szCs w:val="28"/>
          <w:rtl/>
        </w:rPr>
        <w:t xml:space="preserve"> </w:t>
      </w:r>
      <w:r w:rsidR="00DC18F8" w:rsidRPr="000F2D31">
        <w:rPr>
          <w:rFonts w:cs="Miriam"/>
          <w:rtl/>
        </w:rPr>
        <w:t>דוד אליהו נ' מדינת ישראל</w:t>
      </w:r>
      <w:r w:rsidR="00DC18F8" w:rsidRPr="000F2D31">
        <w:rPr>
          <w:rFonts w:cs="FrankRuehl"/>
          <w:szCs w:val="28"/>
          <w:rtl/>
        </w:rPr>
        <w:t xml:space="preserve"> (5.07.2021) – הנאשם הורשע בהתאם להודאתו בכתב אישום המייחס לו ייצור והכנת סם וכן נטילת חשמל במרמה. </w:t>
      </w:r>
      <w:r w:rsidR="00DC18F8" w:rsidRPr="000F2D31">
        <w:rPr>
          <w:rFonts w:cs="Miriam"/>
          <w:rtl/>
        </w:rPr>
        <w:t>הנאשם ביחד עם אחר שכר בית תמורת תשלום חודשי בסך 11,000 ₪</w:t>
      </w:r>
      <w:r w:rsidR="00DC18F8" w:rsidRPr="000F2D31">
        <w:rPr>
          <w:rFonts w:cs="FrankRuehl"/>
          <w:szCs w:val="28"/>
          <w:rtl/>
        </w:rPr>
        <w:t xml:space="preserve"> והקים מעבדה לגידול סם מסוג קאנביס לשם כך צייד את המעבדה בציוד רב ויקר ערך. במעבדה נתפסו מספר רב של שתילים במשקל כולל של </w:t>
      </w:r>
      <w:r w:rsidR="00DC18F8" w:rsidRPr="000F2D31">
        <w:rPr>
          <w:rFonts w:cs="Miriam"/>
          <w:rtl/>
        </w:rPr>
        <w:t>54 ק"ג</w:t>
      </w:r>
      <w:r w:rsidR="00DC18F8" w:rsidRPr="000F2D31">
        <w:rPr>
          <w:rFonts w:cs="FrankRuehl"/>
          <w:szCs w:val="28"/>
          <w:rtl/>
        </w:rPr>
        <w:t xml:space="preserve">. כן נטל הנאשם חשמל במרמה בשווי 36,818 ₪. בית המשפט המחוזי, השופט הנכבד ד"ר עמי קובו קבע כי </w:t>
      </w:r>
      <w:r w:rsidR="00DC18F8" w:rsidRPr="000F2D31">
        <w:rPr>
          <w:rFonts w:cs="Miriam"/>
          <w:rtl/>
        </w:rPr>
        <w:t>מתחם העונש ההולם נע בין 36-14 חודשי מאסר בפועל</w:t>
      </w:r>
      <w:r w:rsidR="00DC18F8" w:rsidRPr="000F2D31">
        <w:rPr>
          <w:rFonts w:cs="FrankRuehl"/>
          <w:szCs w:val="28"/>
          <w:rtl/>
        </w:rPr>
        <w:t xml:space="preserve"> לצד רכיבי ענישה נוספים. בית המשפט מצא לסטות ממתחם העונש ההולם משיקולי שיקום וגזר על הנאשם 10 חודשי מאסר לריצוי בפועל לצד רכיבי ענישה נוספים. ערעור לבית המשפט העליון על חומרת העונש התקבל, בהסכמת המדינה ולנוכח הליך שיקומי הועמד עונשו של המערער על 9 חודשי מאסר לריצוי בעבודות שירות, יתר רכיבי הענישה ללא שינוי.</w:t>
      </w:r>
    </w:p>
    <w:p w14:paraId="03022B84"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0" w:history="1">
        <w:r w:rsidRPr="00BC0350">
          <w:rPr>
            <w:rFonts w:cs="FrankRuehl"/>
            <w:color w:val="0000FF"/>
            <w:szCs w:val="28"/>
            <w:u w:val="single"/>
            <w:rtl/>
          </w:rPr>
          <w:t>ע"פ 4285/17</w:t>
        </w:r>
      </w:hyperlink>
      <w:r w:rsidR="00DC18F8" w:rsidRPr="000F2D31">
        <w:rPr>
          <w:rFonts w:cs="FrankRuehl"/>
          <w:szCs w:val="28"/>
          <w:rtl/>
        </w:rPr>
        <w:t xml:space="preserve"> </w:t>
      </w:r>
      <w:r w:rsidR="00DC18F8" w:rsidRPr="000F2D31">
        <w:rPr>
          <w:rFonts w:cs="Miriam"/>
          <w:rtl/>
        </w:rPr>
        <w:t>יצחקי נ' מדינת ישראל</w:t>
      </w:r>
      <w:r w:rsidR="00DC18F8" w:rsidRPr="000F2D31">
        <w:rPr>
          <w:rFonts w:cs="FrankRuehl"/>
          <w:szCs w:val="28"/>
          <w:rtl/>
        </w:rPr>
        <w:t xml:space="preserve"> (8.7.2018) – הנאשמת נעדרת עבר פלילי הורשעה בהתאם להודאתה בעבירות של גידול סמים כאשר ביחד עם אחר הצטיידה בציוד יקר ערך לצורך תפעולה של מעבדה לגידול קנבוס ובמשך כשלושה חודשים הפיקה </w:t>
      </w:r>
      <w:r w:rsidR="00DC18F8" w:rsidRPr="000F2D31">
        <w:rPr>
          <w:rFonts w:cs="Miriam"/>
          <w:rtl/>
        </w:rPr>
        <w:t xml:space="preserve">וגידלה כ 1,000 עציצים במשקל כולל של כ 100 ק"ג וכן נתפס קנביס במשקל של 9.1 ק"ג. </w:t>
      </w:r>
      <w:r w:rsidR="00DC18F8" w:rsidRPr="000F2D31">
        <w:rPr>
          <w:rFonts w:cs="FrankRuehl"/>
          <w:szCs w:val="28"/>
          <w:rtl/>
        </w:rPr>
        <w:t xml:space="preserve">בית-המשפט המחוזי מרכז קבע מתחם עונש הולם הנע </w:t>
      </w:r>
      <w:r w:rsidR="00DC18F8" w:rsidRPr="000F2D31">
        <w:rPr>
          <w:rFonts w:cs="Miriam"/>
          <w:rtl/>
        </w:rPr>
        <w:t>בין 48-24 חודשי מאסר</w:t>
      </w:r>
      <w:r w:rsidR="00DC18F8" w:rsidRPr="000F2D31">
        <w:rPr>
          <w:rFonts w:cs="FrankRuehl"/>
          <w:szCs w:val="28"/>
          <w:rtl/>
        </w:rPr>
        <w:t xml:space="preserve"> בפועל ומצא לסטות ממתחם העונש מטעמי שיקום והשית על הנאשמת עונש מאסר בן 12 חודשים. ערעור על חומרת העונש התקבל ועונשה של הנאשם הועמד על שישה חודשי מאסר לריצוי בדרך של עבודות שירות, יתר רכיבי הענישה ללא שינוי.  </w:t>
      </w:r>
    </w:p>
    <w:p w14:paraId="054C2154"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1" w:history="1">
        <w:r w:rsidRPr="00BC0350">
          <w:rPr>
            <w:rFonts w:cs="FrankRuehl"/>
            <w:color w:val="0000FF"/>
            <w:szCs w:val="28"/>
            <w:u w:val="single"/>
            <w:rtl/>
          </w:rPr>
          <w:t>רע"פ 174/21</w:t>
        </w:r>
      </w:hyperlink>
      <w:r w:rsidR="00DC18F8" w:rsidRPr="000F2D31">
        <w:rPr>
          <w:rFonts w:cs="FrankRuehl"/>
          <w:szCs w:val="28"/>
          <w:rtl/>
        </w:rPr>
        <w:t xml:space="preserve"> </w:t>
      </w:r>
      <w:r w:rsidR="00DC18F8" w:rsidRPr="000F2D31">
        <w:rPr>
          <w:rFonts w:cs="Miriam"/>
          <w:rtl/>
        </w:rPr>
        <w:t>סויסה נ' מדינת ישראל</w:t>
      </w:r>
      <w:r w:rsidR="00DC18F8" w:rsidRPr="000F2D31">
        <w:rPr>
          <w:rFonts w:cs="FrankRuehl"/>
          <w:szCs w:val="28"/>
          <w:rtl/>
        </w:rPr>
        <w:t xml:space="preserve"> (25.2.2021) – הנאשם בעל עבר פלילי בין היתר בעבירות סמים הורשע בעבירת ייצור סם והחזקת סם שלא לצריכה עצמית. </w:t>
      </w:r>
      <w:r w:rsidR="00DC18F8" w:rsidRPr="000F2D31">
        <w:rPr>
          <w:rFonts w:cs="Miriam"/>
          <w:rtl/>
        </w:rPr>
        <w:t>הנאשם שכר מבנה ייעודי</w:t>
      </w:r>
      <w:r w:rsidR="00DC18F8" w:rsidRPr="000F2D31">
        <w:rPr>
          <w:rFonts w:cs="FrankRuehl"/>
          <w:szCs w:val="28"/>
          <w:rtl/>
        </w:rPr>
        <w:t xml:space="preserve"> </w:t>
      </w:r>
      <w:r w:rsidR="00DC18F8" w:rsidRPr="000F2D31">
        <w:rPr>
          <w:rFonts w:cs="Miriam"/>
          <w:rtl/>
        </w:rPr>
        <w:t>תמורת תשלום חודשי שנאמד באלפי שקלים לחודש והקים מעבדה וגידל בה</w:t>
      </w:r>
      <w:r w:rsidR="00DC18F8" w:rsidRPr="000F2D31">
        <w:rPr>
          <w:rFonts w:cs="FrankRuehl"/>
          <w:szCs w:val="28"/>
          <w:rtl/>
        </w:rPr>
        <w:t xml:space="preserve"> </w:t>
      </w:r>
      <w:r w:rsidR="00DC18F8" w:rsidRPr="000F2D31">
        <w:rPr>
          <w:rFonts w:cs="Miriam"/>
          <w:rtl/>
        </w:rPr>
        <w:t>מאות שתילים</w:t>
      </w:r>
      <w:r w:rsidR="00DC18F8" w:rsidRPr="000F2D31">
        <w:rPr>
          <w:rFonts w:cs="FrankRuehl"/>
          <w:szCs w:val="28"/>
          <w:rtl/>
        </w:rPr>
        <w:t xml:space="preserve"> של סם מסוג קנאביס במשקל של </w:t>
      </w:r>
      <w:r w:rsidR="00DC18F8" w:rsidRPr="000F2D31">
        <w:rPr>
          <w:rFonts w:cs="Miriam"/>
          <w:rtl/>
        </w:rPr>
        <w:t>כ-38 ק"ג. הסמים נתפסו מחולקים ל 420 מיכלים. בית משפט השלום קבע</w:t>
      </w:r>
      <w:r w:rsidR="00DC18F8" w:rsidRPr="000F2D31">
        <w:rPr>
          <w:rFonts w:cs="FrankRuehl"/>
          <w:szCs w:val="28"/>
          <w:rtl/>
        </w:rPr>
        <w:t xml:space="preserve"> מ</w:t>
      </w:r>
      <w:r w:rsidR="00DC18F8" w:rsidRPr="000F2D31">
        <w:rPr>
          <w:rFonts w:cs="Miriam"/>
          <w:rtl/>
        </w:rPr>
        <w:t xml:space="preserve">תחם עונש שבין 10 ל-28 חודשי מאסר, </w:t>
      </w:r>
      <w:r w:rsidR="00DC18F8" w:rsidRPr="000F2D31">
        <w:rPr>
          <w:rFonts w:cs="FrankRuehl"/>
          <w:szCs w:val="28"/>
          <w:rtl/>
        </w:rPr>
        <w:t xml:space="preserve">חרג מהמתחם, והשית על הנאשם 9 חודשי עבודות שירות. </w:t>
      </w:r>
      <w:r w:rsidR="00DC18F8" w:rsidRPr="000F2D31">
        <w:rPr>
          <w:rFonts w:cs="Miriam"/>
          <w:rtl/>
        </w:rPr>
        <w:t>בית המשפט המחוזי קבע כי מתחם עונש נע בין 15 ל-30 חודשי</w:t>
      </w:r>
      <w:r w:rsidR="00DC18F8" w:rsidRPr="000F2D31">
        <w:rPr>
          <w:rFonts w:cs="FrankRuehl"/>
          <w:szCs w:val="28"/>
          <w:rtl/>
        </w:rPr>
        <w:t xml:space="preserve"> מאסר בפועל, והעמיד את עונשו של הנאשם, משיקולי שיקום, על 12 חודשי מאסר בפועל לצד רכיבי ענישה נוספים. בקשת רשות ערעור נדחתה. יוער כי פסק הדין הוצג על ידי המאשימה על אף עתירתה לקביעת מתחם עונש מחמיר בהרבה מזה שנקבע כאן.  </w:t>
      </w:r>
    </w:p>
    <w:p w14:paraId="54A733BC"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2" w:history="1">
        <w:r w:rsidRPr="00BC0350">
          <w:rPr>
            <w:rFonts w:cs="FrankRuehl"/>
            <w:color w:val="0000FF"/>
            <w:szCs w:val="28"/>
            <w:u w:val="single"/>
            <w:rtl/>
          </w:rPr>
          <w:t>רע"פ 6041/18</w:t>
        </w:r>
      </w:hyperlink>
      <w:r w:rsidR="00DC18F8" w:rsidRPr="000F2D31">
        <w:rPr>
          <w:rFonts w:cs="FrankRuehl"/>
          <w:szCs w:val="28"/>
          <w:rtl/>
        </w:rPr>
        <w:t xml:space="preserve"> </w:t>
      </w:r>
      <w:r w:rsidR="00DC18F8" w:rsidRPr="000F2D31">
        <w:rPr>
          <w:rFonts w:cs="Miriam"/>
          <w:rtl/>
        </w:rPr>
        <w:t>כהן נ' מדינת ישראל</w:t>
      </w:r>
      <w:r w:rsidR="00DC18F8" w:rsidRPr="000F2D31">
        <w:rPr>
          <w:rFonts w:cs="FrankRuehl"/>
          <w:szCs w:val="28"/>
          <w:rtl/>
        </w:rPr>
        <w:t xml:space="preserve"> (2.10.2018) – הנאשם ללא עבר פלילי הורשע על פי הודאתו בעבירות של ייצור והפקת סם בתקופה של </w:t>
      </w:r>
      <w:r w:rsidR="00DC18F8" w:rsidRPr="000F2D31">
        <w:rPr>
          <w:rFonts w:cs="Miriam"/>
          <w:rtl/>
        </w:rPr>
        <w:t>כ-5 חודשים</w:t>
      </w:r>
      <w:r w:rsidR="00DC18F8" w:rsidRPr="000F2D31">
        <w:rPr>
          <w:rFonts w:cs="FrankRuehl"/>
          <w:szCs w:val="28"/>
          <w:rtl/>
        </w:rPr>
        <w:t xml:space="preserve">, </w:t>
      </w:r>
      <w:r w:rsidR="00DC18F8" w:rsidRPr="000F2D31">
        <w:rPr>
          <w:rFonts w:cs="Miriam"/>
          <w:rtl/>
        </w:rPr>
        <w:t>וגניבת חשמל שנאמדה ב 40,000 ש"ח.</w:t>
      </w:r>
      <w:r w:rsidR="00DC18F8" w:rsidRPr="000F2D31">
        <w:rPr>
          <w:rFonts w:cs="FrankRuehl"/>
          <w:szCs w:val="28"/>
          <w:rtl/>
        </w:rPr>
        <w:t xml:space="preserve"> הנאשם </w:t>
      </w:r>
      <w:r w:rsidR="00DC18F8" w:rsidRPr="000F2D31">
        <w:rPr>
          <w:rFonts w:cs="Miriam"/>
          <w:rtl/>
        </w:rPr>
        <w:t>שכר דירת גג בת 5 חדרים</w:t>
      </w:r>
      <w:r w:rsidR="00DC18F8" w:rsidRPr="000F2D31">
        <w:rPr>
          <w:rFonts w:cs="FrankRuehl"/>
          <w:szCs w:val="28"/>
          <w:rtl/>
        </w:rPr>
        <w:t xml:space="preserve"> לצורך המעבדה הקים וניהל מעבדה לגידול סם מסוג קנאביס והצטייד לשם כך </w:t>
      </w:r>
      <w:r w:rsidR="00DC18F8" w:rsidRPr="000F2D31">
        <w:rPr>
          <w:rFonts w:cs="Miriam"/>
          <w:rtl/>
        </w:rPr>
        <w:t>בציוד ששוויו כ-50,000 ש"ח</w:t>
      </w:r>
      <w:r w:rsidR="00DC18F8" w:rsidRPr="000F2D31">
        <w:rPr>
          <w:rFonts w:cs="FrankRuehl"/>
          <w:szCs w:val="28"/>
          <w:rtl/>
        </w:rPr>
        <w:t xml:space="preserve"> וביצע שינויים במערכת החשמל. במעבדה נתפסו סמים מסוג קנאביס </w:t>
      </w:r>
      <w:r w:rsidR="00DC18F8" w:rsidRPr="000F2D31">
        <w:rPr>
          <w:rFonts w:cs="Miriam"/>
          <w:rtl/>
        </w:rPr>
        <w:t>במשקל של כ-40 ק"ג בתוצר הסופי</w:t>
      </w:r>
      <w:r w:rsidR="00DC18F8" w:rsidRPr="000F2D31">
        <w:rPr>
          <w:rFonts w:cs="FrankRuehl"/>
          <w:szCs w:val="28"/>
          <w:rtl/>
        </w:rPr>
        <w:t xml:space="preserve"> (לא צמחים או שתילים). בית המשפט קבע מתחם עונש הנע </w:t>
      </w:r>
      <w:r w:rsidR="00DC18F8" w:rsidRPr="000F2D31">
        <w:rPr>
          <w:rFonts w:cs="Miriam"/>
          <w:rtl/>
        </w:rPr>
        <w:t>בין 18 ל-36 חודשי מאסר בפועל</w:t>
      </w:r>
      <w:r w:rsidR="00DC18F8" w:rsidRPr="000F2D31">
        <w:rPr>
          <w:rFonts w:cs="FrankRuehl"/>
          <w:szCs w:val="28"/>
          <w:rtl/>
        </w:rPr>
        <w:t xml:space="preserve">. הנאשם נידון לעונש של 20 חודשי מאסר בפועל לצד רכיבי ענישה נוספים. בקשת רשות ערעור נדחתה. </w:t>
      </w:r>
    </w:p>
    <w:p w14:paraId="2D78A82D"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3" w:history="1">
        <w:r w:rsidRPr="00BC0350">
          <w:rPr>
            <w:rFonts w:cs="FrankRuehl"/>
            <w:color w:val="0000FF"/>
            <w:szCs w:val="28"/>
            <w:u w:val="single"/>
            <w:rtl/>
          </w:rPr>
          <w:t>רע"פ 8095/17</w:t>
        </w:r>
      </w:hyperlink>
      <w:r w:rsidR="00DC18F8" w:rsidRPr="000F2D31">
        <w:rPr>
          <w:rFonts w:cs="FrankRuehl"/>
          <w:szCs w:val="28"/>
          <w:rtl/>
        </w:rPr>
        <w:t xml:space="preserve"> </w:t>
      </w:r>
      <w:r w:rsidR="00DC18F8" w:rsidRPr="000F2D31">
        <w:rPr>
          <w:rFonts w:cs="Miriam"/>
          <w:rtl/>
        </w:rPr>
        <w:t>סטרוסטה נ' מדינת ישראל</w:t>
      </w:r>
      <w:r w:rsidR="00DC18F8" w:rsidRPr="000F2D31">
        <w:rPr>
          <w:rFonts w:cs="FrankRuehl"/>
          <w:szCs w:val="28"/>
          <w:rtl/>
        </w:rPr>
        <w:t xml:space="preserve"> (26.10.2017) – הנאשם ללא עבר פלילי הורשע על פי הודאתו בעבירות של ייצור סם. הנאשם החזיק</w:t>
      </w:r>
      <w:r w:rsidR="00DC18F8" w:rsidRPr="000F2D31">
        <w:rPr>
          <w:rFonts w:cs="Miriam"/>
          <w:szCs w:val="28"/>
          <w:rtl/>
        </w:rPr>
        <w:t xml:space="preserve"> </w:t>
      </w:r>
      <w:r w:rsidR="00DC18F8" w:rsidRPr="000F2D31">
        <w:rPr>
          <w:rFonts w:cs="Miriam"/>
          <w:rtl/>
        </w:rPr>
        <w:t>במספר רב של עציצים ובהם סם מסוג קנאביס במשקל של 52.3 ק"ג וכן מספר עציצים קטנים</w:t>
      </w:r>
      <w:r w:rsidR="00DC18F8" w:rsidRPr="000F2D31">
        <w:rPr>
          <w:rFonts w:cs="FrankRuehl"/>
          <w:szCs w:val="28"/>
          <w:rtl/>
        </w:rPr>
        <w:t xml:space="preserve"> ובהם קנאביס במשקל של 611 גרם. נקבע </w:t>
      </w:r>
      <w:r w:rsidR="00DC18F8" w:rsidRPr="000F2D31">
        <w:rPr>
          <w:rFonts w:cs="Miriam"/>
          <w:rtl/>
        </w:rPr>
        <w:t>מתחם עונש הולם הנע בין 20- 32 חודשי מאסר</w:t>
      </w:r>
      <w:r w:rsidR="00DC18F8" w:rsidRPr="000F2D31">
        <w:rPr>
          <w:rFonts w:cs="FrankRuehl"/>
          <w:szCs w:val="28"/>
          <w:rtl/>
        </w:rPr>
        <w:t xml:space="preserve">. הנאשם נידון לעונש מאסר בן 16 חודשים לצד רכיבי ענישה נוספים. </w:t>
      </w:r>
    </w:p>
    <w:p w14:paraId="08D89EB1"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4" w:history="1">
        <w:r w:rsidRPr="00BC0350">
          <w:rPr>
            <w:rFonts w:cs="FrankRuehl"/>
            <w:color w:val="0000FF"/>
            <w:szCs w:val="28"/>
            <w:u w:val="single"/>
            <w:rtl/>
          </w:rPr>
          <w:t>ת"פ 49034-02-19</w:t>
        </w:r>
      </w:hyperlink>
      <w:r w:rsidR="00DC18F8" w:rsidRPr="000F2D31">
        <w:rPr>
          <w:rFonts w:cs="FrankRuehl"/>
          <w:szCs w:val="28"/>
          <w:rtl/>
        </w:rPr>
        <w:t xml:space="preserve"> (מחוזי תל אביב) </w:t>
      </w:r>
      <w:r w:rsidR="00DC18F8" w:rsidRPr="000F2D31">
        <w:rPr>
          <w:rFonts w:cs="Miriam"/>
          <w:rtl/>
        </w:rPr>
        <w:t>מדינת ישראל נ' אוחיון</w:t>
      </w:r>
      <w:r w:rsidR="00DC18F8" w:rsidRPr="000F2D31">
        <w:rPr>
          <w:rFonts w:cs="FrankRuehl"/>
          <w:szCs w:val="28"/>
          <w:rtl/>
        </w:rPr>
        <w:t xml:space="preserve"> (7.1.2020) – הנאשם הורשע על פי הודאתו בעבירה של ייצור סם ונטילת חשמל. ה</w:t>
      </w:r>
      <w:r w:rsidR="00DC18F8" w:rsidRPr="000F2D31">
        <w:rPr>
          <w:rFonts w:cs="Miriam"/>
          <w:rtl/>
        </w:rPr>
        <w:t xml:space="preserve">נאשם ביחד עם אחרים, שכר בית צמוד קרקע עם מרתף ושלושה חדרים הפרושים על פני שלוש קומות </w:t>
      </w:r>
      <w:r w:rsidR="00DC18F8" w:rsidRPr="000F2D31">
        <w:rPr>
          <w:rFonts w:cs="FrankRuehl"/>
          <w:szCs w:val="28"/>
          <w:rtl/>
        </w:rPr>
        <w:t xml:space="preserve">לצורך הקמת מעבדה לגידול סם מסוכן מסוג קאנביס ולשם כך התחבר באופן פירטי לרשת החשמל. הנאשם החזיק בלא פחות מ </w:t>
      </w:r>
      <w:r w:rsidR="00DC18F8" w:rsidRPr="000F2D31">
        <w:rPr>
          <w:rFonts w:cs="Miriam"/>
          <w:rtl/>
        </w:rPr>
        <w:t>725 שתילים של צמח הקאנבוס וכן הפיק סם מסוכן במשקל כולל של 114 ק"ג.</w:t>
      </w:r>
      <w:r w:rsidR="00DC18F8" w:rsidRPr="000F2D31">
        <w:rPr>
          <w:rFonts w:cs="FrankRuehl"/>
          <w:szCs w:val="28"/>
          <w:rtl/>
        </w:rPr>
        <w:t xml:space="preserve"> בית המשפט קבע כי </w:t>
      </w:r>
      <w:r w:rsidR="00DC18F8" w:rsidRPr="000F2D31">
        <w:rPr>
          <w:rFonts w:cs="Miriam"/>
          <w:rtl/>
        </w:rPr>
        <w:t>מתחם העונש ההולם נע בין 40-18 חודשי מאסר</w:t>
      </w:r>
      <w:r w:rsidR="00DC18F8" w:rsidRPr="000F2D31">
        <w:rPr>
          <w:rFonts w:cs="FrankRuehl"/>
          <w:szCs w:val="28"/>
          <w:rtl/>
        </w:rPr>
        <w:t xml:space="preserve"> וגזר על הנאשם 20 חודשי מאסר לצד רכיבי ענישה נוספים (פסק הדין הוצג על ידי ההגנה). </w:t>
      </w:r>
    </w:p>
    <w:p w14:paraId="794CA5B1"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ב</w:t>
      </w:r>
      <w:hyperlink r:id="rId35" w:history="1">
        <w:r w:rsidR="00BC0350" w:rsidRPr="00BC0350">
          <w:rPr>
            <w:rFonts w:cs="FrankRuehl"/>
            <w:color w:val="0000FF"/>
            <w:szCs w:val="28"/>
            <w:u w:val="single"/>
            <w:rtl/>
          </w:rPr>
          <w:t>ת"פ (מחוזי מרכז) 14488-04-19</w:t>
        </w:r>
      </w:hyperlink>
      <w:r w:rsidRPr="000F2D31">
        <w:rPr>
          <w:rFonts w:cs="FrankRuehl"/>
          <w:szCs w:val="28"/>
          <w:rtl/>
        </w:rPr>
        <w:t xml:space="preserve"> </w:t>
      </w:r>
      <w:r w:rsidRPr="000F2D31">
        <w:rPr>
          <w:rFonts w:cs="Miriam"/>
          <w:rtl/>
        </w:rPr>
        <w:t>מדינת ישראל נ' וקנין</w:t>
      </w:r>
      <w:r w:rsidRPr="000F2D31">
        <w:rPr>
          <w:rFonts w:cs="FrankRuehl"/>
          <w:szCs w:val="28"/>
          <w:rtl/>
        </w:rPr>
        <w:t xml:space="preserve"> (23.2.2021) – הנאשם ללא עבר פלילי הורשע על פי הודאתו בעבירות של ייצור והפקת סם, נטילת חשמל, החזקת נשק ועוד. </w:t>
      </w:r>
      <w:r w:rsidRPr="000F2D31">
        <w:rPr>
          <w:rFonts w:cs="Miriam"/>
          <w:rtl/>
        </w:rPr>
        <w:t xml:space="preserve">הנאשם שכר בית והקים בו מעבדה לגידול סם מסוג קנאביס, במשקל של 51.15 ק"ג </w:t>
      </w:r>
      <w:r w:rsidRPr="000F2D31">
        <w:rPr>
          <w:rFonts w:cs="FrankRuehl"/>
          <w:szCs w:val="28"/>
          <w:rtl/>
        </w:rPr>
        <w:t xml:space="preserve">וכן נמצא אקדח ללא הנוקר. </w:t>
      </w:r>
      <w:r w:rsidRPr="000F2D31">
        <w:rPr>
          <w:rFonts w:cs="Miriam"/>
          <w:rtl/>
        </w:rPr>
        <w:t xml:space="preserve">בית המשפט קבע מתחם עונש לעבירות הסמים ונטילת החשמל הנע בין 14 ל-36 חודשי מאסר בפועל </w:t>
      </w:r>
      <w:r w:rsidRPr="000F2D31">
        <w:rPr>
          <w:rFonts w:cs="FrankRuehl"/>
          <w:szCs w:val="28"/>
          <w:rtl/>
        </w:rPr>
        <w:t xml:space="preserve">(ולאירוע כולו 17 עד 40 חודשים). הנאשם נדון לעונש של 18 חודשי מאסר בפועל לצד רכיבי ענישה נוספים. </w:t>
      </w:r>
    </w:p>
    <w:p w14:paraId="0C7D7CC0"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ב</w:t>
      </w:r>
      <w:hyperlink r:id="rId36" w:history="1">
        <w:r w:rsidR="00BC0350" w:rsidRPr="00BC0350">
          <w:rPr>
            <w:rFonts w:cs="FrankRuehl"/>
            <w:color w:val="0000FF"/>
            <w:szCs w:val="28"/>
            <w:u w:val="single"/>
            <w:rtl/>
          </w:rPr>
          <w:t>ת"פ (מחוזי חיפה) 16958-01-14</w:t>
        </w:r>
      </w:hyperlink>
      <w:r w:rsidRPr="000F2D31">
        <w:rPr>
          <w:rFonts w:cs="FrankRuehl"/>
          <w:szCs w:val="28"/>
          <w:rtl/>
        </w:rPr>
        <w:t xml:space="preserve"> </w:t>
      </w:r>
      <w:r w:rsidRPr="000F2D31">
        <w:rPr>
          <w:rFonts w:cs="Miriam"/>
          <w:rtl/>
        </w:rPr>
        <w:t>מדינת ישראל נ' חייק</w:t>
      </w:r>
      <w:r w:rsidRPr="000F2D31">
        <w:rPr>
          <w:rFonts w:cs="FrankRuehl"/>
          <w:szCs w:val="28"/>
          <w:rtl/>
        </w:rPr>
        <w:t xml:space="preserve"> (30.4.2014) – הורשע נאשם על פי הודאתו בעבירה של יצור סמים ועבירות נלוות. הנאשם גידל סמים מסוג קנבוס </w:t>
      </w:r>
      <w:r w:rsidRPr="000F2D31">
        <w:rPr>
          <w:rFonts w:cs="Miriam"/>
          <w:rtl/>
        </w:rPr>
        <w:t>במשקל של 60 ק"ג.</w:t>
      </w:r>
      <w:r w:rsidRPr="000F2D31">
        <w:rPr>
          <w:rFonts w:cs="FrankRuehl"/>
          <w:szCs w:val="28"/>
          <w:rtl/>
        </w:rPr>
        <w:t xml:space="preserve"> בית המשפט קבע </w:t>
      </w:r>
      <w:r w:rsidRPr="000F2D31">
        <w:rPr>
          <w:rFonts w:cs="Miriam"/>
          <w:rtl/>
        </w:rPr>
        <w:t>מתחם שבין 12 ל-36 חודשי מאסר בפועל</w:t>
      </w:r>
      <w:r w:rsidRPr="000F2D31">
        <w:rPr>
          <w:rFonts w:cs="FrankRuehl"/>
          <w:szCs w:val="28"/>
          <w:rtl/>
        </w:rPr>
        <w:t xml:space="preserve">, והשית על הנאשם, בעל עבר פלילי, עונש של 18 חודשי מאסר בפועל לצד רכיבי ענישה נוספים. </w:t>
      </w:r>
    </w:p>
    <w:p w14:paraId="4527988F"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ב</w:t>
      </w:r>
      <w:hyperlink r:id="rId37" w:history="1">
        <w:r w:rsidR="00BC0350" w:rsidRPr="00BC0350">
          <w:rPr>
            <w:rFonts w:cs="FrankRuehl"/>
            <w:color w:val="0000FF"/>
            <w:szCs w:val="28"/>
            <w:u w:val="single"/>
            <w:rtl/>
          </w:rPr>
          <w:t>ת"פ (מחוזי ב"ש) 53517-08-15</w:t>
        </w:r>
      </w:hyperlink>
      <w:r w:rsidRPr="000F2D31">
        <w:rPr>
          <w:rFonts w:cs="FrankRuehl"/>
          <w:szCs w:val="28"/>
          <w:rtl/>
        </w:rPr>
        <w:t xml:space="preserve"> </w:t>
      </w:r>
      <w:r w:rsidRPr="000F2D31">
        <w:rPr>
          <w:rFonts w:cs="Miriam"/>
          <w:rtl/>
        </w:rPr>
        <w:t>מדינת ישראל נ' קלר</w:t>
      </w:r>
      <w:r w:rsidRPr="000F2D31">
        <w:rPr>
          <w:rFonts w:cs="FrankRuehl"/>
          <w:szCs w:val="28"/>
          <w:rtl/>
        </w:rPr>
        <w:t xml:space="preserve"> (28.9.2017) – הנאשם ללא עבר פלילי הורשע על פי הודאתו בעבירה של יצור והפקת סם. הנאשם ביחד עם אחר הקים מעבדה הצטייד בציוד מתאים וגידל סם מסוג קנביס במשקל של </w:t>
      </w:r>
      <w:r w:rsidRPr="000F2D31">
        <w:rPr>
          <w:rFonts w:cs="Miriam"/>
          <w:rtl/>
        </w:rPr>
        <w:t>48 ק"ג אשר נתפס בשלבי עיבוד שונים</w:t>
      </w:r>
      <w:r w:rsidRPr="000F2D31">
        <w:rPr>
          <w:rFonts w:cs="FrankRuehl"/>
          <w:szCs w:val="28"/>
          <w:rtl/>
        </w:rPr>
        <w:t xml:space="preserve">. בית המשפט המחוזי קבע מתחם שבין </w:t>
      </w:r>
      <w:r w:rsidRPr="000F2D31">
        <w:rPr>
          <w:rFonts w:cs="Miriam"/>
          <w:rtl/>
        </w:rPr>
        <w:t>12 ל-30 חודשי מאסר בפועל</w:t>
      </w:r>
      <w:r w:rsidRPr="000F2D31">
        <w:rPr>
          <w:rFonts w:cs="FrankRuehl"/>
          <w:szCs w:val="28"/>
          <w:rtl/>
        </w:rPr>
        <w:t xml:space="preserve">, וגזר על הנאשם 14 חודשי מאסר בפועל לצד רכיבי ענישה נוספים. </w:t>
      </w:r>
    </w:p>
    <w:p w14:paraId="1B147261"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ב</w:t>
      </w:r>
      <w:hyperlink r:id="rId38" w:history="1">
        <w:r w:rsidR="00BC0350" w:rsidRPr="00BC0350">
          <w:rPr>
            <w:rFonts w:cs="FrankRuehl"/>
            <w:color w:val="0000FF"/>
            <w:szCs w:val="28"/>
            <w:u w:val="single"/>
            <w:rtl/>
          </w:rPr>
          <w:t>עפ"ג (מחוזי מרכז) 66585-03-19</w:t>
        </w:r>
      </w:hyperlink>
      <w:r w:rsidRPr="000F2D31">
        <w:rPr>
          <w:rFonts w:cs="FrankRuehl"/>
          <w:szCs w:val="28"/>
          <w:rtl/>
        </w:rPr>
        <w:t xml:space="preserve"> </w:t>
      </w:r>
      <w:r w:rsidRPr="000F2D31">
        <w:rPr>
          <w:rFonts w:cs="Miriam"/>
          <w:rtl/>
        </w:rPr>
        <w:t>מדינת ישראל נ' אבו עלאן</w:t>
      </w:r>
      <w:r w:rsidRPr="000F2D31">
        <w:rPr>
          <w:rFonts w:cs="FrankRuehl"/>
          <w:szCs w:val="28"/>
          <w:rtl/>
        </w:rPr>
        <w:t xml:space="preserve"> (18.6.2019) – הנאשם ללא עבר פלילי הורשע בהתאם להודאתו בעבירה של ייצור סמים. </w:t>
      </w:r>
      <w:r w:rsidRPr="000F2D31">
        <w:rPr>
          <w:rFonts w:cs="Miriam"/>
          <w:rtl/>
        </w:rPr>
        <w:t>הנאשם שכר חנייה פרטית עם מרתף, תחם אותה באמצעות קיר מיוחד</w:t>
      </w:r>
      <w:r w:rsidRPr="000F2D31">
        <w:rPr>
          <w:rFonts w:cs="FrankRuehl"/>
          <w:szCs w:val="28"/>
          <w:rtl/>
        </w:rPr>
        <w:t xml:space="preserve">, הצטייד בציוד מתאים לגידול סמים הקים מעבדה לגידול סמים מסוג קנאביס, </w:t>
      </w:r>
      <w:r w:rsidRPr="000F2D31">
        <w:rPr>
          <w:rFonts w:cs="Miriam"/>
          <w:rtl/>
        </w:rPr>
        <w:t>191 שתילים במשקל של 42.5 ק"ג</w:t>
      </w:r>
      <w:r w:rsidRPr="000F2D31">
        <w:rPr>
          <w:rFonts w:cs="FrankRuehl"/>
          <w:szCs w:val="28"/>
          <w:rtl/>
        </w:rPr>
        <w:t xml:space="preserve">. בית משפט השלום קבע מתחם עונש שנע בין </w:t>
      </w:r>
      <w:r w:rsidRPr="000F2D31">
        <w:rPr>
          <w:rFonts w:cs="Miriam"/>
          <w:rtl/>
        </w:rPr>
        <w:t>36-10 חודשי מאסר</w:t>
      </w:r>
      <w:r w:rsidRPr="000F2D31">
        <w:rPr>
          <w:rFonts w:cs="FrankRuehl"/>
          <w:szCs w:val="28"/>
          <w:rtl/>
        </w:rPr>
        <w:t xml:space="preserve"> בפועל וגזר עליו 6 חודשי מאסר לריצוי בעבודות שירות, בית בית המשפט המחוזי קבע כי המתחם </w:t>
      </w:r>
      <w:r w:rsidRPr="000F2D31">
        <w:rPr>
          <w:rFonts w:cs="Miriam"/>
          <w:rtl/>
        </w:rPr>
        <w:t>נע בין 36-14 חודשי מאסר</w:t>
      </w:r>
      <w:r w:rsidRPr="000F2D31">
        <w:rPr>
          <w:rFonts w:cs="FrankRuehl"/>
          <w:szCs w:val="28"/>
          <w:rtl/>
        </w:rPr>
        <w:t xml:space="preserve"> בפועל לצד רכיבי ענישה נוספים והעמיד את עונשו של הנאשם על 10 חודשי מאסר בפועל.  </w:t>
      </w:r>
    </w:p>
    <w:p w14:paraId="7A74B133"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39" w:history="1">
        <w:r w:rsidRPr="00BC0350">
          <w:rPr>
            <w:rFonts w:cs="FrankRuehl"/>
            <w:color w:val="0000FF"/>
            <w:szCs w:val="28"/>
            <w:u w:val="single"/>
            <w:rtl/>
          </w:rPr>
          <w:t>עפ"ג (מחוזי מרכז) 45104-03-20</w:t>
        </w:r>
      </w:hyperlink>
      <w:r w:rsidR="00DC18F8" w:rsidRPr="000F2D31">
        <w:rPr>
          <w:rFonts w:cs="FrankRuehl"/>
          <w:szCs w:val="28"/>
          <w:rtl/>
        </w:rPr>
        <w:t xml:space="preserve"> </w:t>
      </w:r>
      <w:r w:rsidR="00DC18F8" w:rsidRPr="000F2D31">
        <w:rPr>
          <w:rFonts w:cs="Miriam"/>
          <w:rtl/>
        </w:rPr>
        <w:t>מעידי נ' מדינת ישראל (</w:t>
      </w:r>
      <w:r w:rsidR="00DC18F8" w:rsidRPr="000F2D31">
        <w:rPr>
          <w:rFonts w:cs="FrankRuehl"/>
          <w:szCs w:val="28"/>
          <w:rtl/>
        </w:rPr>
        <w:t xml:space="preserve">20.7.2020) – נדחה ערעור של נאשם אשר הורשע על פי הודאתו בעבירות של גידול סמים ונטילת חשמל. הנאשם הקים מעבדה לייצור סם, צייד אותה בציוד רב, וגנב חשמל. במעבדה נמצאו סמים מסוג </w:t>
      </w:r>
      <w:r w:rsidR="00DC18F8" w:rsidRPr="000F2D31">
        <w:rPr>
          <w:rFonts w:cs="Miriam"/>
          <w:rtl/>
        </w:rPr>
        <w:t>קנאביס במשקל של 40 ק"ג</w:t>
      </w:r>
      <w:r w:rsidR="00DC18F8" w:rsidRPr="000F2D31">
        <w:rPr>
          <w:rFonts w:cs="FrankRuehl"/>
          <w:szCs w:val="28"/>
          <w:rtl/>
        </w:rPr>
        <w:t xml:space="preserve">. בית המשפט קבע מתחם עונש </w:t>
      </w:r>
      <w:r w:rsidR="00DC18F8" w:rsidRPr="000F2D31">
        <w:rPr>
          <w:rFonts w:cs="Miriam"/>
          <w:rtl/>
        </w:rPr>
        <w:t>הנע בין 18 ל-30 חודשי מאסר בפועל</w:t>
      </w:r>
      <w:r w:rsidR="00DC18F8" w:rsidRPr="000F2D31">
        <w:rPr>
          <w:rFonts w:cs="FrankRuehl"/>
          <w:szCs w:val="28"/>
          <w:rtl/>
        </w:rPr>
        <w:t xml:space="preserve">, וחרג מהמתחם משיקולי שיקום לעונש של 15 חודשי מאסר בפועל. </w:t>
      </w:r>
    </w:p>
    <w:p w14:paraId="69BEFA0B"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40" w:history="1">
        <w:r w:rsidRPr="00BC0350">
          <w:rPr>
            <w:rFonts w:cs="FrankRuehl"/>
            <w:color w:val="0000FF"/>
            <w:szCs w:val="28"/>
            <w:u w:val="single"/>
            <w:rtl/>
          </w:rPr>
          <w:t>עפ"ג (מחוזי מרכז) 33120-05-19</w:t>
        </w:r>
      </w:hyperlink>
      <w:r w:rsidR="00DC18F8" w:rsidRPr="000F2D31">
        <w:rPr>
          <w:rFonts w:cs="FrankRuehl"/>
          <w:szCs w:val="28"/>
          <w:rtl/>
        </w:rPr>
        <w:t xml:space="preserve"> </w:t>
      </w:r>
      <w:r w:rsidR="00DC18F8" w:rsidRPr="000F2D31">
        <w:rPr>
          <w:rFonts w:cs="Miriam"/>
          <w:rtl/>
        </w:rPr>
        <w:t>מדינת ישראל נ' שחר</w:t>
      </w:r>
      <w:r w:rsidR="00DC18F8" w:rsidRPr="000F2D31">
        <w:rPr>
          <w:rFonts w:cs="FrankRuehl"/>
          <w:szCs w:val="28"/>
          <w:rtl/>
        </w:rPr>
        <w:t xml:space="preserve"> (28.1.2020) – הנאשם הורשע על פי הודאתו בעבירות של גידול סם וגניבת חשמל. הנאשם שכר בית והקים מעבדה לגידול סם, </w:t>
      </w:r>
      <w:r w:rsidR="00DC18F8" w:rsidRPr="000F2D31">
        <w:rPr>
          <w:rFonts w:cs="Miriam"/>
          <w:rtl/>
        </w:rPr>
        <w:t>רכש ציוד מעבדה בשווי של כ-220,000 ₪.</w:t>
      </w:r>
      <w:r w:rsidR="00DC18F8" w:rsidRPr="000F2D31">
        <w:rPr>
          <w:rFonts w:cs="FrankRuehl"/>
          <w:szCs w:val="28"/>
          <w:rtl/>
        </w:rPr>
        <w:t xml:space="preserve"> במעבדה נתפסו סמים מסוג קנאביס במשקל </w:t>
      </w:r>
      <w:r w:rsidR="00DC18F8" w:rsidRPr="000F2D31">
        <w:rPr>
          <w:rFonts w:cs="Miriam"/>
          <w:rtl/>
        </w:rPr>
        <w:t>של 45.8 ק"ג כ-200 שתילים</w:t>
      </w:r>
      <w:r w:rsidR="00DC18F8" w:rsidRPr="000F2D31">
        <w:rPr>
          <w:rFonts w:cs="FrankRuehl"/>
          <w:szCs w:val="28"/>
          <w:rtl/>
        </w:rPr>
        <w:t xml:space="preserve">. בית משפט השלום קבע מתחם עונש הנע בין </w:t>
      </w:r>
      <w:r w:rsidR="00DC18F8" w:rsidRPr="000F2D31">
        <w:rPr>
          <w:rFonts w:cs="Miriam"/>
          <w:rtl/>
        </w:rPr>
        <w:t>18 ל-36</w:t>
      </w:r>
      <w:r w:rsidR="00DC18F8" w:rsidRPr="000F2D31">
        <w:rPr>
          <w:rFonts w:cs="FrankRuehl"/>
          <w:szCs w:val="28"/>
          <w:rtl/>
        </w:rPr>
        <w:t xml:space="preserve"> חודשי מאסר בפועל, ומצא לחרוג מהמתחם משיקולי שיקום והשית על הנאשם 9 חודשי עבודות שירות. בית המשפט המחוזי קבע כי מתחם העונש נכון, ואולם השיקום אינו מצדיק חריגה משמעותית, והעמיד את עונשו על 15 חודשי מאסר בפועל.  פסק הדין הוצג על ידי המאשימה אך </w:t>
      </w:r>
      <w:r w:rsidR="00DC18F8">
        <w:rPr>
          <w:rFonts w:cs="FrankRuehl" w:hint="cs"/>
          <w:szCs w:val="28"/>
          <w:rtl/>
        </w:rPr>
        <w:t xml:space="preserve">חשוב לומר כי </w:t>
      </w:r>
      <w:r w:rsidR="00DC18F8" w:rsidRPr="000F2D31">
        <w:rPr>
          <w:rFonts w:cs="FrankRuehl"/>
          <w:szCs w:val="28"/>
          <w:rtl/>
        </w:rPr>
        <w:t xml:space="preserve">מדובר בנאשם בעל עבר פלילי מכביד הכולל 8 הרשעות קודמות בעבירות מרמה ורכוש אשר ריצה מספר מאסרים בפועל, </w:t>
      </w:r>
      <w:r w:rsidR="00DC18F8">
        <w:rPr>
          <w:rFonts w:cs="FrankRuehl" w:hint="cs"/>
          <w:szCs w:val="28"/>
          <w:rtl/>
        </w:rPr>
        <w:t xml:space="preserve">כמו </w:t>
      </w:r>
      <w:r w:rsidR="00DC18F8" w:rsidRPr="000F2D31">
        <w:rPr>
          <w:rFonts w:cs="FrankRuehl"/>
          <w:szCs w:val="28"/>
          <w:rtl/>
        </w:rPr>
        <w:t>כן</w:t>
      </w:r>
      <w:r w:rsidR="00DC18F8">
        <w:rPr>
          <w:rFonts w:cs="FrankRuehl" w:hint="cs"/>
          <w:szCs w:val="28"/>
          <w:rtl/>
        </w:rPr>
        <w:t>,</w:t>
      </w:r>
      <w:r w:rsidR="00DC18F8" w:rsidRPr="000F2D31">
        <w:rPr>
          <w:rFonts w:cs="FrankRuehl"/>
          <w:szCs w:val="28"/>
          <w:rtl/>
        </w:rPr>
        <w:t xml:space="preserve"> מתחם העונש ההולם שנקבע כאן נמוך ממתחם העונש ההולם לו עתרה המאשימה. </w:t>
      </w:r>
    </w:p>
    <w:p w14:paraId="5E8B7666" w14:textId="77777777" w:rsidR="00DC18F8" w:rsidRPr="000F2D31" w:rsidRDefault="00BC0350"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hyperlink r:id="rId41" w:history="1">
        <w:r w:rsidRPr="00BC0350">
          <w:rPr>
            <w:rFonts w:cs="FrankRuehl"/>
            <w:color w:val="0000FF"/>
            <w:szCs w:val="28"/>
            <w:u w:val="single"/>
            <w:rtl/>
          </w:rPr>
          <w:t>עפ"ג (מחוזי  חיפה) 71508-12-19</w:t>
        </w:r>
      </w:hyperlink>
      <w:r w:rsidR="00DC18F8" w:rsidRPr="000F2D31">
        <w:rPr>
          <w:rFonts w:cs="FrankRuehl"/>
          <w:szCs w:val="28"/>
          <w:rtl/>
        </w:rPr>
        <w:t xml:space="preserve"> </w:t>
      </w:r>
      <w:r w:rsidR="00DC18F8" w:rsidRPr="000F2D31">
        <w:rPr>
          <w:rFonts w:cs="Miriam"/>
          <w:rtl/>
        </w:rPr>
        <w:t>מדינת ישראל נ' בן חיים</w:t>
      </w:r>
      <w:r w:rsidR="00DC18F8" w:rsidRPr="000F2D31">
        <w:rPr>
          <w:rFonts w:cs="FrankRuehl"/>
          <w:szCs w:val="28"/>
          <w:rtl/>
        </w:rPr>
        <w:t xml:space="preserve"> (27.2.2020) – הנאשם הורשע על פי הודאתו בעבירות של ייצור, הכנה והפקת סם, ועבירות נלוות. הנאשם הקים מעבדה לגידול סם </w:t>
      </w:r>
      <w:r w:rsidR="00DC18F8" w:rsidRPr="000F2D31">
        <w:rPr>
          <w:rFonts w:cs="Miriam"/>
          <w:rtl/>
        </w:rPr>
        <w:t>במשקל של 38.6 ק"ג וחלקי צמח במשקל של 49.4 ג'.</w:t>
      </w:r>
      <w:r w:rsidR="00DC18F8" w:rsidRPr="000F2D31">
        <w:rPr>
          <w:rFonts w:cs="FrankRuehl"/>
          <w:szCs w:val="28"/>
          <w:rtl/>
        </w:rPr>
        <w:t xml:space="preserve"> בית משפט השלום קבע מתחם </w:t>
      </w:r>
      <w:r w:rsidR="00DC18F8" w:rsidRPr="000F2D31">
        <w:rPr>
          <w:rFonts w:cs="Miriam"/>
          <w:rtl/>
        </w:rPr>
        <w:t>עונש הנע בין 8 ל-24 חודשי מאסר בפועל והטיל עונש של 10 חודשי מאסר בפועל</w:t>
      </w:r>
      <w:r w:rsidR="00DC18F8" w:rsidRPr="000F2D31">
        <w:rPr>
          <w:rFonts w:cs="FrankRuehl"/>
          <w:szCs w:val="28"/>
          <w:rtl/>
        </w:rPr>
        <w:t>. בית המשפט המחוזי קיבל את ערעור המדינה והעמיד את עונשו של הנאשם על 15 חודשי מאסר בפועל.</w:t>
      </w:r>
    </w:p>
    <w:p w14:paraId="274A114E"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באשר לייתר פסקי הדין שהוצגו על ידי המאשימה, לא מצאתי להכלילם במתחם בשל השונות בנסיבות הגידול ובחומרתן. לדוגמה ב</w:t>
      </w:r>
      <w:hyperlink r:id="rId42" w:history="1">
        <w:r w:rsidR="00BC0350" w:rsidRPr="00BC0350">
          <w:rPr>
            <w:rFonts w:cs="FrankRuehl"/>
            <w:color w:val="0000FF"/>
            <w:szCs w:val="28"/>
            <w:u w:val="single"/>
            <w:rtl/>
          </w:rPr>
          <w:t>עפ"ג 2901-01-21</w:t>
        </w:r>
      </w:hyperlink>
      <w:r w:rsidRPr="000F2D31">
        <w:rPr>
          <w:rFonts w:cs="FrankRuehl"/>
          <w:szCs w:val="28"/>
          <w:rtl/>
        </w:rPr>
        <w:t xml:space="preserve"> הנאשם </w:t>
      </w:r>
      <w:r>
        <w:rPr>
          <w:rFonts w:cs="FrankRuehl" w:hint="cs"/>
          <w:szCs w:val="28"/>
          <w:rtl/>
        </w:rPr>
        <w:t xml:space="preserve">קשר </w:t>
      </w:r>
      <w:r w:rsidRPr="000F2D31">
        <w:rPr>
          <w:rFonts w:cs="FrankRuehl"/>
          <w:szCs w:val="28"/>
          <w:rtl/>
        </w:rPr>
        <w:t>ביחד עם אחרים קשר לצורך גידול קאנביס בכמות מסחרית ולשם כך שכר בית פרטי גדול</w:t>
      </w:r>
      <w:r>
        <w:rPr>
          <w:rFonts w:cs="FrankRuehl" w:hint="cs"/>
          <w:szCs w:val="28"/>
          <w:rtl/>
        </w:rPr>
        <w:t xml:space="preserve">. </w:t>
      </w:r>
      <w:r w:rsidRPr="000F2D31">
        <w:rPr>
          <w:rFonts w:cs="FrankRuehl"/>
          <w:szCs w:val="28"/>
          <w:rtl/>
        </w:rPr>
        <w:t xml:space="preserve">נתפסו כ 1057 שתילים (כמעט פי 4 מכמות השתילים שנתפסה אצל הנאשם) של סם מסוכן מסוג קנאביס במשקל כולל של 36 ק"ג. הנאשם ביצע את העבירה תוך הפרת תנאי מעצר בית ובעודו בפיקוח שירות המבחן אשר אף התרשם כי הנאשם אינו לוקח אחריות על מעשיו, </w:t>
      </w:r>
      <w:r>
        <w:rPr>
          <w:rFonts w:cs="FrankRuehl" w:hint="cs"/>
          <w:szCs w:val="28"/>
          <w:rtl/>
        </w:rPr>
        <w:t xml:space="preserve">וכי </w:t>
      </w:r>
      <w:r w:rsidRPr="000F2D31">
        <w:rPr>
          <w:rFonts w:cs="FrankRuehl"/>
          <w:szCs w:val="28"/>
          <w:rtl/>
        </w:rPr>
        <w:t xml:space="preserve">רמת סיכון להישנות עבירות גבוהה ועל כן המליץ על ענישה מוחשית. הנאשם נידון לעונש מאסר בן 28 חודשים לצד רכיבי ענישה נוספים. וכן ע"פ 18489-01-14 </w:t>
      </w:r>
      <w:r w:rsidRPr="000F2D31">
        <w:rPr>
          <w:rFonts w:cs="Miriam"/>
          <w:rtl/>
        </w:rPr>
        <w:t>בן משה נ' מדינת ישראל</w:t>
      </w:r>
      <w:r w:rsidRPr="000F2D31">
        <w:rPr>
          <w:rFonts w:cs="FrankRuehl"/>
          <w:szCs w:val="28"/>
          <w:rtl/>
        </w:rPr>
        <w:t xml:space="preserve"> - בעניינו של הנאשם בעל עבר פלילי רלבנטי וקרוב, הוצג בפני בית המשפט הסדר טיעון הכולל רף עליון ורף תחתון ומכאן שבית המשפט לא נדרש לקביעת מתחם עונש הולם. </w:t>
      </w:r>
    </w:p>
    <w:p w14:paraId="5F86A68A" w14:textId="77777777" w:rsidR="00DC18F8" w:rsidRPr="000F2D31" w:rsidRDefault="00DC18F8" w:rsidP="00DC18F8">
      <w:pPr>
        <w:tabs>
          <w:tab w:val="left" w:pos="-58"/>
        </w:tabs>
        <w:spacing w:before="100" w:beforeAutospacing="1" w:after="120" w:line="360" w:lineRule="auto"/>
        <w:ind w:left="-58"/>
        <w:jc w:val="both"/>
        <w:rPr>
          <w:rFonts w:ascii="Calibri" w:hAnsi="Calibri" w:cs="FrankRuehl"/>
          <w:szCs w:val="28"/>
        </w:rPr>
      </w:pPr>
      <w:r w:rsidRPr="000F2D31">
        <w:rPr>
          <w:rFonts w:cs="FrankRuehl"/>
          <w:szCs w:val="28"/>
          <w:rtl/>
        </w:rPr>
        <w:tab/>
      </w:r>
      <w:r w:rsidRPr="000F2D31">
        <w:rPr>
          <w:rFonts w:cs="FrankRuehl"/>
          <w:szCs w:val="28"/>
          <w:rtl/>
        </w:rPr>
        <w:tab/>
        <w:t xml:space="preserve">כמו כן, לא מצאתי להכליל את </w:t>
      </w:r>
      <w:r>
        <w:rPr>
          <w:rFonts w:cs="FrankRuehl" w:hint="cs"/>
          <w:szCs w:val="28"/>
          <w:rtl/>
        </w:rPr>
        <w:t xml:space="preserve">כלל </w:t>
      </w:r>
      <w:r w:rsidRPr="000F2D31">
        <w:rPr>
          <w:rFonts w:cs="FrankRuehl"/>
          <w:szCs w:val="28"/>
          <w:rtl/>
        </w:rPr>
        <w:t xml:space="preserve">פסקי הדין שהוצגו על ידי ההגנה, שכן הם עוסקים בניהול מעבדות בהם נתפסו סמים בכמויות קטנות יותר ובעיקר מכיוון שחלק מהמקרים עסקו בנאשמים שהודו בהסדר טיעון סגור לעונש כך שאי אפשר לעמוד על כלל השיקולים בבסיסם.   </w:t>
      </w:r>
    </w:p>
    <w:p w14:paraId="4BAFE7BB"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cs="FrankRuehl"/>
          <w:szCs w:val="28"/>
          <w:rtl/>
        </w:rPr>
      </w:pPr>
      <w:r w:rsidRPr="000F2D31">
        <w:rPr>
          <w:rFonts w:cs="FrankRuehl"/>
          <w:szCs w:val="28"/>
          <w:rtl/>
        </w:rPr>
        <w:t xml:space="preserve">וחזרה לעניינו. באשר לנסיבות הקשורות בביצוע העבירה יש לתת את הדעת למספר נתונים חשובים. ראשית, הנאשם גידל הסמים בעצמו </w:t>
      </w:r>
      <w:r>
        <w:rPr>
          <w:rFonts w:cs="FrankRuehl" w:hint="cs"/>
          <w:szCs w:val="28"/>
          <w:rtl/>
        </w:rPr>
        <w:t>ולא ב</w:t>
      </w:r>
      <w:r>
        <w:rPr>
          <w:rFonts w:cs="FrankRuehl"/>
          <w:szCs w:val="28"/>
          <w:rtl/>
        </w:rPr>
        <w:t xml:space="preserve">צוותא </w:t>
      </w:r>
      <w:r>
        <w:rPr>
          <w:rFonts w:cs="FrankRuehl" w:hint="cs"/>
          <w:szCs w:val="28"/>
          <w:rtl/>
        </w:rPr>
        <w:t>עם אחרים או ב</w:t>
      </w:r>
      <w:r w:rsidRPr="000F2D31">
        <w:rPr>
          <w:rFonts w:cs="FrankRuehl"/>
          <w:szCs w:val="28"/>
          <w:rtl/>
        </w:rPr>
        <w:t xml:space="preserve">חלוקת תפקידים המלמדת על תוכנית עבריינית סדורה או רבת היקף. שנית, גידול הסמים בוצע בביתו ובחצר הבית בשונה ובמאובחן משכירת בית או מבנה ייעודי לשם הקמת המעבדה הכרוך בהוצאות חודשיות ניכרות. </w:t>
      </w:r>
      <w:r>
        <w:rPr>
          <w:rFonts w:cs="FrankRuehl" w:hint="cs"/>
          <w:szCs w:val="28"/>
          <w:rtl/>
        </w:rPr>
        <w:t xml:space="preserve">כמו כן, </w:t>
      </w:r>
      <w:r w:rsidRPr="000F2D31">
        <w:rPr>
          <w:rFonts w:cs="FrankRuehl"/>
          <w:szCs w:val="28"/>
          <w:rtl/>
        </w:rPr>
        <w:t xml:space="preserve">הנאשם למד אודות אופן גידול הסמים, פעל להצטייד בזרעי קאנביס וכן החזיק בציוד הכולל מסננים, מאיידים, שנאים ועוד, מכאן מובן שקדם תכנון והכנה רבה לביצוען של העבירות בהן הורשע. </w:t>
      </w:r>
      <w:r>
        <w:rPr>
          <w:rFonts w:cs="FrankRuehl" w:hint="cs"/>
          <w:szCs w:val="28"/>
          <w:rtl/>
        </w:rPr>
        <w:t xml:space="preserve">בנוסף, </w:t>
      </w:r>
      <w:r w:rsidRPr="000F2D31">
        <w:rPr>
          <w:rFonts w:cs="FrankRuehl"/>
          <w:szCs w:val="28"/>
          <w:rtl/>
        </w:rPr>
        <w:t xml:space="preserve">הנאשם הסתייע באחרים לצורך חיבור לחשמל, אך הנזק שנגרם כתוצאה מגניבת החשמל אינו ידוע במדויק למאשימה. </w:t>
      </w:r>
      <w:r>
        <w:rPr>
          <w:rFonts w:cs="FrankRuehl" w:hint="cs"/>
          <w:szCs w:val="28"/>
          <w:rtl/>
        </w:rPr>
        <w:t xml:space="preserve">עם זאת, </w:t>
      </w:r>
      <w:r w:rsidRPr="000F2D31">
        <w:rPr>
          <w:rFonts w:cs="FrankRuehl"/>
          <w:szCs w:val="28"/>
          <w:rtl/>
        </w:rPr>
        <w:t xml:space="preserve">מתצלומי המקום וממראה החממה והמעבדה אפשר ללמוד כי לא מדובר במעבדה מאובזרת מהרף העליון שהושקעו בה משאבים כספיים גדולים, אלא שהציוד שימש להקמת המעבדה ולתפעולה </w:t>
      </w:r>
      <w:r>
        <w:rPr>
          <w:rFonts w:cs="FrankRuehl" w:hint="cs"/>
          <w:szCs w:val="28"/>
          <w:rtl/>
        </w:rPr>
        <w:t xml:space="preserve">הוא </w:t>
      </w:r>
      <w:r w:rsidRPr="000F2D31">
        <w:rPr>
          <w:rFonts w:cs="FrankRuehl"/>
          <w:szCs w:val="28"/>
          <w:rtl/>
        </w:rPr>
        <w:t xml:space="preserve">בסיסי, ולא בכדי כתב האישום אינו מפרט את שוויו כפי שנעשה לרוב בתיקים מסוג זה. עוד אפשר </w:t>
      </w:r>
      <w:r>
        <w:rPr>
          <w:rFonts w:cs="FrankRuehl" w:hint="cs"/>
          <w:szCs w:val="28"/>
          <w:rtl/>
        </w:rPr>
        <w:t xml:space="preserve">לראות </w:t>
      </w:r>
      <w:r w:rsidRPr="000F2D31">
        <w:rPr>
          <w:rFonts w:cs="FrankRuehl"/>
          <w:szCs w:val="28"/>
          <w:rtl/>
        </w:rPr>
        <w:t>בתמונות המקום כי השתילים מפוזרים בין החממות. במחסן נתפסו 45 שתילים ובחממה נתפסו 223 שתילים בגדלים שונים, משקל כולל של 42.06 ק"ג (</w:t>
      </w:r>
      <w:r w:rsidRPr="000F2D31">
        <w:rPr>
          <w:rFonts w:cs="Miriam"/>
          <w:rtl/>
        </w:rPr>
        <w:t>טעת/1 – טעת/2</w:t>
      </w:r>
      <w:r w:rsidRPr="000F2D31">
        <w:rPr>
          <w:rFonts w:cs="FrankRuehl"/>
          <w:szCs w:val="28"/>
          <w:rtl/>
        </w:rPr>
        <w:t xml:space="preserve">). על אף שמדובר בכמות סמים יחסית גדולה בהשוואה לתיקי מעבדות המוגשים לבית המשפט השלום, </w:t>
      </w:r>
      <w:r>
        <w:rPr>
          <w:rFonts w:cs="FrankRuehl" w:hint="cs"/>
          <w:szCs w:val="28"/>
          <w:rtl/>
        </w:rPr>
        <w:t>ו</w:t>
      </w:r>
      <w:r w:rsidRPr="000F2D31">
        <w:rPr>
          <w:rFonts w:cs="FrankRuehl"/>
          <w:szCs w:val="28"/>
          <w:rtl/>
        </w:rPr>
        <w:t xml:space="preserve">יש </w:t>
      </w:r>
      <w:r>
        <w:rPr>
          <w:rFonts w:cs="FrankRuehl" w:hint="cs"/>
          <w:szCs w:val="28"/>
          <w:rtl/>
        </w:rPr>
        <w:t xml:space="preserve">אף </w:t>
      </w:r>
      <w:r w:rsidRPr="000F2D31">
        <w:rPr>
          <w:rFonts w:cs="FrankRuehl"/>
          <w:szCs w:val="28"/>
          <w:rtl/>
        </w:rPr>
        <w:t xml:space="preserve">לתת את הדעת לכך שאין המדובר בכמות הסם המוגמרת. הימצאותם של שתילים בגדלים שונים, מלמדת כי אין מדובר בגידול "חדש" או טרי באופן יחסי, וזאת על אף שכתב האישום אינו מפרט את פרק הזמן בו גודלו הסמים במדויק. </w:t>
      </w:r>
      <w:r>
        <w:rPr>
          <w:rFonts w:cs="FrankRuehl" w:hint="cs"/>
          <w:szCs w:val="28"/>
          <w:rtl/>
        </w:rPr>
        <w:t>עוד בהקשה לזה,</w:t>
      </w:r>
      <w:r w:rsidRPr="000F2D31">
        <w:rPr>
          <w:rFonts w:cs="FrankRuehl"/>
          <w:szCs w:val="28"/>
          <w:rtl/>
        </w:rPr>
        <w:t xml:space="preserve"> כמות השתילים שנתפסו והימצאותם בשלב</w:t>
      </w:r>
      <w:r>
        <w:rPr>
          <w:rFonts w:cs="FrankRuehl"/>
          <w:szCs w:val="28"/>
          <w:rtl/>
        </w:rPr>
        <w:t>י גדילה שונים מלמדת על הנזק הרב</w:t>
      </w:r>
      <w:r w:rsidRPr="000F2D31">
        <w:rPr>
          <w:rFonts w:cs="FrankRuehl"/>
          <w:szCs w:val="28"/>
          <w:rtl/>
        </w:rPr>
        <w:t xml:space="preserve"> שצפוי היה להיגרם בשל זליגת הסמים לציבור המשתמשים הפוטנציאלים. לסיום יש לקחת בחשבון כי הנאשם הסביר בדברו האחרון כי העבירות בוצעו על רקע מצוקה כלכלית אליה נקלעו הוא ומשפחתו שהחמירה לנוכח מגפת הקורונה שפשטה ומתוך רצון לגרוף רווח כלכלי מהיר. </w:t>
      </w:r>
    </w:p>
    <w:p w14:paraId="3659C47B" w14:textId="77777777" w:rsidR="00DC18F8" w:rsidRPr="000F2D31" w:rsidRDefault="00DC18F8" w:rsidP="00DC18F8">
      <w:pPr>
        <w:tabs>
          <w:tab w:val="left" w:pos="-58"/>
        </w:tabs>
        <w:spacing w:before="100" w:beforeAutospacing="1" w:after="120" w:line="360" w:lineRule="auto"/>
        <w:ind w:left="-58"/>
        <w:jc w:val="both"/>
        <w:rPr>
          <w:rFonts w:ascii="Calibri" w:hAnsi="Calibri" w:cs="FrankRuehl"/>
          <w:szCs w:val="28"/>
        </w:rPr>
      </w:pPr>
      <w:r w:rsidRPr="000F2D31">
        <w:rPr>
          <w:rFonts w:cs="FrankRuehl"/>
          <w:szCs w:val="28"/>
          <w:rtl/>
        </w:rPr>
        <w:tab/>
      </w:r>
      <w:r w:rsidRPr="000F2D31">
        <w:rPr>
          <w:rFonts w:cs="FrankRuehl"/>
          <w:szCs w:val="28"/>
          <w:rtl/>
        </w:rPr>
        <w:tab/>
        <w:t xml:space="preserve">לנוכח כל אלו מידת הפגיעה בערכים החברתיים </w:t>
      </w:r>
      <w:r>
        <w:rPr>
          <w:rFonts w:cs="FrankRuehl" w:hint="cs"/>
          <w:szCs w:val="28"/>
          <w:rtl/>
        </w:rPr>
        <w:t>הי</w:t>
      </w:r>
      <w:r w:rsidRPr="000F2D31">
        <w:rPr>
          <w:rFonts w:cs="FrankRuehl"/>
          <w:szCs w:val="28"/>
          <w:rtl/>
        </w:rPr>
        <w:t xml:space="preserve">א בינונית. </w:t>
      </w:r>
    </w:p>
    <w:p w14:paraId="2CD36A77" w14:textId="77777777" w:rsidR="00DC18F8" w:rsidRPr="001553AE"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ascii="FrankRuehl" w:hAnsi="FrankRuehl" w:cs="FrankRuehl" w:hint="eastAsia"/>
          <w:sz w:val="28"/>
          <w:szCs w:val="28"/>
          <w:rtl/>
        </w:rPr>
        <w:t>נוכח</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המפורט</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תוך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שנתתי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דעתי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למדיניות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הענישה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הנוהגת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לערכים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החברתיים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שבהם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פגע</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לנסיבות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ביצוע</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העבירות</w:t>
      </w:r>
      <w:r w:rsidRPr="000F2D31">
        <w:rPr>
          <w:rFonts w:ascii="FrankRuehl" w:hAnsi="FrankRuehl" w:cs="FrankRuehl"/>
          <w:sz w:val="28"/>
          <w:szCs w:val="28"/>
          <w:rtl/>
        </w:rPr>
        <w:t xml:space="preserve"> </w:t>
      </w:r>
      <w:r w:rsidRPr="000F2D31">
        <w:rPr>
          <w:rFonts w:cs="FrankRuehl"/>
          <w:szCs w:val="28"/>
          <w:rtl/>
        </w:rPr>
        <w:t>אני קובעת כי מתחם העונש ההולם נע בין 3</w:t>
      </w:r>
      <w:r>
        <w:rPr>
          <w:rFonts w:cs="FrankRuehl" w:hint="cs"/>
          <w:szCs w:val="28"/>
          <w:rtl/>
        </w:rPr>
        <w:t>0</w:t>
      </w:r>
      <w:r w:rsidRPr="000F2D31">
        <w:rPr>
          <w:rFonts w:cs="FrankRuehl"/>
          <w:szCs w:val="28"/>
          <w:rtl/>
        </w:rPr>
        <w:t xml:space="preserve">-14 חודשי מאסר, מאסר מותנה, קנס וחילוט. </w:t>
      </w:r>
    </w:p>
    <w:p w14:paraId="45A83185" w14:textId="77777777" w:rsidR="00DC18F8" w:rsidRDefault="00DC18F8" w:rsidP="00DC18F8">
      <w:pPr>
        <w:tabs>
          <w:tab w:val="left" w:pos="-58"/>
        </w:tabs>
        <w:spacing w:before="100" w:beforeAutospacing="1" w:after="120" w:line="360" w:lineRule="auto"/>
        <w:ind w:left="-58"/>
        <w:jc w:val="both"/>
        <w:rPr>
          <w:rFonts w:ascii="Calibri" w:hAnsi="Calibri" w:cs="FrankRuehl"/>
          <w:szCs w:val="28"/>
          <w:rtl/>
        </w:rPr>
      </w:pPr>
      <w:r>
        <w:rPr>
          <w:rFonts w:ascii="FrankRuehl" w:hAnsi="FrankRuehl" w:cs="FrankRuehl"/>
          <w:sz w:val="28"/>
          <w:szCs w:val="28"/>
          <w:rtl/>
        </w:rPr>
        <w:tab/>
      </w:r>
      <w:r>
        <w:rPr>
          <w:rFonts w:ascii="FrankRuehl" w:hAnsi="FrankRuehl" w:cs="FrankRuehl"/>
          <w:sz w:val="28"/>
          <w:szCs w:val="28"/>
          <w:rtl/>
        </w:rPr>
        <w:tab/>
      </w:r>
      <w:r w:rsidRPr="000F2D31">
        <w:rPr>
          <w:rFonts w:ascii="FrankRuehl" w:hAnsi="FrankRuehl" w:cs="FrankRuehl" w:hint="eastAsia"/>
          <w:sz w:val="28"/>
          <w:szCs w:val="28"/>
          <w:rtl/>
        </w:rPr>
        <w:t>באשר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לשיעור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הקנס</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כאשר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מדובר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בגידול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סמים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בהיקף</w:t>
      </w:r>
      <w:r w:rsidRPr="000F2D31">
        <w:rPr>
          <w:rFonts w:ascii="FrankRuehl" w:hAnsi="FrankRuehl" w:cs="FrankRuehl"/>
          <w:sz w:val="28"/>
          <w:szCs w:val="28"/>
          <w:rtl/>
        </w:rPr>
        <w:t xml:space="preserve"> </w:t>
      </w:r>
      <w:r w:rsidRPr="000F2D31">
        <w:rPr>
          <w:rFonts w:ascii="FrankRuehl" w:hAnsi="FrankRuehl" w:cs="FrankRuehl" w:hint="eastAsia"/>
          <w:sz w:val="28"/>
          <w:szCs w:val="28"/>
          <w:rtl/>
        </w:rPr>
        <w:t>רב</w:t>
      </w:r>
      <w:r w:rsidRPr="000F2D31">
        <w:rPr>
          <w:rFonts w:ascii="FrankRuehl" w:hAnsi="FrankRuehl" w:cs="FrankRuehl"/>
          <w:sz w:val="28"/>
          <w:szCs w:val="28"/>
          <w:rtl/>
        </w:rPr>
        <w:t xml:space="preserve"> </w:t>
      </w:r>
      <w:r w:rsidRPr="000F2D31">
        <w:rPr>
          <w:rFonts w:ascii="FrankRuehl" w:hAnsi="FrankRuehl" w:cs="FrankRuehl" w:hint="eastAsia"/>
          <w:sz w:val="28"/>
          <w:szCs w:val="28"/>
          <w:rtl/>
        </w:rPr>
        <w:t>נודעת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חשיבות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לענישה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כספית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הולמת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אשר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תלמד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אין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תועלת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כלכלית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בצד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ביצוען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עבירות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אלו</w:t>
      </w:r>
      <w:r w:rsidRPr="000F2D31">
        <w:rPr>
          <w:rFonts w:ascii="FrankRuehl" w:hAnsi="FrankRuehl" w:cs="FrankRuehl"/>
          <w:sz w:val="28"/>
          <w:szCs w:val="28"/>
          <w:rtl/>
        </w:rPr>
        <w:t xml:space="preserve">. </w:t>
      </w:r>
      <w:r w:rsidRPr="000F2D31">
        <w:rPr>
          <w:rFonts w:cs="FrankRuehl"/>
          <w:szCs w:val="28"/>
          <w:rtl/>
        </w:rPr>
        <w:t xml:space="preserve"> כמו כן בקביעת מתחם הקנס יש להתחשב במצבו הכלכלי של הנאשם. </w:t>
      </w:r>
      <w:r>
        <w:rPr>
          <w:rFonts w:cs="FrankRuehl" w:hint="cs"/>
          <w:szCs w:val="28"/>
          <w:rtl/>
        </w:rPr>
        <w:t xml:space="preserve">ועל כן </w:t>
      </w:r>
      <w:r w:rsidRPr="000F2D31">
        <w:rPr>
          <w:rFonts w:cs="FrankRuehl"/>
          <w:szCs w:val="28"/>
          <w:rtl/>
        </w:rPr>
        <w:t xml:space="preserve">בנסיבות </w:t>
      </w:r>
      <w:r>
        <w:rPr>
          <w:rFonts w:cs="FrankRuehl" w:hint="cs"/>
          <w:szCs w:val="28"/>
          <w:rtl/>
        </w:rPr>
        <w:t xml:space="preserve">אלו </w:t>
      </w:r>
      <w:r w:rsidRPr="000F2D31">
        <w:rPr>
          <w:rFonts w:cs="FrankRuehl"/>
          <w:szCs w:val="28"/>
          <w:rtl/>
        </w:rPr>
        <w:t>מצאתי</w:t>
      </w:r>
      <w:r>
        <w:rPr>
          <w:rFonts w:cs="FrankRuehl" w:hint="cs"/>
          <w:szCs w:val="28"/>
          <w:rtl/>
        </w:rPr>
        <w:t xml:space="preserve"> לקבוע את </w:t>
      </w:r>
      <w:r w:rsidRPr="000F2D31">
        <w:rPr>
          <w:rFonts w:cs="FrankRuehl"/>
          <w:szCs w:val="28"/>
          <w:rtl/>
        </w:rPr>
        <w:t xml:space="preserve">מתחם הקנס נע בין 7,500-20,000 ש"ח.   </w:t>
      </w:r>
    </w:p>
    <w:p w14:paraId="6080906F" w14:textId="77777777" w:rsidR="00DC18F8" w:rsidRPr="001553AE" w:rsidRDefault="00DC18F8" w:rsidP="00DC18F8">
      <w:pPr>
        <w:tabs>
          <w:tab w:val="left" w:pos="-58"/>
        </w:tabs>
        <w:spacing w:before="100" w:beforeAutospacing="1" w:after="120" w:line="360" w:lineRule="auto"/>
        <w:ind w:left="-58"/>
        <w:jc w:val="both"/>
        <w:rPr>
          <w:rFonts w:ascii="Miriam" w:hAnsi="Miriam" w:cs="Miriam"/>
        </w:rPr>
      </w:pPr>
      <w:r w:rsidRPr="001553AE">
        <w:rPr>
          <w:rFonts w:ascii="Miriam" w:hAnsi="Miriam" w:cs="Miriam" w:hint="cs"/>
          <w:rtl/>
        </w:rPr>
        <w:t xml:space="preserve">קביעת עונשו של הנאשם במתחם העונש </w:t>
      </w:r>
      <w:r>
        <w:rPr>
          <w:rFonts w:ascii="Miriam" w:hAnsi="Miriam" w:cs="Miriam" w:hint="cs"/>
          <w:rtl/>
        </w:rPr>
        <w:t>ההולם</w:t>
      </w:r>
    </w:p>
    <w:p w14:paraId="3F31D95A"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 w:val="28"/>
          <w:szCs w:val="28"/>
          <w:rtl/>
        </w:rPr>
        <w:t>הצדדים לא טענו ואף 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43" w:history="1">
        <w:r w:rsidR="00055CF7" w:rsidRPr="00055CF7">
          <w:rPr>
            <w:rStyle w:val="Hyperlink"/>
            <w:rFonts w:cs="FrankRuehl"/>
            <w:sz w:val="28"/>
            <w:szCs w:val="28"/>
            <w:rtl/>
          </w:rPr>
          <w:t>סעיף 40יא'</w:t>
        </w:r>
      </w:hyperlink>
      <w:r w:rsidRPr="000F2D31">
        <w:rPr>
          <w:rFonts w:cs="FrankRuehl"/>
          <w:sz w:val="28"/>
          <w:szCs w:val="28"/>
          <w:rtl/>
        </w:rPr>
        <w:t xml:space="preserve"> ל</w:t>
      </w:r>
      <w:hyperlink r:id="rId44" w:history="1">
        <w:r w:rsidR="00BC0350" w:rsidRPr="00BC0350">
          <w:rPr>
            <w:rFonts w:cs="FrankRuehl"/>
            <w:color w:val="0000FF"/>
            <w:sz w:val="28"/>
            <w:szCs w:val="28"/>
            <w:u w:val="single"/>
            <w:rtl/>
          </w:rPr>
          <w:t>חוק העונשין</w:t>
        </w:r>
      </w:hyperlink>
      <w:r w:rsidRPr="000F2D31">
        <w:rPr>
          <w:rFonts w:cs="FrankRuehl"/>
          <w:sz w:val="28"/>
          <w:szCs w:val="28"/>
          <w:rtl/>
        </w:rPr>
        <w:t>)</w:t>
      </w:r>
      <w:r>
        <w:rPr>
          <w:rFonts w:cs="FrankRuehl" w:hint="cs"/>
          <w:sz w:val="28"/>
          <w:szCs w:val="28"/>
          <w:rtl/>
        </w:rPr>
        <w:t xml:space="preserve"> כדלקמן:</w:t>
      </w:r>
      <w:r w:rsidRPr="000F2D31">
        <w:rPr>
          <w:rFonts w:cs="FrankRuehl"/>
          <w:sz w:val="28"/>
          <w:szCs w:val="28"/>
          <w:rtl/>
        </w:rPr>
        <w:t xml:space="preserve"> </w:t>
      </w:r>
    </w:p>
    <w:p w14:paraId="766C222A"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 w:val="28"/>
          <w:szCs w:val="28"/>
          <w:rtl/>
        </w:rPr>
        <w:t xml:space="preserve">הנאשם יליד 1989, נטל אחריות מלאה על מעשיו. הנאשם הודה בחקירתו באזהרה בהזדמנות הראשונה ובהמשך הודה בבית המשפט וחסך זמן שיפוטי ניכר. יש טעם רב בטענת הסניגור המלומד לפיה במקרים רבים מידי מנוהלים הליכי מקדמיים המאריכים שלא לצורך את ההליך המשפטי </w:t>
      </w:r>
      <w:r w:rsidRPr="000F2D31">
        <w:rPr>
          <w:rFonts w:cs="FrankRuehl"/>
          <w:szCs w:val="28"/>
          <w:rtl/>
        </w:rPr>
        <w:t>ומעטים הם המקרים בהם נאשם מגיע בשלבים כה מוקדמים כאשר הוא משוחרר בתנאים, מבקש לקבל עליו את הדין מתוך ידיעה ברורה כי צפוי הוא לעונש מאסר ממושך</w:t>
      </w:r>
      <w:r>
        <w:rPr>
          <w:rFonts w:cs="FrankRuehl" w:hint="cs"/>
          <w:szCs w:val="28"/>
          <w:rtl/>
        </w:rPr>
        <w:t xml:space="preserve">. אני סבורה כי </w:t>
      </w:r>
      <w:r w:rsidRPr="000F2D31">
        <w:rPr>
          <w:rFonts w:cs="FrankRuehl"/>
          <w:szCs w:val="28"/>
          <w:rtl/>
        </w:rPr>
        <w:t xml:space="preserve">ראוי </w:t>
      </w:r>
      <w:r>
        <w:rPr>
          <w:rFonts w:cs="FrankRuehl" w:hint="cs"/>
          <w:szCs w:val="28"/>
          <w:rtl/>
        </w:rPr>
        <w:t xml:space="preserve">להעניק לכך משקל ראוי </w:t>
      </w:r>
      <w:r w:rsidRPr="000F2D31">
        <w:rPr>
          <w:rFonts w:cs="FrankRuehl"/>
          <w:szCs w:val="28"/>
          <w:rtl/>
        </w:rPr>
        <w:t>בגזירת הדין</w:t>
      </w:r>
      <w:r>
        <w:rPr>
          <w:rFonts w:cs="FrankRuehl" w:hint="cs"/>
          <w:szCs w:val="28"/>
          <w:rtl/>
        </w:rPr>
        <w:t xml:space="preserve">, </w:t>
      </w:r>
      <w:r w:rsidRPr="000F2D31">
        <w:rPr>
          <w:rFonts w:cs="FrankRuehl"/>
          <w:szCs w:val="28"/>
          <w:rtl/>
        </w:rPr>
        <w:t>שכן מדובר בקבלת אחריות מלאה ובלתי מסויגת.</w:t>
      </w:r>
    </w:p>
    <w:p w14:paraId="2D67A89C"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 w:val="28"/>
          <w:szCs w:val="28"/>
          <w:rtl/>
        </w:rPr>
        <w:t>הנאשם בחור צעיר עתיד לבוא בברית הנישואין. הוא מתגורר בסמוך להוריו אשר סובלים מבעיות בריאותיות רבות, מורכבות וחריגות ועל כך אפשר ללמוד לא רק מחקירתו של האב במשטרה או מהעדות שנגבתה מאימו של הנאשם באמצעות הטלפון, אלא מהמסמכים הרבים שהוצגו על ידי ההגנה (</w:t>
      </w:r>
      <w:r w:rsidRPr="000F2D31">
        <w:rPr>
          <w:rFonts w:cs="Miriam"/>
          <w:rtl/>
        </w:rPr>
        <w:t>טעה/1 – עטה/2; טעה/3 – עטה/6)</w:t>
      </w:r>
      <w:r w:rsidRPr="000F2D31">
        <w:rPr>
          <w:rFonts w:cs="FrankRuehl"/>
          <w:sz w:val="28"/>
          <w:szCs w:val="28"/>
          <w:rtl/>
        </w:rPr>
        <w:t>. מפאת צנעת הפרט אומר בקצרה כי מזה מספר שנים אימו של הנאשם מתמודדת עם מחלה חשוכת מרפא, מרותקת לכיסא גלגלים וסובלת ממכאובים עזים, עברה טיפולים מסוגים שונים ללא שיפור או הטבה. אמו של הנאשם צפויה לעבור בתקופה הקרובה ניתוח לקטיעת רגלה. אביו של הנאשם אף הוא אינו בק</w:t>
      </w:r>
      <w:r>
        <w:rPr>
          <w:rFonts w:cs="FrankRuehl"/>
          <w:sz w:val="28"/>
          <w:szCs w:val="28"/>
          <w:rtl/>
        </w:rPr>
        <w:t>ו הבריאות, סובל ממחלות לב שונות</w:t>
      </w:r>
      <w:r>
        <w:rPr>
          <w:rFonts w:cs="FrankRuehl" w:hint="cs"/>
          <w:sz w:val="28"/>
          <w:szCs w:val="28"/>
          <w:rtl/>
        </w:rPr>
        <w:t xml:space="preserve">. </w:t>
      </w:r>
      <w:r w:rsidRPr="000F2D31">
        <w:rPr>
          <w:rFonts w:cs="FrankRuehl"/>
          <w:sz w:val="28"/>
          <w:szCs w:val="28"/>
          <w:rtl/>
        </w:rPr>
        <w:t>אודה כי דבריו של האב אשר ביקש את התחשבות בית המשפט כמו המכתב שכתבה אימו של הנאשם לבית המשפט נגעו לליבי (</w:t>
      </w:r>
      <w:r w:rsidRPr="000F2D31">
        <w:rPr>
          <w:rFonts w:cs="Miriam"/>
          <w:rtl/>
        </w:rPr>
        <w:t>טעה/3</w:t>
      </w:r>
      <w:r w:rsidRPr="000F2D31">
        <w:rPr>
          <w:rFonts w:cs="FrankRuehl"/>
          <w:sz w:val="28"/>
          <w:szCs w:val="28"/>
          <w:rtl/>
        </w:rPr>
        <w:t xml:space="preserve">). דומה כי אין להכביר מילים על הקושי להתמודד עם מציאות חיים מורכבת וכואבת בה שני ההורים חולים ונזקקים לעזרה ותמיכה מבני משפחתם. מכאן שיש לתת את הדעת לקושי הממשי, האישי, הרגשי הכלכלי על הוריו של הנאשם ככל שיוטל עליו עונש מאסר לתקופה ארוכה.  </w:t>
      </w:r>
    </w:p>
    <w:p w14:paraId="7CBC2C2E"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 xml:space="preserve">עוד לקחתי בחשבון כי הנאשם היה עצור בין התאריכים </w:t>
      </w:r>
      <w:r>
        <w:rPr>
          <w:rFonts w:cs="FrankRuehl" w:hint="cs"/>
          <w:szCs w:val="28"/>
          <w:rtl/>
        </w:rPr>
        <w:t>23.11.2020-16.11.2020 ו</w:t>
      </w:r>
      <w:r w:rsidRPr="000F2D31">
        <w:rPr>
          <w:rFonts w:cs="FrankRuehl"/>
          <w:szCs w:val="28"/>
          <w:rtl/>
        </w:rPr>
        <w:t xml:space="preserve">מאז חודש דצמבר נמצא בתנאים מגבילים כאלו ואחרים. </w:t>
      </w:r>
    </w:p>
    <w:p w14:paraId="59F7D3CD"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Calibri" w:hAnsi="Calibri" w:cs="FrankRuehl"/>
          <w:szCs w:val="28"/>
        </w:rPr>
      </w:pPr>
      <w:r w:rsidRPr="000F2D31">
        <w:rPr>
          <w:rFonts w:cs="FrankRuehl"/>
          <w:szCs w:val="28"/>
          <w:rtl/>
        </w:rPr>
        <w:t>מנגד יש לתת את הדעת לעברו הפלילי של הנאשם אשר כולל הרשעה קודמת אחת מיום 1.8.2013 בגין עביר</w:t>
      </w:r>
      <w:r>
        <w:rPr>
          <w:rFonts w:cs="FrankRuehl" w:hint="cs"/>
          <w:szCs w:val="28"/>
          <w:rtl/>
        </w:rPr>
        <w:t xml:space="preserve">ה </w:t>
      </w:r>
      <w:r>
        <w:rPr>
          <w:rFonts w:cs="FrankRuehl"/>
          <w:szCs w:val="28"/>
          <w:rtl/>
        </w:rPr>
        <w:t>זה</w:t>
      </w:r>
      <w:r>
        <w:rPr>
          <w:rFonts w:cs="FrankRuehl" w:hint="cs"/>
          <w:szCs w:val="28"/>
          <w:rtl/>
        </w:rPr>
        <w:t>ה</w:t>
      </w:r>
      <w:r w:rsidRPr="000F2D31">
        <w:rPr>
          <w:rFonts w:cs="FrankRuehl"/>
          <w:szCs w:val="28"/>
          <w:rtl/>
        </w:rPr>
        <w:t xml:space="preserve"> (</w:t>
      </w:r>
      <w:r w:rsidRPr="000F2D31">
        <w:rPr>
          <w:rFonts w:cs="Miriam"/>
          <w:rtl/>
        </w:rPr>
        <w:t>טעת/1 – טעת/2</w:t>
      </w:r>
      <w:r>
        <w:rPr>
          <w:rFonts w:cs="FrankRuehl"/>
          <w:szCs w:val="28"/>
          <w:rtl/>
        </w:rPr>
        <w:t>) בג</w:t>
      </w:r>
      <w:r>
        <w:rPr>
          <w:rFonts w:cs="FrankRuehl" w:hint="cs"/>
          <w:szCs w:val="28"/>
          <w:rtl/>
        </w:rPr>
        <w:t>ינה</w:t>
      </w:r>
      <w:r w:rsidRPr="000F2D31">
        <w:rPr>
          <w:rFonts w:cs="FrankRuehl"/>
          <w:szCs w:val="28"/>
          <w:rtl/>
        </w:rPr>
        <w:t xml:space="preserve"> נידון ל 6 חודשי מאסר לריצוי בעבודות שירות לצד רכיבי ענישה נוספים. חרף הליכים משפטיים הנאשם </w:t>
      </w:r>
      <w:r>
        <w:rPr>
          <w:rFonts w:cs="FrankRuehl" w:hint="cs"/>
          <w:szCs w:val="28"/>
          <w:rtl/>
        </w:rPr>
        <w:t xml:space="preserve">לא </w:t>
      </w:r>
      <w:r w:rsidRPr="000F2D31">
        <w:rPr>
          <w:rFonts w:cs="FrankRuehl"/>
          <w:szCs w:val="28"/>
          <w:rtl/>
        </w:rPr>
        <w:t>הפיק את לקחיו כמצופה, חזר והסלים פעילותו בעולם הסמים. עם זאת אי אפשר להתעלם מכך שמדובר בעבירה שהתיישנה ולא נמחקה ו</w:t>
      </w:r>
      <w:r>
        <w:rPr>
          <w:rFonts w:cs="FrankRuehl" w:hint="cs"/>
          <w:szCs w:val="28"/>
          <w:rtl/>
        </w:rPr>
        <w:t>בהתאמה מ</w:t>
      </w:r>
      <w:r w:rsidRPr="000F2D31">
        <w:rPr>
          <w:rFonts w:cs="FrankRuehl"/>
          <w:szCs w:val="28"/>
          <w:rtl/>
        </w:rPr>
        <w:t>פרק הזמן בו לא הסתבך הנאשם בפלילים</w:t>
      </w:r>
      <w:r>
        <w:rPr>
          <w:rFonts w:cs="FrankRuehl" w:hint="cs"/>
          <w:szCs w:val="28"/>
          <w:rtl/>
        </w:rPr>
        <w:t>. כמו כן יש לתת את הדעת לכך הנאשם עתיד לרצות עונש מאסר ארוך לראשונה בחייו.</w:t>
      </w:r>
    </w:p>
    <w:p w14:paraId="13853951" w14:textId="77777777" w:rsidR="00DC18F8" w:rsidRPr="000F2D31" w:rsidRDefault="00DC18F8" w:rsidP="00DC18F8">
      <w:pPr>
        <w:tabs>
          <w:tab w:val="left" w:pos="-58"/>
        </w:tabs>
        <w:spacing w:before="100" w:beforeAutospacing="1" w:after="120" w:line="360" w:lineRule="auto"/>
        <w:ind w:left="-58"/>
        <w:jc w:val="both"/>
        <w:rPr>
          <w:rFonts w:ascii="Miriam" w:hAnsi="Miriam" w:cs="Miriam"/>
          <w:rtl/>
        </w:rPr>
      </w:pPr>
      <w:r w:rsidRPr="000F2D31">
        <w:rPr>
          <w:rFonts w:ascii="Miriam" w:hAnsi="Miriam" w:cs="Miriam" w:hint="eastAsia"/>
          <w:rtl/>
        </w:rPr>
        <w:t>תוצאה</w:t>
      </w:r>
      <w:r w:rsidRPr="000F2D31">
        <w:rPr>
          <w:rFonts w:ascii="Miriam" w:hAnsi="Miriam" w:cs="Miriam"/>
          <w:rtl/>
        </w:rPr>
        <w:t xml:space="preserve"> </w:t>
      </w:r>
    </w:p>
    <w:p w14:paraId="78F483BB" w14:textId="77777777" w:rsidR="00DC18F8" w:rsidRPr="000F2D31" w:rsidRDefault="00DC18F8" w:rsidP="00DC18F8">
      <w:pPr>
        <w:numPr>
          <w:ilvl w:val="0"/>
          <w:numId w:val="1"/>
        </w:numPr>
        <w:tabs>
          <w:tab w:val="left" w:pos="-58"/>
        </w:tabs>
        <w:spacing w:before="100" w:beforeAutospacing="1" w:after="120" w:line="360" w:lineRule="auto"/>
        <w:ind w:left="-58" w:firstLine="0"/>
        <w:jc w:val="both"/>
        <w:rPr>
          <w:rFonts w:ascii="FrankRuehl" w:hAnsi="FrankRuehl" w:cs="FrankRuehl"/>
          <w:sz w:val="28"/>
          <w:szCs w:val="28"/>
          <w:rtl/>
        </w:rPr>
      </w:pPr>
      <w:r w:rsidRPr="000F2D31">
        <w:rPr>
          <w:rFonts w:cs="FrankRuehl"/>
          <w:szCs w:val="28"/>
          <w:rtl/>
        </w:rPr>
        <w:t xml:space="preserve">לנוכח האמור ובאיזון בין הנסיבות לזכותו של הנאשם לבין הנסיבות העומדות לחובתו </w:t>
      </w:r>
      <w:r w:rsidRPr="000F2D31">
        <w:rPr>
          <w:rFonts w:ascii="FrankRuehl" w:hAnsi="FrankRuehl" w:cs="FrankRuehl" w:hint="eastAsia"/>
          <w:sz w:val="28"/>
          <w:szCs w:val="28"/>
          <w:rtl/>
        </w:rPr>
        <w:t>אני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גוזרת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העונשים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הבאים</w:t>
      </w:r>
      <w:r w:rsidRPr="000F2D31">
        <w:rPr>
          <w:rFonts w:ascii="FrankRuehl" w:hAnsi="FrankRuehl" w:cs="FrankRuehl"/>
          <w:sz w:val="28"/>
          <w:szCs w:val="28"/>
          <w:rtl/>
        </w:rPr>
        <w:t xml:space="preserve">: </w:t>
      </w:r>
    </w:p>
    <w:p w14:paraId="576E9CAF" w14:textId="77777777" w:rsidR="00DC18F8" w:rsidRPr="000F2D31" w:rsidRDefault="00DC18F8" w:rsidP="00DC18F8">
      <w:pPr>
        <w:spacing w:line="360" w:lineRule="auto"/>
        <w:ind w:firstLine="720"/>
        <w:jc w:val="both"/>
        <w:rPr>
          <w:rFonts w:ascii="FrankRuehl" w:hAnsi="FrankRuehl" w:cs="FrankRuehl"/>
          <w:sz w:val="28"/>
          <w:szCs w:val="28"/>
          <w:rtl/>
        </w:rPr>
      </w:pPr>
      <w:r w:rsidRPr="000F2D31">
        <w:rPr>
          <w:rFonts w:ascii="FrankRuehl" w:hAnsi="FrankRuehl" w:cs="FrankRuehl" w:hint="eastAsia"/>
          <w:sz w:val="28"/>
          <w:szCs w:val="28"/>
          <w:rtl/>
        </w:rPr>
        <w:t>א</w:t>
      </w:r>
      <w:r w:rsidRPr="000F2D31">
        <w:rPr>
          <w:rFonts w:ascii="FrankRuehl" w:hAnsi="FrankRuehl" w:cs="FrankRuehl"/>
          <w:sz w:val="28"/>
          <w:szCs w:val="28"/>
          <w:rtl/>
        </w:rPr>
        <w:t xml:space="preserve">.        15 </w:t>
      </w:r>
      <w:r w:rsidRPr="000F2D31">
        <w:rPr>
          <w:rFonts w:ascii="FrankRuehl" w:hAnsi="FrankRuehl" w:cs="FrankRuehl" w:hint="eastAsia"/>
          <w:sz w:val="28"/>
          <w:szCs w:val="28"/>
          <w:rtl/>
        </w:rPr>
        <w:t>חודשי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מאסר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בפועל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בניכוי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ימי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מעצרו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מיום</w:t>
      </w:r>
      <w:r w:rsidRPr="000F2D31">
        <w:rPr>
          <w:rFonts w:ascii="FrankRuehl" w:hAnsi="FrankRuehl" w:cs="FrankRuehl"/>
          <w:sz w:val="28"/>
          <w:szCs w:val="28"/>
          <w:rtl/>
        </w:rPr>
        <w:t xml:space="preserve"> 16.11.2020 </w:t>
      </w:r>
      <w:r w:rsidRPr="000F2D31">
        <w:rPr>
          <w:rFonts w:ascii="FrankRuehl" w:hAnsi="FrankRuehl" w:cs="FrankRuehl" w:hint="eastAsia"/>
          <w:sz w:val="28"/>
          <w:szCs w:val="28"/>
          <w:rtl/>
        </w:rPr>
        <w:t>ליום</w:t>
      </w:r>
      <w:r w:rsidRPr="000F2D31">
        <w:rPr>
          <w:rFonts w:ascii="FrankRuehl" w:hAnsi="FrankRuehl" w:cs="FrankRuehl"/>
          <w:sz w:val="28"/>
          <w:szCs w:val="28"/>
          <w:rtl/>
        </w:rPr>
        <w:t xml:space="preserve"> 23.11.2020. </w:t>
      </w:r>
    </w:p>
    <w:p w14:paraId="497DDA3D" w14:textId="77777777" w:rsidR="00DC18F8" w:rsidRPr="000F2D31" w:rsidRDefault="00DC18F8" w:rsidP="00DC18F8">
      <w:pPr>
        <w:spacing w:line="360" w:lineRule="auto"/>
        <w:ind w:left="1440"/>
        <w:jc w:val="both"/>
        <w:rPr>
          <w:rFonts w:ascii="FrankRuehl" w:hAnsi="FrankRuehl" w:cs="FrankRuehl"/>
          <w:sz w:val="28"/>
          <w:szCs w:val="28"/>
        </w:rPr>
      </w:pP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יתייצב</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לריצוי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מאסרו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ביום</w:t>
      </w:r>
      <w:r w:rsidRPr="000F2D31">
        <w:rPr>
          <w:rFonts w:ascii="FrankRuehl" w:hAnsi="FrankRuehl" w:cs="FrankRuehl"/>
          <w:sz w:val="28"/>
          <w:szCs w:val="28"/>
          <w:rtl/>
        </w:rPr>
        <w:t xml:space="preserve"> </w:t>
      </w:r>
      <w:r>
        <w:rPr>
          <w:rFonts w:ascii="FrankRuehl" w:hAnsi="FrankRuehl" w:cs="FrankRuehl" w:hint="cs"/>
          <w:sz w:val="28"/>
          <w:szCs w:val="28"/>
          <w:rtl/>
        </w:rPr>
        <w:t>10</w:t>
      </w:r>
      <w:r w:rsidRPr="000F2D31">
        <w:rPr>
          <w:rFonts w:ascii="FrankRuehl" w:hAnsi="FrankRuehl" w:cs="FrankRuehl"/>
          <w:sz w:val="28"/>
          <w:szCs w:val="28"/>
          <w:rtl/>
        </w:rPr>
        <w:t>.</w:t>
      </w:r>
      <w:r>
        <w:rPr>
          <w:rFonts w:ascii="FrankRuehl" w:hAnsi="FrankRuehl" w:cs="FrankRuehl" w:hint="cs"/>
          <w:sz w:val="28"/>
          <w:szCs w:val="28"/>
          <w:rtl/>
        </w:rPr>
        <w:t>10</w:t>
      </w:r>
      <w:r w:rsidRPr="000F2D31">
        <w:rPr>
          <w:rFonts w:ascii="FrankRuehl" w:hAnsi="FrankRuehl" w:cs="FrankRuehl"/>
          <w:sz w:val="28"/>
          <w:szCs w:val="28"/>
          <w:rtl/>
        </w:rPr>
        <w:t xml:space="preserve">.21 </w:t>
      </w:r>
      <w:r w:rsidRPr="000F2D31">
        <w:rPr>
          <w:rFonts w:ascii="FrankRuehl" w:hAnsi="FrankRuehl" w:cs="FrankRuehl" w:hint="eastAsia"/>
          <w:sz w:val="28"/>
          <w:szCs w:val="28"/>
          <w:rtl/>
        </w:rPr>
        <w:t>עד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השעה</w:t>
      </w:r>
      <w:r w:rsidRPr="000F2D31">
        <w:rPr>
          <w:rFonts w:ascii="FrankRuehl" w:hAnsi="FrankRuehl" w:cs="FrankRuehl"/>
          <w:sz w:val="28"/>
          <w:szCs w:val="28"/>
          <w:rtl/>
        </w:rPr>
        <w:t xml:space="preserve"> 10:00 </w:t>
      </w:r>
      <w:r w:rsidRPr="000F2D31">
        <w:rPr>
          <w:rFonts w:ascii="FrankRuehl" w:hAnsi="FrankRuehl" w:cs="FrankRuehl" w:hint="eastAsia"/>
          <w:sz w:val="28"/>
          <w:szCs w:val="28"/>
          <w:rtl/>
        </w:rPr>
        <w:t>בבית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מעצר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איילון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פי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החלטת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שירות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בתי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הסוהר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כשברשותו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תעודת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זהות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דרכון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ועותק</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מהחלטה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זו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לתאם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הכניסה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למאסר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כולל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אפשרות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למיון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מוקדם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ענף</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אבחון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ומיון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שירות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בתי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הסוהר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בטלפונים</w:t>
      </w:r>
      <w:r w:rsidRPr="000F2D31">
        <w:rPr>
          <w:rFonts w:ascii="FrankRuehl" w:hAnsi="FrankRuehl" w:cs="FrankRuehl"/>
          <w:sz w:val="28"/>
          <w:szCs w:val="28"/>
          <w:rtl/>
        </w:rPr>
        <w:t xml:space="preserve">: 08-9787377 </w:t>
      </w:r>
      <w:r w:rsidRPr="000F2D31">
        <w:rPr>
          <w:rFonts w:ascii="FrankRuehl" w:hAnsi="FrankRuehl" w:cs="FrankRuehl" w:hint="eastAsia"/>
          <w:sz w:val="28"/>
          <w:szCs w:val="28"/>
          <w:rtl/>
        </w:rPr>
        <w:t>או</w:t>
      </w:r>
      <w:r w:rsidRPr="000F2D31">
        <w:rPr>
          <w:rFonts w:ascii="FrankRuehl" w:hAnsi="FrankRuehl" w:cs="FrankRuehl"/>
          <w:sz w:val="28"/>
          <w:szCs w:val="28"/>
          <w:rtl/>
        </w:rPr>
        <w:t xml:space="preserve"> 08-9787336.</w:t>
      </w:r>
    </w:p>
    <w:p w14:paraId="7C2A28E1" w14:textId="77777777" w:rsidR="00DC18F8" w:rsidRPr="000F2D31" w:rsidRDefault="00DC18F8" w:rsidP="00DC18F8">
      <w:pPr>
        <w:spacing w:line="360" w:lineRule="auto"/>
        <w:ind w:firstLine="720"/>
        <w:jc w:val="both"/>
        <w:rPr>
          <w:rFonts w:ascii="FrankRuehl" w:hAnsi="FrankRuehl" w:cs="FrankRuehl"/>
          <w:sz w:val="28"/>
          <w:szCs w:val="28"/>
          <w:rtl/>
        </w:rPr>
      </w:pPr>
      <w:r w:rsidRPr="000F2D31">
        <w:rPr>
          <w:rFonts w:ascii="FrankRuehl" w:hAnsi="FrankRuehl" w:cs="FrankRuehl"/>
          <w:sz w:val="28"/>
          <w:szCs w:val="28"/>
          <w:rtl/>
        </w:rPr>
        <w:t xml:space="preserve"> </w:t>
      </w:r>
      <w:r w:rsidRPr="000F2D31">
        <w:rPr>
          <w:rFonts w:ascii="FrankRuehl" w:hAnsi="FrankRuehl" w:cs="FrankRuehl" w:hint="eastAsia"/>
          <w:sz w:val="28"/>
          <w:szCs w:val="28"/>
          <w:rtl/>
        </w:rPr>
        <w:t>ב</w:t>
      </w:r>
      <w:r w:rsidRPr="000F2D31">
        <w:rPr>
          <w:rFonts w:ascii="FrankRuehl" w:hAnsi="FrankRuehl" w:cs="FrankRuehl"/>
          <w:sz w:val="28"/>
          <w:szCs w:val="28"/>
          <w:rtl/>
        </w:rPr>
        <w:t>.</w:t>
      </w:r>
      <w:r w:rsidRPr="000F2D31">
        <w:rPr>
          <w:rFonts w:ascii="FrankRuehl" w:hAnsi="FrankRuehl" w:cs="FrankRuehl"/>
          <w:sz w:val="28"/>
          <w:szCs w:val="28"/>
          <w:rtl/>
        </w:rPr>
        <w:tab/>
        <w:t xml:space="preserve">8 </w:t>
      </w:r>
      <w:r w:rsidRPr="000F2D31">
        <w:rPr>
          <w:rFonts w:ascii="FrankRuehl" w:hAnsi="FrankRuehl" w:cs="FrankRuehl" w:hint="eastAsia"/>
          <w:sz w:val="28"/>
          <w:szCs w:val="28"/>
          <w:rtl/>
        </w:rPr>
        <w:t>חודשי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מאסר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אותם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לא</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ירצה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אלא</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יעבור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בתוך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שלוש</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שנים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מיום</w:t>
      </w:r>
    </w:p>
    <w:p w14:paraId="786F2DF4" w14:textId="77777777" w:rsidR="00DC18F8" w:rsidRPr="000F2D31" w:rsidRDefault="00DC18F8" w:rsidP="00DC18F8">
      <w:pPr>
        <w:spacing w:line="360" w:lineRule="auto"/>
        <w:ind w:firstLine="720"/>
        <w:jc w:val="both"/>
        <w:rPr>
          <w:rFonts w:ascii="FrankRuehl" w:hAnsi="FrankRuehl" w:cs="FrankRuehl"/>
          <w:sz w:val="28"/>
          <w:szCs w:val="28"/>
          <w:rtl/>
        </w:rPr>
      </w:pPr>
      <w:r w:rsidRPr="000F2D31">
        <w:rPr>
          <w:rFonts w:ascii="FrankRuehl" w:hAnsi="FrankRuehl" w:cs="FrankRuehl"/>
          <w:sz w:val="28"/>
          <w:szCs w:val="28"/>
          <w:rtl/>
        </w:rPr>
        <w:t xml:space="preserve">            </w:t>
      </w:r>
      <w:r w:rsidRPr="000F2D31">
        <w:rPr>
          <w:rFonts w:ascii="FrankRuehl" w:hAnsi="FrankRuehl" w:cs="FrankRuehl" w:hint="eastAsia"/>
          <w:sz w:val="28"/>
          <w:szCs w:val="28"/>
          <w:rtl/>
        </w:rPr>
        <w:t>שחרורו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עבירת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פשע</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לפי</w:t>
      </w:r>
      <w:r w:rsidRPr="000F2D31">
        <w:rPr>
          <w:rFonts w:ascii="FrankRuehl" w:hAnsi="FrankRuehl" w:cs="FrankRuehl"/>
          <w:sz w:val="28"/>
          <w:szCs w:val="28"/>
          <w:rtl/>
        </w:rPr>
        <w:t xml:space="preserve"> </w:t>
      </w:r>
      <w:hyperlink r:id="rId45" w:history="1">
        <w:r w:rsidR="00BC0350" w:rsidRPr="00BC0350">
          <w:rPr>
            <w:rFonts w:ascii="FrankRuehl" w:hAnsi="FrankRuehl" w:cs="FrankRuehl"/>
            <w:color w:val="0000FF"/>
            <w:sz w:val="28"/>
            <w:szCs w:val="28"/>
            <w:u w:val="single"/>
            <w:rtl/>
          </w:rPr>
          <w:t>פקודת הסמים המסוכנים</w:t>
        </w:r>
      </w:hyperlink>
      <w:r w:rsidRPr="000F2D31">
        <w:rPr>
          <w:rFonts w:ascii="FrankRuehl" w:hAnsi="FrankRuehl" w:cs="FrankRuehl"/>
          <w:sz w:val="28"/>
          <w:szCs w:val="28"/>
          <w:rtl/>
        </w:rPr>
        <w:t xml:space="preserve">. </w:t>
      </w:r>
    </w:p>
    <w:p w14:paraId="5C42F156" w14:textId="77777777" w:rsidR="00DC18F8" w:rsidRPr="000F2D31" w:rsidRDefault="00DC18F8" w:rsidP="00DC18F8">
      <w:pPr>
        <w:spacing w:line="360" w:lineRule="auto"/>
        <w:ind w:left="1440" w:hanging="720"/>
        <w:jc w:val="both"/>
        <w:rPr>
          <w:rFonts w:ascii="FrankRuehl" w:hAnsi="FrankRuehl" w:cs="FrankRuehl"/>
          <w:sz w:val="28"/>
          <w:szCs w:val="28"/>
          <w:rtl/>
        </w:rPr>
      </w:pPr>
      <w:r w:rsidRPr="000F2D31">
        <w:rPr>
          <w:rFonts w:ascii="FrankRuehl" w:hAnsi="FrankRuehl" w:cs="FrankRuehl" w:hint="eastAsia"/>
          <w:sz w:val="28"/>
          <w:szCs w:val="28"/>
          <w:rtl/>
        </w:rPr>
        <w:t>ג</w:t>
      </w:r>
      <w:r w:rsidRPr="000F2D31">
        <w:rPr>
          <w:rFonts w:ascii="FrankRuehl" w:hAnsi="FrankRuehl" w:cs="FrankRuehl"/>
          <w:sz w:val="28"/>
          <w:szCs w:val="28"/>
          <w:rtl/>
        </w:rPr>
        <w:t xml:space="preserve">.      </w:t>
      </w:r>
      <w:r>
        <w:rPr>
          <w:rFonts w:ascii="FrankRuehl" w:hAnsi="FrankRuehl" w:cs="FrankRuehl" w:hint="cs"/>
          <w:sz w:val="28"/>
          <w:szCs w:val="28"/>
          <w:rtl/>
        </w:rPr>
        <w:t xml:space="preserve">  </w:t>
      </w:r>
      <w:r w:rsidRPr="000F2D31">
        <w:rPr>
          <w:rFonts w:ascii="FrankRuehl" w:hAnsi="FrankRuehl" w:cs="FrankRuehl"/>
          <w:sz w:val="28"/>
          <w:szCs w:val="28"/>
          <w:rtl/>
        </w:rPr>
        <w:t xml:space="preserve">4 </w:t>
      </w:r>
      <w:r w:rsidRPr="000F2D31">
        <w:rPr>
          <w:rFonts w:ascii="FrankRuehl" w:hAnsi="FrankRuehl" w:cs="FrankRuehl" w:hint="eastAsia"/>
          <w:sz w:val="28"/>
          <w:szCs w:val="28"/>
          <w:rtl/>
        </w:rPr>
        <w:t>חודשי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מאסר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אותם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לא</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ירצה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אלא</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יעבור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בתוך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שלוש</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שנים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מיום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שחרורו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עבירת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עוון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לפי</w:t>
      </w:r>
      <w:r w:rsidRPr="000F2D31">
        <w:rPr>
          <w:rFonts w:ascii="FrankRuehl" w:hAnsi="FrankRuehl" w:cs="FrankRuehl"/>
          <w:sz w:val="28"/>
          <w:szCs w:val="28"/>
          <w:rtl/>
        </w:rPr>
        <w:t xml:space="preserve"> </w:t>
      </w:r>
      <w:hyperlink r:id="rId46" w:history="1">
        <w:r w:rsidR="00BC0350" w:rsidRPr="00BC0350">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או עבירה של נטילת חשמל שלא כדין.</w:t>
      </w:r>
    </w:p>
    <w:p w14:paraId="0F314849" w14:textId="77777777" w:rsidR="00DC18F8" w:rsidRPr="000F2D31" w:rsidRDefault="00DC18F8" w:rsidP="00DC18F8">
      <w:pPr>
        <w:spacing w:line="360" w:lineRule="auto"/>
        <w:ind w:left="1440" w:hanging="720"/>
        <w:jc w:val="both"/>
        <w:rPr>
          <w:rFonts w:ascii="FrankRuehl" w:hAnsi="FrankRuehl" w:cs="FrankRuehl"/>
          <w:sz w:val="28"/>
          <w:szCs w:val="28"/>
          <w:rtl/>
        </w:rPr>
      </w:pPr>
      <w:r w:rsidRPr="000F2D31">
        <w:rPr>
          <w:rFonts w:ascii="FrankRuehl" w:hAnsi="FrankRuehl" w:cs="FrankRuehl" w:hint="eastAsia"/>
          <w:sz w:val="28"/>
          <w:szCs w:val="28"/>
          <w:rtl/>
        </w:rPr>
        <w:t>ד</w:t>
      </w:r>
      <w:r w:rsidRPr="000F2D31">
        <w:rPr>
          <w:rFonts w:ascii="FrankRuehl" w:hAnsi="FrankRuehl" w:cs="FrankRuehl"/>
          <w:sz w:val="28"/>
          <w:szCs w:val="28"/>
          <w:rtl/>
        </w:rPr>
        <w:tab/>
      </w:r>
      <w:r w:rsidRPr="000F2D31">
        <w:rPr>
          <w:rFonts w:ascii="FrankRuehl" w:hAnsi="FrankRuehl" w:cs="FrankRuehl" w:hint="eastAsia"/>
          <w:sz w:val="28"/>
          <w:szCs w:val="28"/>
          <w:rtl/>
        </w:rPr>
        <w:t>קנס</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בסך</w:t>
      </w:r>
      <w:r w:rsidRPr="000F2D31">
        <w:rPr>
          <w:rFonts w:ascii="FrankRuehl" w:hAnsi="FrankRuehl" w:cs="FrankRuehl"/>
          <w:sz w:val="28"/>
          <w:szCs w:val="28"/>
          <w:rtl/>
        </w:rPr>
        <w:t xml:space="preserve"> 10,000 </w:t>
      </w:r>
      <w:r w:rsidRPr="000F2D31">
        <w:rPr>
          <w:rFonts w:ascii="FrankRuehl" w:hAnsi="FrankRuehl" w:cs="FrankRuehl" w:hint="eastAsia"/>
          <w:sz w:val="28"/>
          <w:szCs w:val="28"/>
          <w:rtl/>
        </w:rPr>
        <w:t>₪</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או</w:t>
      </w:r>
      <w:r w:rsidRPr="000F2D31">
        <w:rPr>
          <w:rFonts w:ascii="FrankRuehl" w:hAnsi="FrankRuehl" w:cs="FrankRuehl"/>
          <w:sz w:val="28"/>
          <w:szCs w:val="28"/>
          <w:rtl/>
        </w:rPr>
        <w:t xml:space="preserve"> 100 </w:t>
      </w:r>
      <w:r>
        <w:rPr>
          <w:rFonts w:ascii="FrankRuehl" w:hAnsi="FrankRuehl" w:cs="FrankRuehl" w:hint="cs"/>
          <w:sz w:val="28"/>
          <w:szCs w:val="28"/>
          <w:rtl/>
        </w:rPr>
        <w:t xml:space="preserve">ימי </w:t>
      </w:r>
      <w:r w:rsidRPr="000F2D31">
        <w:rPr>
          <w:rFonts w:ascii="FrankRuehl" w:hAnsi="FrankRuehl" w:cs="FrankRuehl" w:hint="eastAsia"/>
          <w:sz w:val="28"/>
          <w:szCs w:val="28"/>
          <w:rtl/>
        </w:rPr>
        <w:t>מאסר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תמורתו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הקנס</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ישולם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w:t>
      </w:r>
      <w:r>
        <w:rPr>
          <w:rFonts w:ascii="FrankRuehl" w:hAnsi="FrankRuehl" w:cs="FrankRuehl" w:hint="cs"/>
          <w:sz w:val="28"/>
          <w:szCs w:val="28"/>
          <w:rtl/>
        </w:rPr>
        <w:t>-</w:t>
      </w:r>
      <w:r w:rsidRPr="000F2D31">
        <w:rPr>
          <w:rFonts w:ascii="FrankRuehl" w:hAnsi="FrankRuehl" w:cs="FrankRuehl"/>
          <w:sz w:val="28"/>
          <w:szCs w:val="28"/>
          <w:rtl/>
        </w:rPr>
        <w:t xml:space="preserve"> 10 </w:t>
      </w:r>
      <w:r w:rsidRPr="000F2D31">
        <w:rPr>
          <w:rFonts w:ascii="FrankRuehl" w:hAnsi="FrankRuehl" w:cs="FrankRuehl" w:hint="eastAsia"/>
          <w:sz w:val="28"/>
          <w:szCs w:val="28"/>
          <w:rtl/>
        </w:rPr>
        <w:t>תשלומים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חודשיים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שווים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ורצופים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החל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מיום</w:t>
      </w:r>
      <w:r w:rsidRPr="000F2D31">
        <w:rPr>
          <w:rFonts w:ascii="FrankRuehl" w:hAnsi="FrankRuehl" w:cs="FrankRuehl"/>
          <w:sz w:val="28"/>
          <w:szCs w:val="28"/>
          <w:rtl/>
        </w:rPr>
        <w:t xml:space="preserve"> 1.11.21. </w:t>
      </w:r>
      <w:r w:rsidRPr="000F2D31">
        <w:rPr>
          <w:rFonts w:ascii="FrankRuehl" w:hAnsi="FrankRuehl" w:cs="FrankRuehl" w:hint="eastAsia"/>
          <w:sz w:val="28"/>
          <w:szCs w:val="28"/>
          <w:rtl/>
        </w:rPr>
        <w:t>לא</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ישולם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איזה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מהתשלומים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במועדו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תעמוד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יתרת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הקנס</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לפירעון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מידי</w:t>
      </w:r>
      <w:r w:rsidRPr="000F2D31">
        <w:rPr>
          <w:rFonts w:ascii="FrankRuehl" w:hAnsi="FrankRuehl" w:cs="FrankRuehl"/>
          <w:sz w:val="28"/>
          <w:szCs w:val="28"/>
          <w:rtl/>
        </w:rPr>
        <w:t xml:space="preserve">. </w:t>
      </w:r>
    </w:p>
    <w:p w14:paraId="70AEDC67" w14:textId="77777777" w:rsidR="00DC18F8" w:rsidRPr="000F2D31" w:rsidRDefault="00DC18F8" w:rsidP="00DC18F8">
      <w:pPr>
        <w:spacing w:line="360" w:lineRule="auto"/>
        <w:ind w:left="1440" w:hanging="720"/>
        <w:jc w:val="both"/>
        <w:rPr>
          <w:rFonts w:ascii="FrankRuehl" w:hAnsi="FrankRuehl" w:cs="FrankRuehl"/>
          <w:sz w:val="28"/>
          <w:szCs w:val="28"/>
          <w:rtl/>
        </w:rPr>
      </w:pPr>
      <w:r w:rsidRPr="000F2D31">
        <w:rPr>
          <w:rFonts w:ascii="FrankRuehl" w:hAnsi="FrankRuehl" w:cs="FrankRuehl" w:hint="eastAsia"/>
          <w:sz w:val="28"/>
          <w:szCs w:val="28"/>
          <w:rtl/>
        </w:rPr>
        <w:t>ה</w:t>
      </w:r>
      <w:r w:rsidRPr="000F2D31">
        <w:rPr>
          <w:rFonts w:ascii="FrankRuehl" w:hAnsi="FrankRuehl" w:cs="FrankRuehl"/>
          <w:sz w:val="28"/>
          <w:szCs w:val="28"/>
          <w:rtl/>
        </w:rPr>
        <w:t>.</w:t>
      </w:r>
      <w:r w:rsidRPr="000F2D31">
        <w:rPr>
          <w:rFonts w:ascii="FrankRuehl" w:hAnsi="FrankRuehl" w:cs="FrankRuehl"/>
          <w:sz w:val="28"/>
          <w:szCs w:val="28"/>
          <w:rtl/>
        </w:rPr>
        <w:tab/>
      </w:r>
      <w:r w:rsidRPr="000F2D31">
        <w:rPr>
          <w:rFonts w:ascii="FrankRuehl" w:hAnsi="FrankRuehl" w:cs="FrankRuehl" w:hint="eastAsia"/>
          <w:sz w:val="28"/>
          <w:szCs w:val="28"/>
          <w:rtl/>
        </w:rPr>
        <w:t>לבקשת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הקנס</w:t>
      </w:r>
      <w:r w:rsidRPr="000F2D31">
        <w:rPr>
          <w:rFonts w:ascii="FrankRuehl" w:hAnsi="FrankRuehl" w:cs="FrankRuehl"/>
          <w:sz w:val="28"/>
          <w:szCs w:val="28"/>
          <w:rtl/>
        </w:rPr>
        <w:t xml:space="preserve"> </w:t>
      </w:r>
      <w:r w:rsidRPr="000F2D31">
        <w:rPr>
          <w:rFonts w:ascii="FrankRuehl" w:hAnsi="FrankRuehl" w:cs="FrankRuehl" w:hint="eastAsia"/>
          <w:sz w:val="28"/>
          <w:szCs w:val="28"/>
          <w:rtl/>
        </w:rPr>
        <w:t>ישולם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מתוך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ערבון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שהופקד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מטעם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בהליך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המעצר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והיתרה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תושב</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בכפוף</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לכל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דין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מובהר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רכיב</w:t>
      </w:r>
      <w:r w:rsidRPr="000F2D31">
        <w:rPr>
          <w:rFonts w:ascii="FrankRuehl" w:hAnsi="FrankRuehl" w:cs="FrankRuehl"/>
          <w:sz w:val="28"/>
          <w:szCs w:val="28"/>
          <w:rtl/>
        </w:rPr>
        <w:t xml:space="preserve"> </w:t>
      </w:r>
      <w:r w:rsidRPr="000F2D31">
        <w:rPr>
          <w:rFonts w:ascii="FrankRuehl" w:hAnsi="FrankRuehl" w:cs="FrankRuehl" w:hint="eastAsia"/>
          <w:sz w:val="28"/>
          <w:szCs w:val="28"/>
          <w:rtl/>
        </w:rPr>
        <w:t>זה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בגזר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הדין</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כפוף</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לכל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מניעה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חוקית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לרבות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עיקול</w:t>
      </w:r>
      <w:r w:rsidRPr="000F2D31">
        <w:rPr>
          <w:rFonts w:ascii="FrankRuehl" w:hAnsi="FrankRuehl" w:cs="FrankRuehl"/>
          <w:sz w:val="28"/>
          <w:szCs w:val="28"/>
          <w:rtl/>
        </w:rPr>
        <w:t>.</w:t>
      </w:r>
    </w:p>
    <w:p w14:paraId="7F4A4AFC" w14:textId="77777777" w:rsidR="00DC18F8" w:rsidRPr="000F2D31" w:rsidRDefault="00DC18F8" w:rsidP="00DC18F8">
      <w:pPr>
        <w:spacing w:line="360" w:lineRule="auto"/>
        <w:ind w:left="1440" w:hanging="720"/>
        <w:jc w:val="both"/>
        <w:rPr>
          <w:rFonts w:ascii="FrankRuehl" w:hAnsi="FrankRuehl" w:cs="FrankRuehl"/>
          <w:sz w:val="28"/>
          <w:szCs w:val="28"/>
        </w:rPr>
      </w:pPr>
      <w:r w:rsidRPr="000F2D31">
        <w:rPr>
          <w:rFonts w:ascii="FrankRuehl" w:hAnsi="FrankRuehl" w:cs="FrankRuehl" w:hint="eastAsia"/>
          <w:sz w:val="28"/>
          <w:szCs w:val="28"/>
          <w:rtl/>
        </w:rPr>
        <w:t>ו</w:t>
      </w:r>
      <w:r w:rsidRPr="000F2D31">
        <w:rPr>
          <w:rFonts w:ascii="FrankRuehl" w:hAnsi="FrankRuehl" w:cs="FrankRuehl"/>
          <w:sz w:val="28"/>
          <w:szCs w:val="28"/>
          <w:rtl/>
        </w:rPr>
        <w:t xml:space="preserve">. </w:t>
      </w:r>
      <w:r w:rsidRPr="000F2D31">
        <w:rPr>
          <w:rFonts w:ascii="FrankRuehl" w:hAnsi="FrankRuehl" w:cs="FrankRuehl"/>
          <w:sz w:val="28"/>
          <w:szCs w:val="28"/>
          <w:rtl/>
        </w:rPr>
        <w:tab/>
      </w:r>
      <w:r w:rsidRPr="000F2D31">
        <w:rPr>
          <w:rFonts w:ascii="FrankRuehl" w:hAnsi="FrankRuehl" w:cs="FrankRuehl" w:hint="eastAsia"/>
          <w:sz w:val="28"/>
          <w:szCs w:val="28"/>
          <w:rtl/>
        </w:rPr>
        <w:t>אני</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מכריזה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הנאשם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כסוחר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סמים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ומורה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חילוט</w:t>
      </w:r>
      <w:r w:rsidRPr="000F2D31">
        <w:rPr>
          <w:rFonts w:ascii="FrankRuehl" w:hAnsi="FrankRuehl" w:cs="FrankRuehl"/>
          <w:sz w:val="28"/>
          <w:szCs w:val="28"/>
          <w:rtl/>
        </w:rPr>
        <w:t xml:space="preserve"> </w:t>
      </w:r>
      <w:r w:rsidRPr="000F2D31">
        <w:rPr>
          <w:rFonts w:ascii="FrankRuehl" w:hAnsi="FrankRuehl" w:cs="FrankRuehl" w:hint="eastAsia"/>
          <w:sz w:val="28"/>
          <w:szCs w:val="28"/>
          <w:rtl/>
        </w:rPr>
        <w:t>ציוד</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המעבדה</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וסך</w:t>
      </w:r>
      <w:r w:rsidRPr="000F2D31">
        <w:rPr>
          <w:rFonts w:ascii="FrankRuehl" w:hAnsi="FrankRuehl" w:cs="FrankRuehl"/>
          <w:sz w:val="28"/>
          <w:szCs w:val="28"/>
          <w:rtl/>
        </w:rPr>
        <w:t xml:space="preserve"> </w:t>
      </w:r>
      <w:r w:rsidRPr="000F2D31">
        <w:rPr>
          <w:rFonts w:ascii="FrankRuehl" w:hAnsi="FrankRuehl" w:cs="FrankRuehl" w:hint="eastAsia"/>
          <w:sz w:val="28"/>
          <w:szCs w:val="28"/>
          <w:rtl/>
        </w:rPr>
        <w:t>של</w:t>
      </w:r>
      <w:r w:rsidRPr="000F2D31">
        <w:rPr>
          <w:rFonts w:ascii="FrankRuehl" w:hAnsi="FrankRuehl" w:cs="FrankRuehl"/>
          <w:sz w:val="28"/>
          <w:szCs w:val="28"/>
          <w:rtl/>
        </w:rPr>
        <w:t xml:space="preserve"> 10,500 </w:t>
      </w:r>
      <w:r w:rsidRPr="000F2D31">
        <w:rPr>
          <w:rFonts w:ascii="FrankRuehl" w:hAnsi="FrankRuehl" w:cs="FrankRuehl" w:hint="eastAsia"/>
          <w:sz w:val="28"/>
          <w:szCs w:val="28"/>
          <w:rtl/>
        </w:rPr>
        <w:t>₪</w:t>
      </w:r>
      <w:r w:rsidRPr="000F2D31">
        <w:rPr>
          <w:rFonts w:ascii="FrankRuehl" w:hAnsi="FrankRuehl" w:cs="FrankRuehl"/>
          <w:sz w:val="28"/>
          <w:szCs w:val="28"/>
          <w:rtl/>
        </w:rPr>
        <w:t xml:space="preserve">  </w:t>
      </w:r>
      <w:r w:rsidRPr="000F2D31">
        <w:rPr>
          <w:rFonts w:ascii="FrankRuehl" w:hAnsi="FrankRuehl" w:cs="FrankRuehl" w:hint="eastAsia"/>
          <w:sz w:val="28"/>
          <w:szCs w:val="28"/>
          <w:rtl/>
        </w:rPr>
        <w:t>אשר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נתפסו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ושימשו</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לביצוע</w:t>
      </w:r>
      <w:r w:rsidRPr="000F2D31">
        <w:rPr>
          <w:rFonts w:ascii="FrankRuehl" w:hAnsi="FrankRuehl" w:cs="FrankRuehl"/>
          <w:sz w:val="28"/>
          <w:szCs w:val="28"/>
          <w:rtl/>
        </w:rPr>
        <w:t xml:space="preserve"> </w:t>
      </w:r>
      <w:r w:rsidRPr="000F2D31">
        <w:rPr>
          <w:rFonts w:ascii="FrankRuehl" w:hAnsi="FrankRuehl" w:cs="FrankRuehl" w:hint="eastAsia"/>
          <w:sz w:val="28"/>
          <w:szCs w:val="28"/>
          <w:rtl/>
        </w:rPr>
        <w:t>העבירות</w:t>
      </w:r>
      <w:r w:rsidRPr="000F2D31">
        <w:rPr>
          <w:rFonts w:ascii="FrankRuehl" w:hAnsi="FrankRuehl" w:cs="FrankRuehl"/>
          <w:sz w:val="28"/>
          <w:szCs w:val="28"/>
          <w:rtl/>
        </w:rPr>
        <w:t>.</w:t>
      </w:r>
    </w:p>
    <w:p w14:paraId="602B9138" w14:textId="77777777" w:rsidR="00DC18F8" w:rsidRPr="000F2D31" w:rsidRDefault="00DC18F8" w:rsidP="00DC18F8">
      <w:pPr>
        <w:spacing w:line="360" w:lineRule="auto"/>
        <w:ind w:left="1440" w:hanging="720"/>
        <w:jc w:val="both"/>
        <w:rPr>
          <w:rFonts w:ascii="FrankRuehl" w:hAnsi="FrankRuehl" w:cs="FrankRuehl"/>
          <w:sz w:val="28"/>
          <w:szCs w:val="28"/>
          <w:rtl/>
        </w:rPr>
      </w:pPr>
      <w:r w:rsidRPr="000F2D31">
        <w:rPr>
          <w:rFonts w:ascii="FrankRuehl" w:hAnsi="FrankRuehl" w:cs="FrankRuehl"/>
          <w:sz w:val="28"/>
          <w:szCs w:val="28"/>
          <w:rtl/>
        </w:rPr>
        <w:t xml:space="preserve"> </w:t>
      </w:r>
    </w:p>
    <w:p w14:paraId="026EEBF0" w14:textId="77777777" w:rsidR="00DC18F8" w:rsidRPr="000F2D31" w:rsidRDefault="00DC18F8" w:rsidP="00DC18F8">
      <w:pPr>
        <w:spacing w:line="360" w:lineRule="auto"/>
        <w:ind w:firstLine="720"/>
        <w:jc w:val="both"/>
        <w:rPr>
          <w:rFonts w:ascii="FrankRuehl" w:hAnsi="FrankRuehl" w:cs="FrankRuehl"/>
          <w:sz w:val="28"/>
          <w:szCs w:val="28"/>
          <w:rtl/>
        </w:rPr>
      </w:pPr>
      <w:r w:rsidRPr="000F2D31">
        <w:rPr>
          <w:rFonts w:ascii="FrankRuehl" w:hAnsi="FrankRuehl" w:cs="FrankRuehl" w:hint="eastAsia"/>
          <w:sz w:val="28"/>
          <w:szCs w:val="28"/>
          <w:rtl/>
        </w:rPr>
        <w:t>טיפול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במוצגים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בכפוף</w:t>
      </w:r>
      <w:r w:rsidRPr="000F2D31">
        <w:rPr>
          <w:rFonts w:ascii="FrankRuehl" w:hAnsi="FrankRuehl" w:cs="FrankRuehl"/>
          <w:sz w:val="28"/>
          <w:szCs w:val="28"/>
          <w:rtl/>
        </w:rPr>
        <w:t xml:space="preserve"> </w:t>
      </w:r>
      <w:r w:rsidRPr="000F2D31">
        <w:rPr>
          <w:rFonts w:ascii="FrankRuehl" w:hAnsi="FrankRuehl" w:cs="FrankRuehl" w:hint="eastAsia"/>
          <w:sz w:val="28"/>
          <w:szCs w:val="28"/>
          <w:rtl/>
        </w:rPr>
        <w:t>לכל</w:t>
      </w:r>
      <w:r w:rsidRPr="000F2D31">
        <w:rPr>
          <w:rFonts w:ascii="FrankRuehl" w:hAnsi="FrankRuehl" w:cs="FrankRuehl"/>
          <w:sz w:val="28"/>
          <w:szCs w:val="28"/>
          <w:rtl/>
        </w:rPr>
        <w:t xml:space="preserve"> </w:t>
      </w:r>
      <w:r w:rsidRPr="000F2D31">
        <w:rPr>
          <w:rFonts w:ascii="FrankRuehl" w:hAnsi="FrankRuehl" w:cs="FrankRuehl" w:hint="eastAsia"/>
          <w:sz w:val="28"/>
          <w:szCs w:val="28"/>
          <w:rtl/>
        </w:rPr>
        <w:t>דין</w:t>
      </w:r>
      <w:r w:rsidRPr="000F2D31">
        <w:rPr>
          <w:rFonts w:ascii="FrankRuehl" w:hAnsi="FrankRuehl" w:cs="FrankRuehl"/>
          <w:sz w:val="28"/>
          <w:szCs w:val="28"/>
          <w:rtl/>
        </w:rPr>
        <w:t xml:space="preserve">. </w:t>
      </w:r>
    </w:p>
    <w:p w14:paraId="745DFA73" w14:textId="77777777" w:rsidR="00DC18F8" w:rsidRPr="000F2D31" w:rsidRDefault="00DC18F8" w:rsidP="00DC18F8">
      <w:pPr>
        <w:spacing w:line="360" w:lineRule="auto"/>
        <w:ind w:firstLine="720"/>
        <w:jc w:val="both"/>
        <w:rPr>
          <w:rFonts w:ascii="FrankRuehl" w:hAnsi="FrankRuehl" w:cs="FrankRuehl"/>
          <w:sz w:val="28"/>
          <w:szCs w:val="28"/>
        </w:rPr>
      </w:pPr>
      <w:r w:rsidRPr="000F2D31">
        <w:rPr>
          <w:rFonts w:ascii="FrankRuehl" w:hAnsi="FrankRuehl" w:cs="FrankRuehl" w:hint="eastAsia"/>
          <w:sz w:val="28"/>
          <w:szCs w:val="28"/>
          <w:rtl/>
        </w:rPr>
        <w:t>זכות</w:t>
      </w:r>
      <w:r w:rsidRPr="000F2D31">
        <w:rPr>
          <w:rFonts w:ascii="FrankRuehl" w:hAnsi="FrankRuehl" w:cs="FrankRuehl"/>
          <w:sz w:val="28"/>
          <w:szCs w:val="28"/>
          <w:rtl/>
        </w:rPr>
        <w:t xml:space="preserve"> </w:t>
      </w:r>
      <w:r w:rsidRPr="000F2D31">
        <w:rPr>
          <w:rFonts w:ascii="FrankRuehl" w:hAnsi="FrankRuehl" w:cs="FrankRuehl" w:hint="eastAsia"/>
          <w:sz w:val="28"/>
          <w:szCs w:val="28"/>
          <w:rtl/>
        </w:rPr>
        <w:t>ערעור</w:t>
      </w:r>
      <w:r w:rsidRPr="000F2D31">
        <w:rPr>
          <w:rFonts w:ascii="FrankRuehl" w:hAnsi="FrankRuehl" w:cs="FrankRuehl"/>
          <w:sz w:val="28"/>
          <w:szCs w:val="28"/>
          <w:rtl/>
        </w:rPr>
        <w:t xml:space="preserve"> </w:t>
      </w:r>
      <w:r w:rsidRPr="000F2D31">
        <w:rPr>
          <w:rFonts w:ascii="FrankRuehl" w:hAnsi="FrankRuehl" w:cs="FrankRuehl" w:hint="eastAsia"/>
          <w:sz w:val="28"/>
          <w:szCs w:val="28"/>
          <w:rtl/>
        </w:rPr>
        <w:t>תוך</w:t>
      </w:r>
      <w:r w:rsidRPr="000F2D31">
        <w:rPr>
          <w:rFonts w:ascii="FrankRuehl" w:hAnsi="FrankRuehl" w:cs="FrankRuehl"/>
          <w:sz w:val="28"/>
          <w:szCs w:val="28"/>
          <w:rtl/>
        </w:rPr>
        <w:t xml:space="preserve"> 45 </w:t>
      </w:r>
      <w:r w:rsidRPr="000F2D31">
        <w:rPr>
          <w:rFonts w:ascii="FrankRuehl" w:hAnsi="FrankRuehl" w:cs="FrankRuehl" w:hint="eastAsia"/>
          <w:sz w:val="28"/>
          <w:szCs w:val="28"/>
          <w:rtl/>
        </w:rPr>
        <w:t>ימים</w:t>
      </w:r>
      <w:r w:rsidRPr="000F2D31">
        <w:rPr>
          <w:rFonts w:ascii="FrankRuehl" w:hAnsi="FrankRuehl" w:cs="FrankRuehl"/>
          <w:sz w:val="28"/>
          <w:szCs w:val="28"/>
          <w:rtl/>
        </w:rPr>
        <w:t xml:space="preserve"> </w:t>
      </w:r>
      <w:r w:rsidRPr="000F2D31">
        <w:rPr>
          <w:rFonts w:ascii="FrankRuehl" w:hAnsi="FrankRuehl" w:cs="FrankRuehl" w:hint="eastAsia"/>
          <w:sz w:val="28"/>
          <w:szCs w:val="28"/>
          <w:rtl/>
        </w:rPr>
        <w:t>מהיום</w:t>
      </w:r>
      <w:r w:rsidRPr="000F2D31">
        <w:rPr>
          <w:rFonts w:ascii="FrankRuehl" w:hAnsi="FrankRuehl" w:cs="FrankRuehl"/>
          <w:sz w:val="28"/>
          <w:szCs w:val="28"/>
          <w:rtl/>
        </w:rPr>
        <w:t>.</w:t>
      </w:r>
    </w:p>
    <w:p w14:paraId="545E0AAF" w14:textId="77777777" w:rsidR="00DC18F8" w:rsidRPr="00BC0350" w:rsidRDefault="00BC0350" w:rsidP="00DC18F8">
      <w:pPr>
        <w:rPr>
          <w:rFonts w:ascii="David" w:hAnsi="David"/>
          <w:color w:val="FFFFFF"/>
          <w:sz w:val="2"/>
          <w:szCs w:val="2"/>
          <w:rtl/>
        </w:rPr>
      </w:pPr>
      <w:r w:rsidRPr="00BC0350">
        <w:rPr>
          <w:rFonts w:ascii="David" w:hAnsi="David"/>
          <w:color w:val="FFFFFF"/>
          <w:sz w:val="2"/>
          <w:szCs w:val="2"/>
          <w:rtl/>
        </w:rPr>
        <w:t>5129371</w:t>
      </w:r>
    </w:p>
    <w:p w14:paraId="36CCC48D" w14:textId="77777777" w:rsidR="00DC18F8" w:rsidRPr="00BC0350" w:rsidRDefault="00BC0350" w:rsidP="00DC18F8">
      <w:pPr>
        <w:rPr>
          <w:rFonts w:ascii="David" w:hAnsi="David"/>
          <w:color w:val="FFFFFF"/>
          <w:sz w:val="2"/>
          <w:szCs w:val="2"/>
          <w:rtl/>
        </w:rPr>
      </w:pPr>
      <w:r w:rsidRPr="00BC0350">
        <w:rPr>
          <w:rFonts w:ascii="David" w:hAnsi="David"/>
          <w:color w:val="FFFFFF"/>
          <w:sz w:val="2"/>
          <w:szCs w:val="2"/>
          <w:rtl/>
        </w:rPr>
        <w:t>54678313</w:t>
      </w:r>
    </w:p>
    <w:p w14:paraId="689D1B0E" w14:textId="77777777" w:rsidR="00DC18F8" w:rsidRPr="002B7D23" w:rsidRDefault="00DC18F8" w:rsidP="00DC18F8">
      <w:pPr>
        <w:rPr>
          <w:rFonts w:ascii="David" w:hAnsi="David"/>
          <w:sz w:val="26"/>
          <w:szCs w:val="26"/>
          <w:rtl/>
        </w:rPr>
      </w:pPr>
    </w:p>
    <w:p w14:paraId="6E23CD03" w14:textId="77777777" w:rsidR="00DC18F8" w:rsidRPr="003F3E9B" w:rsidRDefault="00BC0350" w:rsidP="00DC18F8">
      <w:pPr>
        <w:rPr>
          <w:rFonts w:ascii="David" w:hAnsi="David"/>
          <w:sz w:val="26"/>
          <w:szCs w:val="26"/>
          <w:rtl/>
        </w:rPr>
      </w:pPr>
      <w:bookmarkStart w:id="7" w:name="Nitan"/>
      <w:r>
        <w:rPr>
          <w:b/>
          <w:bCs/>
          <w:rtl/>
        </w:rPr>
        <w:t xml:space="preserve">ניתנה והודעה היום ז' תשרי תשפ"ב, 13/09/2021 במעמד הנוכחים. </w:t>
      </w:r>
      <w:bookmarkEnd w:id="7"/>
    </w:p>
    <w:p w14:paraId="6E7CDFA0" w14:textId="77777777" w:rsidR="00DC18F8" w:rsidRPr="002B7D23" w:rsidRDefault="00DC18F8" w:rsidP="00BC035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79C00EC" w14:textId="77777777" w:rsidR="00DC18F8" w:rsidRPr="00055CF7" w:rsidRDefault="00055CF7" w:rsidP="00DC18F8">
      <w:pPr>
        <w:jc w:val="center"/>
        <w:rPr>
          <w:rFonts w:ascii="David" w:hAnsi="David"/>
          <w:color w:val="FFFFFF"/>
          <w:sz w:val="2"/>
          <w:szCs w:val="2"/>
          <w:rtl/>
        </w:rPr>
      </w:pPr>
      <w:r w:rsidRPr="00055CF7">
        <w:rPr>
          <w:rFonts w:ascii="David" w:hAnsi="David"/>
          <w:color w:val="FFFFFF"/>
          <w:sz w:val="2"/>
          <w:szCs w:val="2"/>
          <w:rtl/>
        </w:rPr>
        <w:t>5129371</w:t>
      </w:r>
    </w:p>
    <w:p w14:paraId="46DC4B0E" w14:textId="77777777" w:rsidR="00A46690" w:rsidRPr="00055CF7" w:rsidRDefault="00055CF7" w:rsidP="00BC0350">
      <w:pPr>
        <w:keepNext/>
        <w:rPr>
          <w:rFonts w:ascii="David" w:hAnsi="David"/>
          <w:color w:val="FFFFFF"/>
          <w:sz w:val="2"/>
          <w:szCs w:val="2"/>
          <w:rtl/>
        </w:rPr>
      </w:pPr>
      <w:r w:rsidRPr="00055CF7">
        <w:rPr>
          <w:rFonts w:ascii="David" w:hAnsi="David"/>
          <w:color w:val="FFFFFF"/>
          <w:sz w:val="2"/>
          <w:szCs w:val="2"/>
          <w:rtl/>
        </w:rPr>
        <w:t>54678313</w:t>
      </w:r>
    </w:p>
    <w:p w14:paraId="0C383274" w14:textId="77777777" w:rsidR="00BC0350" w:rsidRPr="00BC0350" w:rsidRDefault="00BC0350" w:rsidP="00BC0350">
      <w:pPr>
        <w:keepNext/>
        <w:rPr>
          <w:rFonts w:ascii="David" w:hAnsi="David"/>
          <w:color w:val="000000"/>
          <w:sz w:val="22"/>
          <w:szCs w:val="22"/>
          <w:rtl/>
        </w:rPr>
      </w:pPr>
      <w:r w:rsidRPr="00BC0350">
        <w:rPr>
          <w:rFonts w:ascii="David" w:hAnsi="David"/>
          <w:color w:val="000000"/>
          <w:sz w:val="22"/>
          <w:szCs w:val="22"/>
          <w:rtl/>
        </w:rPr>
        <w:t>זהר דיבון סגל 54678313</w:t>
      </w:r>
    </w:p>
    <w:p w14:paraId="62F441DD" w14:textId="77777777" w:rsidR="00BC0350" w:rsidRDefault="00BC0350" w:rsidP="00BC0350">
      <w:r w:rsidRPr="00BC0350">
        <w:rPr>
          <w:color w:val="000000"/>
          <w:rtl/>
        </w:rPr>
        <w:t>נוסח מסמך זה כפוף לשינויי ניסוח ועריכה</w:t>
      </w:r>
    </w:p>
    <w:p w14:paraId="4F8F9E31" w14:textId="77777777" w:rsidR="00BC0350" w:rsidRDefault="00BC0350" w:rsidP="00BC0350">
      <w:pPr>
        <w:rPr>
          <w:rtl/>
        </w:rPr>
      </w:pPr>
    </w:p>
    <w:p w14:paraId="53B48EA6" w14:textId="77777777" w:rsidR="00BC0350" w:rsidRDefault="00BC0350" w:rsidP="00BC035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sectPr w:rsidR="00BC0350" w:rsidSect="00055CF7">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504BA" w14:textId="77777777" w:rsidR="003A4AC7" w:rsidRDefault="003A4AC7" w:rsidP="0081072A">
      <w:r>
        <w:separator/>
      </w:r>
    </w:p>
  </w:endnote>
  <w:endnote w:type="continuationSeparator" w:id="0">
    <w:p w14:paraId="1B08CAD4" w14:textId="77777777" w:rsidR="003A4AC7" w:rsidRDefault="003A4AC7" w:rsidP="0081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2D5B3" w14:textId="77777777" w:rsidR="00055CF7" w:rsidRDefault="00055CF7" w:rsidP="00055C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3D142A" w14:textId="77777777" w:rsidR="008E0241" w:rsidRPr="00055CF7" w:rsidRDefault="00055CF7" w:rsidP="00055CF7">
    <w:pPr>
      <w:pStyle w:val="a5"/>
      <w:pBdr>
        <w:top w:val="single" w:sz="4" w:space="1" w:color="auto"/>
        <w:between w:val="single" w:sz="4" w:space="0" w:color="auto"/>
      </w:pBdr>
      <w:spacing w:after="60"/>
      <w:jc w:val="center"/>
      <w:rPr>
        <w:rFonts w:ascii="FrankRuehl" w:hAnsi="FrankRuehl" w:cs="FrankRuehl"/>
        <w:color w:val="000000"/>
      </w:rPr>
    </w:pPr>
    <w:r w:rsidRPr="00055C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14FF" w14:textId="77777777" w:rsidR="00055CF7" w:rsidRDefault="00055CF7" w:rsidP="00055C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5D2C">
      <w:rPr>
        <w:rFonts w:ascii="FrankRuehl" w:hAnsi="FrankRuehl" w:cs="FrankRuehl"/>
        <w:noProof/>
        <w:rtl/>
      </w:rPr>
      <w:t>1</w:t>
    </w:r>
    <w:r>
      <w:rPr>
        <w:rFonts w:ascii="FrankRuehl" w:hAnsi="FrankRuehl" w:cs="FrankRuehl"/>
        <w:rtl/>
      </w:rPr>
      <w:fldChar w:fldCharType="end"/>
    </w:r>
  </w:p>
  <w:p w14:paraId="7A384D77" w14:textId="77777777" w:rsidR="008E0241" w:rsidRPr="00055CF7" w:rsidRDefault="00055CF7" w:rsidP="00055CF7">
    <w:pPr>
      <w:pStyle w:val="a5"/>
      <w:pBdr>
        <w:top w:val="single" w:sz="4" w:space="1" w:color="auto"/>
        <w:between w:val="single" w:sz="4" w:space="0" w:color="auto"/>
      </w:pBdr>
      <w:spacing w:after="60"/>
      <w:jc w:val="center"/>
      <w:rPr>
        <w:rFonts w:ascii="FrankRuehl" w:hAnsi="FrankRuehl" w:cs="FrankRuehl"/>
        <w:color w:val="000000"/>
      </w:rPr>
    </w:pPr>
    <w:r w:rsidRPr="00055CF7">
      <w:rPr>
        <w:rFonts w:ascii="FrankRuehl" w:hAnsi="FrankRuehl" w:cs="FrankRuehl"/>
        <w:color w:val="000000"/>
      </w:rPr>
      <w:pict w14:anchorId="68577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E0DC3" w14:textId="77777777" w:rsidR="003A4AC7" w:rsidRDefault="003A4AC7" w:rsidP="0081072A">
      <w:r>
        <w:separator/>
      </w:r>
    </w:p>
  </w:footnote>
  <w:footnote w:type="continuationSeparator" w:id="0">
    <w:p w14:paraId="2AE22350" w14:textId="77777777" w:rsidR="003A4AC7" w:rsidRDefault="003A4AC7" w:rsidP="00810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4705F" w14:textId="77777777" w:rsidR="00BC0350" w:rsidRPr="00055CF7" w:rsidRDefault="00055CF7" w:rsidP="00055C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69281-11-20</w:t>
    </w:r>
    <w:r>
      <w:rPr>
        <w:rFonts w:ascii="David" w:hAnsi="David"/>
        <w:color w:val="000000"/>
        <w:sz w:val="22"/>
        <w:szCs w:val="22"/>
        <w:rtl/>
      </w:rPr>
      <w:tab/>
      <w:t xml:space="preserve"> מדינת ישראל נ' זיו אורדמן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2011D" w14:textId="77777777" w:rsidR="00BC0350" w:rsidRPr="00055CF7" w:rsidRDefault="00055CF7" w:rsidP="00055C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69281-11-20</w:t>
    </w:r>
    <w:r>
      <w:rPr>
        <w:rFonts w:ascii="David" w:hAnsi="David"/>
        <w:color w:val="000000"/>
        <w:sz w:val="22"/>
        <w:szCs w:val="22"/>
        <w:rtl/>
      </w:rPr>
      <w:tab/>
      <w:t xml:space="preserve"> מדינת ישראל נ' זיו אורדמן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5AC"/>
    <w:multiLevelType w:val="hybridMultilevel"/>
    <w:tmpl w:val="01B0FE4E"/>
    <w:lvl w:ilvl="0" w:tplc="3000BCC2">
      <w:start w:val="1"/>
      <w:numFmt w:val="decimal"/>
      <w:lvlText w:val="%1."/>
      <w:lvlJc w:val="left"/>
      <w:pPr>
        <w:ind w:left="444" w:hanging="360"/>
      </w:pPr>
      <w:rPr>
        <w:rFonts w:ascii="Times New Roman" w:hAnsi="Times New Roman" w:cs="FrankRuehl" w:hint="default"/>
        <w:sz w:val="28"/>
      </w:rPr>
    </w:lvl>
    <w:lvl w:ilvl="1" w:tplc="04090019">
      <w:start w:val="1"/>
      <w:numFmt w:val="lowerLetter"/>
      <w:lvlText w:val="%2."/>
      <w:lvlJc w:val="left"/>
      <w:pPr>
        <w:ind w:left="1164" w:hanging="360"/>
      </w:pPr>
      <w:rPr>
        <w:rFonts w:cs="Times New Roman"/>
      </w:rPr>
    </w:lvl>
    <w:lvl w:ilvl="2" w:tplc="0409001B" w:tentative="1">
      <w:start w:val="1"/>
      <w:numFmt w:val="lowerRoman"/>
      <w:lvlText w:val="%3."/>
      <w:lvlJc w:val="right"/>
      <w:pPr>
        <w:ind w:left="1884" w:hanging="180"/>
      </w:pPr>
      <w:rPr>
        <w:rFonts w:cs="Times New Roman"/>
      </w:rPr>
    </w:lvl>
    <w:lvl w:ilvl="3" w:tplc="0409000F" w:tentative="1">
      <w:start w:val="1"/>
      <w:numFmt w:val="decimal"/>
      <w:lvlText w:val="%4."/>
      <w:lvlJc w:val="left"/>
      <w:pPr>
        <w:ind w:left="2604" w:hanging="360"/>
      </w:pPr>
      <w:rPr>
        <w:rFonts w:cs="Times New Roman"/>
      </w:rPr>
    </w:lvl>
    <w:lvl w:ilvl="4" w:tplc="04090019" w:tentative="1">
      <w:start w:val="1"/>
      <w:numFmt w:val="lowerLetter"/>
      <w:lvlText w:val="%5."/>
      <w:lvlJc w:val="left"/>
      <w:pPr>
        <w:ind w:left="3324" w:hanging="360"/>
      </w:pPr>
      <w:rPr>
        <w:rFonts w:cs="Times New Roman"/>
      </w:rPr>
    </w:lvl>
    <w:lvl w:ilvl="5" w:tplc="0409001B" w:tentative="1">
      <w:start w:val="1"/>
      <w:numFmt w:val="lowerRoman"/>
      <w:lvlText w:val="%6."/>
      <w:lvlJc w:val="right"/>
      <w:pPr>
        <w:ind w:left="4044" w:hanging="180"/>
      </w:pPr>
      <w:rPr>
        <w:rFonts w:cs="Times New Roman"/>
      </w:rPr>
    </w:lvl>
    <w:lvl w:ilvl="6" w:tplc="0409000F" w:tentative="1">
      <w:start w:val="1"/>
      <w:numFmt w:val="decimal"/>
      <w:lvlText w:val="%7."/>
      <w:lvlJc w:val="left"/>
      <w:pPr>
        <w:ind w:left="4764" w:hanging="360"/>
      </w:pPr>
      <w:rPr>
        <w:rFonts w:cs="Times New Roman"/>
      </w:rPr>
    </w:lvl>
    <w:lvl w:ilvl="7" w:tplc="04090019" w:tentative="1">
      <w:start w:val="1"/>
      <w:numFmt w:val="lowerLetter"/>
      <w:lvlText w:val="%8."/>
      <w:lvlJc w:val="left"/>
      <w:pPr>
        <w:ind w:left="5484" w:hanging="360"/>
      </w:pPr>
      <w:rPr>
        <w:rFonts w:cs="Times New Roman"/>
      </w:rPr>
    </w:lvl>
    <w:lvl w:ilvl="8" w:tplc="0409001B" w:tentative="1">
      <w:start w:val="1"/>
      <w:numFmt w:val="lowerRoman"/>
      <w:lvlText w:val="%9."/>
      <w:lvlJc w:val="right"/>
      <w:pPr>
        <w:ind w:left="6204" w:hanging="180"/>
      </w:pPr>
      <w:rPr>
        <w:rFonts w:cs="Times New Roman"/>
      </w:rPr>
    </w:lvl>
  </w:abstractNum>
  <w:num w:numId="1" w16cid:durableId="66902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18F8"/>
    <w:rsid w:val="00055CF7"/>
    <w:rsid w:val="000B2FC9"/>
    <w:rsid w:val="0014401D"/>
    <w:rsid w:val="00375D08"/>
    <w:rsid w:val="003A4AC7"/>
    <w:rsid w:val="00416B13"/>
    <w:rsid w:val="00456B5E"/>
    <w:rsid w:val="005C329F"/>
    <w:rsid w:val="0081072A"/>
    <w:rsid w:val="008E0241"/>
    <w:rsid w:val="009A4E4C"/>
    <w:rsid w:val="00A46690"/>
    <w:rsid w:val="00AF7971"/>
    <w:rsid w:val="00B1394D"/>
    <w:rsid w:val="00BC0350"/>
    <w:rsid w:val="00DC18F8"/>
    <w:rsid w:val="00F35D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6686EB"/>
  <w15:chartTrackingRefBased/>
  <w15:docId w15:val="{246ABA48-9ADF-4A6D-94D9-A641BCBF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18F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18F8"/>
    <w:pPr>
      <w:tabs>
        <w:tab w:val="center" w:pos="4153"/>
        <w:tab w:val="right" w:pos="8306"/>
      </w:tabs>
    </w:pPr>
  </w:style>
  <w:style w:type="character" w:customStyle="1" w:styleId="a4">
    <w:name w:val="כותרת עליונה תו"/>
    <w:link w:val="a3"/>
    <w:rsid w:val="00DC18F8"/>
    <w:rPr>
      <w:rFonts w:ascii="Times New Roman" w:eastAsia="Times New Roman" w:hAnsi="Times New Roman" w:cs="David"/>
      <w:sz w:val="24"/>
      <w:szCs w:val="24"/>
    </w:rPr>
  </w:style>
  <w:style w:type="paragraph" w:styleId="a5">
    <w:name w:val="footer"/>
    <w:basedOn w:val="a"/>
    <w:link w:val="a6"/>
    <w:rsid w:val="00DC18F8"/>
    <w:pPr>
      <w:tabs>
        <w:tab w:val="center" w:pos="4153"/>
        <w:tab w:val="right" w:pos="8306"/>
      </w:tabs>
    </w:pPr>
  </w:style>
  <w:style w:type="character" w:customStyle="1" w:styleId="a6">
    <w:name w:val="כותרת תחתונה תו"/>
    <w:link w:val="a5"/>
    <w:rsid w:val="00DC18F8"/>
    <w:rPr>
      <w:rFonts w:ascii="Times New Roman" w:eastAsia="Times New Roman" w:hAnsi="Times New Roman" w:cs="David"/>
      <w:sz w:val="24"/>
      <w:szCs w:val="24"/>
    </w:rPr>
  </w:style>
  <w:style w:type="table" w:styleId="a7">
    <w:name w:val="Table Grid"/>
    <w:basedOn w:val="a1"/>
    <w:rsid w:val="00DC18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18F8"/>
  </w:style>
  <w:style w:type="character" w:styleId="Hyperlink">
    <w:name w:val="Hyperlink"/>
    <w:rsid w:val="00BC0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841413" TargetMode="External"/><Relationship Id="rId39" Type="http://schemas.openxmlformats.org/officeDocument/2006/relationships/hyperlink" Target="http://www.nevo.co.il/case/2655962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469088" TargetMode="External"/><Relationship Id="rId42" Type="http://schemas.openxmlformats.org/officeDocument/2006/relationships/hyperlink" Target="http://www.nevo.co.il/case/2729569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624179"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5829832" TargetMode="External"/><Relationship Id="rId32" Type="http://schemas.openxmlformats.org/officeDocument/2006/relationships/hyperlink" Target="http://www.nevo.co.il/case/24929127" TargetMode="External"/><Relationship Id="rId37" Type="http://schemas.openxmlformats.org/officeDocument/2006/relationships/hyperlink" Target="http://www.nevo.co.il/case/20540188" TargetMode="External"/><Relationship Id="rId40" Type="http://schemas.openxmlformats.org/officeDocument/2006/relationships/hyperlink" Target="http://www.nevo.co.il/case/25695748"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7313460" TargetMode="External"/><Relationship Id="rId44" Type="http://schemas.openxmlformats.org/officeDocument/2006/relationships/hyperlink" Target="http://www.nevo.co.il/law/7030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7229615" TargetMode="External"/><Relationship Id="rId27" Type="http://schemas.openxmlformats.org/officeDocument/2006/relationships/hyperlink" Target="http://www.nevo.co.il/case/27313460" TargetMode="External"/><Relationship Id="rId30" Type="http://schemas.openxmlformats.org/officeDocument/2006/relationships/hyperlink" Target="http://www.nevo.co.il/case/22695050" TargetMode="External"/><Relationship Id="rId35" Type="http://schemas.openxmlformats.org/officeDocument/2006/relationships/hyperlink" Target="http://www.nevo.co.il/case/25601866" TargetMode="External"/><Relationship Id="rId43" Type="http://schemas.openxmlformats.org/officeDocument/2006/relationships/hyperlink" Target="http://www.nevo.co.il/law/70301/40ja"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23226235" TargetMode="External"/><Relationship Id="rId38" Type="http://schemas.openxmlformats.org/officeDocument/2006/relationships/hyperlink" Target="http://www.nevo.co.il/case/25578635"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400" TargetMode="External"/><Relationship Id="rId41" Type="http://schemas.openxmlformats.org/officeDocument/2006/relationships/hyperlink" Target="http://www.nevo.co.il/case/263161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7665264" TargetMode="External"/><Relationship Id="rId28" Type="http://schemas.openxmlformats.org/officeDocument/2006/relationships/hyperlink" Target="http://www.nevo.co.il/case/26991436" TargetMode="External"/><Relationship Id="rId36" Type="http://schemas.openxmlformats.org/officeDocument/2006/relationships/hyperlink" Target="http://www.nevo.co.il/case/1123705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3980</Words>
  <Characters>19900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23833</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3932284</vt:i4>
      </vt:variant>
      <vt:variant>
        <vt:i4>105</vt:i4>
      </vt:variant>
      <vt:variant>
        <vt:i4>0</vt:i4>
      </vt:variant>
      <vt:variant>
        <vt:i4>5</vt:i4>
      </vt:variant>
      <vt:variant>
        <vt:lpwstr>http://www.nevo.co.il/case/27295696</vt:lpwstr>
      </vt:variant>
      <vt:variant>
        <vt:lpwstr/>
      </vt:variant>
      <vt:variant>
        <vt:i4>3604594</vt:i4>
      </vt:variant>
      <vt:variant>
        <vt:i4>102</vt:i4>
      </vt:variant>
      <vt:variant>
        <vt:i4>0</vt:i4>
      </vt:variant>
      <vt:variant>
        <vt:i4>5</vt:i4>
      </vt:variant>
      <vt:variant>
        <vt:lpwstr>http://www.nevo.co.il/case/26316101</vt:lpwstr>
      </vt:variant>
      <vt:variant>
        <vt:lpwstr/>
      </vt:variant>
      <vt:variant>
        <vt:i4>3473535</vt:i4>
      </vt:variant>
      <vt:variant>
        <vt:i4>99</vt:i4>
      </vt:variant>
      <vt:variant>
        <vt:i4>0</vt:i4>
      </vt:variant>
      <vt:variant>
        <vt:i4>5</vt:i4>
      </vt:variant>
      <vt:variant>
        <vt:lpwstr>http://www.nevo.co.il/case/25695748</vt:lpwstr>
      </vt:variant>
      <vt:variant>
        <vt:lpwstr/>
      </vt:variant>
      <vt:variant>
        <vt:i4>3932273</vt:i4>
      </vt:variant>
      <vt:variant>
        <vt:i4>96</vt:i4>
      </vt:variant>
      <vt:variant>
        <vt:i4>0</vt:i4>
      </vt:variant>
      <vt:variant>
        <vt:i4>5</vt:i4>
      </vt:variant>
      <vt:variant>
        <vt:lpwstr>http://www.nevo.co.il/case/26559623</vt:lpwstr>
      </vt:variant>
      <vt:variant>
        <vt:lpwstr/>
      </vt:variant>
      <vt:variant>
        <vt:i4>3932272</vt:i4>
      </vt:variant>
      <vt:variant>
        <vt:i4>93</vt:i4>
      </vt:variant>
      <vt:variant>
        <vt:i4>0</vt:i4>
      </vt:variant>
      <vt:variant>
        <vt:i4>5</vt:i4>
      </vt:variant>
      <vt:variant>
        <vt:lpwstr>http://www.nevo.co.il/case/25578635</vt:lpwstr>
      </vt:variant>
      <vt:variant>
        <vt:lpwstr/>
      </vt:variant>
      <vt:variant>
        <vt:i4>4128881</vt:i4>
      </vt:variant>
      <vt:variant>
        <vt:i4>90</vt:i4>
      </vt:variant>
      <vt:variant>
        <vt:i4>0</vt:i4>
      </vt:variant>
      <vt:variant>
        <vt:i4>5</vt:i4>
      </vt:variant>
      <vt:variant>
        <vt:lpwstr>http://www.nevo.co.il/case/20540188</vt:lpwstr>
      </vt:variant>
      <vt:variant>
        <vt:lpwstr/>
      </vt:variant>
      <vt:variant>
        <vt:i4>3211382</vt:i4>
      </vt:variant>
      <vt:variant>
        <vt:i4>87</vt:i4>
      </vt:variant>
      <vt:variant>
        <vt:i4>0</vt:i4>
      </vt:variant>
      <vt:variant>
        <vt:i4>5</vt:i4>
      </vt:variant>
      <vt:variant>
        <vt:lpwstr>http://www.nevo.co.il/case/11237056</vt:lpwstr>
      </vt:variant>
      <vt:variant>
        <vt:lpwstr/>
      </vt:variant>
      <vt:variant>
        <vt:i4>3342457</vt:i4>
      </vt:variant>
      <vt:variant>
        <vt:i4>84</vt:i4>
      </vt:variant>
      <vt:variant>
        <vt:i4>0</vt:i4>
      </vt:variant>
      <vt:variant>
        <vt:i4>5</vt:i4>
      </vt:variant>
      <vt:variant>
        <vt:lpwstr>http://www.nevo.co.il/case/25601866</vt:lpwstr>
      </vt:variant>
      <vt:variant>
        <vt:lpwstr/>
      </vt:variant>
      <vt:variant>
        <vt:i4>3604599</vt:i4>
      </vt:variant>
      <vt:variant>
        <vt:i4>81</vt:i4>
      </vt:variant>
      <vt:variant>
        <vt:i4>0</vt:i4>
      </vt:variant>
      <vt:variant>
        <vt:i4>5</vt:i4>
      </vt:variant>
      <vt:variant>
        <vt:lpwstr>http://www.nevo.co.il/case/25469088</vt:lpwstr>
      </vt:variant>
      <vt:variant>
        <vt:lpwstr/>
      </vt:variant>
      <vt:variant>
        <vt:i4>3473527</vt:i4>
      </vt:variant>
      <vt:variant>
        <vt:i4>78</vt:i4>
      </vt:variant>
      <vt:variant>
        <vt:i4>0</vt:i4>
      </vt:variant>
      <vt:variant>
        <vt:i4>5</vt:i4>
      </vt:variant>
      <vt:variant>
        <vt:lpwstr>http://www.nevo.co.il/case/23226235</vt:lpwstr>
      </vt:variant>
      <vt:variant>
        <vt:lpwstr/>
      </vt:variant>
      <vt:variant>
        <vt:i4>3145843</vt:i4>
      </vt:variant>
      <vt:variant>
        <vt:i4>75</vt:i4>
      </vt:variant>
      <vt:variant>
        <vt:i4>0</vt:i4>
      </vt:variant>
      <vt:variant>
        <vt:i4>5</vt:i4>
      </vt:variant>
      <vt:variant>
        <vt:lpwstr>http://www.nevo.co.il/case/24929127</vt:lpwstr>
      </vt:variant>
      <vt:variant>
        <vt:lpwstr/>
      </vt:variant>
      <vt:variant>
        <vt:i4>3407990</vt:i4>
      </vt:variant>
      <vt:variant>
        <vt:i4>72</vt:i4>
      </vt:variant>
      <vt:variant>
        <vt:i4>0</vt:i4>
      </vt:variant>
      <vt:variant>
        <vt:i4>5</vt:i4>
      </vt:variant>
      <vt:variant>
        <vt:lpwstr>http://www.nevo.co.il/case/27313460</vt:lpwstr>
      </vt:variant>
      <vt:variant>
        <vt:lpwstr/>
      </vt:variant>
      <vt:variant>
        <vt:i4>3407999</vt:i4>
      </vt:variant>
      <vt:variant>
        <vt:i4>69</vt:i4>
      </vt:variant>
      <vt:variant>
        <vt:i4>0</vt:i4>
      </vt:variant>
      <vt:variant>
        <vt:i4>5</vt:i4>
      </vt:variant>
      <vt:variant>
        <vt:lpwstr>http://www.nevo.co.il/case/22695050</vt:lpwstr>
      </vt:variant>
      <vt:variant>
        <vt:lpwstr/>
      </vt:variant>
      <vt:variant>
        <vt:i4>3604592</vt:i4>
      </vt:variant>
      <vt:variant>
        <vt:i4>66</vt:i4>
      </vt:variant>
      <vt:variant>
        <vt:i4>0</vt:i4>
      </vt:variant>
      <vt:variant>
        <vt:i4>5</vt:i4>
      </vt:variant>
      <vt:variant>
        <vt:lpwstr>http://www.nevo.co.il/case/27624179</vt:lpwstr>
      </vt:variant>
      <vt:variant>
        <vt:lpwstr/>
      </vt:variant>
      <vt:variant>
        <vt:i4>3735679</vt:i4>
      </vt:variant>
      <vt:variant>
        <vt:i4>63</vt:i4>
      </vt:variant>
      <vt:variant>
        <vt:i4>0</vt:i4>
      </vt:variant>
      <vt:variant>
        <vt:i4>5</vt:i4>
      </vt:variant>
      <vt:variant>
        <vt:lpwstr>http://www.nevo.co.il/case/26991436</vt:lpwstr>
      </vt:variant>
      <vt:variant>
        <vt:lpwstr/>
      </vt:variant>
      <vt:variant>
        <vt:i4>3407990</vt:i4>
      </vt:variant>
      <vt:variant>
        <vt:i4>60</vt:i4>
      </vt:variant>
      <vt:variant>
        <vt:i4>0</vt:i4>
      </vt:variant>
      <vt:variant>
        <vt:i4>5</vt:i4>
      </vt:variant>
      <vt:variant>
        <vt:lpwstr>http://www.nevo.co.il/case/27313460</vt:lpwstr>
      </vt:variant>
      <vt:variant>
        <vt:lpwstr/>
      </vt:variant>
      <vt:variant>
        <vt:i4>3801206</vt:i4>
      </vt:variant>
      <vt:variant>
        <vt:i4>57</vt:i4>
      </vt:variant>
      <vt:variant>
        <vt:i4>0</vt:i4>
      </vt:variant>
      <vt:variant>
        <vt:i4>5</vt:i4>
      </vt:variant>
      <vt:variant>
        <vt:lpwstr>http://www.nevo.co.il/case/22841413</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3145851</vt:i4>
      </vt:variant>
      <vt:variant>
        <vt:i4>51</vt:i4>
      </vt:variant>
      <vt:variant>
        <vt:i4>0</vt:i4>
      </vt:variant>
      <vt:variant>
        <vt:i4>5</vt:i4>
      </vt:variant>
      <vt:variant>
        <vt:lpwstr>http://www.nevo.co.il/case/25829832</vt:lpwstr>
      </vt:variant>
      <vt:variant>
        <vt:lpwstr/>
      </vt:variant>
      <vt:variant>
        <vt:i4>3604599</vt:i4>
      </vt:variant>
      <vt:variant>
        <vt:i4>48</vt:i4>
      </vt:variant>
      <vt:variant>
        <vt:i4>0</vt:i4>
      </vt:variant>
      <vt:variant>
        <vt:i4>5</vt:i4>
      </vt:variant>
      <vt:variant>
        <vt:lpwstr>http://www.nevo.co.il/case/27665264</vt:lpwstr>
      </vt:variant>
      <vt:variant>
        <vt:lpwstr/>
      </vt:variant>
      <vt:variant>
        <vt:i4>3670135</vt:i4>
      </vt:variant>
      <vt:variant>
        <vt:i4>45</vt:i4>
      </vt:variant>
      <vt:variant>
        <vt:i4>0</vt:i4>
      </vt:variant>
      <vt:variant>
        <vt:i4>5</vt:i4>
      </vt:variant>
      <vt:variant>
        <vt:lpwstr>http://www.nevo.co.il/case/27229615</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5177418</vt:i4>
      </vt:variant>
      <vt:variant>
        <vt:i4>36</vt:i4>
      </vt:variant>
      <vt:variant>
        <vt:i4>0</vt:i4>
      </vt:variant>
      <vt:variant>
        <vt:i4>5</vt:i4>
      </vt:variant>
      <vt:variant>
        <vt:lpwstr>http://www.nevo.co.il/law/4216/10</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69281</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זיו אורדמן</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20210913</vt:lpwstr>
  </property>
  <property fmtid="{D5CDD505-2E9C-101B-9397-08002B2CF9AE}" pid="13" name="TYPE_N_DATE">
    <vt:lpwstr>38020210913</vt:lpwstr>
  </property>
  <property fmtid="{D5CDD505-2E9C-101B-9397-08002B2CF9AE}" pid="14" name="WORDNUMPAGES">
    <vt:lpwstr>12</vt:lpwstr>
  </property>
  <property fmtid="{D5CDD505-2E9C-101B-9397-08002B2CF9AE}" pid="15" name="TYPE_ABS_DATE">
    <vt:lpwstr>380020210913</vt:lpwstr>
  </property>
  <property fmtid="{D5CDD505-2E9C-101B-9397-08002B2CF9AE}" pid="16" name="ISABSTRACT">
    <vt:lpwstr>Y</vt:lpwstr>
  </property>
  <property fmtid="{D5CDD505-2E9C-101B-9397-08002B2CF9AE}" pid="17" name="LAWYER">
    <vt:lpwstr>ירון פורר;עומר סגל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27229615;27665264;25829832;23827604;22841413;27313460:2;26991436;27624179;22695050;24929127;23226235;25469088;25601866;11237056;20540188;25578635;26559623;25695748;26316101;27295696</vt:lpwstr>
  </property>
  <property fmtid="{D5CDD505-2E9C-101B-9397-08002B2CF9AE}" pid="36" name="LAWLISTTMP1">
    <vt:lpwstr>4216/006;007.a;007.c;010</vt:lpwstr>
  </property>
  <property fmtid="{D5CDD505-2E9C-101B-9397-08002B2CF9AE}" pid="37" name="LAWLISTTMP2">
    <vt:lpwstr>70301/400;40ja</vt:lpwstr>
  </property>
</Properties>
</file>