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31"/>
        <w:gridCol w:w="3715"/>
        <w:gridCol w:w="750"/>
        <w:gridCol w:w="2827"/>
        <w:gridCol w:w="297"/>
      </w:tblGrid>
      <w:tr w:rsidR="005B51BC" w:rsidRPr="00842986" w14:paraId="023D38BD" w14:textId="77777777" w:rsidTr="00936034">
        <w:trPr>
          <w:gridAfter w:val="1"/>
          <w:wAfter w:w="297" w:type="dxa"/>
          <w:trHeight w:hRule="exact" w:val="418"/>
          <w:jc w:val="center"/>
        </w:trPr>
        <w:tc>
          <w:tcPr>
            <w:tcW w:w="8523" w:type="dxa"/>
            <w:gridSpan w:val="4"/>
          </w:tcPr>
          <w:p w14:paraId="2524722F" w14:textId="77777777" w:rsidR="005B51BC" w:rsidRPr="00842986" w:rsidRDefault="005B51BC" w:rsidP="00380908">
            <w:pPr>
              <w:pStyle w:val="a3"/>
              <w:jc w:val="center"/>
              <w:rPr>
                <w:rFonts w:ascii="Tahoma" w:hAnsi="Tahoma" w:cs="Tahoma"/>
                <w:color w:val="000080"/>
                <w:rtl/>
              </w:rPr>
            </w:pPr>
            <w:bookmarkStart w:id="0" w:name="LastJudge"/>
            <w:r w:rsidRPr="00842986">
              <w:rPr>
                <w:rFonts w:ascii="Tahoma" w:hAnsi="Tahoma" w:cs="Tahoma"/>
                <w:b/>
                <w:bCs/>
                <w:color w:val="000080"/>
                <w:rtl/>
              </w:rPr>
              <w:t>בית משפט השלום ברחובות</w:t>
            </w:r>
          </w:p>
        </w:tc>
      </w:tr>
      <w:tr w:rsidR="005B51BC" w:rsidRPr="00842986" w14:paraId="3ADB26CE" w14:textId="77777777" w:rsidTr="00936034">
        <w:trPr>
          <w:gridAfter w:val="1"/>
          <w:wAfter w:w="297" w:type="dxa"/>
          <w:trHeight w:val="337"/>
          <w:jc w:val="center"/>
        </w:trPr>
        <w:tc>
          <w:tcPr>
            <w:tcW w:w="4946" w:type="dxa"/>
            <w:gridSpan w:val="2"/>
          </w:tcPr>
          <w:p w14:paraId="01B65EF7" w14:textId="77777777" w:rsidR="005B51BC" w:rsidRPr="00842986" w:rsidRDefault="005B51BC" w:rsidP="00380908">
            <w:pPr>
              <w:rPr>
                <w:rFonts w:cs="FrankRuehl"/>
                <w:sz w:val="28"/>
                <w:szCs w:val="28"/>
                <w:rtl/>
              </w:rPr>
            </w:pPr>
            <w:r w:rsidRPr="00842986">
              <w:rPr>
                <w:rFonts w:cs="FrankRuehl"/>
                <w:sz w:val="28"/>
                <w:szCs w:val="28"/>
                <w:rtl/>
              </w:rPr>
              <w:t>ת"פ</w:t>
            </w:r>
            <w:r w:rsidRPr="00842986">
              <w:rPr>
                <w:rFonts w:cs="FrankRuehl" w:hint="cs"/>
                <w:sz w:val="28"/>
                <w:szCs w:val="28"/>
                <w:rtl/>
              </w:rPr>
              <w:t xml:space="preserve"> </w:t>
            </w:r>
            <w:r w:rsidRPr="00842986">
              <w:rPr>
                <w:rFonts w:cs="FrankRuehl"/>
                <w:sz w:val="28"/>
                <w:szCs w:val="28"/>
                <w:rtl/>
              </w:rPr>
              <w:t>70374-11-20</w:t>
            </w:r>
            <w:r w:rsidRPr="00842986">
              <w:rPr>
                <w:rFonts w:cs="FrankRuehl" w:hint="cs"/>
                <w:sz w:val="28"/>
                <w:szCs w:val="28"/>
                <w:rtl/>
              </w:rPr>
              <w:t xml:space="preserve"> </w:t>
            </w:r>
            <w:r w:rsidRPr="00842986">
              <w:rPr>
                <w:rFonts w:cs="FrankRuehl"/>
                <w:sz w:val="28"/>
                <w:szCs w:val="28"/>
                <w:rtl/>
              </w:rPr>
              <w:t>מדינת ישראל נ' סלע</w:t>
            </w:r>
          </w:p>
          <w:p w14:paraId="4C65D4F7" w14:textId="77777777" w:rsidR="005B51BC" w:rsidRPr="00842986" w:rsidRDefault="005B51BC" w:rsidP="00380908">
            <w:pPr>
              <w:pStyle w:val="a3"/>
              <w:rPr>
                <w:rFonts w:cs="FrankRuehl"/>
                <w:sz w:val="28"/>
                <w:szCs w:val="28"/>
                <w:rtl/>
              </w:rPr>
            </w:pPr>
          </w:p>
        </w:tc>
        <w:tc>
          <w:tcPr>
            <w:tcW w:w="3577" w:type="dxa"/>
            <w:gridSpan w:val="2"/>
          </w:tcPr>
          <w:p w14:paraId="79A7F126" w14:textId="77777777" w:rsidR="005B51BC" w:rsidRPr="00842986" w:rsidRDefault="005B51BC" w:rsidP="00380908">
            <w:pPr>
              <w:pStyle w:val="a3"/>
              <w:jc w:val="right"/>
              <w:rPr>
                <w:rFonts w:cs="FrankRuehl"/>
                <w:sz w:val="28"/>
                <w:szCs w:val="28"/>
                <w:rtl/>
              </w:rPr>
            </w:pPr>
          </w:p>
        </w:tc>
      </w:tr>
      <w:tr w:rsidR="005B51BC" w:rsidRPr="00842986" w14:paraId="17FCD126" w14:textId="77777777" w:rsidTr="009360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31" w:type="dxa"/>
            <w:tcBorders>
              <w:top w:val="nil"/>
              <w:left w:val="nil"/>
              <w:bottom w:val="nil"/>
              <w:right w:val="nil"/>
            </w:tcBorders>
            <w:shd w:val="clear" w:color="auto" w:fill="auto"/>
          </w:tcPr>
          <w:p w14:paraId="046C8B2D" w14:textId="77777777" w:rsidR="005B51BC" w:rsidRPr="00842986" w:rsidRDefault="005B51BC" w:rsidP="005B51BC">
            <w:pPr>
              <w:jc w:val="both"/>
              <w:rPr>
                <w:rFonts w:ascii="David" w:hAnsi="David"/>
                <w:sz w:val="26"/>
                <w:szCs w:val="26"/>
              </w:rPr>
            </w:pPr>
            <w:r w:rsidRPr="00842986">
              <w:rPr>
                <w:rFonts w:hint="cs"/>
                <w:rtl/>
              </w:rPr>
              <w:t xml:space="preserve"> </w:t>
            </w:r>
            <w:r w:rsidRPr="00842986">
              <w:rPr>
                <w:rFonts w:ascii="David" w:hAnsi="David"/>
                <w:sz w:val="26"/>
                <w:szCs w:val="26"/>
                <w:rtl/>
              </w:rPr>
              <w:t xml:space="preserve">בפני </w:t>
            </w:r>
          </w:p>
        </w:tc>
        <w:tc>
          <w:tcPr>
            <w:tcW w:w="7589" w:type="dxa"/>
            <w:gridSpan w:val="4"/>
            <w:tcBorders>
              <w:top w:val="nil"/>
              <w:left w:val="nil"/>
              <w:bottom w:val="nil"/>
              <w:right w:val="nil"/>
            </w:tcBorders>
            <w:shd w:val="clear" w:color="auto" w:fill="auto"/>
          </w:tcPr>
          <w:p w14:paraId="5323E4C2" w14:textId="77777777" w:rsidR="005B51BC" w:rsidRPr="00842986" w:rsidRDefault="005B51BC" w:rsidP="00380908">
            <w:pPr>
              <w:rPr>
                <w:rFonts w:ascii="David" w:hAnsi="David"/>
                <w:b/>
                <w:bCs/>
                <w:sz w:val="26"/>
                <w:szCs w:val="26"/>
                <w:rtl/>
              </w:rPr>
            </w:pPr>
            <w:r w:rsidRPr="00842986">
              <w:rPr>
                <w:rFonts w:ascii="David" w:hAnsi="David"/>
                <w:b/>
                <w:bCs/>
                <w:sz w:val="26"/>
                <w:szCs w:val="26"/>
                <w:rtl/>
              </w:rPr>
              <w:t>כבוד השופטת  זהר דיבון סגל</w:t>
            </w:r>
          </w:p>
          <w:p w14:paraId="230BD526" w14:textId="77777777" w:rsidR="005B51BC" w:rsidRPr="00842986" w:rsidRDefault="005B51BC" w:rsidP="005B51BC">
            <w:pPr>
              <w:jc w:val="both"/>
              <w:rPr>
                <w:rFonts w:ascii="David" w:hAnsi="David"/>
                <w:sz w:val="26"/>
                <w:szCs w:val="26"/>
              </w:rPr>
            </w:pPr>
          </w:p>
        </w:tc>
      </w:tr>
      <w:tr w:rsidR="005B51BC" w:rsidRPr="00842986" w14:paraId="78A2E126" w14:textId="77777777" w:rsidTr="009360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58F05713" w14:textId="77777777" w:rsidR="005B51BC" w:rsidRPr="00842986" w:rsidRDefault="005B51BC" w:rsidP="005B51BC">
            <w:pPr>
              <w:jc w:val="both"/>
              <w:rPr>
                <w:rFonts w:ascii="Arial" w:hAnsi="Arial"/>
                <w:b/>
                <w:bCs/>
                <w:sz w:val="26"/>
                <w:szCs w:val="26"/>
                <w:rtl/>
              </w:rPr>
            </w:pPr>
            <w:bookmarkStart w:id="1" w:name="FirstAppellant"/>
            <w:bookmarkStart w:id="2" w:name="FirstLawyer"/>
            <w:r w:rsidRPr="00842986">
              <w:rPr>
                <w:rFonts w:ascii="David" w:hAnsi="David"/>
                <w:sz w:val="26"/>
                <w:szCs w:val="26"/>
                <w:rtl/>
              </w:rPr>
              <w:t>בעניין:</w:t>
            </w:r>
          </w:p>
          <w:p w14:paraId="17495D8E" w14:textId="77777777" w:rsidR="005B51BC" w:rsidRPr="00842986" w:rsidRDefault="005B51BC" w:rsidP="005B51BC">
            <w:pPr>
              <w:spacing w:line="360" w:lineRule="auto"/>
              <w:jc w:val="both"/>
            </w:pPr>
            <w:r w:rsidRPr="00842986">
              <w:rPr>
                <w:rFonts w:ascii="Arial" w:hAnsi="Arial" w:hint="cs"/>
                <w:b/>
                <w:bCs/>
                <w:sz w:val="26"/>
                <w:szCs w:val="26"/>
                <w:rtl/>
              </w:rPr>
              <w:t>ה</w:t>
            </w:r>
            <w:r w:rsidRPr="00842986">
              <w:rPr>
                <w:rFonts w:ascii="Arial" w:hAnsi="Arial"/>
                <w:b/>
                <w:bCs/>
                <w:sz w:val="26"/>
                <w:szCs w:val="26"/>
                <w:rtl/>
              </w:rPr>
              <w:t>מאשימה</w:t>
            </w:r>
          </w:p>
          <w:p w14:paraId="7496C868" w14:textId="77777777" w:rsidR="005B51BC" w:rsidRPr="00842986" w:rsidRDefault="005B51BC" w:rsidP="005B51BC">
            <w:pPr>
              <w:jc w:val="both"/>
              <w:rPr>
                <w:rFonts w:ascii="David" w:hAnsi="David"/>
                <w:sz w:val="26"/>
                <w:szCs w:val="26"/>
              </w:rPr>
            </w:pPr>
          </w:p>
        </w:tc>
        <w:tc>
          <w:tcPr>
            <w:tcW w:w="4465" w:type="dxa"/>
            <w:gridSpan w:val="2"/>
            <w:tcBorders>
              <w:top w:val="nil"/>
              <w:left w:val="nil"/>
              <w:bottom w:val="nil"/>
              <w:right w:val="nil"/>
            </w:tcBorders>
            <w:shd w:val="clear" w:color="auto" w:fill="auto"/>
          </w:tcPr>
          <w:p w14:paraId="579323FB" w14:textId="77777777" w:rsidR="005B51BC" w:rsidRPr="00842986" w:rsidRDefault="005B51BC" w:rsidP="005B51BC">
            <w:pPr>
              <w:suppressLineNumbers/>
              <w:rPr>
                <w:rFonts w:ascii="Arial" w:hAnsi="Arial"/>
                <w:b/>
                <w:bCs/>
                <w:sz w:val="26"/>
                <w:szCs w:val="26"/>
                <w:rtl/>
              </w:rPr>
            </w:pPr>
          </w:p>
          <w:p w14:paraId="42D84B18" w14:textId="77777777" w:rsidR="005B51BC" w:rsidRPr="00842986" w:rsidRDefault="005B51BC" w:rsidP="005B51BC">
            <w:pPr>
              <w:suppressLineNumbers/>
              <w:rPr>
                <w:rFonts w:ascii="Arial" w:hAnsi="Arial"/>
                <w:b/>
                <w:bCs/>
                <w:sz w:val="26"/>
                <w:szCs w:val="26"/>
                <w:rtl/>
              </w:rPr>
            </w:pPr>
            <w:r w:rsidRPr="00842986">
              <w:rPr>
                <w:rFonts w:ascii="Arial" w:hAnsi="Arial" w:hint="cs"/>
                <w:b/>
                <w:bCs/>
                <w:sz w:val="26"/>
                <w:szCs w:val="26"/>
                <w:rtl/>
              </w:rPr>
              <w:t xml:space="preserve">מדינת ישראל </w:t>
            </w:r>
          </w:p>
          <w:p w14:paraId="7EC5BBAB" w14:textId="77777777" w:rsidR="005B51BC" w:rsidRPr="00842986" w:rsidRDefault="005B51BC" w:rsidP="005B51BC">
            <w:pPr>
              <w:suppressLineNumbers/>
              <w:rPr>
                <w:rtl/>
              </w:rPr>
            </w:pPr>
            <w:r w:rsidRPr="00842986">
              <w:rPr>
                <w:rFonts w:ascii="Arial" w:hAnsi="Arial" w:hint="cs"/>
                <w:b/>
                <w:bCs/>
                <w:sz w:val="26"/>
                <w:szCs w:val="26"/>
                <w:rtl/>
              </w:rPr>
              <w:t xml:space="preserve">באמצעות יחידת תביעות שלוחת רחובות </w:t>
            </w:r>
          </w:p>
          <w:p w14:paraId="02BD9B2B" w14:textId="77777777" w:rsidR="005B51BC" w:rsidRPr="00842986" w:rsidRDefault="005B51BC" w:rsidP="005B51BC">
            <w:pPr>
              <w:suppressLineNumbers/>
            </w:pPr>
            <w:r w:rsidRPr="00842986">
              <w:rPr>
                <w:rFonts w:hint="cs"/>
                <w:rtl/>
              </w:rPr>
              <w:t xml:space="preserve">ע"י גב' מור יעבץ </w:t>
            </w:r>
            <w:r w:rsidRPr="00842986">
              <w:rPr>
                <w:rtl/>
              </w:rPr>
              <w:t>–</w:t>
            </w:r>
            <w:r w:rsidRPr="00842986">
              <w:rPr>
                <w:rFonts w:hint="cs"/>
                <w:rtl/>
              </w:rPr>
              <w:t xml:space="preserve"> מתמחה </w:t>
            </w:r>
          </w:p>
          <w:p w14:paraId="3EF66077" w14:textId="77777777" w:rsidR="005B51BC" w:rsidRPr="00842986" w:rsidRDefault="005B51BC" w:rsidP="00380908">
            <w:pPr>
              <w:rPr>
                <w:rFonts w:ascii="David" w:hAnsi="David"/>
                <w:sz w:val="26"/>
                <w:szCs w:val="26"/>
              </w:rPr>
            </w:pPr>
          </w:p>
        </w:tc>
        <w:tc>
          <w:tcPr>
            <w:tcW w:w="3124" w:type="dxa"/>
            <w:gridSpan w:val="2"/>
            <w:tcBorders>
              <w:top w:val="nil"/>
              <w:left w:val="nil"/>
              <w:bottom w:val="nil"/>
              <w:right w:val="nil"/>
            </w:tcBorders>
            <w:shd w:val="clear" w:color="auto" w:fill="auto"/>
            <w:vAlign w:val="center"/>
          </w:tcPr>
          <w:p w14:paraId="0CDF96A5" w14:textId="77777777" w:rsidR="005B51BC" w:rsidRPr="00842986" w:rsidRDefault="005B51BC" w:rsidP="005B51BC">
            <w:pPr>
              <w:suppressLineNumbers/>
              <w:rPr>
                <w:rFonts w:ascii="David" w:hAnsi="David"/>
                <w:sz w:val="26"/>
                <w:szCs w:val="26"/>
              </w:rPr>
            </w:pPr>
          </w:p>
        </w:tc>
      </w:tr>
      <w:bookmarkEnd w:id="1"/>
      <w:bookmarkEnd w:id="2"/>
      <w:tr w:rsidR="005B51BC" w:rsidRPr="00842986" w14:paraId="235EFD16" w14:textId="77777777" w:rsidTr="009360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1BA46B43" w14:textId="77777777" w:rsidR="005B51BC" w:rsidRPr="00842986" w:rsidRDefault="005B51BC" w:rsidP="005B51BC">
            <w:pPr>
              <w:jc w:val="both"/>
              <w:rPr>
                <w:rFonts w:ascii="David" w:hAnsi="David"/>
                <w:sz w:val="26"/>
                <w:szCs w:val="26"/>
                <w:rtl/>
              </w:rPr>
            </w:pPr>
          </w:p>
        </w:tc>
        <w:tc>
          <w:tcPr>
            <w:tcW w:w="7589" w:type="dxa"/>
            <w:gridSpan w:val="4"/>
            <w:tcBorders>
              <w:top w:val="nil"/>
              <w:left w:val="nil"/>
              <w:bottom w:val="nil"/>
              <w:right w:val="nil"/>
            </w:tcBorders>
            <w:shd w:val="clear" w:color="auto" w:fill="auto"/>
          </w:tcPr>
          <w:p w14:paraId="0DB3B7F1" w14:textId="77777777" w:rsidR="005B51BC" w:rsidRPr="00842986" w:rsidRDefault="005B51BC" w:rsidP="005B51BC">
            <w:pPr>
              <w:jc w:val="center"/>
              <w:rPr>
                <w:rFonts w:ascii="David" w:hAnsi="David"/>
                <w:b/>
                <w:bCs/>
                <w:sz w:val="26"/>
                <w:szCs w:val="26"/>
                <w:rtl/>
              </w:rPr>
            </w:pPr>
          </w:p>
          <w:p w14:paraId="42A460C8" w14:textId="77777777" w:rsidR="005B51BC" w:rsidRPr="00842986" w:rsidRDefault="005B51BC" w:rsidP="005B51BC">
            <w:pPr>
              <w:jc w:val="center"/>
              <w:rPr>
                <w:rFonts w:ascii="David" w:hAnsi="David"/>
                <w:b/>
                <w:bCs/>
                <w:sz w:val="26"/>
                <w:szCs w:val="26"/>
                <w:rtl/>
              </w:rPr>
            </w:pPr>
            <w:r w:rsidRPr="00842986">
              <w:rPr>
                <w:rFonts w:ascii="David" w:hAnsi="David"/>
                <w:b/>
                <w:bCs/>
                <w:sz w:val="26"/>
                <w:szCs w:val="26"/>
                <w:rtl/>
              </w:rPr>
              <w:t>נגד</w:t>
            </w:r>
          </w:p>
          <w:p w14:paraId="3721B664" w14:textId="77777777" w:rsidR="005B51BC" w:rsidRPr="00842986" w:rsidRDefault="005B51BC" w:rsidP="005B51BC">
            <w:pPr>
              <w:jc w:val="both"/>
              <w:rPr>
                <w:rFonts w:ascii="David" w:hAnsi="David"/>
                <w:sz w:val="26"/>
                <w:szCs w:val="26"/>
              </w:rPr>
            </w:pPr>
          </w:p>
        </w:tc>
      </w:tr>
      <w:tr w:rsidR="005B51BC" w:rsidRPr="00842986" w14:paraId="5F598E8D" w14:textId="77777777" w:rsidTr="009360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0E1FF7E8" w14:textId="77777777" w:rsidR="005B51BC" w:rsidRPr="00842986" w:rsidRDefault="005B51BC" w:rsidP="00380908">
            <w:pPr>
              <w:rPr>
                <w:rFonts w:ascii="David" w:hAnsi="David"/>
                <w:b/>
                <w:bCs/>
                <w:sz w:val="26"/>
                <w:szCs w:val="26"/>
                <w:rtl/>
              </w:rPr>
            </w:pPr>
            <w:r w:rsidRPr="00842986">
              <w:rPr>
                <w:rFonts w:ascii="David" w:hAnsi="David" w:hint="cs"/>
                <w:b/>
                <w:bCs/>
                <w:sz w:val="26"/>
                <w:szCs w:val="26"/>
                <w:rtl/>
              </w:rPr>
              <w:t xml:space="preserve">הנאשמת </w:t>
            </w:r>
          </w:p>
        </w:tc>
        <w:tc>
          <w:tcPr>
            <w:tcW w:w="4465" w:type="dxa"/>
            <w:gridSpan w:val="2"/>
            <w:tcBorders>
              <w:top w:val="nil"/>
              <w:left w:val="nil"/>
              <w:bottom w:val="nil"/>
              <w:right w:val="nil"/>
            </w:tcBorders>
            <w:shd w:val="clear" w:color="auto" w:fill="auto"/>
          </w:tcPr>
          <w:p w14:paraId="7B763A9F" w14:textId="77777777" w:rsidR="005B51BC" w:rsidRPr="00842986" w:rsidRDefault="005B51BC" w:rsidP="00380908">
            <w:pPr>
              <w:rPr>
                <w:rFonts w:ascii="Arial" w:hAnsi="Arial"/>
                <w:b/>
                <w:bCs/>
                <w:sz w:val="26"/>
                <w:szCs w:val="26"/>
                <w:rtl/>
              </w:rPr>
            </w:pPr>
            <w:r w:rsidRPr="00842986">
              <w:rPr>
                <w:rFonts w:ascii="Arial" w:hAnsi="Arial" w:hint="cs"/>
                <w:b/>
                <w:bCs/>
                <w:sz w:val="26"/>
                <w:szCs w:val="26"/>
                <w:rtl/>
              </w:rPr>
              <w:t>רחל סלע</w:t>
            </w:r>
          </w:p>
          <w:p w14:paraId="01B3E093" w14:textId="77777777" w:rsidR="005B51BC" w:rsidRPr="00842986" w:rsidRDefault="005B51BC" w:rsidP="00380908">
            <w:pPr>
              <w:rPr>
                <w:rFonts w:ascii="Arial" w:hAnsi="Arial"/>
                <w:sz w:val="26"/>
                <w:szCs w:val="26"/>
                <w:rtl/>
              </w:rPr>
            </w:pPr>
            <w:r w:rsidRPr="00842986">
              <w:rPr>
                <w:rFonts w:ascii="Arial" w:hAnsi="Arial" w:hint="cs"/>
                <w:rtl/>
              </w:rPr>
              <w:t xml:space="preserve">ע"י עו"ד נס בן נתן </w:t>
            </w:r>
          </w:p>
        </w:tc>
        <w:tc>
          <w:tcPr>
            <w:tcW w:w="3124" w:type="dxa"/>
            <w:gridSpan w:val="2"/>
            <w:tcBorders>
              <w:top w:val="nil"/>
              <w:left w:val="nil"/>
              <w:bottom w:val="nil"/>
              <w:right w:val="nil"/>
            </w:tcBorders>
            <w:shd w:val="clear" w:color="auto" w:fill="auto"/>
            <w:vAlign w:val="center"/>
          </w:tcPr>
          <w:p w14:paraId="6CBB0FC9" w14:textId="77777777" w:rsidR="005B51BC" w:rsidRPr="00842986" w:rsidRDefault="005B51BC" w:rsidP="005B51BC">
            <w:pPr>
              <w:suppressLineNumbers/>
              <w:rPr>
                <w:rFonts w:ascii="David" w:hAnsi="David"/>
                <w:sz w:val="26"/>
                <w:szCs w:val="26"/>
              </w:rPr>
            </w:pPr>
          </w:p>
        </w:tc>
      </w:tr>
    </w:tbl>
    <w:p w14:paraId="09BEA3CC" w14:textId="77777777" w:rsidR="00936034" w:rsidRDefault="00936034" w:rsidP="00936034">
      <w:pPr>
        <w:pStyle w:val="aa"/>
        <w:spacing w:before="100" w:beforeAutospacing="1" w:after="120" w:line="360" w:lineRule="auto"/>
        <w:ind w:left="-2"/>
        <w:jc w:val="both"/>
        <w:rPr>
          <w:rFonts w:ascii="Corbel" w:hAnsi="Corbel" w:cs="FrankRuehl"/>
          <w:sz w:val="28"/>
          <w:szCs w:val="28"/>
          <w:rtl/>
        </w:rPr>
      </w:pPr>
    </w:p>
    <w:p w14:paraId="719E8426" w14:textId="77777777" w:rsidR="00936034" w:rsidRPr="00936034" w:rsidRDefault="00936034" w:rsidP="00936034">
      <w:pPr>
        <w:pStyle w:val="aa"/>
        <w:spacing w:before="100" w:beforeAutospacing="1" w:after="120" w:line="240" w:lineRule="exact"/>
        <w:ind w:left="283" w:hanging="283"/>
        <w:jc w:val="both"/>
        <w:rPr>
          <w:rFonts w:ascii="FrankRuehl" w:hAnsi="FrankRuehl" w:cs="FrankRuehl"/>
          <w:rtl/>
        </w:rPr>
      </w:pPr>
    </w:p>
    <w:p w14:paraId="6940AB1A" w14:textId="77777777" w:rsidR="00A0426C" w:rsidRPr="00A0426C" w:rsidRDefault="00A0426C" w:rsidP="00A0426C">
      <w:pPr>
        <w:pStyle w:val="aa"/>
        <w:spacing w:before="120" w:beforeAutospacing="1" w:after="120" w:line="240" w:lineRule="exact"/>
        <w:ind w:left="283" w:hanging="283"/>
        <w:jc w:val="both"/>
        <w:rPr>
          <w:rFonts w:ascii="FrankRuehl" w:hAnsi="FrankRuehl" w:cs="FrankRuehl"/>
          <w:rtl/>
        </w:rPr>
      </w:pPr>
    </w:p>
    <w:p w14:paraId="70F0E3AD" w14:textId="77777777" w:rsidR="00697BA6" w:rsidRDefault="00697BA6" w:rsidP="00697BA6">
      <w:pPr>
        <w:pStyle w:val="aa"/>
        <w:spacing w:before="100" w:beforeAutospacing="1" w:after="120" w:line="360" w:lineRule="auto"/>
        <w:ind w:left="-2"/>
        <w:jc w:val="both"/>
        <w:rPr>
          <w:rFonts w:ascii="Corbel" w:hAnsi="Corbel" w:cs="FrankRuehl"/>
          <w:sz w:val="28"/>
          <w:szCs w:val="28"/>
          <w:rtl/>
        </w:rPr>
      </w:pPr>
      <w:bookmarkStart w:id="3" w:name="LawTable"/>
      <w:bookmarkEnd w:id="3"/>
    </w:p>
    <w:p w14:paraId="645B5EE1" w14:textId="77777777" w:rsidR="00697BA6" w:rsidRPr="00697BA6" w:rsidRDefault="00697BA6" w:rsidP="00697BA6">
      <w:pPr>
        <w:pStyle w:val="aa"/>
        <w:spacing w:before="120" w:beforeAutospacing="1" w:after="120" w:line="240" w:lineRule="exact"/>
        <w:ind w:left="283" w:hanging="283"/>
        <w:jc w:val="both"/>
        <w:rPr>
          <w:rFonts w:ascii="FrankRuehl" w:hAnsi="FrankRuehl" w:cs="FrankRuehl"/>
          <w:rtl/>
        </w:rPr>
      </w:pPr>
    </w:p>
    <w:p w14:paraId="2053C178" w14:textId="77777777" w:rsidR="00697BA6" w:rsidRPr="00697BA6" w:rsidRDefault="00697BA6" w:rsidP="00697BA6">
      <w:pPr>
        <w:pStyle w:val="aa"/>
        <w:spacing w:before="120" w:beforeAutospacing="1" w:after="120" w:line="240" w:lineRule="exact"/>
        <w:ind w:left="283" w:hanging="283"/>
        <w:jc w:val="both"/>
        <w:rPr>
          <w:rFonts w:ascii="FrankRuehl" w:hAnsi="FrankRuehl" w:cs="FrankRuehl"/>
          <w:rtl/>
        </w:rPr>
      </w:pPr>
    </w:p>
    <w:p w14:paraId="4831E95E" w14:textId="77777777" w:rsidR="00697BA6" w:rsidRPr="00697BA6" w:rsidRDefault="00697BA6" w:rsidP="00697BA6">
      <w:pPr>
        <w:pStyle w:val="aa"/>
        <w:spacing w:before="120" w:beforeAutospacing="1" w:after="120" w:line="240" w:lineRule="exact"/>
        <w:ind w:left="283" w:hanging="283"/>
        <w:jc w:val="both"/>
        <w:rPr>
          <w:rFonts w:ascii="FrankRuehl" w:hAnsi="FrankRuehl" w:cs="FrankRuehl"/>
          <w:rtl/>
        </w:rPr>
      </w:pPr>
      <w:r w:rsidRPr="00697BA6">
        <w:rPr>
          <w:rFonts w:ascii="FrankRuehl" w:hAnsi="FrankRuehl" w:cs="FrankRuehl" w:hint="cs"/>
          <w:rtl/>
        </w:rPr>
        <w:t>חקיקה</w:t>
      </w:r>
      <w:r w:rsidRPr="00697BA6">
        <w:rPr>
          <w:rFonts w:ascii="FrankRuehl" w:hAnsi="FrankRuehl" w:cs="FrankRuehl"/>
          <w:rtl/>
        </w:rPr>
        <w:t xml:space="preserve"> </w:t>
      </w:r>
      <w:r w:rsidRPr="00697BA6">
        <w:rPr>
          <w:rFonts w:ascii="FrankRuehl" w:hAnsi="FrankRuehl" w:cs="FrankRuehl" w:hint="cs"/>
          <w:rtl/>
        </w:rPr>
        <w:t>שאוזכרה</w:t>
      </w:r>
      <w:r w:rsidRPr="00697BA6">
        <w:rPr>
          <w:rFonts w:ascii="FrankRuehl" w:hAnsi="FrankRuehl" w:cs="FrankRuehl"/>
          <w:rtl/>
        </w:rPr>
        <w:t xml:space="preserve">: </w:t>
      </w:r>
    </w:p>
    <w:p w14:paraId="3DD28DA5" w14:textId="77777777" w:rsidR="00697BA6" w:rsidRPr="00697BA6" w:rsidRDefault="00697BA6" w:rsidP="00697BA6">
      <w:pPr>
        <w:pStyle w:val="aa"/>
        <w:spacing w:before="120" w:beforeAutospacing="1" w:after="120" w:line="240" w:lineRule="exact"/>
        <w:ind w:left="283" w:hanging="283"/>
        <w:jc w:val="both"/>
        <w:rPr>
          <w:rFonts w:ascii="FrankRuehl" w:hAnsi="FrankRuehl" w:cs="FrankRuehl"/>
          <w:rtl/>
        </w:rPr>
      </w:pPr>
      <w:hyperlink r:id="rId7" w:history="1">
        <w:r w:rsidRPr="00697BA6">
          <w:rPr>
            <w:rFonts w:ascii="FrankRuehl" w:hAnsi="FrankRuehl" w:cs="FrankRuehl" w:hint="cs"/>
            <w:color w:val="0000FF"/>
            <w:rtl/>
          </w:rPr>
          <w:t>פקודת</w:t>
        </w:r>
        <w:r w:rsidRPr="00697BA6">
          <w:rPr>
            <w:rFonts w:ascii="FrankRuehl" w:hAnsi="FrankRuehl" w:cs="FrankRuehl"/>
            <w:color w:val="0000FF"/>
            <w:rtl/>
          </w:rPr>
          <w:t xml:space="preserve"> </w:t>
        </w:r>
        <w:r w:rsidRPr="00697BA6">
          <w:rPr>
            <w:rFonts w:ascii="FrankRuehl" w:hAnsi="FrankRuehl" w:cs="FrankRuehl" w:hint="cs"/>
            <w:color w:val="0000FF"/>
            <w:rtl/>
          </w:rPr>
          <w:t>הסמים</w:t>
        </w:r>
        <w:r w:rsidRPr="00697BA6">
          <w:rPr>
            <w:rFonts w:ascii="FrankRuehl" w:hAnsi="FrankRuehl" w:cs="FrankRuehl"/>
            <w:color w:val="0000FF"/>
            <w:rtl/>
          </w:rPr>
          <w:t xml:space="preserve"> </w:t>
        </w:r>
        <w:r w:rsidRPr="00697BA6">
          <w:rPr>
            <w:rFonts w:ascii="FrankRuehl" w:hAnsi="FrankRuehl" w:cs="FrankRuehl" w:hint="cs"/>
            <w:color w:val="0000FF"/>
            <w:rtl/>
          </w:rPr>
          <w:t>המסוכנים</w:t>
        </w:r>
        <w:r w:rsidRPr="00697BA6">
          <w:rPr>
            <w:rFonts w:ascii="FrankRuehl" w:hAnsi="FrankRuehl" w:cs="FrankRuehl"/>
            <w:color w:val="0000FF"/>
            <w:rtl/>
          </w:rPr>
          <w:t xml:space="preserve"> [</w:t>
        </w:r>
        <w:r w:rsidRPr="00697BA6">
          <w:rPr>
            <w:rFonts w:ascii="FrankRuehl" w:hAnsi="FrankRuehl" w:cs="FrankRuehl" w:hint="cs"/>
            <w:color w:val="0000FF"/>
            <w:rtl/>
          </w:rPr>
          <w:t>נוסח</w:t>
        </w:r>
        <w:r w:rsidRPr="00697BA6">
          <w:rPr>
            <w:rFonts w:ascii="FrankRuehl" w:hAnsi="FrankRuehl" w:cs="FrankRuehl"/>
            <w:color w:val="0000FF"/>
            <w:rtl/>
          </w:rPr>
          <w:t xml:space="preserve"> </w:t>
        </w:r>
        <w:r w:rsidRPr="00697BA6">
          <w:rPr>
            <w:rFonts w:ascii="FrankRuehl" w:hAnsi="FrankRuehl" w:cs="FrankRuehl" w:hint="cs"/>
            <w:color w:val="0000FF"/>
            <w:rtl/>
          </w:rPr>
          <w:t>חדש</w:t>
        </w:r>
        <w:r w:rsidRPr="00697BA6">
          <w:rPr>
            <w:rFonts w:ascii="FrankRuehl" w:hAnsi="FrankRuehl" w:cs="FrankRuehl"/>
            <w:color w:val="0000FF"/>
            <w:rtl/>
          </w:rPr>
          <w:t xml:space="preserve">], </w:t>
        </w:r>
        <w:r w:rsidRPr="00697BA6">
          <w:rPr>
            <w:rFonts w:ascii="FrankRuehl" w:hAnsi="FrankRuehl" w:cs="FrankRuehl" w:hint="cs"/>
            <w:color w:val="0000FF"/>
            <w:rtl/>
          </w:rPr>
          <w:t>תשל</w:t>
        </w:r>
        <w:r w:rsidRPr="00697BA6">
          <w:rPr>
            <w:rFonts w:ascii="FrankRuehl" w:hAnsi="FrankRuehl" w:cs="FrankRuehl"/>
            <w:color w:val="0000FF"/>
            <w:rtl/>
          </w:rPr>
          <w:t>"</w:t>
        </w:r>
        <w:r w:rsidRPr="00697BA6">
          <w:rPr>
            <w:rFonts w:ascii="FrankRuehl" w:hAnsi="FrankRuehl" w:cs="FrankRuehl" w:hint="cs"/>
            <w:color w:val="0000FF"/>
            <w:rtl/>
          </w:rPr>
          <w:t>ג</w:t>
        </w:r>
        <w:r w:rsidRPr="00697BA6">
          <w:rPr>
            <w:rFonts w:ascii="FrankRuehl" w:hAnsi="FrankRuehl" w:cs="FrankRuehl"/>
            <w:color w:val="0000FF"/>
            <w:rtl/>
          </w:rPr>
          <w:t>-1973</w:t>
        </w:r>
      </w:hyperlink>
      <w:r w:rsidRPr="00697BA6">
        <w:rPr>
          <w:rFonts w:ascii="FrankRuehl" w:hAnsi="FrankRuehl" w:cs="FrankRuehl"/>
          <w:rtl/>
        </w:rPr>
        <w:t xml:space="preserve">: </w:t>
      </w:r>
      <w:r w:rsidRPr="00697BA6">
        <w:rPr>
          <w:rFonts w:ascii="FrankRuehl" w:hAnsi="FrankRuehl" w:cs="FrankRuehl" w:hint="cs"/>
          <w:rtl/>
        </w:rPr>
        <w:t>סע</w:t>
      </w:r>
      <w:r w:rsidRPr="00697BA6">
        <w:rPr>
          <w:rFonts w:ascii="FrankRuehl" w:hAnsi="FrankRuehl" w:cs="FrankRuehl"/>
          <w:rtl/>
        </w:rPr>
        <w:t xml:space="preserve">'  </w:t>
      </w:r>
      <w:hyperlink r:id="rId8" w:history="1">
        <w:r w:rsidRPr="00697BA6">
          <w:rPr>
            <w:rFonts w:ascii="FrankRuehl" w:hAnsi="FrankRuehl" w:cs="FrankRuehl"/>
            <w:color w:val="0000FF"/>
            <w:rtl/>
          </w:rPr>
          <w:t>7.</w:t>
        </w:r>
        <w:r w:rsidRPr="00697BA6">
          <w:rPr>
            <w:rFonts w:ascii="FrankRuehl" w:hAnsi="FrankRuehl" w:cs="FrankRuehl" w:hint="cs"/>
            <w:color w:val="0000FF"/>
            <w:rtl/>
          </w:rPr>
          <w:t>א</w:t>
        </w:r>
        <w:r w:rsidRPr="00697BA6">
          <w:rPr>
            <w:rFonts w:ascii="FrankRuehl" w:hAnsi="FrankRuehl" w:cs="FrankRuehl"/>
            <w:color w:val="0000FF"/>
            <w:rtl/>
          </w:rPr>
          <w:t>.</w:t>
        </w:r>
      </w:hyperlink>
      <w:r w:rsidRPr="00697BA6">
        <w:rPr>
          <w:rFonts w:ascii="FrankRuehl" w:hAnsi="FrankRuehl" w:cs="FrankRuehl"/>
          <w:rtl/>
        </w:rPr>
        <w:t xml:space="preserve">, </w:t>
      </w:r>
      <w:hyperlink r:id="rId9" w:history="1">
        <w:r w:rsidRPr="00697BA6">
          <w:rPr>
            <w:rFonts w:ascii="FrankRuehl" w:hAnsi="FrankRuehl" w:cs="FrankRuehl"/>
            <w:color w:val="0000FF"/>
            <w:rtl/>
          </w:rPr>
          <w:t>7.</w:t>
        </w:r>
        <w:r w:rsidRPr="00697BA6">
          <w:rPr>
            <w:rFonts w:ascii="FrankRuehl" w:hAnsi="FrankRuehl" w:cs="FrankRuehl" w:hint="cs"/>
            <w:color w:val="0000FF"/>
            <w:rtl/>
          </w:rPr>
          <w:t>ג</w:t>
        </w:r>
      </w:hyperlink>
      <w:r w:rsidRPr="00697BA6">
        <w:rPr>
          <w:rFonts w:ascii="FrankRuehl" w:hAnsi="FrankRuehl" w:cs="FrankRuehl"/>
          <w:rtl/>
        </w:rPr>
        <w:t xml:space="preserve">, </w:t>
      </w:r>
      <w:hyperlink r:id="rId10" w:history="1">
        <w:r w:rsidRPr="00697BA6">
          <w:rPr>
            <w:rFonts w:ascii="FrankRuehl" w:hAnsi="FrankRuehl" w:cs="FrankRuehl"/>
            <w:color w:val="0000FF"/>
            <w:rtl/>
          </w:rPr>
          <w:t>13</w:t>
        </w:r>
      </w:hyperlink>
      <w:r w:rsidRPr="00697BA6">
        <w:rPr>
          <w:rFonts w:ascii="FrankRuehl" w:hAnsi="FrankRuehl" w:cs="FrankRuehl"/>
          <w:rtl/>
        </w:rPr>
        <w:t xml:space="preserve">, </w:t>
      </w:r>
      <w:hyperlink r:id="rId11" w:history="1">
        <w:r w:rsidRPr="00697BA6">
          <w:rPr>
            <w:rFonts w:ascii="FrankRuehl" w:hAnsi="FrankRuehl" w:cs="FrankRuehl"/>
            <w:color w:val="0000FF"/>
            <w:rtl/>
          </w:rPr>
          <w:t>19.</w:t>
        </w:r>
        <w:r w:rsidRPr="00697BA6">
          <w:rPr>
            <w:rFonts w:ascii="FrankRuehl" w:hAnsi="FrankRuehl" w:cs="FrankRuehl" w:hint="cs"/>
            <w:color w:val="0000FF"/>
            <w:rtl/>
          </w:rPr>
          <w:t>א</w:t>
        </w:r>
      </w:hyperlink>
    </w:p>
    <w:p w14:paraId="5190CC41" w14:textId="77777777" w:rsidR="00697BA6" w:rsidRPr="00697BA6" w:rsidRDefault="00697BA6" w:rsidP="00697BA6">
      <w:pPr>
        <w:pStyle w:val="aa"/>
        <w:spacing w:before="120" w:beforeAutospacing="1" w:after="120" w:line="240" w:lineRule="exact"/>
        <w:ind w:left="283" w:hanging="283"/>
        <w:jc w:val="both"/>
        <w:rPr>
          <w:rFonts w:ascii="FrankRuehl" w:hAnsi="FrankRuehl" w:cs="FrankRuehl"/>
          <w:rtl/>
        </w:rPr>
      </w:pPr>
      <w:hyperlink r:id="rId12" w:history="1">
        <w:r w:rsidRPr="00697BA6">
          <w:rPr>
            <w:rFonts w:ascii="FrankRuehl" w:hAnsi="FrankRuehl" w:cs="FrankRuehl" w:hint="cs"/>
            <w:color w:val="0000FF"/>
            <w:rtl/>
          </w:rPr>
          <w:t>חוק</w:t>
        </w:r>
        <w:r w:rsidRPr="00697BA6">
          <w:rPr>
            <w:rFonts w:ascii="FrankRuehl" w:hAnsi="FrankRuehl" w:cs="FrankRuehl"/>
            <w:color w:val="0000FF"/>
            <w:rtl/>
          </w:rPr>
          <w:t xml:space="preserve"> </w:t>
        </w:r>
        <w:r w:rsidRPr="00697BA6">
          <w:rPr>
            <w:rFonts w:ascii="FrankRuehl" w:hAnsi="FrankRuehl" w:cs="FrankRuehl" w:hint="cs"/>
            <w:color w:val="0000FF"/>
            <w:rtl/>
          </w:rPr>
          <w:t>העונשין</w:t>
        </w:r>
        <w:r w:rsidRPr="00697BA6">
          <w:rPr>
            <w:rFonts w:ascii="FrankRuehl" w:hAnsi="FrankRuehl" w:cs="FrankRuehl"/>
            <w:color w:val="0000FF"/>
            <w:rtl/>
          </w:rPr>
          <w:t xml:space="preserve">, </w:t>
        </w:r>
        <w:r w:rsidRPr="00697BA6">
          <w:rPr>
            <w:rFonts w:ascii="FrankRuehl" w:hAnsi="FrankRuehl" w:cs="FrankRuehl" w:hint="cs"/>
            <w:color w:val="0000FF"/>
            <w:rtl/>
          </w:rPr>
          <w:t>תשל</w:t>
        </w:r>
        <w:r w:rsidRPr="00697BA6">
          <w:rPr>
            <w:rFonts w:ascii="FrankRuehl" w:hAnsi="FrankRuehl" w:cs="FrankRuehl"/>
            <w:color w:val="0000FF"/>
            <w:rtl/>
          </w:rPr>
          <w:t>"</w:t>
        </w:r>
        <w:r w:rsidRPr="00697BA6">
          <w:rPr>
            <w:rFonts w:ascii="FrankRuehl" w:hAnsi="FrankRuehl" w:cs="FrankRuehl" w:hint="cs"/>
            <w:color w:val="0000FF"/>
            <w:rtl/>
          </w:rPr>
          <w:t>ז</w:t>
        </w:r>
        <w:r w:rsidRPr="00697BA6">
          <w:rPr>
            <w:rFonts w:ascii="FrankRuehl" w:hAnsi="FrankRuehl" w:cs="FrankRuehl"/>
            <w:color w:val="0000FF"/>
            <w:rtl/>
          </w:rPr>
          <w:t>-1977</w:t>
        </w:r>
      </w:hyperlink>
      <w:r w:rsidRPr="00697BA6">
        <w:rPr>
          <w:rFonts w:ascii="FrankRuehl" w:hAnsi="FrankRuehl" w:cs="FrankRuehl"/>
          <w:rtl/>
        </w:rPr>
        <w:t xml:space="preserve">: </w:t>
      </w:r>
      <w:r w:rsidRPr="00697BA6">
        <w:rPr>
          <w:rFonts w:ascii="FrankRuehl" w:hAnsi="FrankRuehl" w:cs="FrankRuehl" w:hint="cs"/>
          <w:rtl/>
        </w:rPr>
        <w:t>סע</w:t>
      </w:r>
      <w:r w:rsidRPr="00697BA6">
        <w:rPr>
          <w:rFonts w:ascii="FrankRuehl" w:hAnsi="FrankRuehl" w:cs="FrankRuehl"/>
          <w:rtl/>
        </w:rPr>
        <w:t xml:space="preserve">'  </w:t>
      </w:r>
      <w:hyperlink r:id="rId13" w:history="1">
        <w:r w:rsidRPr="00697BA6">
          <w:rPr>
            <w:rFonts w:ascii="FrankRuehl" w:hAnsi="FrankRuehl" w:cs="FrankRuehl"/>
            <w:color w:val="0000FF"/>
            <w:rtl/>
          </w:rPr>
          <w:t>40</w:t>
        </w:r>
        <w:r w:rsidRPr="00697BA6">
          <w:rPr>
            <w:rFonts w:ascii="FrankRuehl" w:hAnsi="FrankRuehl" w:cs="FrankRuehl" w:hint="cs"/>
            <w:color w:val="0000FF"/>
            <w:rtl/>
          </w:rPr>
          <w:t>ג</w:t>
        </w:r>
        <w:r w:rsidRPr="00697BA6">
          <w:rPr>
            <w:rFonts w:ascii="FrankRuehl" w:hAnsi="FrankRuehl" w:cs="FrankRuehl"/>
            <w:color w:val="0000FF"/>
            <w:rtl/>
          </w:rPr>
          <w:t>(</w:t>
        </w:r>
        <w:r w:rsidRPr="00697BA6">
          <w:rPr>
            <w:rFonts w:ascii="FrankRuehl" w:hAnsi="FrankRuehl" w:cs="FrankRuehl" w:hint="cs"/>
            <w:color w:val="0000FF"/>
            <w:rtl/>
          </w:rPr>
          <w:t>ב</w:t>
        </w:r>
        <w:r w:rsidRPr="00697BA6">
          <w:rPr>
            <w:rFonts w:ascii="FrankRuehl" w:hAnsi="FrankRuehl" w:cs="FrankRuehl"/>
            <w:color w:val="0000FF"/>
            <w:rtl/>
          </w:rPr>
          <w:t>)</w:t>
        </w:r>
      </w:hyperlink>
      <w:r w:rsidRPr="00697BA6">
        <w:rPr>
          <w:rFonts w:ascii="FrankRuehl" w:hAnsi="FrankRuehl" w:cs="FrankRuehl"/>
          <w:rtl/>
        </w:rPr>
        <w:t xml:space="preserve">, </w:t>
      </w:r>
      <w:hyperlink r:id="rId14" w:history="1">
        <w:r w:rsidRPr="00697BA6">
          <w:rPr>
            <w:rFonts w:ascii="FrankRuehl" w:hAnsi="FrankRuehl" w:cs="FrankRuehl"/>
            <w:color w:val="0000FF"/>
            <w:rtl/>
          </w:rPr>
          <w:t>40</w:t>
        </w:r>
        <w:r w:rsidRPr="00697BA6">
          <w:rPr>
            <w:rFonts w:ascii="FrankRuehl" w:hAnsi="FrankRuehl" w:cs="FrankRuehl" w:hint="cs"/>
            <w:color w:val="0000FF"/>
            <w:rtl/>
          </w:rPr>
          <w:t>ד</w:t>
        </w:r>
        <w:r w:rsidRPr="00697BA6">
          <w:rPr>
            <w:rFonts w:ascii="FrankRuehl" w:hAnsi="FrankRuehl" w:cs="FrankRuehl"/>
            <w:color w:val="0000FF"/>
            <w:rtl/>
          </w:rPr>
          <w:t>'</w:t>
        </w:r>
      </w:hyperlink>
    </w:p>
    <w:p w14:paraId="3AF8C73C" w14:textId="77777777" w:rsidR="00697BA6" w:rsidRPr="00697BA6" w:rsidRDefault="00697BA6" w:rsidP="00697BA6">
      <w:pPr>
        <w:pStyle w:val="aa"/>
        <w:spacing w:before="100" w:beforeAutospacing="1" w:after="120" w:line="360" w:lineRule="auto"/>
        <w:ind w:left="-2"/>
        <w:jc w:val="both"/>
        <w:rPr>
          <w:rFonts w:ascii="Corbel" w:hAnsi="Corbel" w:cs="FrankRuehl"/>
          <w:sz w:val="28"/>
          <w:szCs w:val="28"/>
          <w:rtl/>
        </w:rPr>
      </w:pPr>
      <w:bookmarkStart w:id="4" w:name="LawTable_End"/>
      <w:bookmarkEnd w:id="4"/>
    </w:p>
    <w:p w14:paraId="750018AB" w14:textId="77777777" w:rsidR="005B51BC" w:rsidRPr="00A0426C" w:rsidRDefault="005B51BC" w:rsidP="00A0426C">
      <w:pPr>
        <w:pStyle w:val="aa"/>
        <w:spacing w:before="100" w:beforeAutospacing="1" w:after="120" w:line="360" w:lineRule="auto"/>
        <w:ind w:left="-2"/>
        <w:jc w:val="both"/>
        <w:rPr>
          <w:rFonts w:ascii="Corbel" w:hAnsi="Corbe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51BC" w14:paraId="33F375B0" w14:textId="77777777" w:rsidTr="005B51BC">
        <w:trPr>
          <w:trHeight w:val="355"/>
          <w:jc w:val="center"/>
        </w:trPr>
        <w:tc>
          <w:tcPr>
            <w:tcW w:w="8820" w:type="dxa"/>
            <w:tcBorders>
              <w:top w:val="nil"/>
              <w:left w:val="nil"/>
              <w:bottom w:val="nil"/>
              <w:right w:val="nil"/>
            </w:tcBorders>
            <w:shd w:val="clear" w:color="auto" w:fill="auto"/>
          </w:tcPr>
          <w:p w14:paraId="1FBF4A17" w14:textId="77777777" w:rsidR="00842986" w:rsidRPr="00842986" w:rsidRDefault="00842986" w:rsidP="00842986">
            <w:pPr>
              <w:jc w:val="center"/>
              <w:rPr>
                <w:rFonts w:ascii="David" w:hAnsi="David"/>
                <w:b/>
                <w:bCs/>
                <w:sz w:val="32"/>
                <w:szCs w:val="32"/>
                <w:u w:val="single"/>
                <w:rtl/>
              </w:rPr>
            </w:pPr>
            <w:bookmarkStart w:id="5" w:name="PsakDin" w:colFirst="0" w:colLast="0"/>
            <w:bookmarkEnd w:id="0"/>
            <w:r w:rsidRPr="00842986">
              <w:rPr>
                <w:rFonts w:ascii="David" w:hAnsi="David"/>
                <w:b/>
                <w:bCs/>
                <w:sz w:val="32"/>
                <w:szCs w:val="32"/>
                <w:u w:val="single"/>
                <w:rtl/>
              </w:rPr>
              <w:t>גזר דין</w:t>
            </w:r>
          </w:p>
          <w:p w14:paraId="088A127A" w14:textId="77777777" w:rsidR="005B51BC" w:rsidRPr="00842986" w:rsidRDefault="005B51BC" w:rsidP="00842986">
            <w:pPr>
              <w:jc w:val="center"/>
              <w:rPr>
                <w:rFonts w:ascii="David" w:hAnsi="David"/>
                <w:bCs/>
                <w:sz w:val="32"/>
                <w:szCs w:val="32"/>
                <w:u w:val="single"/>
                <w:rtl/>
              </w:rPr>
            </w:pPr>
          </w:p>
        </w:tc>
      </w:tr>
    </w:tbl>
    <w:p w14:paraId="1DF6B097"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bookmarkStart w:id="6" w:name="ABSTRACT_START"/>
      <w:bookmarkEnd w:id="5"/>
      <w:bookmarkEnd w:id="6"/>
      <w:r>
        <w:rPr>
          <w:rFonts w:cs="FrankRuehl"/>
          <w:sz w:val="28"/>
          <w:szCs w:val="28"/>
          <w:rtl/>
        </w:rPr>
        <w:t xml:space="preserve">הנאשמת הורשעה על יסוד הודאתה בהתאם להסדר דיוני בכתב אישום מתוקן בעבירות כדלקמן: החזקת סם מסוכן שלא לצריכה עצמית – לפי </w:t>
      </w:r>
      <w:r>
        <w:rPr>
          <w:rFonts w:ascii="Miriam" w:hAnsi="Miriam" w:cs="Miriam"/>
          <w:rtl/>
        </w:rPr>
        <w:t xml:space="preserve">סעיף </w:t>
      </w:r>
      <w:hyperlink r:id="rId15" w:history="1">
        <w:r w:rsidR="00936034" w:rsidRPr="00936034">
          <w:rPr>
            <w:rStyle w:val="Hyperlink"/>
            <w:rtl/>
          </w:rPr>
          <w:t>7(א) ו-(ג)</w:t>
        </w:r>
      </w:hyperlink>
      <w:r>
        <w:rPr>
          <w:rFonts w:ascii="Miriam" w:hAnsi="Miriam" w:cs="Miriam"/>
          <w:rtl/>
        </w:rPr>
        <w:t xml:space="preserve"> </w:t>
      </w:r>
      <w:r>
        <w:rPr>
          <w:rFonts w:ascii="Miriam" w:hAnsi="Miriam" w:cs="Miriam" w:hint="cs"/>
          <w:rtl/>
        </w:rPr>
        <w:t>רישא ל</w:t>
      </w:r>
      <w:hyperlink r:id="rId16" w:history="1">
        <w:r w:rsidR="00842986" w:rsidRPr="00842986">
          <w:rPr>
            <w:rFonts w:ascii="Miriam" w:hAnsi="Miriam" w:cs="Miriam"/>
            <w:color w:val="0000FF"/>
            <w:u w:val="single"/>
            <w:rtl/>
          </w:rPr>
          <w:t>פקודת הסמים המסוכנים</w:t>
        </w:r>
      </w:hyperlink>
      <w:r>
        <w:rPr>
          <w:rFonts w:cs="FrankRuehl"/>
          <w:sz w:val="28"/>
          <w:szCs w:val="28"/>
          <w:rtl/>
        </w:rPr>
        <w:t xml:space="preserve"> [נוסח חדש], התשל"ג-1973 (להלן: </w:t>
      </w:r>
      <w:r>
        <w:rPr>
          <w:rFonts w:ascii="Miriam" w:hAnsi="Miriam" w:cs="Miriam"/>
          <w:rtl/>
        </w:rPr>
        <w:t>פקודת הסמים או הפקודה</w:t>
      </w:r>
      <w:r>
        <w:rPr>
          <w:rFonts w:cs="FrankRuehl"/>
          <w:sz w:val="28"/>
          <w:szCs w:val="28"/>
          <w:rtl/>
        </w:rPr>
        <w:t xml:space="preserve">), ובסחר בסם מסוכן – לפי </w:t>
      </w:r>
      <w:r>
        <w:rPr>
          <w:rFonts w:ascii="Miriam" w:hAnsi="Miriam" w:cs="Miriam"/>
          <w:rtl/>
        </w:rPr>
        <w:t xml:space="preserve">סעיפים </w:t>
      </w:r>
      <w:hyperlink r:id="rId17" w:history="1">
        <w:r w:rsidR="00936034" w:rsidRPr="00936034">
          <w:rPr>
            <w:rStyle w:val="Hyperlink"/>
            <w:rFonts w:ascii="Miriam" w:hAnsi="Miriam" w:cs="Miriam"/>
            <w:rtl/>
          </w:rPr>
          <w:t>13+ 19(א)</w:t>
        </w:r>
      </w:hyperlink>
      <w:r>
        <w:rPr>
          <w:rFonts w:ascii="Miriam" w:hAnsi="Miriam" w:cs="Miriam"/>
          <w:rtl/>
        </w:rPr>
        <w:t xml:space="preserve"> לפקודת הסמים. </w:t>
      </w:r>
      <w:r>
        <w:rPr>
          <w:rFonts w:cs="FrankRuehl"/>
          <w:sz w:val="28"/>
          <w:szCs w:val="28"/>
          <w:rtl/>
        </w:rPr>
        <w:t>כחלק מהסדר הטיעון אשר לא כלל הסכמה לעניין העונש, התבקש שירות המבחן לערוך תסקיר בעניינה של הנאשמת אשר ייבחן את נסיבותיה האישיות כמו גם את נסיבות ביצוע העבירה ויעביר המלצותיו לבית המשפט</w:t>
      </w:r>
      <w:r>
        <w:rPr>
          <w:rFonts w:ascii="Arial" w:hAnsi="Arial"/>
          <w:rtl/>
        </w:rPr>
        <w:t xml:space="preserve">. </w:t>
      </w:r>
      <w:r>
        <w:rPr>
          <w:rFonts w:cs="FrankRuehl"/>
          <w:sz w:val="28"/>
          <w:szCs w:val="28"/>
          <w:rtl/>
        </w:rPr>
        <w:t xml:space="preserve">בנוסף, המאשימה להכריז על הנאשמת סוחרת סמים ולהורות על חילוט 1,150 ₪ במזומן שנתפסו ברשותה. </w:t>
      </w:r>
    </w:p>
    <w:p w14:paraId="1BE1478E" w14:textId="77777777" w:rsidR="005B51BC" w:rsidRDefault="005B51BC" w:rsidP="005B51BC">
      <w:pPr>
        <w:pStyle w:val="aa"/>
        <w:spacing w:before="100" w:beforeAutospacing="1" w:after="120"/>
        <w:ind w:left="0"/>
        <w:jc w:val="both"/>
        <w:rPr>
          <w:rFonts w:ascii="Corbel" w:hAnsi="Corbel" w:cs="FrankRuehl"/>
          <w:sz w:val="28"/>
          <w:szCs w:val="28"/>
        </w:rPr>
      </w:pPr>
      <w:bookmarkStart w:id="7" w:name="ABSTRACT_END"/>
      <w:bookmarkEnd w:id="7"/>
    </w:p>
    <w:p w14:paraId="2C82DCFE" w14:textId="77777777" w:rsidR="005B51BC" w:rsidRDefault="005B51BC" w:rsidP="005B51BC">
      <w:pPr>
        <w:pStyle w:val="aa"/>
        <w:spacing w:before="100" w:beforeAutospacing="1" w:after="120" w:line="360" w:lineRule="auto"/>
        <w:ind w:left="0"/>
        <w:jc w:val="both"/>
        <w:rPr>
          <w:rFonts w:ascii="Corbel" w:hAnsi="Corbel" w:cs="FrankRuehl"/>
          <w:sz w:val="28"/>
          <w:szCs w:val="28"/>
          <w:rtl/>
        </w:rPr>
      </w:pPr>
      <w:r>
        <w:rPr>
          <w:rFonts w:ascii="Miriam" w:hAnsi="Miriam" w:cs="Miriam"/>
          <w:rtl/>
        </w:rPr>
        <w:t>כתב האישום המתוקן</w:t>
      </w:r>
    </w:p>
    <w:p w14:paraId="3364BDE9" w14:textId="77777777" w:rsidR="005B51BC" w:rsidRDefault="005B51BC" w:rsidP="005B51BC">
      <w:pPr>
        <w:pStyle w:val="aa"/>
        <w:spacing w:before="100" w:beforeAutospacing="1" w:after="120"/>
        <w:ind w:left="0"/>
        <w:jc w:val="both"/>
        <w:rPr>
          <w:rFonts w:ascii="Corbel" w:hAnsi="Corbel" w:cs="FrankRuehl"/>
          <w:sz w:val="28"/>
          <w:szCs w:val="28"/>
        </w:rPr>
      </w:pPr>
    </w:p>
    <w:p w14:paraId="3AD671FB"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לפי עובדות האישום הראשון, ביום 11.11.2020 בשעה 14:40 לערך, החזיקה הנאשמת סמים מסוכנים בביתה, במקומות שונים בבית כגון: בשידה שבכניסה לבית, בארון המטבח, </w:t>
      </w:r>
      <w:r>
        <w:rPr>
          <w:rFonts w:cs="FrankRuehl"/>
          <w:sz w:val="28"/>
          <w:szCs w:val="28"/>
          <w:rtl/>
        </w:rPr>
        <w:lastRenderedPageBreak/>
        <w:t xml:space="preserve">במקפיא, בארונות הבגדים ובשידות שבחדרי השינה, בסלון, בשולחן המחשב, בתיקים ובמזוודה, והכל מפורט להלן: </w:t>
      </w:r>
    </w:p>
    <w:p w14:paraId="4FDF77F5" w14:textId="77777777" w:rsidR="005B51BC" w:rsidRDefault="005B51BC" w:rsidP="005B51BC">
      <w:pPr>
        <w:pStyle w:val="aa"/>
        <w:spacing w:before="100" w:beforeAutospacing="1" w:after="120"/>
        <w:ind w:left="0" w:firstLine="720"/>
        <w:jc w:val="both"/>
        <w:rPr>
          <w:rFonts w:cs="FrankRuehl"/>
          <w:sz w:val="28"/>
          <w:szCs w:val="28"/>
          <w:rtl/>
        </w:rPr>
      </w:pPr>
    </w:p>
    <w:p w14:paraId="4B09E0AC" w14:textId="77777777" w:rsidR="005B51BC" w:rsidRDefault="005B51BC" w:rsidP="005B51BC">
      <w:pPr>
        <w:pStyle w:val="aa"/>
        <w:spacing w:before="100" w:beforeAutospacing="1" w:after="120" w:line="360" w:lineRule="auto"/>
        <w:ind w:left="0" w:firstLine="720"/>
        <w:jc w:val="both"/>
        <w:rPr>
          <w:rFonts w:cs="FrankRuehl"/>
          <w:sz w:val="28"/>
          <w:szCs w:val="28"/>
          <w:rtl/>
        </w:rPr>
      </w:pPr>
      <w:r w:rsidRPr="005B028F">
        <w:rPr>
          <w:rFonts w:cs="FrankRuehl"/>
          <w:sz w:val="28"/>
          <w:szCs w:val="28"/>
          <w:rtl/>
        </w:rPr>
        <w:t xml:space="preserve">סם מסוכן מסוג קנאבוס, במשקל 735.23 גרם נטו, סם מסוכן מסוג חשיש, במשקל 61.43 גרם נטו, שתי יחידות של סם מסוכן מסוג </w:t>
      </w:r>
      <w:r w:rsidRPr="005B028F">
        <w:rPr>
          <w:rFonts w:cs="FrankRuehl"/>
          <w:sz w:val="28"/>
          <w:szCs w:val="28"/>
        </w:rPr>
        <w:t>MDMA</w:t>
      </w:r>
      <w:r w:rsidRPr="005B028F">
        <w:rPr>
          <w:rFonts w:cs="FrankRuehl"/>
          <w:sz w:val="28"/>
          <w:szCs w:val="28"/>
          <w:rtl/>
        </w:rPr>
        <w:t xml:space="preserve"> במשקל של2.01 גרם נטו, 8 יחידות של סם מסוכן מסוג </w:t>
      </w:r>
      <w:r w:rsidRPr="005B028F">
        <w:rPr>
          <w:rFonts w:cs="FrankRuehl"/>
          <w:sz w:val="28"/>
          <w:szCs w:val="28"/>
        </w:rPr>
        <w:t>LCD</w:t>
      </w:r>
      <w:r w:rsidRPr="005B028F">
        <w:rPr>
          <w:rFonts w:cs="FrankRuehl"/>
          <w:sz w:val="28"/>
          <w:szCs w:val="28"/>
          <w:rtl/>
        </w:rPr>
        <w:t xml:space="preserve">, סם מסוכן מסוג קוקאין במשקל 1.44 גרם נטו, סם מסוכן מסוג </w:t>
      </w:r>
      <w:r w:rsidRPr="005B028F">
        <w:rPr>
          <w:rFonts w:cs="FrankRuehl"/>
          <w:sz w:val="28"/>
          <w:szCs w:val="28"/>
        </w:rPr>
        <w:t>THC</w:t>
      </w:r>
      <w:r w:rsidRPr="005B028F">
        <w:rPr>
          <w:rFonts w:cs="FrankRuehl"/>
          <w:sz w:val="28"/>
          <w:szCs w:val="28"/>
          <w:rtl/>
        </w:rPr>
        <w:t xml:space="preserve"> שמן חשיש במשקל 27.5 מ"ל, סם מסוכן </w:t>
      </w:r>
      <w:r w:rsidRPr="005B028F">
        <w:rPr>
          <w:rFonts w:cs="FrankRuehl"/>
          <w:sz w:val="28"/>
          <w:szCs w:val="28"/>
        </w:rPr>
        <w:t>KETAMINE</w:t>
      </w:r>
      <w:r w:rsidRPr="005B028F">
        <w:rPr>
          <w:rFonts w:cs="FrankRuehl"/>
          <w:sz w:val="28"/>
          <w:szCs w:val="28"/>
          <w:rtl/>
        </w:rPr>
        <w:t xml:space="preserve"> במשקל 9.644 גרם נטו, סם מסוכן מסוג </w:t>
      </w:r>
      <w:r w:rsidRPr="005B028F">
        <w:rPr>
          <w:rFonts w:cs="FrankRuehl"/>
          <w:sz w:val="28"/>
          <w:szCs w:val="28"/>
        </w:rPr>
        <w:t>DMT</w:t>
      </w:r>
      <w:r w:rsidRPr="005B028F">
        <w:rPr>
          <w:rFonts w:cs="FrankRuehl"/>
          <w:sz w:val="28"/>
          <w:szCs w:val="28"/>
          <w:rtl/>
        </w:rPr>
        <w:t xml:space="preserve"> במשקל של 4.56 גרם נטו, סם מסוכן מסוג הארמין במשקל של 4.99 גרם נטו, סם מסוכן מסוג </w:t>
      </w:r>
      <w:r w:rsidRPr="005B028F">
        <w:rPr>
          <w:rFonts w:cs="FrankRuehl"/>
          <w:sz w:val="28"/>
          <w:szCs w:val="28"/>
        </w:rPr>
        <w:t>THC</w:t>
      </w:r>
      <w:r w:rsidRPr="005B028F">
        <w:rPr>
          <w:rFonts w:cs="FrankRuehl"/>
          <w:sz w:val="28"/>
          <w:szCs w:val="28"/>
          <w:rtl/>
        </w:rPr>
        <w:t xml:space="preserve"> שמן חשיש במשקל 8 מ"ל וסם מסוכן מסוג פסילוצין במשקל 15.43 גרם נטו. </w:t>
      </w:r>
    </w:p>
    <w:p w14:paraId="54FD0B30" w14:textId="77777777" w:rsidR="005B51BC" w:rsidRDefault="005B51BC" w:rsidP="005B51BC">
      <w:pPr>
        <w:pStyle w:val="aa"/>
        <w:spacing w:before="100" w:beforeAutospacing="1" w:after="120"/>
        <w:ind w:left="0"/>
        <w:jc w:val="both"/>
        <w:rPr>
          <w:rFonts w:cs="FrankRuehl"/>
          <w:sz w:val="28"/>
          <w:szCs w:val="28"/>
          <w:rtl/>
        </w:rPr>
      </w:pPr>
    </w:p>
    <w:p w14:paraId="0AA30F13" w14:textId="77777777" w:rsidR="005B51BC" w:rsidRDefault="005B51BC" w:rsidP="005B51BC">
      <w:pPr>
        <w:pStyle w:val="aa"/>
        <w:spacing w:before="100" w:beforeAutospacing="1" w:after="120" w:line="360" w:lineRule="auto"/>
        <w:ind w:left="0" w:firstLine="720"/>
        <w:jc w:val="both"/>
        <w:rPr>
          <w:rFonts w:ascii="Corbel" w:hAnsi="Corbel" w:cs="FrankRuehl"/>
          <w:sz w:val="28"/>
          <w:szCs w:val="28"/>
          <w:rtl/>
        </w:rPr>
      </w:pPr>
      <w:r>
        <w:rPr>
          <w:rFonts w:cs="FrankRuehl"/>
          <w:sz w:val="28"/>
          <w:szCs w:val="28"/>
          <w:rtl/>
        </w:rPr>
        <w:t>כמו כן באותן הנסיבות החזיקה הנאשמת בביתה, ללא היתר, במשקל אלקטרוני, וב-22 שקיות חלוקה, שהם כלים לצריכה סמים.</w:t>
      </w:r>
    </w:p>
    <w:p w14:paraId="2C860F31" w14:textId="77777777" w:rsidR="005B51BC" w:rsidRDefault="005B51BC" w:rsidP="005B51BC">
      <w:pPr>
        <w:pStyle w:val="aa"/>
        <w:spacing w:before="100" w:beforeAutospacing="1" w:after="120"/>
        <w:ind w:left="0" w:firstLine="720"/>
        <w:jc w:val="both"/>
        <w:rPr>
          <w:rFonts w:ascii="Corbel" w:hAnsi="Corbel" w:cs="FrankRuehl"/>
          <w:sz w:val="28"/>
          <w:szCs w:val="28"/>
        </w:rPr>
      </w:pPr>
    </w:p>
    <w:p w14:paraId="2E0182A0"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לפי עובדות האישום השני, עובר לתאריך 7.10.2020 ובסמוך לו, מכרה הנאשמת למר ב.מ, סם מסוכן מסוג קנאבוס במשקל של 2 גרם בתמורה ל- 200 ₪, בידיעה כי הוא מחזיק ברישיון לשימוש בקנאבוס רפואי. </w:t>
      </w:r>
    </w:p>
    <w:p w14:paraId="0AFCF3F8" w14:textId="77777777" w:rsidR="005B51BC" w:rsidRDefault="005B51BC" w:rsidP="005B51BC">
      <w:pPr>
        <w:pStyle w:val="aa"/>
        <w:spacing w:before="100" w:beforeAutospacing="1" w:after="120"/>
        <w:ind w:left="0"/>
        <w:jc w:val="both"/>
        <w:rPr>
          <w:rFonts w:ascii="Corbel" w:hAnsi="Corbel" w:cs="FrankRuehl"/>
          <w:sz w:val="28"/>
          <w:szCs w:val="28"/>
        </w:rPr>
      </w:pPr>
    </w:p>
    <w:p w14:paraId="25281B48" w14:textId="77777777" w:rsidR="005B51BC" w:rsidRDefault="005B51BC" w:rsidP="005B51BC">
      <w:pPr>
        <w:pStyle w:val="aa"/>
        <w:spacing w:before="100" w:beforeAutospacing="1" w:after="120" w:line="360" w:lineRule="auto"/>
        <w:ind w:left="0"/>
        <w:jc w:val="both"/>
        <w:rPr>
          <w:rFonts w:ascii="Corbel" w:hAnsi="Corbel" w:cs="FrankRuehl"/>
          <w:sz w:val="28"/>
          <w:szCs w:val="28"/>
          <w:rtl/>
        </w:rPr>
      </w:pPr>
      <w:r>
        <w:rPr>
          <w:rFonts w:ascii="Miriam" w:hAnsi="Miriam" w:cs="Miriam"/>
          <w:rtl/>
        </w:rPr>
        <w:t>תסקירי שירות המבחן</w:t>
      </w:r>
    </w:p>
    <w:p w14:paraId="0EAB56C0" w14:textId="77777777" w:rsidR="005B51BC" w:rsidRDefault="005B51BC" w:rsidP="005B51BC">
      <w:pPr>
        <w:pStyle w:val="aa"/>
        <w:spacing w:before="100" w:beforeAutospacing="1" w:after="120"/>
        <w:ind w:left="0"/>
        <w:jc w:val="both"/>
        <w:rPr>
          <w:rFonts w:ascii="Corbel" w:hAnsi="Corbel" w:cs="FrankRuehl"/>
          <w:sz w:val="28"/>
          <w:szCs w:val="28"/>
        </w:rPr>
      </w:pPr>
    </w:p>
    <w:p w14:paraId="5E2BC310"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Miriam" w:hAnsi="Miriam" w:cs="Miriam"/>
          <w:rtl/>
        </w:rPr>
        <w:t xml:space="preserve"> </w:t>
      </w:r>
      <w:r>
        <w:rPr>
          <w:rFonts w:ascii="Calibri" w:hAnsi="Calibri" w:cs="FrankRuehl"/>
          <w:sz w:val="28"/>
          <w:szCs w:val="28"/>
          <w:rtl/>
        </w:rPr>
        <w:t xml:space="preserve">בעניינה של הנאשמת הוגשו שני תסקירים (23.1.2022 ; 5.4.2022) המגוללים את נסיבותיה האישיות, רקע והיסטוריה עבריינית, אישיותה, נסיבות ביצוע העבירות, התייחסותה של הנאשמת לעבירות מושא כתב האישום, הערכת הסיכון להישנות העבירות וסיכויי השיקום. התסקירים מתארים נזקקות טיפולית, תחילת הליך טיפולי ובסופם של התסקירים המלצה להעדיף את הפן השיקומי ולהטיל על הנאשמת עונש של מאסר מותנה, צו של"צ ומבחן.  </w:t>
      </w:r>
    </w:p>
    <w:p w14:paraId="4FE7294F" w14:textId="77777777" w:rsidR="005B51BC" w:rsidRDefault="005B51BC" w:rsidP="005B51BC">
      <w:pPr>
        <w:pStyle w:val="aa"/>
        <w:spacing w:before="100" w:beforeAutospacing="1" w:after="120"/>
        <w:ind w:left="0"/>
        <w:jc w:val="both"/>
        <w:rPr>
          <w:rFonts w:ascii="Corbel" w:hAnsi="Corbel" w:cs="FrankRuehl"/>
          <w:sz w:val="28"/>
          <w:szCs w:val="28"/>
        </w:rPr>
      </w:pPr>
    </w:p>
    <w:p w14:paraId="72289623" w14:textId="77777777" w:rsidR="005B51BC" w:rsidRDefault="005B51BC" w:rsidP="005B51BC">
      <w:pPr>
        <w:pStyle w:val="aa"/>
        <w:spacing w:before="100" w:beforeAutospacing="1" w:after="120" w:line="360" w:lineRule="auto"/>
        <w:ind w:left="0"/>
        <w:jc w:val="both"/>
        <w:rPr>
          <w:rFonts w:ascii="Corbel" w:hAnsi="Corbel" w:cs="FrankRuehl"/>
          <w:sz w:val="28"/>
          <w:szCs w:val="28"/>
        </w:rPr>
      </w:pPr>
      <w:r>
        <w:rPr>
          <w:rFonts w:ascii="Miriam" w:hAnsi="Miriam" w:cs="Miriam"/>
          <w:rtl/>
        </w:rPr>
        <w:t>תסקיר שירות המבחן מיום 23.01.2022 (להלן: התסקיר הראשון)</w:t>
      </w:r>
    </w:p>
    <w:p w14:paraId="1A149FC6"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24422781"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מהתסקיר עולה כי הנאשמת בת 51, גרושה, ואם לבן יחיד, מתגוררת במזכרת בתיה, אינה עובדת מזה כשמונה שנים ומתקיימת מקצבת נכות מטעם המוסד לביטוח לאומי. לאור נישואיה בגיל 18 קיבלה פטור מהשירות הצבאי. עוד עולה כי מתחילת חייה המשותפים עם בעלה דאז, היה נוהג כלפיה באלימות ובעודה בהריון החליטה להתגרש ממנו ולגדל את בנה בכוחות עצמה. הנאשמת ציינה כי הגרוש אינו מכיר בילד ולכן לא הועברו לה תשלומי מזונות לאורך השנים. התסקיר מתאר כי הנאשמת עבדה במהלך השנים בעבודות מזדמנות ביניהן: </w:t>
      </w:r>
      <w:r>
        <w:rPr>
          <w:rFonts w:cs="FrankRuehl"/>
          <w:sz w:val="28"/>
          <w:szCs w:val="28"/>
          <w:rtl/>
        </w:rPr>
        <w:lastRenderedPageBreak/>
        <w:t>מלצרות, ניקיון, תכשיטנות ועוד אך בשל מצבה הרפואי התקשתה להחזיק במקום עבודה באופן מסודר.</w:t>
      </w:r>
      <w:r>
        <w:rPr>
          <w:rFonts w:ascii="Miriam" w:hAnsi="Miriam" w:cs="Miriam"/>
          <w:rtl/>
        </w:rPr>
        <w:t xml:space="preserve"> </w:t>
      </w:r>
      <w:r>
        <w:rPr>
          <w:rFonts w:cs="FrankRuehl"/>
          <w:sz w:val="28"/>
          <w:szCs w:val="28"/>
          <w:rtl/>
        </w:rPr>
        <w:t xml:space="preserve">בגיל 32 השלימה 12 שנות לימוד עם תעודת בגרות בסיוע אגף השיקום במוסד לביטוח לאומי, כאשר הרקע לכך היא המוטיבציה לעזור לבנה בלימודים לקראת בחינות הבגרות אליהן ניגש דאז. בנה של רחל כבן 32 מתגורר בדירה שכורה ברחובות, עובד בעצמאי בתחום האלקטרוניקה. הנאשמת מתארת קשר קרוב עמו. </w:t>
      </w:r>
    </w:p>
    <w:p w14:paraId="18F238A9" w14:textId="77777777" w:rsidR="005B51BC" w:rsidRDefault="005B51BC" w:rsidP="005B51BC">
      <w:pPr>
        <w:pStyle w:val="aa"/>
        <w:spacing w:before="100" w:beforeAutospacing="1" w:after="120"/>
        <w:ind w:left="0"/>
        <w:jc w:val="both"/>
        <w:rPr>
          <w:rFonts w:ascii="Corbel" w:hAnsi="Corbel" w:cs="FrankRuehl"/>
          <w:sz w:val="28"/>
          <w:szCs w:val="28"/>
        </w:rPr>
      </w:pPr>
    </w:p>
    <w:p w14:paraId="1F747919"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הנאשמת נולדה וגדל בבית שמש, התשיעית מבין עשרה ילדים. הוריה נפרדו בהיותה כבת תשע והיא עברה עם אימה לעיר בת ים ובשל חוסר הסתגלות לסביבתה עקב פערים לימודיים חזרה להתגורר עם אביה בבית שמש. בגיל 13 עברה לפנימייה בה למדה כשלוש שנים, שלאחריהן חזרה להתגורר עם אביה ונשרה מהמסגרת הלימודית בגלל הצורך לסייע במטלות הבית.                   הנאשמת מתארת קשר מורכב בין הוריה אשר התבטא בריבים תכופים אשר הובילו לפרידה אך לצד זאת מציינת כי שימרה קשר קרוב עימם לאורך השנים. עוד מספרת כי אביה נפטר לפני כ- 11 שנים, ומתארת כי מותה של אימה גרם לה אימה לפני כחודשיים גרם לה לטלטלה.</w:t>
      </w:r>
    </w:p>
    <w:p w14:paraId="5256756B" w14:textId="77777777" w:rsidR="005B51BC" w:rsidRPr="00F4768E" w:rsidRDefault="005B51BC" w:rsidP="005B51BC">
      <w:pPr>
        <w:pStyle w:val="aa"/>
        <w:rPr>
          <w:rFonts w:ascii="Corbel" w:hAnsi="Corbel" w:cs="FrankRuehl"/>
          <w:sz w:val="28"/>
          <w:szCs w:val="28"/>
          <w:rtl/>
        </w:rPr>
      </w:pPr>
    </w:p>
    <w:p w14:paraId="59E372B2"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הנאשמת הציגה מסמכים רפואיים המתארים כי היא סובלה מכאבי גב עזים החל משנת 2001, אובחנה כסובלת משש פריצות דיסק ועברה שני ניתוחים בעמוד השדרה. בעקבות ניתוח שלא צלח, הייתה מרותקת כשנה לכיסא גלגלים ללא יכולת תפקוד עצמאית ולאור הכאבים העזים קיבלה הנאשמת תרופות רבות לשיכוך כאבים, מדבריה עולה כי פיתחה תלות והתמכרות אליהן במהלך השנים, כמו כן מתארת תופעות של בלבול ניתוק וחוסר חיוניות כתוצאה מהשימוש בהן. בשנת 2012 קיבלה רישיון לקנאביס רפואי והפסיקה ליטול את התרופות.</w:t>
      </w:r>
      <w:r>
        <w:rPr>
          <w:rFonts w:ascii="Miriam" w:hAnsi="Miriam" w:cs="Miriam"/>
          <w:rtl/>
        </w:rPr>
        <w:t xml:space="preserve"> </w:t>
      </w:r>
      <w:r>
        <w:rPr>
          <w:rFonts w:cs="FrankRuehl"/>
          <w:sz w:val="28"/>
          <w:szCs w:val="28"/>
          <w:rtl/>
        </w:rPr>
        <w:t>בנוסף, לפני כעשר שנים אובחנה כסובלת מפיברומיאלגיה אשר גרמה לכאבים, נדודי שינה וקשיי תפקוד משמעותיים. ובשנת 2016 אובחנה אצל פסיכיאטרית כסובלת מדיכאון עמוק שהשפיע והקשה אף יותר על תפקודה היומיומי.</w:t>
      </w:r>
    </w:p>
    <w:p w14:paraId="05B3F4EE" w14:textId="77777777" w:rsidR="005B51BC" w:rsidRPr="00F4768E" w:rsidRDefault="005B51BC" w:rsidP="005B51BC">
      <w:pPr>
        <w:pStyle w:val="aa"/>
        <w:rPr>
          <w:rFonts w:ascii="Corbel" w:hAnsi="Corbel" w:cs="FrankRuehl"/>
          <w:sz w:val="28"/>
          <w:szCs w:val="28"/>
          <w:rtl/>
        </w:rPr>
      </w:pPr>
    </w:p>
    <w:p w14:paraId="63C7EEE7"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באשר לביצוע העבירות בהן הורשעה הנאשמת לקחה אחריות מלאה והביעה חרטה על בחירותיה. היא תיארה בפני שירות המבחן כי ברקע לביצוען, תקופה בה התמודדה עם כאבים פיזיים קשים שגרמו לה תחושת חוסר אונים, לכן בחרה להתנסות בחומרים פסיכואקטיביים אסורים אותם רכשה בסיוע הרשתות החברתיות, זאת לאחר שלאורך השנים כל ניסיונותיה לפנות לרפואה הקונבנציונלית כשלו. עוד הסבירה כי החשש מהסגר הראשון של מגפת הקורונה הוא שגרם לה להצטייד בכמות הגדולה של הקנאביס שנמצאה בביתה, ביחס לחומרים הפסיכואקטיביים הסבירה כי השתמשה בהם פעמים בודדות מאחר וסברה שתוכל להיעזר בהם לייצב את מצבה ולמצוא מזור לכאבה, דבר שלא הועיל ולא למטרות סחר, ולכן נמצאו חומרים אלו בזמן החיפוש שנערך בביתה. ביחס לאישום השני, הנאשמת לקחה אחריות ותיארה כי חבר בעל רישיון לקנאביס רפואי ביקש ממנה כמות קטנה משום שנגמרה לו ההספקה לאותו חודש והיא נתנה לו, ללא תמורה אך הוא החליט לשלם לה על כך מרצונו, והיא לא חשבה כי ההתנהלות בעייתית כיוון ששניהם מחזיקים ברישיון להחזקת קנאביס.</w:t>
      </w:r>
    </w:p>
    <w:p w14:paraId="082506B6" w14:textId="77777777" w:rsidR="005B51BC" w:rsidRPr="00F4768E" w:rsidRDefault="005B51BC" w:rsidP="005B51BC">
      <w:pPr>
        <w:pStyle w:val="aa"/>
        <w:rPr>
          <w:rFonts w:ascii="Corbel" w:hAnsi="Corbel" w:cs="FrankRuehl"/>
          <w:sz w:val="28"/>
          <w:szCs w:val="28"/>
          <w:rtl/>
        </w:rPr>
      </w:pPr>
    </w:p>
    <w:p w14:paraId="0F7F3216"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מהתסקיר עולה כי הנאשמת חוותה תקופה מצערת עת פתיחת ההליכים המשפטיים נגדה מאחר וחל נתק בינה ובין בנה שהביע כעס רב כלפיה, כמו כי היא מתארת חווית מעצר טראומתית שגרמה לה להבין את חומרת מעשיה. כיום הנאשמת מתארת כי משתמשת אך ורק בסם מסוג קנאביס רפואי בכמות המותרת לה, ובתרופות הומאופתיות, מצליחה לתפקד ולחשוב באופן צלול ושוללת התמכרות לחומר. </w:t>
      </w:r>
    </w:p>
    <w:p w14:paraId="1DB131CA"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באשר לגורמי הסיכוי, נשקלו ההרתעה סביב ההליך המשפטי וחווית המעצר טראומתית ממנה נראה כי הפיקה הנאשמת לקחים, נרשמה יכולת תפקוד גבוהה לאורך השנים בגידול בנה לבדה, ללא עזרה כלכלית וחרף הקשיים שתיארה, בנוסף מעורבות חריגה עם החוק והבעת רצון לשיקום חייה. </w:t>
      </w:r>
    </w:p>
    <w:p w14:paraId="31CFC3E9" w14:textId="77777777" w:rsidR="005B51BC" w:rsidRPr="003462DB" w:rsidRDefault="005B51BC" w:rsidP="005B51BC">
      <w:pPr>
        <w:pStyle w:val="aa"/>
        <w:rPr>
          <w:rFonts w:ascii="Corbel" w:hAnsi="Corbel" w:cs="FrankRuehl"/>
          <w:sz w:val="28"/>
          <w:szCs w:val="28"/>
          <w:rtl/>
        </w:rPr>
      </w:pPr>
    </w:p>
    <w:p w14:paraId="0A9B9DF6"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באשר לגורמי הסיכון, שירות המבחן התרשם כי הנאשמת היא אישה אשר התמודדה לאורך חייה עם סיטואציות חיים לא פשוטות, חסכים רגשיים בשל הקשר הלא יציב בין הוריה וחוסר במענה רגשי מתאים וזוגיות אלימה בגיל צעיר, אולם לאורך השנים לא פנתה לעזרה מקצועית על מנת להתמודד עם הקשיים הנפשיים. עוד עלה כי להיבט הבריאותי השפעה ניכרת על תפקודה ומצבה הנפשי. שירות המבחן התרשם כי תחושת חוסר אונים שחוותה סביב מצבה הבריאותי והנפשי היא שגרמה לה לחפש אחר דרכי פתרון למצבה גם במחיר של עבירה על החוק זאת ללא הפעלת שיקול דעת ביחס להשלכות הצפויות מבחירותיה הפסולות. כמו כן העריך שירות המבחן כי הנאשמת נוטה להדחיק את קשייה הרגשיים ולהתמקד באלו הבריאותיים באופן שמונע ממנה לקבל מענה מקיף לכלל צרכיה. </w:t>
      </w:r>
    </w:p>
    <w:p w14:paraId="0F079174" w14:textId="77777777" w:rsidR="005B51BC" w:rsidRPr="00F4768E" w:rsidRDefault="005B51BC" w:rsidP="005B51BC">
      <w:pPr>
        <w:pStyle w:val="aa"/>
        <w:rPr>
          <w:rFonts w:ascii="Corbel" w:hAnsi="Corbel" w:cs="FrankRuehl"/>
          <w:sz w:val="28"/>
          <w:szCs w:val="28"/>
          <w:rtl/>
        </w:rPr>
      </w:pPr>
    </w:p>
    <w:p w14:paraId="3063D3A0"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שירות המבחן סבר כי שילובה של הנאשמת בטיפול יאפשר לה בחינה עצמית טובה יותר של קשייה הרגשיים וקידום דפוסי חשיבה אדפטיביים יותר על מנת להפחית סיכון הישנות עבירות נוספות, ולכן הופנתה לבחינת התאמתה לקבוצה טיפולית של לנשים עוברות חוק בשירות המבחן, על אף האמור התקשתה הנאשמת לזהות מוקדים בהם נדרשת לבחון את עצמה וציינה כי במידה ותבחר לקבל מענה טיפולי רגשי תפנה לטיפול פסיכולוגי פרטני בקופת החולים ללא צורך בליווי ופיקוח שירות המבחן. </w:t>
      </w:r>
    </w:p>
    <w:p w14:paraId="00BA7BB8" w14:textId="77777777" w:rsidR="005B51BC" w:rsidRPr="00F4768E" w:rsidRDefault="005B51BC" w:rsidP="005B51BC">
      <w:pPr>
        <w:pStyle w:val="aa"/>
        <w:rPr>
          <w:rFonts w:ascii="Corbel" w:hAnsi="Corbel" w:cs="FrankRuehl"/>
          <w:sz w:val="28"/>
          <w:szCs w:val="28"/>
          <w:rtl/>
        </w:rPr>
      </w:pPr>
    </w:p>
    <w:p w14:paraId="0D28E61D"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לאור האמור לא עלה בידי שירות המבחן להמליץ על הטלת צו מבחן. לצד זאת, סבר שירות המבחן כי ענישה קונקרטית, בדמות עבודות שירות עשויה להכביד על מצבה הבריאותי והרגשי ולכן מצא את הנאשמת כמתאימה לצו של"צ. </w:t>
      </w:r>
    </w:p>
    <w:p w14:paraId="751096B6" w14:textId="77777777" w:rsidR="005B51BC" w:rsidRDefault="005B51BC" w:rsidP="005B51BC">
      <w:pPr>
        <w:pStyle w:val="aa"/>
        <w:spacing w:before="100" w:beforeAutospacing="1" w:after="120"/>
        <w:ind w:left="0"/>
        <w:jc w:val="both"/>
        <w:rPr>
          <w:rFonts w:ascii="Miriam" w:hAnsi="Miriam" w:cs="Miriam"/>
          <w:rtl/>
        </w:rPr>
      </w:pPr>
    </w:p>
    <w:p w14:paraId="1872C7F5" w14:textId="77777777" w:rsidR="005B51BC" w:rsidRDefault="005B51BC" w:rsidP="005B51BC">
      <w:pPr>
        <w:pStyle w:val="aa"/>
        <w:spacing w:before="100" w:beforeAutospacing="1" w:after="120" w:line="360" w:lineRule="auto"/>
        <w:ind w:left="0"/>
        <w:jc w:val="both"/>
        <w:rPr>
          <w:rFonts w:ascii="Corbel" w:hAnsi="Corbel" w:cs="FrankRuehl"/>
          <w:sz w:val="28"/>
          <w:szCs w:val="28"/>
          <w:rtl/>
        </w:rPr>
      </w:pPr>
      <w:r>
        <w:rPr>
          <w:rFonts w:ascii="Miriam" w:hAnsi="Miriam" w:cs="Miriam"/>
          <w:rtl/>
        </w:rPr>
        <w:t xml:space="preserve">תסקיר שירות המבחן מיום 5.4.2022 (להלן: התסקיר השני) </w:t>
      </w:r>
    </w:p>
    <w:p w14:paraId="066DB93B" w14:textId="77777777" w:rsidR="005B51BC" w:rsidRDefault="005B51BC" w:rsidP="005B51BC">
      <w:pPr>
        <w:pStyle w:val="aa"/>
        <w:spacing w:before="100" w:beforeAutospacing="1" w:after="120"/>
        <w:ind w:left="0"/>
        <w:jc w:val="both"/>
        <w:rPr>
          <w:rFonts w:ascii="Corbel" w:hAnsi="Corbel" w:cs="FrankRuehl"/>
          <w:sz w:val="28"/>
          <w:szCs w:val="28"/>
        </w:rPr>
      </w:pPr>
    </w:p>
    <w:p w14:paraId="3A67BAE4"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מהתסקיר עולה כי בתקופת הדחייה השתלבה הנאשמת במרכז טיפולי פרטי "התחלה חדשה לצורך העמקת הטיפול ובליווי שירות המבחן. הנאשמת הביעה שביעות רצון מהטיפול הפרטי בו השתלבה, סיפרה כי מצליחה להביע עצמה בטיפול תוך חיבור לתחושותיה ולזהות דפוסים שליוו אותה בתקופת ביצוע העבירות כמו נטייה לאגרנות בה היא פועלת לטפל, כמו כן מתארת את התגייסותו של אחיה לשלם עבור הטיפול הפרטי ומביעה רצון להמשיך בשיחות על מנת להיטיב עם מצבה הנפשי. שירות המבחן עדכן כי בדיקות שתן שמסרה הנאשמת נמצאו נקיות משרידי סם למעט קנאביס רפואי אותו צורכת הנאשמת ברישיון. </w:t>
      </w:r>
    </w:p>
    <w:p w14:paraId="387987FB" w14:textId="77777777" w:rsidR="005B51BC" w:rsidRDefault="005B51BC" w:rsidP="005B51BC">
      <w:pPr>
        <w:pStyle w:val="aa"/>
        <w:spacing w:before="100" w:beforeAutospacing="1" w:after="120"/>
        <w:ind w:left="0"/>
        <w:jc w:val="both"/>
        <w:rPr>
          <w:rFonts w:ascii="Corbel" w:hAnsi="Corbel" w:cs="FrankRuehl"/>
          <w:sz w:val="28"/>
          <w:szCs w:val="28"/>
        </w:rPr>
      </w:pPr>
    </w:p>
    <w:p w14:paraId="29628924"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מדיווח גורמי הטיפול במרכז "התחלה חדשה" נמסר כי הנאשמת משולבת בטיפול פרטני בתדירות של אחת לשבוע זאת החל מחודש ינואר 2022. השיחות התמקדו בעיבוד תחושות אבל על מות אימה וכן ביחסים עם הקרובים לה. להערכתם, הנאשמת יכולה להפיק תועלת מהשיחות עמם, היא נמצאת בשלבי תיאום ציפיות והומלץ על המשך ההליך הטיפולי למשך שישה חודשים לפחות.</w:t>
      </w:r>
    </w:p>
    <w:p w14:paraId="44340591" w14:textId="77777777" w:rsidR="005B51BC" w:rsidRPr="00F4768E" w:rsidRDefault="005B51BC" w:rsidP="005B51BC">
      <w:pPr>
        <w:pStyle w:val="aa"/>
        <w:rPr>
          <w:rFonts w:ascii="Corbel" w:hAnsi="Corbel" w:cs="FrankRuehl"/>
          <w:sz w:val="28"/>
          <w:szCs w:val="28"/>
          <w:rtl/>
        </w:rPr>
      </w:pPr>
    </w:p>
    <w:p w14:paraId="1AC65D33"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שירות המבחן מצא כי מעורבותה של הנאשמת עם החוק היא חריגה למהלך חייה, וברקע חוסר אונים שחוותה סביב מצבה הבריאותי, ועל אף שהנאשמת נמצאת בראשיתו של הליך טיפולי אשר מוקדם להעריך את יכולתה להיתרם ממנו, היא הביעה רצון להמשך ההליך הטיפולי הפרטי בו השתלבה וראוי לאפשר לה לעשות כן. </w:t>
      </w:r>
    </w:p>
    <w:p w14:paraId="46F238FB" w14:textId="77777777" w:rsidR="005B51BC" w:rsidRPr="00F4768E" w:rsidRDefault="005B51BC" w:rsidP="005B51BC">
      <w:pPr>
        <w:pStyle w:val="aa"/>
        <w:rPr>
          <w:rFonts w:ascii="Corbel" w:hAnsi="Corbel" w:cs="FrankRuehl"/>
          <w:sz w:val="28"/>
          <w:szCs w:val="28"/>
          <w:rtl/>
        </w:rPr>
      </w:pPr>
    </w:p>
    <w:p w14:paraId="5580CBA6"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שירות המבחן שב והדגיש כי להערכתו ענישה מסוג עבודות שירות עלולה להוביל לנסיגה במצבה של הנאשמת ולהעמקת קשייה ותהווה מעמסה נוספת להתמודדות עם קשיים רבים. שירות המבחן סבר כי ענישה בדמות שירות לתועלת הציבור תהווה גורם משקם ויהיה בו ביחד עם צו מבחן והמשך ההליך הטיפולי, לקדם הפחתה ברמת הסיכון לטווח הארוך ולסייע ביצירת דרכי התמודדות לקשייה. </w:t>
      </w:r>
    </w:p>
    <w:p w14:paraId="491190AC" w14:textId="77777777" w:rsidR="005B51BC" w:rsidRDefault="005B51BC" w:rsidP="005B51BC">
      <w:pPr>
        <w:pStyle w:val="aa"/>
        <w:spacing w:before="100" w:beforeAutospacing="1" w:after="120"/>
        <w:ind w:left="0"/>
        <w:jc w:val="both"/>
        <w:rPr>
          <w:rFonts w:ascii="Corbel" w:hAnsi="Corbel" w:cs="FrankRuehl"/>
          <w:sz w:val="28"/>
          <w:szCs w:val="28"/>
        </w:rPr>
      </w:pPr>
    </w:p>
    <w:p w14:paraId="41E7E981" w14:textId="77777777" w:rsidR="005B51BC" w:rsidRDefault="005B51BC" w:rsidP="005B51BC">
      <w:pPr>
        <w:pStyle w:val="aa"/>
        <w:spacing w:before="100" w:beforeAutospacing="1" w:after="120" w:line="360" w:lineRule="auto"/>
        <w:ind w:left="0"/>
        <w:jc w:val="both"/>
        <w:rPr>
          <w:rFonts w:ascii="Corbel" w:hAnsi="Corbel" w:cs="FrankRuehl"/>
          <w:sz w:val="28"/>
          <w:szCs w:val="28"/>
          <w:rtl/>
        </w:rPr>
      </w:pPr>
      <w:r>
        <w:rPr>
          <w:rFonts w:ascii="Miriam" w:hAnsi="Miriam" w:cs="Miriam"/>
          <w:rtl/>
        </w:rPr>
        <w:t>טיעוני הצדדים לעונש</w:t>
      </w:r>
    </w:p>
    <w:p w14:paraId="78F5DD97" w14:textId="77777777" w:rsidR="005B51BC" w:rsidRDefault="005B51BC" w:rsidP="005B51BC">
      <w:pPr>
        <w:pStyle w:val="aa"/>
        <w:spacing w:before="100" w:beforeAutospacing="1" w:after="120"/>
        <w:ind w:left="0"/>
        <w:jc w:val="both"/>
        <w:rPr>
          <w:rFonts w:ascii="Corbel" w:hAnsi="Corbel" w:cs="FrankRuehl"/>
          <w:sz w:val="28"/>
          <w:szCs w:val="28"/>
        </w:rPr>
      </w:pPr>
    </w:p>
    <w:p w14:paraId="0B42E0FF"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Miriam" w:hAnsi="Miriam" w:cs="Miriam"/>
          <w:rtl/>
        </w:rPr>
        <w:t>המאשימה</w:t>
      </w:r>
      <w:r>
        <w:rPr>
          <w:rFonts w:cs="FrankRuehl"/>
          <w:sz w:val="28"/>
          <w:szCs w:val="28"/>
          <w:rtl/>
        </w:rPr>
        <w:t xml:space="preserve"> בטיעוניה עמדה על הערכים החברתיים המוגנים שנפגעו כתוצאה מביצוע העבירות בהן הורשעה הנאשמת ובהם הגנה על שלמות גופו ובטחונו ובריאותו של הציבור בפרט נוכח היותו של נגע הסמים כמחולל פשיעה. המאשימה ביקשה לראות חומרה יתרה במעשיה של הנאשמת אשר החזיקה כמות גדולה של סמים מסוגים שונים, וב-22 שקיות אשר עתידות היו לשמש או שימשו לחלוקת הסם, וכן עמדה על פוטנציאל הנזק הגלום בהחזקתם של הסמים ככל שהיו מגיעים למשתמשי הקצה. מכאן עתרה המאשימה לקבוע מתחם עונש הולם אחד בנוגע לשני האישומים אשר נע בין 18-8 חודשים לצד רכיבי ענישה נוספים. </w:t>
      </w:r>
    </w:p>
    <w:p w14:paraId="1FBE42EC" w14:textId="77777777" w:rsidR="005B51BC" w:rsidRDefault="005B51BC" w:rsidP="005B51BC">
      <w:pPr>
        <w:pStyle w:val="aa"/>
        <w:spacing w:before="100" w:beforeAutospacing="1" w:after="120"/>
        <w:ind w:left="0"/>
        <w:jc w:val="both"/>
        <w:rPr>
          <w:rFonts w:ascii="Corbel" w:hAnsi="Corbel" w:cs="FrankRuehl"/>
          <w:sz w:val="28"/>
          <w:szCs w:val="28"/>
        </w:rPr>
      </w:pPr>
    </w:p>
    <w:p w14:paraId="611A189F"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עוד סקרה המאשימה בטיעוניה את עיקרי תסקירי שירות המבחן, רמת הסיכון להישנות עבירות, והדגישה את חוסר שיתוף הפעולה כפי העולה מהתסקיר הראשון, ועל אף המוטיבציה המילולית להשתלב בטיפול, עדיין נראה כי היא בתחילת דרכה. המאשימה סבורה כי המלצת שירות המבחן אינה הולמת את חומרת העבירה, מאפייניה והשלכותיה והיא חורגת לקולה ממתחם הענישה. עם זאת, לנוכח נסיבות שאינן קשורות בביצוע העבירה ובהן גילה של הנאשמת, העדר עבר פלילי והמלצת שירות המבחן יש למקם את עונשה של הנאשמת בתחתית המתחם, ולכן עתרה להשית עליה 8 חודשי מאסר שירוצו בדרך של עבודות שירות ורכיבי ענישה נוספים. כן עתרה להכריז על הנאשמת כסוחרת סמים ולהורות על חילוט הכסף שנתפס לאוצר המדינה.</w:t>
      </w:r>
    </w:p>
    <w:p w14:paraId="412F7124" w14:textId="77777777" w:rsidR="005B51BC" w:rsidRPr="00F4768E" w:rsidRDefault="005B51BC" w:rsidP="005B51BC">
      <w:pPr>
        <w:pStyle w:val="aa"/>
        <w:rPr>
          <w:rFonts w:ascii="Corbel" w:hAnsi="Corbel" w:cs="FrankRuehl"/>
          <w:sz w:val="28"/>
          <w:szCs w:val="28"/>
          <w:rtl/>
        </w:rPr>
      </w:pPr>
    </w:p>
    <w:p w14:paraId="541442B3"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Miriam" w:hAnsi="Miriam" w:cs="Miriam"/>
          <w:rtl/>
        </w:rPr>
        <w:t>בא כוח הנאשמת</w:t>
      </w:r>
      <w:r>
        <w:rPr>
          <w:rFonts w:cs="FrankRuehl"/>
          <w:sz w:val="28"/>
          <w:szCs w:val="28"/>
          <w:rtl/>
        </w:rPr>
        <w:t xml:space="preserve"> טען כי הענישה לה עותרת המאשימה מחמירה יתר על המידה ואינה הולמת את נסיבות ביצוע העבירה, נסיבותיה האישיות או התהליך השיקומי בו השתלבה. בטיעוניו עמד על כך שלא מדובר בנאשמת שנכנסת תחת ההגדרה של "סוחרת סמים" במובן הקלאסי שכן מכרה את הסם לאדם המוכר לה היטב ועל רקע הידיעה כי הוא צורך סמים. כמו כן נטען כי על אף הכמות הגדולה של הסמים, אי אפשר להתעלם כי הם הוחזקו בין השאר על מנת להקל את מכאוביה ומתוך הפרעת אישיות עמה מתמודדת ונטייתה לאגרנות. </w:t>
      </w:r>
      <w:r>
        <w:rPr>
          <w:rFonts w:ascii="Corbel" w:hAnsi="Corbel" w:cs="FrankRuehl"/>
          <w:sz w:val="28"/>
          <w:szCs w:val="28"/>
          <w:rtl/>
        </w:rPr>
        <w:t>עמדתו זו, תמך בפסיקה אשר הוגשה לתיק בית המשפט לאחר שנשמע הטיעון לעונש.</w:t>
      </w:r>
    </w:p>
    <w:p w14:paraId="284FB7F4" w14:textId="77777777" w:rsidR="005B51BC" w:rsidRPr="00F4768E" w:rsidRDefault="005B51BC" w:rsidP="005B51BC">
      <w:pPr>
        <w:pStyle w:val="aa"/>
        <w:rPr>
          <w:rFonts w:ascii="Corbel" w:hAnsi="Corbel" w:cs="FrankRuehl"/>
          <w:sz w:val="28"/>
          <w:szCs w:val="28"/>
          <w:rtl/>
        </w:rPr>
      </w:pPr>
    </w:p>
    <w:p w14:paraId="1550C6D6"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בא כוח הנאשמת הפנה גם לכך שהנאשמת שהתה תקופה של כשבועיים ימים במעצר, לאחר מכן שוחררה בתנאים מגבילים ולראשונה בחייה נמצאת בהליך טיפולי. אמנם ההליך נמצא בשלבי המוקדמים, אך אפשר לראות שינוי חיובי. בתוך כך הפנה להשתלבותה של הנאשמת במרכז טיפולי "התחלה חדשה" ואת המוטיבציה שלה והאפשרות להיתרם מההליך. עוד הדגיש כי כיום הנאשמת הפסיקה ליטול סמים למעט קנאביס רפואי בשילוב תרופות הומאופתיות שעוזרות לה. </w:t>
      </w:r>
    </w:p>
    <w:p w14:paraId="56E8C640" w14:textId="77777777" w:rsidR="005B51BC" w:rsidRPr="00F4768E" w:rsidRDefault="005B51BC" w:rsidP="005B51BC">
      <w:pPr>
        <w:pStyle w:val="aa"/>
        <w:rPr>
          <w:rFonts w:ascii="Corbel" w:hAnsi="Corbel" w:cs="FrankRuehl"/>
          <w:sz w:val="28"/>
          <w:szCs w:val="28"/>
          <w:rtl/>
        </w:rPr>
      </w:pPr>
    </w:p>
    <w:p w14:paraId="3B0A5C2B" w14:textId="77777777" w:rsidR="005B51BC" w:rsidRDefault="005B51BC" w:rsidP="005B51BC">
      <w:pPr>
        <w:pStyle w:val="aa"/>
        <w:spacing w:before="100" w:beforeAutospacing="1" w:after="120" w:line="360" w:lineRule="auto"/>
        <w:ind w:left="0" w:firstLine="720"/>
        <w:jc w:val="both"/>
        <w:rPr>
          <w:rFonts w:ascii="Corbel" w:hAnsi="Corbel" w:cs="FrankRuehl"/>
          <w:sz w:val="28"/>
          <w:szCs w:val="28"/>
          <w:rtl/>
        </w:rPr>
      </w:pPr>
      <w:r>
        <w:rPr>
          <w:rFonts w:cs="FrankRuehl"/>
          <w:sz w:val="28"/>
          <w:szCs w:val="28"/>
          <w:rtl/>
        </w:rPr>
        <w:t>מטעמים אלו וכן משום שהטלת עונש של עבודות שירות יכול להוות מעמסה נוספת וקושי על חייה, ראוי, כך לדברי בא כוח הנאשם, להשית על הנאשמת ענישה חינוכית ושיקומית.</w:t>
      </w:r>
    </w:p>
    <w:p w14:paraId="177EAC13" w14:textId="77777777" w:rsidR="005B51BC" w:rsidRDefault="005B51BC" w:rsidP="005B51BC">
      <w:pPr>
        <w:pStyle w:val="aa"/>
        <w:spacing w:before="100" w:beforeAutospacing="1" w:after="120"/>
        <w:ind w:left="0" w:firstLine="720"/>
        <w:jc w:val="both"/>
        <w:rPr>
          <w:rFonts w:ascii="Corbel" w:hAnsi="Corbel" w:cs="FrankRuehl"/>
          <w:sz w:val="28"/>
          <w:szCs w:val="28"/>
        </w:rPr>
      </w:pPr>
    </w:p>
    <w:p w14:paraId="719C0F32"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 </w:t>
      </w:r>
      <w:r>
        <w:rPr>
          <w:rFonts w:cs="FrankRuehl" w:hint="cs"/>
          <w:sz w:val="28"/>
          <w:szCs w:val="28"/>
          <w:rtl/>
        </w:rPr>
        <w:t xml:space="preserve">הנאשמת בדברה האחרון אמרה את הדברים הבאים: "הייתי על כיסא גלגלים, הייתי מכורה לאוקסיקוטים, עברתי שיקום וניקיתי את הבית, יש לי בעיה נפשית של אגרנות, במקום לזרוק לפח זרקתי למגירה, אני סתם הייתי בלחץ היום אני במקום אחר, תומכת בבן שלי... אני רוצה להיות בבית הקשיש כי זה קרוב לי לבית, אני נכה ומקבלת קצבת ביטוח לאומי, אני לא רוצה שיהיה לי מכשול לשלם את חובי, אני אעמוד בזה כי זה קרוב לבית שלי ואין בעיות חנייה. אני רוצה שבית המשפט ייתן לי לסיים את זה בצורה הכי טובה, לגיל שלי זה לא מתאים לי להתעסק עם זה". </w:t>
      </w:r>
    </w:p>
    <w:p w14:paraId="0AFFD725" w14:textId="77777777" w:rsidR="005B51BC" w:rsidRDefault="005B51BC" w:rsidP="005B51BC">
      <w:pPr>
        <w:pStyle w:val="aa"/>
        <w:spacing w:before="100" w:beforeAutospacing="1" w:after="120"/>
        <w:ind w:left="0"/>
        <w:jc w:val="both"/>
        <w:rPr>
          <w:rFonts w:ascii="Miriam" w:hAnsi="Miriam" w:cs="Miriam"/>
          <w:rtl/>
        </w:rPr>
      </w:pPr>
    </w:p>
    <w:p w14:paraId="13ED622A" w14:textId="77777777" w:rsidR="005B51BC" w:rsidRDefault="005B51BC" w:rsidP="005B51BC">
      <w:pPr>
        <w:pStyle w:val="aa"/>
        <w:spacing w:before="100" w:beforeAutospacing="1" w:after="120"/>
        <w:ind w:left="0"/>
        <w:jc w:val="both"/>
        <w:rPr>
          <w:rFonts w:ascii="Miriam" w:hAnsi="Miriam" w:cs="Miriam"/>
          <w:rtl/>
        </w:rPr>
      </w:pPr>
    </w:p>
    <w:p w14:paraId="14DB8FD2" w14:textId="77777777" w:rsidR="005B51BC" w:rsidRDefault="005B51BC" w:rsidP="005B51BC">
      <w:pPr>
        <w:pStyle w:val="aa"/>
        <w:spacing w:before="100" w:beforeAutospacing="1" w:after="120" w:line="360" w:lineRule="auto"/>
        <w:ind w:left="0"/>
        <w:jc w:val="both"/>
        <w:rPr>
          <w:rFonts w:ascii="Corbel" w:hAnsi="Corbel" w:cs="FrankRuehl"/>
          <w:sz w:val="28"/>
          <w:szCs w:val="28"/>
        </w:rPr>
      </w:pPr>
      <w:r>
        <w:rPr>
          <w:rFonts w:ascii="Miriam" w:hAnsi="Miriam" w:cs="Miriam"/>
          <w:rtl/>
        </w:rPr>
        <w:t xml:space="preserve">דיון והכרעה </w:t>
      </w:r>
    </w:p>
    <w:p w14:paraId="4629255C" w14:textId="77777777" w:rsidR="005B51BC" w:rsidRDefault="005B51BC" w:rsidP="005B51BC">
      <w:pPr>
        <w:pStyle w:val="aa"/>
        <w:spacing w:before="100" w:beforeAutospacing="1" w:after="120"/>
        <w:ind w:left="0"/>
        <w:jc w:val="both"/>
        <w:rPr>
          <w:rFonts w:ascii="Miriam" w:hAnsi="Miriam" w:cs="Miriam"/>
          <w:rtl/>
        </w:rPr>
      </w:pPr>
    </w:p>
    <w:p w14:paraId="338B0B7F" w14:textId="77777777" w:rsidR="005B51BC" w:rsidRDefault="005B51BC" w:rsidP="005B51BC">
      <w:pPr>
        <w:pStyle w:val="aa"/>
        <w:spacing w:before="100" w:beforeAutospacing="1" w:after="120" w:line="360" w:lineRule="auto"/>
        <w:ind w:left="0"/>
        <w:jc w:val="both"/>
        <w:rPr>
          <w:rFonts w:ascii="Corbel" w:hAnsi="Corbel" w:cs="FrankRuehl"/>
          <w:sz w:val="28"/>
          <w:szCs w:val="28"/>
        </w:rPr>
      </w:pPr>
      <w:r>
        <w:rPr>
          <w:rFonts w:ascii="Miriam" w:hAnsi="Miriam" w:cs="Miriam"/>
          <w:rtl/>
        </w:rPr>
        <w:t>מתחם העונש ההולם</w:t>
      </w:r>
    </w:p>
    <w:p w14:paraId="7844CF24"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02CB8747"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לנוכח מבחן הקשר ההדוק, בשים לב לסמיכות הזמנים בין שני האישומים וכאשר העבירות בוצעו כחלק מתוכנית עבריינית אחת, מצאתי לקבוע מתחם עונש אחד כעתירת הצדדים. ההלכות שנקבעו בעניין הגדרת המונח "אירוע" ידועות ומוכרות ולא מצאתי לחזור על הדברים (ראו </w:t>
      </w:r>
      <w:hyperlink r:id="rId18" w:history="1">
        <w:r w:rsidR="00842986" w:rsidRPr="00842986">
          <w:rPr>
            <w:rFonts w:cs="FrankRuehl"/>
            <w:color w:val="0000FF"/>
            <w:sz w:val="28"/>
            <w:szCs w:val="28"/>
            <w:u w:val="single"/>
            <w:rtl/>
          </w:rPr>
          <w:t>ע"פ 4910/13</w:t>
        </w:r>
      </w:hyperlink>
      <w:r>
        <w:rPr>
          <w:rFonts w:cs="FrankRuehl"/>
          <w:sz w:val="28"/>
          <w:szCs w:val="28"/>
          <w:rtl/>
        </w:rPr>
        <w:t xml:space="preserve"> </w:t>
      </w:r>
      <w:r>
        <w:rPr>
          <w:rFonts w:ascii="Miriam" w:hAnsi="Miriam" w:cs="Miriam"/>
          <w:rtl/>
        </w:rPr>
        <w:t>ג'אבר נ' מדינת ישראל</w:t>
      </w:r>
      <w:r>
        <w:rPr>
          <w:rFonts w:cs="FrankRuehl"/>
          <w:sz w:val="28"/>
          <w:szCs w:val="28"/>
          <w:rtl/>
        </w:rPr>
        <w:t xml:space="preserve"> (29.10.2021), </w:t>
      </w:r>
      <w:hyperlink r:id="rId19" w:history="1">
        <w:r w:rsidR="00842986" w:rsidRPr="00842986">
          <w:rPr>
            <w:rFonts w:cs="FrankRuehl"/>
            <w:color w:val="0000FF"/>
            <w:sz w:val="28"/>
            <w:szCs w:val="28"/>
            <w:u w:val="single"/>
            <w:rtl/>
          </w:rPr>
          <w:t>ע"פ 5643/14</w:t>
        </w:r>
      </w:hyperlink>
      <w:r>
        <w:rPr>
          <w:rFonts w:ascii="Miriam" w:hAnsi="Miriam" w:cs="Miriam"/>
          <w:rtl/>
        </w:rPr>
        <w:t xml:space="preserve"> עיסא נ' מדינת ישראל</w:t>
      </w:r>
      <w:r>
        <w:rPr>
          <w:rFonts w:cs="FrankRuehl"/>
          <w:sz w:val="28"/>
          <w:szCs w:val="28"/>
          <w:rtl/>
        </w:rPr>
        <w:t xml:space="preserve"> (24.6.2015), </w:t>
      </w:r>
      <w:hyperlink r:id="rId20" w:history="1">
        <w:r w:rsidR="00842986" w:rsidRPr="00842986">
          <w:rPr>
            <w:rFonts w:cs="FrankRuehl"/>
            <w:color w:val="0000FF"/>
            <w:sz w:val="28"/>
            <w:szCs w:val="28"/>
            <w:u w:val="single"/>
            <w:rtl/>
          </w:rPr>
          <w:t>ע"פ 2519/14</w:t>
        </w:r>
      </w:hyperlink>
      <w:r>
        <w:rPr>
          <w:rFonts w:cs="FrankRuehl"/>
          <w:sz w:val="28"/>
          <w:szCs w:val="28"/>
          <w:rtl/>
        </w:rPr>
        <w:t xml:space="preserve"> </w:t>
      </w:r>
      <w:r>
        <w:rPr>
          <w:rFonts w:ascii="Miriam" w:hAnsi="Miriam" w:cs="Miriam"/>
          <w:rtl/>
        </w:rPr>
        <w:t>אבו קיעאן נ' מדינת ישראל</w:t>
      </w:r>
      <w:r>
        <w:rPr>
          <w:rFonts w:cs="FrankRuehl"/>
          <w:sz w:val="28"/>
          <w:szCs w:val="28"/>
          <w:rtl/>
        </w:rPr>
        <w:t xml:space="preserve"> (29.12.2014), </w:t>
      </w:r>
      <w:hyperlink r:id="rId21" w:history="1">
        <w:r w:rsidR="00842986" w:rsidRPr="00842986">
          <w:rPr>
            <w:rFonts w:cs="FrankRuehl"/>
            <w:color w:val="0000FF"/>
            <w:sz w:val="28"/>
            <w:szCs w:val="28"/>
            <w:u w:val="single"/>
            <w:rtl/>
          </w:rPr>
          <w:t>ע"פ 1261/15</w:t>
        </w:r>
      </w:hyperlink>
      <w:r>
        <w:rPr>
          <w:rFonts w:cs="FrankRuehl"/>
          <w:sz w:val="28"/>
          <w:szCs w:val="28"/>
          <w:rtl/>
        </w:rPr>
        <w:t xml:space="preserve"> </w:t>
      </w:r>
      <w:r>
        <w:rPr>
          <w:rFonts w:ascii="Miriam" w:hAnsi="Miriam" w:cs="Miriam"/>
          <w:rtl/>
        </w:rPr>
        <w:t>דלאל נ' מדינת ישראל</w:t>
      </w:r>
      <w:r>
        <w:rPr>
          <w:rFonts w:cs="FrankRuehl"/>
          <w:sz w:val="28"/>
          <w:szCs w:val="28"/>
          <w:rtl/>
        </w:rPr>
        <w:t xml:space="preserve"> (13.9.2015)).</w:t>
      </w:r>
    </w:p>
    <w:p w14:paraId="5511512F" w14:textId="77777777" w:rsidR="005B51BC" w:rsidRDefault="005B51BC" w:rsidP="005B51BC">
      <w:pPr>
        <w:pStyle w:val="aa"/>
        <w:spacing w:before="100" w:beforeAutospacing="1" w:after="120"/>
        <w:ind w:left="0"/>
        <w:jc w:val="both"/>
        <w:rPr>
          <w:rFonts w:ascii="Corbel" w:hAnsi="Corbel" w:cs="FrankRuehl"/>
          <w:sz w:val="28"/>
          <w:szCs w:val="28"/>
        </w:rPr>
      </w:pPr>
    </w:p>
    <w:p w14:paraId="1464603B"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מ</w:t>
      </w:r>
      <w:r>
        <w:rPr>
          <w:rFonts w:cs="FrankRuehl"/>
          <w:szCs w:val="28"/>
          <w:rtl/>
        </w:rPr>
        <w:t xml:space="preserve">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 </w:t>
      </w:r>
    </w:p>
    <w:p w14:paraId="69CC6DFB" w14:textId="77777777" w:rsidR="005B51BC" w:rsidRPr="00F4768E" w:rsidRDefault="005B51BC" w:rsidP="005B51BC">
      <w:pPr>
        <w:pStyle w:val="aa"/>
        <w:rPr>
          <w:rFonts w:ascii="Corbel" w:hAnsi="Corbel" w:cs="FrankRuehl"/>
          <w:sz w:val="28"/>
          <w:szCs w:val="28"/>
          <w:rtl/>
        </w:rPr>
      </w:pPr>
    </w:p>
    <w:p w14:paraId="62A41903"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הנאשמת במעשיה פגעה בערכים חברתיים מוגנים ובהם הגנה על בריאותו ושלומו הפיזי והנפשי של הציבור מפני הנזקים הנגרמים כתוצאה משימוש בסמים והשפעתם הממכרת וההרסנית וכן מפני נזקים עקיפים הנגרמים כתוצאה מעבריינות הנלווית לשימוש בסמים, ובכלל זה ההגנה על הביטחון האישי ורכוש הציבור (ראו מיני רבים: </w:t>
      </w:r>
      <w:hyperlink r:id="rId22" w:history="1">
        <w:r w:rsidR="00842986" w:rsidRPr="00842986">
          <w:rPr>
            <w:rFonts w:cs="FrankRuehl"/>
            <w:color w:val="0000FF"/>
            <w:sz w:val="28"/>
            <w:szCs w:val="28"/>
            <w:u w:val="single"/>
            <w:rtl/>
          </w:rPr>
          <w:t>ע"פ 972/11</w:t>
        </w:r>
      </w:hyperlink>
      <w:r>
        <w:rPr>
          <w:rFonts w:cs="FrankRuehl"/>
          <w:sz w:val="28"/>
          <w:szCs w:val="28"/>
          <w:rtl/>
        </w:rPr>
        <w:t xml:space="preserve"> </w:t>
      </w:r>
      <w:r>
        <w:rPr>
          <w:rFonts w:ascii="Miriam" w:hAnsi="Miriam" w:cs="Miriam"/>
          <w:rtl/>
        </w:rPr>
        <w:t>מדינת ישראל</w:t>
      </w:r>
      <w:r>
        <w:rPr>
          <w:rFonts w:cs="FrankRuehl"/>
          <w:sz w:val="28"/>
          <w:szCs w:val="28"/>
          <w:rtl/>
        </w:rPr>
        <w:t xml:space="preserve"> </w:t>
      </w:r>
      <w:r>
        <w:rPr>
          <w:rFonts w:ascii="Miriam" w:hAnsi="Miriam" w:cs="Miriam"/>
          <w:rtl/>
        </w:rPr>
        <w:t>נ' יונה</w:t>
      </w:r>
      <w:r>
        <w:rPr>
          <w:rFonts w:cs="FrankRuehl"/>
          <w:sz w:val="28"/>
          <w:szCs w:val="28"/>
          <w:rtl/>
        </w:rPr>
        <w:t xml:space="preserve"> (4.7.2012);  </w:t>
      </w:r>
      <w:hyperlink r:id="rId23" w:history="1">
        <w:r w:rsidR="00842986" w:rsidRPr="00842986">
          <w:rPr>
            <w:rFonts w:cs="FrankRuehl"/>
            <w:color w:val="0000FF"/>
            <w:sz w:val="28"/>
            <w:szCs w:val="28"/>
            <w:u w:val="single"/>
            <w:rtl/>
          </w:rPr>
          <w:t>ע"פ 6029/03</w:t>
        </w:r>
      </w:hyperlink>
      <w:r>
        <w:rPr>
          <w:rFonts w:cs="FrankRuehl"/>
          <w:sz w:val="28"/>
          <w:szCs w:val="28"/>
          <w:rtl/>
        </w:rPr>
        <w:t xml:space="preserve"> </w:t>
      </w:r>
      <w:r>
        <w:rPr>
          <w:rFonts w:ascii="Miriam" w:hAnsi="Miriam" w:cs="Miriam"/>
          <w:rtl/>
        </w:rPr>
        <w:t>מדינת ישראל נ' שמאי</w:t>
      </w:r>
      <w:r>
        <w:rPr>
          <w:rFonts w:cs="FrankRuehl"/>
          <w:sz w:val="28"/>
          <w:szCs w:val="28"/>
          <w:rtl/>
        </w:rPr>
        <w:t xml:space="preserve">, פ"ד נח (2) 734 (9.2.2004); </w:t>
      </w:r>
      <w:hyperlink r:id="rId24" w:history="1">
        <w:r w:rsidR="00842986" w:rsidRPr="00842986">
          <w:rPr>
            <w:rFonts w:cs="FrankRuehl"/>
            <w:color w:val="0000FF"/>
            <w:sz w:val="28"/>
            <w:szCs w:val="28"/>
            <w:u w:val="single"/>
            <w:rtl/>
          </w:rPr>
          <w:t>ע"פ 6021/95</w:t>
        </w:r>
      </w:hyperlink>
      <w:r>
        <w:rPr>
          <w:rFonts w:cs="FrankRuehl"/>
          <w:sz w:val="28"/>
          <w:szCs w:val="28"/>
          <w:rtl/>
        </w:rPr>
        <w:t xml:space="preserve">, 4998/95, 5267/95, 5313/95 </w:t>
      </w:r>
      <w:r>
        <w:rPr>
          <w:rFonts w:ascii="Miriam" w:hAnsi="Miriam" w:cs="Miriam"/>
          <w:rtl/>
        </w:rPr>
        <w:t>מדינת ישראל נ' גומז</w:t>
      </w:r>
      <w:r>
        <w:rPr>
          <w:rFonts w:cs="FrankRuehl"/>
          <w:sz w:val="28"/>
          <w:szCs w:val="28"/>
          <w:rtl/>
        </w:rPr>
        <w:t xml:space="preserve"> (31.7.1997); </w:t>
      </w:r>
      <w:hyperlink r:id="rId25" w:history="1">
        <w:r w:rsidR="00842986" w:rsidRPr="00842986">
          <w:rPr>
            <w:rFonts w:cs="FrankRuehl"/>
            <w:color w:val="0000FF"/>
            <w:sz w:val="28"/>
            <w:szCs w:val="28"/>
            <w:u w:val="single"/>
            <w:rtl/>
          </w:rPr>
          <w:t>ע"פ 575/88</w:t>
        </w:r>
      </w:hyperlink>
      <w:r>
        <w:rPr>
          <w:rFonts w:cs="FrankRuehl"/>
          <w:sz w:val="28"/>
          <w:szCs w:val="28"/>
          <w:rtl/>
        </w:rPr>
        <w:t xml:space="preserve"> </w:t>
      </w:r>
      <w:r>
        <w:rPr>
          <w:rFonts w:ascii="Miriam" w:hAnsi="Miriam" w:cs="Miriam"/>
          <w:rtl/>
        </w:rPr>
        <w:t>עודה</w:t>
      </w:r>
      <w:r>
        <w:rPr>
          <w:rFonts w:cs="FrankRuehl"/>
          <w:sz w:val="28"/>
          <w:szCs w:val="28"/>
          <w:rtl/>
        </w:rPr>
        <w:t xml:space="preserve"> </w:t>
      </w:r>
      <w:r>
        <w:rPr>
          <w:rFonts w:ascii="Miriam" w:hAnsi="Miriam" w:cs="Miriam"/>
          <w:rtl/>
        </w:rPr>
        <w:t>נ' מדינת ישראל</w:t>
      </w:r>
      <w:r>
        <w:rPr>
          <w:rFonts w:cs="FrankRuehl"/>
          <w:sz w:val="28"/>
          <w:szCs w:val="28"/>
          <w:rtl/>
        </w:rPr>
        <w:t xml:space="preserve">, פ"ד מב (4) 242 (11.12.1988)). מידת הפגיעה בערכים המוגנים היא נגזרת של סוגי הסמים ומסוכנותם כמו גם אופן החזקת הסמים וייתר נסיבות המקרה. </w:t>
      </w:r>
    </w:p>
    <w:p w14:paraId="4C607855" w14:textId="77777777" w:rsidR="005B51BC" w:rsidRPr="00F4768E" w:rsidRDefault="005B51BC" w:rsidP="005B51BC">
      <w:pPr>
        <w:pStyle w:val="aa"/>
        <w:rPr>
          <w:rFonts w:ascii="Corbel" w:hAnsi="Corbel" w:cs="FrankRuehl"/>
          <w:sz w:val="28"/>
          <w:szCs w:val="28"/>
          <w:rtl/>
        </w:rPr>
      </w:pPr>
    </w:p>
    <w:p w14:paraId="2BF53277"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alibri" w:hAnsi="Calibri" w:cs="FrankRuehl"/>
          <w:sz w:val="28"/>
          <w:szCs w:val="28"/>
          <w:rtl/>
        </w:rPr>
        <w:t>בטרם אדון בפרטי המקרה הקונקרטי, תוצג פסיקה שיש בה ללמד על מדיניות הענישה הנהוגה וזאת ככלי עזר ושיקול בקביעת מתחם העונש הראוי</w:t>
      </w:r>
      <w:r>
        <w:rPr>
          <w:rFonts w:cs="FrankRuehl"/>
          <w:sz w:val="28"/>
          <w:szCs w:val="28"/>
          <w:rtl/>
        </w:rPr>
        <w:t xml:space="preserve">. </w:t>
      </w:r>
    </w:p>
    <w:p w14:paraId="789DD40C" w14:textId="77777777" w:rsidR="005B51BC" w:rsidRDefault="005B51BC" w:rsidP="005B51BC">
      <w:pPr>
        <w:pStyle w:val="aa"/>
        <w:spacing w:before="100" w:beforeAutospacing="1" w:after="120"/>
        <w:ind w:left="0"/>
        <w:jc w:val="both"/>
        <w:rPr>
          <w:rFonts w:ascii="Corbel" w:hAnsi="Corbel" w:cs="FrankRuehl"/>
          <w:sz w:val="28"/>
          <w:szCs w:val="28"/>
        </w:rPr>
      </w:pPr>
    </w:p>
    <w:p w14:paraId="59DCC1E0"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בעבירות החזקה סם מסוג קנאביס שלא לצריכה עצמית, </w:t>
      </w:r>
      <w:r>
        <w:rPr>
          <w:rFonts w:ascii="FrankRuehl" w:hAnsi="FrankRuehl" w:cs="FrankRuehl"/>
          <w:sz w:val="28"/>
          <w:szCs w:val="28"/>
          <w:rtl/>
        </w:rPr>
        <w:t xml:space="preserve">במשקל של עשרות גרמים עד מאות בודדות שלא לצריכה עצמית, </w:t>
      </w:r>
      <w:r>
        <w:rPr>
          <w:rFonts w:ascii="FrankRuehl" w:hAnsi="FrankRuehl" w:cs="FrankRuehl" w:hint="cs"/>
          <w:sz w:val="28"/>
          <w:szCs w:val="28"/>
          <w:rtl/>
        </w:rPr>
        <w:t xml:space="preserve">נוהגים בתי המשפט לקבוע את </w:t>
      </w:r>
      <w:r>
        <w:rPr>
          <w:rFonts w:ascii="FrankRuehl" w:hAnsi="FrankRuehl" w:cs="FrankRuehl"/>
          <w:sz w:val="28"/>
          <w:szCs w:val="28"/>
          <w:rtl/>
        </w:rPr>
        <w:t xml:space="preserve">מתחם העונש ההולם נע בין מאסר מותנה ועד מאסר לתקופה של 8-12 חודשים לצד רכיבי ענישה נוספים. בהקשר זה אפנה לפסקי הדין הבאים: </w:t>
      </w:r>
      <w:hyperlink r:id="rId26" w:history="1">
        <w:r w:rsidR="00842986" w:rsidRPr="00842986">
          <w:rPr>
            <w:rFonts w:ascii="FrankRuehl" w:hAnsi="FrankRuehl" w:cs="FrankRuehl"/>
            <w:color w:val="0000FF"/>
            <w:sz w:val="28"/>
            <w:szCs w:val="28"/>
            <w:u w:val="single"/>
            <w:rtl/>
          </w:rPr>
          <w:t>רע"פ 2590/10</w:t>
        </w:r>
      </w:hyperlink>
      <w:r>
        <w:rPr>
          <w:rFonts w:ascii="FrankRuehl" w:hAnsi="FrankRuehl" w:cs="FrankRuehl"/>
          <w:sz w:val="28"/>
          <w:szCs w:val="28"/>
          <w:rtl/>
        </w:rPr>
        <w:t xml:space="preserve"> </w:t>
      </w:r>
      <w:r>
        <w:rPr>
          <w:rFonts w:ascii="Miriam" w:hAnsi="Miriam" w:cs="Miriam"/>
          <w:rtl/>
        </w:rPr>
        <w:t>שגיא נ' מדינת ישראל</w:t>
      </w:r>
      <w:r>
        <w:rPr>
          <w:rFonts w:ascii="FrankRuehl" w:hAnsi="FrankRuehl" w:cs="FrankRuehl"/>
          <w:rtl/>
        </w:rPr>
        <w:t xml:space="preserve"> </w:t>
      </w:r>
      <w:r>
        <w:rPr>
          <w:rFonts w:ascii="FrankRuehl" w:hAnsi="FrankRuehl" w:cs="FrankRuehl"/>
          <w:sz w:val="28"/>
          <w:szCs w:val="28"/>
          <w:rtl/>
        </w:rPr>
        <w:t xml:space="preserve">(8.4.2010); עפ"ג (ת"א) </w:t>
      </w:r>
      <w:hyperlink r:id="rId27" w:history="1">
        <w:r w:rsidR="00A0426C" w:rsidRPr="00A0426C">
          <w:rPr>
            <w:rFonts w:ascii="FrankRuehl" w:hAnsi="FrankRuehl" w:cs="FrankRuehl"/>
            <w:color w:val="0000FF"/>
            <w:sz w:val="28"/>
            <w:szCs w:val="28"/>
            <w:u w:val="single"/>
            <w:rtl/>
          </w:rPr>
          <w:t xml:space="preserve">20903-09-19 </w:t>
        </w:r>
      </w:hyperlink>
      <w:r>
        <w:rPr>
          <w:rFonts w:ascii="FrankRuehl" w:hAnsi="FrankRuehl" w:cs="FrankRuehl"/>
          <w:sz w:val="28"/>
          <w:szCs w:val="28"/>
          <w:rtl/>
        </w:rPr>
        <w:t xml:space="preserve"> </w:t>
      </w:r>
      <w:r>
        <w:rPr>
          <w:rFonts w:ascii="Miriam" w:hAnsi="Miriam" w:cs="Miriam"/>
          <w:rtl/>
        </w:rPr>
        <w:t>ברבי נ' מדינת ישראל</w:t>
      </w:r>
      <w:r>
        <w:rPr>
          <w:rFonts w:ascii="FrankRuehl" w:hAnsi="FrankRuehl" w:cs="FrankRuehl"/>
          <w:rtl/>
        </w:rPr>
        <w:t xml:space="preserve"> </w:t>
      </w:r>
      <w:r>
        <w:rPr>
          <w:rFonts w:ascii="FrankRuehl" w:hAnsi="FrankRuehl" w:cs="FrankRuehl"/>
          <w:sz w:val="28"/>
          <w:szCs w:val="28"/>
          <w:rtl/>
        </w:rPr>
        <w:t xml:space="preserve">(11.12.2019); ע"פ (מרכז) </w:t>
      </w:r>
      <w:hyperlink r:id="rId28" w:history="1">
        <w:r w:rsidR="00A0426C" w:rsidRPr="00A0426C">
          <w:rPr>
            <w:rFonts w:ascii="FrankRuehl" w:hAnsi="FrankRuehl" w:cs="FrankRuehl"/>
            <w:color w:val="0000FF"/>
            <w:sz w:val="28"/>
            <w:szCs w:val="28"/>
            <w:u w:val="single"/>
            <w:rtl/>
          </w:rPr>
          <w:t xml:space="preserve">44117-05-16 </w:t>
        </w:r>
      </w:hyperlink>
      <w:r>
        <w:rPr>
          <w:rFonts w:ascii="FrankRuehl" w:hAnsi="FrankRuehl" w:cs="FrankRuehl"/>
          <w:sz w:val="28"/>
          <w:szCs w:val="28"/>
          <w:rtl/>
        </w:rPr>
        <w:t xml:space="preserve"> </w:t>
      </w:r>
      <w:r>
        <w:rPr>
          <w:rFonts w:ascii="Miriam" w:hAnsi="Miriam" w:cs="Miriam"/>
          <w:rtl/>
        </w:rPr>
        <w:t>מדהלה נ' מדינת ישראל</w:t>
      </w:r>
      <w:r>
        <w:rPr>
          <w:rFonts w:ascii="FrankRuehl" w:hAnsi="FrankRuehl" w:cs="FrankRuehl"/>
          <w:sz w:val="28"/>
          <w:szCs w:val="28"/>
          <w:rtl/>
        </w:rPr>
        <w:t xml:space="preserve"> (11.12.2016); </w:t>
      </w:r>
      <w:hyperlink r:id="rId29" w:history="1">
        <w:r w:rsidR="00842986" w:rsidRPr="00842986">
          <w:rPr>
            <w:rFonts w:ascii="FrankRuehl" w:hAnsi="FrankRuehl" w:cs="FrankRuehl"/>
            <w:color w:val="0000FF"/>
            <w:sz w:val="28"/>
            <w:szCs w:val="28"/>
            <w:u w:val="single"/>
            <w:rtl/>
          </w:rPr>
          <w:t>ת.פ 42107-06-20</w:t>
        </w:r>
      </w:hyperlink>
      <w:r>
        <w:rPr>
          <w:rFonts w:ascii="FrankRuehl" w:hAnsi="FrankRuehl" w:cs="FrankRuehl"/>
          <w:sz w:val="28"/>
          <w:szCs w:val="28"/>
          <w:rtl/>
        </w:rPr>
        <w:t xml:space="preserve"> </w:t>
      </w:r>
      <w:r>
        <w:rPr>
          <w:rFonts w:ascii="Miriam" w:hAnsi="Miriam" w:cs="Miriam"/>
          <w:rtl/>
        </w:rPr>
        <w:t>מדינת ישראל נ' מגבורה</w:t>
      </w:r>
      <w:r>
        <w:rPr>
          <w:rFonts w:ascii="FrankRuehl" w:hAnsi="FrankRuehl" w:cs="FrankRuehl"/>
          <w:sz w:val="28"/>
          <w:szCs w:val="28"/>
          <w:rtl/>
        </w:rPr>
        <w:t xml:space="preserve"> (9.5.2022); </w:t>
      </w:r>
      <w:hyperlink r:id="rId30" w:history="1">
        <w:r w:rsidR="00842986" w:rsidRPr="00842986">
          <w:rPr>
            <w:rFonts w:ascii="FrankRuehl" w:hAnsi="FrankRuehl" w:cs="FrankRuehl"/>
            <w:color w:val="0000FF"/>
            <w:sz w:val="28"/>
            <w:szCs w:val="28"/>
            <w:u w:val="single"/>
            <w:rtl/>
          </w:rPr>
          <w:t>ת.פ 33265-09-20</w:t>
        </w:r>
      </w:hyperlink>
      <w:r>
        <w:rPr>
          <w:rFonts w:ascii="FrankRuehl" w:hAnsi="FrankRuehl" w:cs="FrankRuehl"/>
          <w:sz w:val="28"/>
          <w:szCs w:val="28"/>
          <w:rtl/>
        </w:rPr>
        <w:t xml:space="preserve"> </w:t>
      </w:r>
      <w:r>
        <w:rPr>
          <w:rFonts w:ascii="Miriam" w:hAnsi="Miriam" w:cs="Miriam"/>
          <w:rtl/>
        </w:rPr>
        <w:t>מדינת ישראל נ' שמואלי</w:t>
      </w:r>
      <w:r>
        <w:rPr>
          <w:rFonts w:ascii="FrankRuehl" w:hAnsi="FrankRuehl" w:cs="FrankRuehl"/>
          <w:sz w:val="28"/>
          <w:szCs w:val="28"/>
          <w:rtl/>
        </w:rPr>
        <w:t xml:space="preserve"> (22.12.2021); </w:t>
      </w:r>
      <w:hyperlink r:id="rId31" w:history="1">
        <w:r w:rsidR="00842986" w:rsidRPr="00842986">
          <w:rPr>
            <w:rFonts w:ascii="FrankRuehl" w:hAnsi="FrankRuehl" w:cs="FrankRuehl"/>
            <w:color w:val="0000FF"/>
            <w:sz w:val="28"/>
            <w:szCs w:val="28"/>
            <w:u w:val="single"/>
            <w:rtl/>
          </w:rPr>
          <w:t>ת.פ (ת"א) 13643-06-20</w:t>
        </w:r>
      </w:hyperlink>
      <w:r>
        <w:rPr>
          <w:rFonts w:ascii="FrankRuehl" w:hAnsi="FrankRuehl" w:cs="FrankRuehl"/>
          <w:sz w:val="28"/>
          <w:szCs w:val="28"/>
          <w:rtl/>
        </w:rPr>
        <w:t xml:space="preserve"> </w:t>
      </w:r>
      <w:r>
        <w:rPr>
          <w:rFonts w:ascii="Miriam" w:hAnsi="Miriam" w:cs="Miriam"/>
          <w:rtl/>
        </w:rPr>
        <w:t>מדינת ישראל נ' אסף דרעי</w:t>
      </w:r>
      <w:r>
        <w:rPr>
          <w:rFonts w:ascii="FrankRuehl" w:hAnsi="FrankRuehl" w:cs="FrankRuehl"/>
          <w:sz w:val="28"/>
          <w:szCs w:val="28"/>
          <w:rtl/>
        </w:rPr>
        <w:t xml:space="preserve"> (13.10.2021);  </w:t>
      </w:r>
      <w:hyperlink r:id="rId32" w:history="1">
        <w:r w:rsidR="00842986" w:rsidRPr="00842986">
          <w:rPr>
            <w:rFonts w:ascii="FrankRuehl" w:hAnsi="FrankRuehl" w:cs="FrankRuehl"/>
            <w:color w:val="0000FF"/>
            <w:sz w:val="28"/>
            <w:szCs w:val="28"/>
            <w:u w:val="single"/>
            <w:rtl/>
          </w:rPr>
          <w:t>ת"פ 24763-04-21</w:t>
        </w:r>
      </w:hyperlink>
      <w:r>
        <w:rPr>
          <w:rFonts w:ascii="FrankRuehl" w:hAnsi="FrankRuehl" w:cs="FrankRuehl"/>
          <w:sz w:val="28"/>
          <w:szCs w:val="28"/>
          <w:rtl/>
        </w:rPr>
        <w:t xml:space="preserve"> </w:t>
      </w:r>
      <w:r>
        <w:rPr>
          <w:rFonts w:ascii="Miriam" w:hAnsi="Miriam" w:cs="Miriam"/>
          <w:rtl/>
        </w:rPr>
        <w:t>מדינת ישראל נ' מולה</w:t>
      </w:r>
      <w:r>
        <w:rPr>
          <w:rFonts w:ascii="FrankRuehl" w:hAnsi="FrankRuehl" w:cs="FrankRuehl"/>
          <w:rtl/>
        </w:rPr>
        <w:t xml:space="preserve"> </w:t>
      </w:r>
      <w:r>
        <w:rPr>
          <w:rFonts w:ascii="FrankRuehl" w:hAnsi="FrankRuehl" w:cs="FrankRuehl"/>
          <w:sz w:val="28"/>
          <w:szCs w:val="28"/>
          <w:rtl/>
        </w:rPr>
        <w:t xml:space="preserve">(12.12.2021); </w:t>
      </w:r>
      <w:hyperlink r:id="rId33" w:history="1">
        <w:r w:rsidR="00842986" w:rsidRPr="00842986">
          <w:rPr>
            <w:rFonts w:ascii="FrankRuehl" w:hAnsi="FrankRuehl" w:cs="FrankRuehl"/>
            <w:color w:val="0000FF"/>
            <w:sz w:val="28"/>
            <w:szCs w:val="28"/>
            <w:u w:val="single"/>
            <w:rtl/>
          </w:rPr>
          <w:t>ת"פ 37960-03-21</w:t>
        </w:r>
      </w:hyperlink>
      <w:r>
        <w:rPr>
          <w:rFonts w:ascii="FrankRuehl" w:hAnsi="FrankRuehl" w:cs="FrankRuehl"/>
          <w:sz w:val="28"/>
          <w:szCs w:val="28"/>
          <w:rtl/>
        </w:rPr>
        <w:t xml:space="preserve"> </w:t>
      </w:r>
      <w:r>
        <w:rPr>
          <w:rFonts w:ascii="Miriam" w:hAnsi="Miriam" w:cs="Miriam"/>
          <w:rtl/>
        </w:rPr>
        <w:t>מדינת ישראל נ' כהן</w:t>
      </w:r>
      <w:r>
        <w:rPr>
          <w:rFonts w:ascii="FrankRuehl" w:hAnsi="FrankRuehl" w:cs="FrankRuehl"/>
          <w:rtl/>
        </w:rPr>
        <w:t xml:space="preserve"> </w:t>
      </w:r>
      <w:r>
        <w:rPr>
          <w:rFonts w:ascii="FrankRuehl" w:hAnsi="FrankRuehl" w:cs="FrankRuehl"/>
          <w:sz w:val="28"/>
          <w:szCs w:val="28"/>
          <w:rtl/>
        </w:rPr>
        <w:t xml:space="preserve">(13.10.2021); </w:t>
      </w:r>
      <w:hyperlink r:id="rId34" w:history="1">
        <w:r w:rsidR="00842986" w:rsidRPr="00842986">
          <w:rPr>
            <w:rFonts w:ascii="FrankRuehl" w:hAnsi="FrankRuehl" w:cs="FrankRuehl"/>
            <w:color w:val="0000FF"/>
            <w:sz w:val="28"/>
            <w:szCs w:val="28"/>
            <w:u w:val="single"/>
            <w:rtl/>
          </w:rPr>
          <w:t>ת"פ 72369-06-20</w:t>
        </w:r>
      </w:hyperlink>
      <w:r>
        <w:rPr>
          <w:rFonts w:ascii="FrankRuehl" w:hAnsi="FrankRuehl" w:cs="FrankRuehl"/>
          <w:sz w:val="28"/>
          <w:szCs w:val="28"/>
          <w:rtl/>
        </w:rPr>
        <w:t xml:space="preserve"> </w:t>
      </w:r>
      <w:r>
        <w:rPr>
          <w:rFonts w:ascii="Miriam" w:hAnsi="Miriam" w:cs="Miriam"/>
          <w:rtl/>
        </w:rPr>
        <w:t>מדינת ישראל נ' טרי</w:t>
      </w:r>
      <w:r>
        <w:rPr>
          <w:rFonts w:ascii="FrankRuehl" w:hAnsi="FrankRuehl" w:cs="FrankRuehl"/>
          <w:sz w:val="28"/>
          <w:szCs w:val="28"/>
          <w:rtl/>
        </w:rPr>
        <w:t xml:space="preserve"> (13.10.2021); </w:t>
      </w:r>
      <w:hyperlink r:id="rId35" w:history="1">
        <w:r w:rsidR="00842986" w:rsidRPr="00842986">
          <w:rPr>
            <w:rFonts w:ascii="FrankRuehl" w:hAnsi="FrankRuehl" w:cs="FrankRuehl"/>
            <w:color w:val="0000FF"/>
            <w:sz w:val="28"/>
            <w:szCs w:val="28"/>
            <w:u w:val="single"/>
            <w:rtl/>
          </w:rPr>
          <w:t>ת"פ 46913-07-18</w:t>
        </w:r>
      </w:hyperlink>
      <w:r>
        <w:rPr>
          <w:rFonts w:ascii="FrankRuehl" w:hAnsi="FrankRuehl" w:cs="FrankRuehl"/>
          <w:sz w:val="28"/>
          <w:szCs w:val="28"/>
          <w:rtl/>
        </w:rPr>
        <w:t xml:space="preserve"> </w:t>
      </w:r>
      <w:r>
        <w:rPr>
          <w:rFonts w:ascii="Miriam" w:hAnsi="Miriam" w:cs="Miriam"/>
          <w:rtl/>
        </w:rPr>
        <w:t>מדינת ישראל נ' מקסימוב</w:t>
      </w:r>
      <w:r>
        <w:rPr>
          <w:rFonts w:ascii="FrankRuehl" w:hAnsi="FrankRuehl" w:cs="FrankRuehl"/>
          <w:rtl/>
        </w:rPr>
        <w:t xml:space="preserve"> </w:t>
      </w:r>
      <w:r>
        <w:rPr>
          <w:rFonts w:ascii="FrankRuehl" w:hAnsi="FrankRuehl" w:cs="FrankRuehl"/>
          <w:sz w:val="28"/>
          <w:szCs w:val="28"/>
          <w:rtl/>
        </w:rPr>
        <w:t xml:space="preserve">(10.8.2020); </w:t>
      </w:r>
      <w:hyperlink r:id="rId36" w:history="1">
        <w:r w:rsidR="00842986" w:rsidRPr="00842986">
          <w:rPr>
            <w:rFonts w:ascii="FrankRuehl" w:hAnsi="FrankRuehl" w:cs="FrankRuehl"/>
            <w:color w:val="0000FF"/>
            <w:sz w:val="28"/>
            <w:szCs w:val="28"/>
            <w:u w:val="single"/>
            <w:rtl/>
          </w:rPr>
          <w:t>ת"פ 21678-03-18</w:t>
        </w:r>
      </w:hyperlink>
      <w:r>
        <w:rPr>
          <w:rFonts w:ascii="FrankRuehl" w:hAnsi="FrankRuehl" w:cs="FrankRuehl"/>
          <w:sz w:val="28"/>
          <w:szCs w:val="28"/>
          <w:rtl/>
        </w:rPr>
        <w:t xml:space="preserve"> </w:t>
      </w:r>
      <w:r>
        <w:rPr>
          <w:rFonts w:ascii="Miriam" w:hAnsi="Miriam" w:cs="Miriam"/>
          <w:rtl/>
        </w:rPr>
        <w:t>מדינת ישראל נ' בוסטינוב</w:t>
      </w:r>
      <w:r>
        <w:rPr>
          <w:rFonts w:ascii="FrankRuehl" w:hAnsi="FrankRuehl" w:cs="FrankRuehl"/>
          <w:rtl/>
        </w:rPr>
        <w:t xml:space="preserve"> </w:t>
      </w:r>
      <w:r>
        <w:rPr>
          <w:rFonts w:ascii="FrankRuehl" w:hAnsi="FrankRuehl" w:cs="FrankRuehl"/>
          <w:sz w:val="28"/>
          <w:szCs w:val="28"/>
          <w:rtl/>
        </w:rPr>
        <w:t xml:space="preserve">(20.6.2020); </w:t>
      </w:r>
      <w:hyperlink r:id="rId37" w:history="1">
        <w:r w:rsidR="00842986" w:rsidRPr="00842986">
          <w:rPr>
            <w:rFonts w:ascii="FrankRuehl" w:hAnsi="FrankRuehl" w:cs="FrankRuehl"/>
            <w:color w:val="0000FF"/>
            <w:sz w:val="28"/>
            <w:szCs w:val="28"/>
            <w:u w:val="single"/>
            <w:rtl/>
          </w:rPr>
          <w:t>ת"פ 53684-05-17</w:t>
        </w:r>
      </w:hyperlink>
      <w:r>
        <w:rPr>
          <w:rFonts w:ascii="FrankRuehl" w:hAnsi="FrankRuehl" w:cs="FrankRuehl"/>
          <w:sz w:val="28"/>
          <w:szCs w:val="28"/>
          <w:rtl/>
        </w:rPr>
        <w:t xml:space="preserve"> </w:t>
      </w:r>
      <w:r>
        <w:rPr>
          <w:rFonts w:ascii="Miriam" w:hAnsi="Miriam" w:cs="Miriam"/>
          <w:rtl/>
        </w:rPr>
        <w:t>מדינת ישראל נ' בלטרמן</w:t>
      </w:r>
      <w:r>
        <w:rPr>
          <w:rFonts w:ascii="FrankRuehl" w:hAnsi="FrankRuehl" w:cs="FrankRuehl"/>
          <w:rtl/>
        </w:rPr>
        <w:t xml:space="preserve"> </w:t>
      </w:r>
      <w:r>
        <w:rPr>
          <w:rFonts w:ascii="FrankRuehl" w:hAnsi="FrankRuehl" w:cs="FrankRuehl"/>
          <w:sz w:val="28"/>
          <w:szCs w:val="28"/>
          <w:rtl/>
        </w:rPr>
        <w:t xml:space="preserve">(4.5.2020); </w:t>
      </w:r>
      <w:hyperlink r:id="rId38" w:history="1">
        <w:r w:rsidR="00842986" w:rsidRPr="00842986">
          <w:rPr>
            <w:rFonts w:ascii="FrankRuehl" w:hAnsi="FrankRuehl" w:cs="FrankRuehl"/>
            <w:color w:val="0000FF"/>
            <w:sz w:val="28"/>
            <w:szCs w:val="28"/>
            <w:u w:val="single"/>
            <w:rtl/>
          </w:rPr>
          <w:t>ת"פ (י-ם) 60525-06-18</w:t>
        </w:r>
      </w:hyperlink>
      <w:r>
        <w:rPr>
          <w:rFonts w:ascii="FrankRuehl" w:hAnsi="FrankRuehl" w:cs="FrankRuehl"/>
          <w:sz w:val="28"/>
          <w:szCs w:val="28"/>
          <w:rtl/>
        </w:rPr>
        <w:t xml:space="preserve"> </w:t>
      </w:r>
      <w:r>
        <w:rPr>
          <w:rFonts w:ascii="Miriam" w:hAnsi="Miriam" w:cs="Miriam"/>
          <w:rtl/>
        </w:rPr>
        <w:t>מדינת ישראל נ' אביב כהן</w:t>
      </w:r>
      <w:r>
        <w:rPr>
          <w:rFonts w:ascii="FrankRuehl" w:hAnsi="FrankRuehl" w:cs="FrankRuehl"/>
          <w:rtl/>
        </w:rPr>
        <w:t xml:space="preserve"> </w:t>
      </w:r>
      <w:r>
        <w:rPr>
          <w:rFonts w:ascii="FrankRuehl" w:hAnsi="FrankRuehl" w:cs="FrankRuehl"/>
          <w:sz w:val="28"/>
          <w:szCs w:val="28"/>
          <w:rtl/>
        </w:rPr>
        <w:t xml:space="preserve">(2.1.2020); </w:t>
      </w:r>
      <w:hyperlink r:id="rId39" w:history="1">
        <w:r w:rsidR="00842986" w:rsidRPr="00842986">
          <w:rPr>
            <w:rFonts w:ascii="FrankRuehl" w:hAnsi="FrankRuehl" w:cs="FrankRuehl"/>
            <w:color w:val="0000FF"/>
            <w:sz w:val="28"/>
            <w:szCs w:val="28"/>
            <w:u w:val="single"/>
            <w:rtl/>
          </w:rPr>
          <w:t>ת"פ 39357-02-19</w:t>
        </w:r>
      </w:hyperlink>
      <w:r>
        <w:rPr>
          <w:rFonts w:ascii="FrankRuehl" w:hAnsi="FrankRuehl" w:cs="FrankRuehl"/>
          <w:sz w:val="28"/>
          <w:szCs w:val="28"/>
          <w:rtl/>
        </w:rPr>
        <w:t xml:space="preserve"> </w:t>
      </w:r>
      <w:r>
        <w:rPr>
          <w:rFonts w:ascii="Miriam" w:hAnsi="Miriam" w:cs="Miriam"/>
          <w:rtl/>
        </w:rPr>
        <w:t>מדינת ישראל נ' בוקובזה</w:t>
      </w:r>
      <w:r>
        <w:rPr>
          <w:rFonts w:ascii="FrankRuehl" w:hAnsi="FrankRuehl" w:cs="FrankRuehl"/>
          <w:rtl/>
        </w:rPr>
        <w:t xml:space="preserve"> </w:t>
      </w:r>
      <w:r>
        <w:rPr>
          <w:rFonts w:ascii="FrankRuehl" w:hAnsi="FrankRuehl" w:cs="FrankRuehl"/>
          <w:sz w:val="28"/>
          <w:szCs w:val="28"/>
          <w:rtl/>
        </w:rPr>
        <w:t xml:space="preserve">(31.12.2019); </w:t>
      </w:r>
      <w:hyperlink r:id="rId40" w:history="1">
        <w:r w:rsidR="00842986" w:rsidRPr="00842986">
          <w:rPr>
            <w:rFonts w:ascii="FrankRuehl" w:hAnsi="FrankRuehl" w:cs="FrankRuehl"/>
            <w:color w:val="0000FF"/>
            <w:sz w:val="28"/>
            <w:szCs w:val="28"/>
            <w:u w:val="single"/>
            <w:rtl/>
          </w:rPr>
          <w:t>ת"פ 61688-02-18</w:t>
        </w:r>
      </w:hyperlink>
      <w:r>
        <w:rPr>
          <w:rFonts w:ascii="FrankRuehl" w:hAnsi="FrankRuehl" w:cs="FrankRuehl"/>
          <w:sz w:val="28"/>
          <w:szCs w:val="28"/>
          <w:rtl/>
        </w:rPr>
        <w:t xml:space="preserve"> </w:t>
      </w:r>
      <w:r>
        <w:rPr>
          <w:rFonts w:ascii="Miriam" w:hAnsi="Miriam" w:cs="Miriam"/>
          <w:rtl/>
        </w:rPr>
        <w:t>מדינת ישראל נ' פיקדו</w:t>
      </w:r>
      <w:r>
        <w:rPr>
          <w:rFonts w:ascii="FrankRuehl" w:hAnsi="FrankRuehl" w:cs="FrankRuehl"/>
          <w:rtl/>
        </w:rPr>
        <w:t xml:space="preserve"> </w:t>
      </w:r>
      <w:r>
        <w:rPr>
          <w:rFonts w:ascii="FrankRuehl" w:hAnsi="FrankRuehl" w:cs="FrankRuehl"/>
          <w:sz w:val="28"/>
          <w:szCs w:val="28"/>
          <w:rtl/>
        </w:rPr>
        <w:t xml:space="preserve">(25.9.2019); </w:t>
      </w:r>
      <w:hyperlink r:id="rId41" w:history="1">
        <w:r w:rsidR="00842986" w:rsidRPr="00842986">
          <w:rPr>
            <w:color w:val="0000FF"/>
            <w:u w:val="single"/>
            <w:rtl/>
          </w:rPr>
          <w:t>ת.פ 53788-02-16</w:t>
        </w:r>
      </w:hyperlink>
      <w:r>
        <w:rPr>
          <w:rFonts w:hint="cs"/>
          <w:rtl/>
        </w:rPr>
        <w:t xml:space="preserve"> </w:t>
      </w:r>
      <w:r>
        <w:rPr>
          <w:rFonts w:ascii="Miriam" w:hAnsi="Miriam" w:cs="Miriam" w:hint="cs"/>
          <w:rtl/>
        </w:rPr>
        <w:t>מ</w:t>
      </w:r>
      <w:r>
        <w:rPr>
          <w:rFonts w:ascii="Miriam" w:hAnsi="Miriam" w:cs="Miriam"/>
          <w:rtl/>
        </w:rPr>
        <w:t>דינת ישראל נגד עמית קלוורי</w:t>
      </w:r>
      <w:r>
        <w:rPr>
          <w:rFonts w:ascii="FrankRuehl" w:hAnsi="FrankRuehl" w:cs="FrankRuehl"/>
          <w:sz w:val="28"/>
          <w:szCs w:val="28"/>
          <w:rtl/>
        </w:rPr>
        <w:t xml:space="preserve"> (16.7.2018); </w:t>
      </w:r>
      <w:hyperlink r:id="rId42" w:history="1">
        <w:r w:rsidR="00842986" w:rsidRPr="00842986">
          <w:rPr>
            <w:rFonts w:ascii="FrankRuehl" w:hAnsi="FrankRuehl" w:cs="FrankRuehl"/>
            <w:color w:val="0000FF"/>
            <w:sz w:val="28"/>
            <w:szCs w:val="28"/>
            <w:u w:val="single"/>
            <w:rtl/>
          </w:rPr>
          <w:t>ת"פ 26918-01-17</w:t>
        </w:r>
      </w:hyperlink>
      <w:r>
        <w:rPr>
          <w:rFonts w:ascii="FrankRuehl" w:hAnsi="FrankRuehl" w:cs="FrankRuehl"/>
          <w:sz w:val="28"/>
          <w:szCs w:val="28"/>
          <w:rtl/>
        </w:rPr>
        <w:t xml:space="preserve"> </w:t>
      </w:r>
      <w:r>
        <w:rPr>
          <w:rFonts w:ascii="Miriam" w:hAnsi="Miriam" w:cs="Miriam"/>
          <w:rtl/>
        </w:rPr>
        <w:t>מדינת ישראל נגד כדורי</w:t>
      </w:r>
      <w:r>
        <w:rPr>
          <w:rFonts w:ascii="FrankRuehl" w:hAnsi="FrankRuehl" w:cs="FrankRuehl"/>
          <w:sz w:val="28"/>
          <w:szCs w:val="28"/>
          <w:rtl/>
        </w:rPr>
        <w:t xml:space="preserve"> (21.1.2018) – כאן גם בוטלה ההרשעה; </w:t>
      </w:r>
      <w:hyperlink r:id="rId43" w:history="1">
        <w:r w:rsidR="00842986" w:rsidRPr="00842986">
          <w:rPr>
            <w:rFonts w:ascii="FrankRuehl" w:hAnsi="FrankRuehl" w:cs="FrankRuehl"/>
            <w:color w:val="0000FF"/>
            <w:sz w:val="28"/>
            <w:szCs w:val="28"/>
            <w:u w:val="single"/>
            <w:rtl/>
          </w:rPr>
          <w:t>ת"פ (קריות) 20685-11-16</w:t>
        </w:r>
      </w:hyperlink>
      <w:r>
        <w:rPr>
          <w:rFonts w:ascii="FrankRuehl" w:hAnsi="FrankRuehl" w:cs="FrankRuehl"/>
          <w:sz w:val="28"/>
          <w:szCs w:val="28"/>
          <w:rtl/>
        </w:rPr>
        <w:t xml:space="preserve"> </w:t>
      </w:r>
      <w:r>
        <w:rPr>
          <w:rFonts w:ascii="Miriam" w:hAnsi="Miriam" w:cs="Miriam"/>
          <w:rtl/>
        </w:rPr>
        <w:t>מדינת ישראל נ' לאופר</w:t>
      </w:r>
      <w:r>
        <w:rPr>
          <w:rFonts w:ascii="FrankRuehl" w:hAnsi="FrankRuehl" w:cs="FrankRuehl"/>
          <w:rtl/>
        </w:rPr>
        <w:t xml:space="preserve"> </w:t>
      </w:r>
      <w:r>
        <w:rPr>
          <w:rFonts w:ascii="FrankRuehl" w:hAnsi="FrankRuehl" w:cs="FrankRuehl"/>
          <w:sz w:val="28"/>
          <w:szCs w:val="28"/>
          <w:rtl/>
        </w:rPr>
        <w:t xml:space="preserve">(24.6.2018); ת"פ (קרית גת) </w:t>
      </w:r>
      <w:hyperlink r:id="rId44" w:history="1">
        <w:r w:rsidR="00A0426C" w:rsidRPr="00A0426C">
          <w:rPr>
            <w:rFonts w:ascii="FrankRuehl" w:hAnsi="FrankRuehl" w:cs="FrankRuehl"/>
            <w:color w:val="0000FF"/>
            <w:sz w:val="28"/>
            <w:szCs w:val="28"/>
            <w:u w:val="single"/>
            <w:rtl/>
          </w:rPr>
          <w:t>60677-02-16</w:t>
        </w:r>
      </w:hyperlink>
      <w:r>
        <w:rPr>
          <w:rFonts w:ascii="FrankRuehl" w:hAnsi="FrankRuehl" w:cs="FrankRuehl"/>
          <w:sz w:val="28"/>
          <w:szCs w:val="28"/>
          <w:rtl/>
        </w:rPr>
        <w:t xml:space="preserve"> </w:t>
      </w:r>
      <w:r>
        <w:rPr>
          <w:rFonts w:ascii="Miriam" w:hAnsi="Miriam" w:cs="Miriam"/>
          <w:rtl/>
        </w:rPr>
        <w:t>מדינת ישראל נ' בן דוד</w:t>
      </w:r>
      <w:r>
        <w:rPr>
          <w:rFonts w:ascii="FrankRuehl" w:hAnsi="FrankRuehl" w:cs="FrankRuehl"/>
          <w:rtl/>
        </w:rPr>
        <w:t xml:space="preserve"> </w:t>
      </w:r>
      <w:r>
        <w:rPr>
          <w:rFonts w:ascii="FrankRuehl" w:hAnsi="FrankRuehl" w:cs="FrankRuehl"/>
          <w:sz w:val="28"/>
          <w:szCs w:val="28"/>
          <w:rtl/>
        </w:rPr>
        <w:t xml:space="preserve">(13.5.2018); </w:t>
      </w:r>
      <w:hyperlink r:id="rId45" w:history="1">
        <w:r w:rsidR="00842986" w:rsidRPr="00842986">
          <w:rPr>
            <w:rFonts w:ascii="FrankRuehl" w:hAnsi="FrankRuehl" w:cs="FrankRuehl"/>
            <w:color w:val="0000FF"/>
            <w:sz w:val="28"/>
            <w:szCs w:val="28"/>
            <w:u w:val="single"/>
            <w:rtl/>
          </w:rPr>
          <w:t>ת"פ 19339-10-15</w:t>
        </w:r>
      </w:hyperlink>
      <w:r>
        <w:rPr>
          <w:rFonts w:ascii="FrankRuehl" w:hAnsi="FrankRuehl" w:cs="FrankRuehl"/>
          <w:sz w:val="28"/>
          <w:szCs w:val="28"/>
          <w:rtl/>
        </w:rPr>
        <w:t xml:space="preserve"> </w:t>
      </w:r>
      <w:r>
        <w:rPr>
          <w:rFonts w:ascii="Miriam" w:hAnsi="Miriam" w:cs="Miriam"/>
          <w:rtl/>
        </w:rPr>
        <w:t>מדינת ישראל נ' נגוסה</w:t>
      </w:r>
      <w:r>
        <w:rPr>
          <w:rFonts w:ascii="FrankRuehl" w:hAnsi="FrankRuehl" w:cs="FrankRuehl"/>
          <w:rtl/>
        </w:rPr>
        <w:t xml:space="preserve"> </w:t>
      </w:r>
      <w:r>
        <w:rPr>
          <w:rFonts w:ascii="FrankRuehl" w:hAnsi="FrankRuehl" w:cs="FrankRuehl"/>
          <w:sz w:val="28"/>
          <w:szCs w:val="28"/>
          <w:rtl/>
        </w:rPr>
        <w:t xml:space="preserve">(10.1.2018); </w:t>
      </w:r>
      <w:hyperlink r:id="rId46" w:history="1">
        <w:r w:rsidR="00842986" w:rsidRPr="00842986">
          <w:rPr>
            <w:rFonts w:ascii="FrankRuehl" w:hAnsi="FrankRuehl" w:cs="FrankRuehl"/>
            <w:color w:val="0000FF"/>
            <w:sz w:val="28"/>
            <w:szCs w:val="28"/>
            <w:u w:val="single"/>
            <w:rtl/>
          </w:rPr>
          <w:t>ת"פ (באר שבע) 48356-12-16</w:t>
        </w:r>
      </w:hyperlink>
      <w:r>
        <w:rPr>
          <w:rFonts w:ascii="FrankRuehl" w:hAnsi="FrankRuehl" w:cs="FrankRuehl"/>
          <w:sz w:val="28"/>
          <w:szCs w:val="28"/>
          <w:rtl/>
        </w:rPr>
        <w:t xml:space="preserve"> </w:t>
      </w:r>
      <w:r>
        <w:rPr>
          <w:rFonts w:ascii="Miriam" w:hAnsi="Miriam" w:cs="Miriam"/>
          <w:rtl/>
        </w:rPr>
        <w:t>מדינת ישראל נ' עמר</w:t>
      </w:r>
      <w:r>
        <w:rPr>
          <w:rFonts w:ascii="FrankRuehl" w:hAnsi="FrankRuehl" w:cs="FrankRuehl"/>
          <w:sz w:val="28"/>
          <w:szCs w:val="28"/>
          <w:rtl/>
        </w:rPr>
        <w:t xml:space="preserve"> (14.9.2017). </w:t>
      </w:r>
    </w:p>
    <w:p w14:paraId="05068F69" w14:textId="77777777" w:rsidR="005B51BC" w:rsidRPr="00BB1FA7" w:rsidRDefault="005B51BC" w:rsidP="005B51BC">
      <w:pPr>
        <w:pStyle w:val="aa"/>
        <w:spacing w:before="100" w:beforeAutospacing="1" w:after="120"/>
        <w:ind w:left="0"/>
        <w:jc w:val="both"/>
        <w:rPr>
          <w:rFonts w:ascii="Corbel" w:hAnsi="Corbel" w:cs="FrankRuehl"/>
          <w:sz w:val="28"/>
          <w:szCs w:val="28"/>
        </w:rPr>
      </w:pPr>
    </w:p>
    <w:p w14:paraId="67B86B3C"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עם זאת, כאשר מדובר על החזקת סמים שלא לצריכה עצמית במגוון סוגים, הגבול התחתון של מתחם העונש ההולם מתחיל במספר חודשי עבודות שירות בעוד הגבול העליון משתנה והדבר הוא נגזרת של סוגי הסמים ומסוכנותם, הכמות והאופן בו הוחזקו. אבהיר כי חלק מהמקרים שיובאו חמורים בהרבה מעניינה של הנאשמת, כדלקמן: </w:t>
      </w:r>
      <w:hyperlink r:id="rId47" w:history="1">
        <w:r w:rsidR="00842986" w:rsidRPr="00842986">
          <w:rPr>
            <w:rFonts w:cs="FrankRuehl"/>
            <w:color w:val="0000FF"/>
            <w:sz w:val="28"/>
            <w:szCs w:val="28"/>
            <w:u w:val="single"/>
            <w:rtl/>
          </w:rPr>
          <w:t>ת.פ 26581-10-20</w:t>
        </w:r>
      </w:hyperlink>
      <w:r>
        <w:rPr>
          <w:rFonts w:cs="FrankRuehl"/>
          <w:sz w:val="28"/>
          <w:szCs w:val="28"/>
          <w:rtl/>
        </w:rPr>
        <w:t xml:space="preserve"> </w:t>
      </w:r>
      <w:r>
        <w:rPr>
          <w:rFonts w:ascii="Miriam" w:hAnsi="Miriam" w:cs="Miriam"/>
          <w:rtl/>
        </w:rPr>
        <w:t>מדינת ישראל נגד ברנשטיי</w:t>
      </w:r>
      <w:r>
        <w:rPr>
          <w:rFonts w:cs="FrankRuehl"/>
          <w:sz w:val="28"/>
          <w:szCs w:val="28"/>
          <w:rtl/>
        </w:rPr>
        <w:t xml:space="preserve">ן (20.10.2021) – יוער כי פסק הדין אינו חלוט וערעור ההגנה עומד ותלוי וממתין לקבלת תסקיר שירות מבחן; </w:t>
      </w:r>
      <w:hyperlink r:id="rId48" w:history="1">
        <w:r w:rsidR="00842986" w:rsidRPr="00842986">
          <w:rPr>
            <w:rFonts w:cs="FrankRuehl"/>
            <w:color w:val="0000FF"/>
            <w:sz w:val="28"/>
            <w:szCs w:val="28"/>
            <w:u w:val="single"/>
            <w:rtl/>
          </w:rPr>
          <w:t>ת"פ (תל-אביב) 49157-08-17</w:t>
        </w:r>
      </w:hyperlink>
      <w:r>
        <w:rPr>
          <w:rFonts w:cs="FrankRuehl"/>
          <w:sz w:val="28"/>
          <w:szCs w:val="28"/>
          <w:rtl/>
        </w:rPr>
        <w:t xml:space="preserve"> </w:t>
      </w:r>
      <w:r>
        <w:rPr>
          <w:rFonts w:ascii="Miriam" w:hAnsi="Miriam" w:cs="Miriam"/>
          <w:rtl/>
        </w:rPr>
        <w:t>מדינת ישראל נ' שגב</w:t>
      </w:r>
      <w:r>
        <w:rPr>
          <w:rFonts w:cs="FrankRuehl"/>
          <w:sz w:val="28"/>
          <w:szCs w:val="28"/>
          <w:rtl/>
        </w:rPr>
        <w:t xml:space="preserve"> (22.5.19); </w:t>
      </w:r>
      <w:hyperlink r:id="rId49" w:history="1">
        <w:r w:rsidR="00842986" w:rsidRPr="00842986">
          <w:rPr>
            <w:rFonts w:cs="FrankRuehl"/>
            <w:color w:val="0000FF"/>
            <w:sz w:val="28"/>
            <w:szCs w:val="28"/>
            <w:u w:val="single"/>
            <w:rtl/>
          </w:rPr>
          <w:t>ת"פ (תל-אביב) 21678-03-18</w:t>
        </w:r>
      </w:hyperlink>
      <w:r>
        <w:rPr>
          <w:rFonts w:cs="FrankRuehl"/>
          <w:sz w:val="28"/>
          <w:szCs w:val="28"/>
          <w:rtl/>
        </w:rPr>
        <w:t xml:space="preserve"> </w:t>
      </w:r>
      <w:r>
        <w:rPr>
          <w:rFonts w:ascii="Miriam" w:hAnsi="Miriam" w:cs="Miriam"/>
          <w:rtl/>
        </w:rPr>
        <w:t>מדינת ישראל נ' גוסיינוב</w:t>
      </w:r>
      <w:r>
        <w:rPr>
          <w:rFonts w:cs="FrankRuehl"/>
          <w:sz w:val="28"/>
          <w:szCs w:val="28"/>
          <w:rtl/>
        </w:rPr>
        <w:t xml:space="preserve"> (24.6.20);</w:t>
      </w:r>
      <w:r>
        <w:rPr>
          <w:rFonts w:cs="FrankRuehl" w:hint="cs"/>
          <w:sz w:val="28"/>
          <w:szCs w:val="28"/>
        </w:rPr>
        <w:t xml:space="preserve"> </w:t>
      </w:r>
      <w:hyperlink r:id="rId50" w:history="1">
        <w:r w:rsidR="00842986" w:rsidRPr="00842986">
          <w:rPr>
            <w:rFonts w:cs="FrankRuehl"/>
            <w:color w:val="0000FF"/>
            <w:sz w:val="28"/>
            <w:szCs w:val="28"/>
            <w:u w:val="single"/>
            <w:rtl/>
          </w:rPr>
          <w:t>ת"פ (תל-אביב) 47258-02-20</w:t>
        </w:r>
      </w:hyperlink>
      <w:r>
        <w:rPr>
          <w:rFonts w:cs="FrankRuehl"/>
          <w:sz w:val="28"/>
          <w:szCs w:val="28"/>
          <w:rtl/>
        </w:rPr>
        <w:t xml:space="preserve"> </w:t>
      </w:r>
      <w:r>
        <w:rPr>
          <w:rFonts w:ascii="Miriam" w:hAnsi="Miriam" w:cs="Miriam"/>
          <w:rtl/>
        </w:rPr>
        <w:t>מדינת ישראל נ' דבורה</w:t>
      </w:r>
      <w:r>
        <w:rPr>
          <w:rFonts w:cs="FrankRuehl"/>
          <w:sz w:val="28"/>
          <w:szCs w:val="28"/>
          <w:rtl/>
        </w:rPr>
        <w:t xml:space="preserve"> (28.12.20); </w:t>
      </w:r>
      <w:hyperlink r:id="rId51" w:history="1">
        <w:r w:rsidR="00842986" w:rsidRPr="00842986">
          <w:rPr>
            <w:rFonts w:cs="FrankRuehl"/>
            <w:color w:val="0000FF"/>
            <w:sz w:val="28"/>
            <w:szCs w:val="28"/>
            <w:u w:val="single"/>
            <w:rtl/>
          </w:rPr>
          <w:t>ת"פ (ירושלים) 8537-01-18</w:t>
        </w:r>
      </w:hyperlink>
      <w:r>
        <w:rPr>
          <w:rFonts w:cs="FrankRuehl"/>
          <w:sz w:val="28"/>
          <w:szCs w:val="28"/>
          <w:rtl/>
        </w:rPr>
        <w:t xml:space="preserve"> </w:t>
      </w:r>
      <w:r>
        <w:rPr>
          <w:rFonts w:ascii="Miriam" w:hAnsi="Miriam" w:cs="Miriam"/>
          <w:rtl/>
        </w:rPr>
        <w:t>מדינת ישראל נ' גוסטפסון</w:t>
      </w:r>
      <w:r>
        <w:rPr>
          <w:rFonts w:cs="FrankRuehl"/>
          <w:sz w:val="28"/>
          <w:szCs w:val="28"/>
          <w:rtl/>
        </w:rPr>
        <w:t xml:space="preserve"> (15.12.19); </w:t>
      </w:r>
      <w:hyperlink r:id="rId52" w:history="1">
        <w:r w:rsidR="00842986" w:rsidRPr="00842986">
          <w:rPr>
            <w:rFonts w:cs="FrankRuehl"/>
            <w:color w:val="0000FF"/>
            <w:sz w:val="28"/>
            <w:szCs w:val="28"/>
            <w:u w:val="single"/>
            <w:rtl/>
          </w:rPr>
          <w:t>ת"פ (רחובות) 63697-07-17</w:t>
        </w:r>
      </w:hyperlink>
      <w:r>
        <w:rPr>
          <w:rFonts w:cs="FrankRuehl"/>
          <w:sz w:val="28"/>
          <w:szCs w:val="28"/>
          <w:rtl/>
        </w:rPr>
        <w:t xml:space="preserve"> </w:t>
      </w:r>
      <w:r>
        <w:rPr>
          <w:rFonts w:ascii="Miriam" w:hAnsi="Miriam" w:cs="Miriam"/>
          <w:rtl/>
        </w:rPr>
        <w:t>מדינת ישראל נ' אייל</w:t>
      </w:r>
      <w:r>
        <w:rPr>
          <w:rFonts w:cs="FrankRuehl"/>
          <w:sz w:val="28"/>
          <w:szCs w:val="28"/>
          <w:rtl/>
        </w:rPr>
        <w:t xml:space="preserve"> (19.2.20)</w:t>
      </w:r>
      <w:r>
        <w:rPr>
          <w:rFonts w:cs="FrankRuehl" w:hint="cs"/>
          <w:sz w:val="28"/>
          <w:szCs w:val="28"/>
          <w:rtl/>
        </w:rPr>
        <w:t xml:space="preserve">. </w:t>
      </w:r>
    </w:p>
    <w:p w14:paraId="28F6D090" w14:textId="77777777" w:rsidR="005B51BC" w:rsidRPr="00BB1FA7" w:rsidRDefault="005B51BC" w:rsidP="005B51BC">
      <w:pPr>
        <w:pStyle w:val="aa"/>
        <w:spacing w:before="100" w:beforeAutospacing="1" w:after="120"/>
        <w:ind w:left="0"/>
        <w:jc w:val="both"/>
        <w:rPr>
          <w:rFonts w:ascii="Corbel" w:hAnsi="Corbel" w:cs="FrankRuehl"/>
          <w:sz w:val="28"/>
          <w:szCs w:val="28"/>
        </w:rPr>
      </w:pPr>
    </w:p>
    <w:p w14:paraId="1FABF024"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באשר למדיניות הענישה הנוהגת והמקובלת ביחס לעבירות סחר בסמים מסוג קנבוס במשקלים דומים אפשר ללמוד מהפסיקה שלהלן: </w:t>
      </w:r>
      <w:hyperlink r:id="rId53" w:history="1">
        <w:r w:rsidR="00842986" w:rsidRPr="00842986">
          <w:rPr>
            <w:rFonts w:cs="FrankRuehl"/>
            <w:color w:val="0000FF"/>
            <w:sz w:val="28"/>
            <w:szCs w:val="28"/>
            <w:u w:val="single"/>
            <w:rtl/>
          </w:rPr>
          <w:t>רע"פ 7858/19</w:t>
        </w:r>
      </w:hyperlink>
      <w:r>
        <w:rPr>
          <w:rFonts w:cs="FrankRuehl"/>
          <w:sz w:val="28"/>
          <w:szCs w:val="28"/>
          <w:rtl/>
        </w:rPr>
        <w:t xml:space="preserve"> </w:t>
      </w:r>
      <w:r>
        <w:rPr>
          <w:rFonts w:ascii="Miriam" w:hAnsi="Miriam" w:cs="Miriam"/>
          <w:rtl/>
        </w:rPr>
        <w:t>וקנין נ' מדינת ישראל</w:t>
      </w:r>
      <w:r>
        <w:rPr>
          <w:rFonts w:cs="FrankRuehl"/>
          <w:sz w:val="28"/>
          <w:szCs w:val="28"/>
          <w:rtl/>
        </w:rPr>
        <w:t xml:space="preserve"> (28.11.2019); </w:t>
      </w:r>
      <w:hyperlink r:id="rId54" w:history="1">
        <w:r w:rsidR="00842986" w:rsidRPr="00842986">
          <w:rPr>
            <w:rFonts w:cs="FrankRuehl"/>
            <w:color w:val="0000FF"/>
            <w:sz w:val="28"/>
            <w:szCs w:val="28"/>
            <w:u w:val="single"/>
            <w:rtl/>
          </w:rPr>
          <w:t>רע"פ 5712/16</w:t>
        </w:r>
      </w:hyperlink>
      <w:r>
        <w:rPr>
          <w:rFonts w:cs="FrankRuehl"/>
          <w:sz w:val="28"/>
          <w:szCs w:val="28"/>
          <w:rtl/>
        </w:rPr>
        <w:t xml:space="preserve"> </w:t>
      </w:r>
      <w:r>
        <w:rPr>
          <w:rFonts w:ascii="Miriam" w:hAnsi="Miriam" w:cs="Miriam"/>
          <w:rtl/>
        </w:rPr>
        <w:t>אייזנבאך נ' מדינת ישראל</w:t>
      </w:r>
      <w:r>
        <w:rPr>
          <w:rFonts w:cs="FrankRuehl"/>
          <w:sz w:val="28"/>
          <w:szCs w:val="28"/>
          <w:rtl/>
        </w:rPr>
        <w:t xml:space="preserve"> (17.8.2016); </w:t>
      </w:r>
      <w:hyperlink r:id="rId55" w:history="1">
        <w:r w:rsidR="00842986" w:rsidRPr="00842986">
          <w:rPr>
            <w:rFonts w:cs="FrankRuehl"/>
            <w:color w:val="0000FF"/>
            <w:sz w:val="28"/>
            <w:szCs w:val="28"/>
            <w:u w:val="single"/>
            <w:rtl/>
          </w:rPr>
          <w:t>רע"פ 1626/12</w:t>
        </w:r>
      </w:hyperlink>
      <w:r>
        <w:rPr>
          <w:rFonts w:cs="FrankRuehl"/>
          <w:sz w:val="28"/>
          <w:szCs w:val="28"/>
          <w:rtl/>
        </w:rPr>
        <w:t xml:space="preserve"> </w:t>
      </w:r>
      <w:r>
        <w:rPr>
          <w:rFonts w:ascii="Miriam" w:hAnsi="Miriam" w:cs="Miriam"/>
          <w:rtl/>
        </w:rPr>
        <w:t>מלכה נ' מדינת ישראל</w:t>
      </w:r>
      <w:r>
        <w:rPr>
          <w:rFonts w:cs="FrankRuehl"/>
          <w:sz w:val="28"/>
          <w:szCs w:val="28"/>
          <w:rtl/>
        </w:rPr>
        <w:t xml:space="preserve"> (7.5.2012); </w:t>
      </w:r>
      <w:hyperlink r:id="rId56" w:history="1">
        <w:r w:rsidR="00842986" w:rsidRPr="00842986">
          <w:rPr>
            <w:rFonts w:cs="FrankRuehl"/>
            <w:color w:val="0000FF"/>
            <w:sz w:val="28"/>
            <w:szCs w:val="28"/>
            <w:u w:val="single"/>
            <w:rtl/>
          </w:rPr>
          <w:t>עפ"ג (מרכז) 13964-09-17</w:t>
        </w:r>
      </w:hyperlink>
      <w:r>
        <w:rPr>
          <w:rFonts w:cs="FrankRuehl"/>
          <w:sz w:val="28"/>
          <w:szCs w:val="28"/>
          <w:rtl/>
        </w:rPr>
        <w:t xml:space="preserve"> </w:t>
      </w:r>
      <w:r>
        <w:rPr>
          <w:rFonts w:ascii="Miriam" w:hAnsi="Miriam" w:cs="Miriam"/>
          <w:rtl/>
        </w:rPr>
        <w:t>זסלבסקי נ' מדינת ישראל</w:t>
      </w:r>
      <w:r>
        <w:rPr>
          <w:rFonts w:cs="FrankRuehl"/>
          <w:sz w:val="28"/>
          <w:szCs w:val="28"/>
          <w:rtl/>
        </w:rPr>
        <w:t xml:space="preserve"> (18.3.2018);</w:t>
      </w:r>
      <w:r>
        <w:rPr>
          <w:rFonts w:cs="FrankRuehl" w:hint="cs"/>
          <w:sz w:val="28"/>
          <w:szCs w:val="28"/>
        </w:rPr>
        <w:t xml:space="preserve"> </w:t>
      </w:r>
      <w:hyperlink r:id="rId57" w:history="1">
        <w:r w:rsidR="00842986" w:rsidRPr="00842986">
          <w:rPr>
            <w:rFonts w:cs="FrankRuehl"/>
            <w:color w:val="0000FF"/>
            <w:sz w:val="28"/>
            <w:szCs w:val="28"/>
            <w:u w:val="single"/>
            <w:rtl/>
          </w:rPr>
          <w:t>ת"פ (ק"ש) 40639-10-17</w:t>
        </w:r>
      </w:hyperlink>
      <w:r>
        <w:rPr>
          <w:rFonts w:cs="FrankRuehl"/>
          <w:sz w:val="28"/>
          <w:szCs w:val="28"/>
          <w:rtl/>
        </w:rPr>
        <w:t xml:space="preserve"> </w:t>
      </w:r>
      <w:r>
        <w:rPr>
          <w:rFonts w:ascii="Miriam" w:hAnsi="Miriam" w:cs="Miriam"/>
          <w:rtl/>
        </w:rPr>
        <w:t>שלוחת תביעות מרום הגליל והגולן נ' בובו</w:t>
      </w:r>
      <w:r>
        <w:rPr>
          <w:rFonts w:cs="FrankRuehl"/>
          <w:sz w:val="28"/>
          <w:szCs w:val="28"/>
          <w:rtl/>
        </w:rPr>
        <w:t xml:space="preserve"> (28.5.2018);</w:t>
      </w:r>
      <w:r>
        <w:rPr>
          <w:rFonts w:cs="FrankRuehl" w:hint="cs"/>
          <w:sz w:val="28"/>
          <w:szCs w:val="28"/>
        </w:rPr>
        <w:t xml:space="preserve"> </w:t>
      </w:r>
      <w:hyperlink r:id="rId58" w:history="1">
        <w:r w:rsidR="00842986" w:rsidRPr="00842986">
          <w:rPr>
            <w:rFonts w:cs="FrankRuehl"/>
            <w:color w:val="0000FF"/>
            <w:sz w:val="28"/>
            <w:szCs w:val="28"/>
            <w:u w:val="single"/>
            <w:rtl/>
          </w:rPr>
          <w:t>ת"פ  (י-ם) 9331-09-15</w:t>
        </w:r>
      </w:hyperlink>
      <w:r>
        <w:rPr>
          <w:rFonts w:cs="FrankRuehl"/>
          <w:sz w:val="28"/>
          <w:szCs w:val="28"/>
          <w:rtl/>
        </w:rPr>
        <w:t xml:space="preserve"> </w:t>
      </w:r>
      <w:r>
        <w:rPr>
          <w:rFonts w:ascii="Miriam" w:hAnsi="Miriam" w:cs="Miriam"/>
          <w:rtl/>
        </w:rPr>
        <w:t>מדינת ישראל נ' משולם</w:t>
      </w:r>
      <w:r>
        <w:rPr>
          <w:rFonts w:cs="FrankRuehl"/>
          <w:sz w:val="28"/>
          <w:szCs w:val="28"/>
          <w:rtl/>
        </w:rPr>
        <w:t xml:space="preserve"> (3.5.2018); </w:t>
      </w:r>
      <w:hyperlink r:id="rId59" w:history="1">
        <w:r w:rsidR="00842986" w:rsidRPr="00842986">
          <w:rPr>
            <w:rFonts w:cs="FrankRuehl"/>
            <w:color w:val="0000FF"/>
            <w:sz w:val="28"/>
            <w:szCs w:val="28"/>
            <w:u w:val="single"/>
            <w:rtl/>
          </w:rPr>
          <w:t>ת"פ (רחובות) 25835-05-18</w:t>
        </w:r>
      </w:hyperlink>
      <w:r>
        <w:rPr>
          <w:rFonts w:cs="FrankRuehl"/>
          <w:sz w:val="28"/>
          <w:szCs w:val="28"/>
          <w:rtl/>
        </w:rPr>
        <w:t xml:space="preserve"> </w:t>
      </w:r>
      <w:r>
        <w:rPr>
          <w:rFonts w:ascii="Miriam" w:hAnsi="Miriam" w:cs="Miriam"/>
          <w:rtl/>
        </w:rPr>
        <w:t>מדינת ישראל נ' ימלה</w:t>
      </w:r>
      <w:r>
        <w:rPr>
          <w:rFonts w:cs="FrankRuehl"/>
          <w:sz w:val="28"/>
          <w:szCs w:val="28"/>
          <w:rtl/>
        </w:rPr>
        <w:t xml:space="preserve"> (17.2.2020);</w:t>
      </w:r>
      <w:r>
        <w:rPr>
          <w:rFonts w:cs="FrankRuehl" w:hint="cs"/>
          <w:sz w:val="28"/>
          <w:szCs w:val="28"/>
        </w:rPr>
        <w:t xml:space="preserve"> </w:t>
      </w:r>
      <w:hyperlink r:id="rId60" w:history="1">
        <w:r w:rsidR="00842986" w:rsidRPr="00842986">
          <w:rPr>
            <w:rFonts w:cs="FrankRuehl"/>
            <w:color w:val="0000FF"/>
            <w:sz w:val="28"/>
            <w:szCs w:val="28"/>
            <w:u w:val="single"/>
            <w:rtl/>
          </w:rPr>
          <w:t>ת"פ (רחובות) 43875-08-17</w:t>
        </w:r>
      </w:hyperlink>
      <w:r>
        <w:rPr>
          <w:rFonts w:cs="FrankRuehl"/>
          <w:sz w:val="28"/>
          <w:szCs w:val="28"/>
          <w:rtl/>
        </w:rPr>
        <w:t xml:space="preserve"> </w:t>
      </w:r>
      <w:r>
        <w:rPr>
          <w:rFonts w:ascii="Miriam" w:hAnsi="Miriam" w:cs="Miriam"/>
          <w:rtl/>
        </w:rPr>
        <w:t>מדינת ישראל נ' מוריסון</w:t>
      </w:r>
      <w:r>
        <w:rPr>
          <w:rFonts w:cs="FrankRuehl"/>
          <w:sz w:val="28"/>
          <w:szCs w:val="28"/>
          <w:rtl/>
        </w:rPr>
        <w:t xml:space="preserve"> (25.2.2019) ות.פ 47067-01-19 </w:t>
      </w:r>
      <w:r>
        <w:rPr>
          <w:rFonts w:ascii="Miriam" w:hAnsi="Miriam" w:cs="Miriam"/>
          <w:rtl/>
        </w:rPr>
        <w:t>מדינת ישראל נ' ברמלי</w:t>
      </w:r>
      <w:r>
        <w:rPr>
          <w:rFonts w:cs="FrankRuehl"/>
          <w:sz w:val="28"/>
          <w:szCs w:val="28"/>
          <w:rtl/>
        </w:rPr>
        <w:t xml:space="preserve"> (2.1.2018).</w:t>
      </w:r>
      <w:r>
        <w:rPr>
          <w:rFonts w:cs="FrankRuehl" w:hint="cs"/>
          <w:sz w:val="28"/>
          <w:szCs w:val="28"/>
        </w:rPr>
        <w:t xml:space="preserve"> </w:t>
      </w:r>
    </w:p>
    <w:p w14:paraId="22286807" w14:textId="77777777" w:rsidR="005B51BC" w:rsidRPr="00BB1FA7" w:rsidRDefault="005B51BC" w:rsidP="005B51BC">
      <w:pPr>
        <w:pStyle w:val="aa"/>
        <w:spacing w:before="100" w:beforeAutospacing="1" w:after="120"/>
        <w:ind w:left="0"/>
        <w:jc w:val="both"/>
        <w:rPr>
          <w:rFonts w:ascii="Corbel" w:hAnsi="Corbel" w:cs="FrankRuehl"/>
          <w:sz w:val="28"/>
          <w:szCs w:val="28"/>
        </w:rPr>
      </w:pPr>
    </w:p>
    <w:p w14:paraId="032B8AF2"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ועתה לבחינת העבירה בנסיבותיה. הנאשמת החזיקה בביתה במקומות שונים סמים מסוגים שונים. מקובל לערוך הבחנה בין סוגי הסמים לנוכח השפעתם הממכרת על גוף האדם ולנוכח פוטנציאל ההתמכרות. בין מגוון הסמים שהוחזקו על ידי הנאשמת אפשר למצוא בעיקר, סמים מסוג קנאביס וחשיש, אך גם סמים אחרים כגון קוקאין (משקל 1.44 גרם נטו), </w:t>
      </w:r>
      <w:r>
        <w:rPr>
          <w:rFonts w:cs="FrankRuehl"/>
          <w:sz w:val="28"/>
          <w:szCs w:val="28"/>
        </w:rPr>
        <w:t xml:space="preserve">MDMA </w:t>
      </w:r>
      <w:r>
        <w:rPr>
          <w:rFonts w:cs="FrankRuehl"/>
          <w:sz w:val="28"/>
          <w:szCs w:val="28"/>
          <w:rtl/>
        </w:rPr>
        <w:t xml:space="preserve">במשקל 2.01 גרם נטו ו-8 טבליות של סם מסוכן מסוג </w:t>
      </w:r>
      <w:r>
        <w:rPr>
          <w:rFonts w:cs="FrankRuehl"/>
          <w:sz w:val="28"/>
          <w:szCs w:val="28"/>
        </w:rPr>
        <w:t>LSD</w:t>
      </w:r>
      <w:r>
        <w:rPr>
          <w:rFonts w:cs="FrankRuehl"/>
          <w:sz w:val="28"/>
          <w:szCs w:val="28"/>
          <w:rtl/>
        </w:rPr>
        <w:t xml:space="preserve"> וחומרים פסיכואקטיביים אחרים. החומרה הנשקפת מסם הקנאביס והחשיש פחותה באופן יחסי לשאר סוגי סמים, אך יש לתת את הדעת לכך שמשקלם של יתר הסמים אינם מן הגבוהים שנראו במחוזותינו. מגוון הסמים אשר נתפסו, כמותם, המקומות בהם הוחזקו, אופן ההחזקה לצד משקלים דיגיטליים ושקיות חלוקה, מוסיפים מדד חומרה, ללמדנו על כוונה להפיצם ויש בהם כדי למקם את הנאשמת כחולייה בשרשרת הפצת הסם. בהתאמה יש לקבוע כי פוטנציאל הנזק במעשיה אינו מבוטל. </w:t>
      </w:r>
    </w:p>
    <w:p w14:paraId="387E1472"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57E32B89"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במבט ראשוני נתונים אלו בשילוב האישום השני מקנה חומרה ייתרה למעשיה של הנאשמת, אשר הוציאה מהכוח אל הפועל את כוונותיה להפצת הסמים. אבל בחינה מעמיקה של נסיבות הסחר בסמים, בין השאר בהתבסס על הודעת הקונה (</w:t>
      </w:r>
      <w:r>
        <w:rPr>
          <w:rFonts w:ascii="Miriam" w:hAnsi="Miriam" w:cs="Miriam"/>
          <w:rtl/>
        </w:rPr>
        <w:t>נ/3</w:t>
      </w:r>
      <w:r>
        <w:rPr>
          <w:rFonts w:cs="FrankRuehl"/>
          <w:sz w:val="28"/>
          <w:szCs w:val="28"/>
          <w:rtl/>
        </w:rPr>
        <w:t xml:space="preserve">- הוגש בהסכמה), מלמדת כי אין זו נמצאת ברף </w:t>
      </w:r>
      <w:r>
        <w:rPr>
          <w:rFonts w:cs="FrankRuehl"/>
          <w:szCs w:val="28"/>
          <w:rtl/>
        </w:rPr>
        <w:t xml:space="preserve">הגבוה של עבירות אלו. זאת, לא רק משום סוג הסם, הכמות והתמורה שהתקבלה בגינן, אלא שהנזק הקונקרטי והפוטנציאלי אינו רב. ובייתר פירוט. הקשר בין הקונה לנאשמת נוצר בעקבות חברות של השניים בקבוצת פייסבוק של מחזיקים ברישיון לשימוש בסמים מסוג קנאביס לצורך הקלה בכאבים. הקונה הוא לא רק אדם שהנאשמת מכירה היטב, ולא רק שהיא הייתה מודעת לכך שהוא מחזיק ברישיון לשימוש בקאנביס, אלא שהקונה הוא אדם המתמודד עם פוסט טראומה, אשר מצא עצמו בעיצומו של התקף חרדה קשה והוא אשר פנה לנאשמת וביקש את עזרתה, והיא מסרה בידיו את הסם וקיבלה תמורתו 200 שקלים. לא התרשמתי כי במעשה זה של הנאשמת, גלום אותו רצון לגרוף רווח כלכלי קל ומהיר, וגם קשה לראות היבט של תחכום </w:t>
      </w:r>
      <w:r>
        <w:rPr>
          <w:rFonts w:ascii="FrankRuehl" w:hAnsi="FrankRuehl" w:cs="FrankRuehl"/>
          <w:sz w:val="28"/>
          <w:szCs w:val="28"/>
          <w:rtl/>
        </w:rPr>
        <w:t xml:space="preserve">במעשה זה. הנאשמת לא הציעה את "מכולתה" למכירה, לצד פרסום העליות הכרוכות בכך, והיא לא עשתה זאת תוך שימוש בישומן "טלגראס" או באפליקציות מוצפנות להעברת מסרים בכוונה להסיר את זהות המוכר והקונה, כפי שקורה לעיתים בתיקים מסוג זה. דומה כי יש באלו ללמד כי על אף שהנאשמת חולייה בשרשרת הפצת הסם היא אינה ממוקמת גבוה בהיררכיה זו והיא אינה מהווה חלק אינטגרלי או מתמיד זו.   </w:t>
      </w:r>
      <w:r>
        <w:rPr>
          <w:rFonts w:cs="FrankRuehl"/>
          <w:sz w:val="28"/>
          <w:szCs w:val="28"/>
          <w:rtl/>
        </w:rPr>
        <w:t xml:space="preserve"> </w:t>
      </w:r>
    </w:p>
    <w:p w14:paraId="410A1A9C"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3BABA578"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לאלו </w:t>
      </w:r>
      <w:r>
        <w:rPr>
          <w:rFonts w:cs="FrankRuehl" w:hint="cs"/>
          <w:sz w:val="28"/>
          <w:szCs w:val="28"/>
          <w:rtl/>
        </w:rPr>
        <w:t>נצרף</w:t>
      </w:r>
      <w:r>
        <w:rPr>
          <w:rFonts w:cs="FrankRuehl"/>
          <w:sz w:val="28"/>
          <w:szCs w:val="28"/>
          <w:rtl/>
        </w:rPr>
        <w:t xml:space="preserve"> את התרשמות שירות המבחן לפיה הנאשמת התמודדה עם סיטואציות חיים לא פשוטות, סבלה ממצב בריאותי מורכב אשר השפיע על תפקודה ומצבה הרגשי והתמודדה עמו זאת, בין השאר על ידי צריכת קנאביס. להתרשמות שירות המבחן בבסיס העבירות חוסר אונים שחוותה סביב מצבה הבריאותי והנפשי והחלטתה לחפש אחר דרכי פתרון למצבה, גם במחיר של עבירה על החוק. עוד נראה כי גבולותיה התרופפו והיא לא הפעילה שיקול דעת מספק או חשבה על השלכות בחירותיה והפסול בהן באותו העת.</w:t>
      </w:r>
    </w:p>
    <w:p w14:paraId="42F7BB6B"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34DDD502"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לאור כל האמור ובהתחשב בנסיבות ביצוע העבירות, מידת הפגיעה הבינונית בערכים המוגנים ומדיניות הענישה הנהוגה מצאתי לקבוע מתחם העונש ההולם כנע בין מספר חודשי מאסר שיכול וירוצו בעבודות שירות ועד ל-14 חודשי מאסר לצד רכיבי ענישה נוספים. </w:t>
      </w:r>
    </w:p>
    <w:p w14:paraId="3D417F19" w14:textId="77777777" w:rsidR="005B51BC" w:rsidRDefault="005B51BC" w:rsidP="005B51BC">
      <w:pPr>
        <w:pStyle w:val="aa"/>
        <w:spacing w:before="100" w:beforeAutospacing="1" w:after="120"/>
        <w:ind w:left="0"/>
        <w:jc w:val="both"/>
        <w:rPr>
          <w:rFonts w:ascii="Calibri" w:hAnsi="Calibri" w:cs="Miriam"/>
          <w:b/>
          <w:rtl/>
        </w:rPr>
      </w:pPr>
    </w:p>
    <w:p w14:paraId="14B5C5F7" w14:textId="77777777" w:rsidR="005B51BC" w:rsidRDefault="005B51BC" w:rsidP="005B51BC">
      <w:pPr>
        <w:pStyle w:val="aa"/>
        <w:spacing w:before="100" w:beforeAutospacing="1" w:after="120"/>
        <w:ind w:left="0"/>
        <w:jc w:val="both"/>
        <w:rPr>
          <w:rFonts w:ascii="Corbel" w:hAnsi="Corbel" w:cs="FrankRuehl"/>
          <w:sz w:val="28"/>
          <w:szCs w:val="28"/>
        </w:rPr>
      </w:pPr>
      <w:r>
        <w:rPr>
          <w:rFonts w:ascii="Calibri" w:hAnsi="Calibri" w:cs="Miriam"/>
          <w:b/>
          <w:rtl/>
        </w:rPr>
        <w:t xml:space="preserve">גזירת העונש המתאים לנאשמת </w:t>
      </w:r>
    </w:p>
    <w:p w14:paraId="1C784D14"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4E31C285"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בהתחשב במעשיה הנאשמת ובשים לב למתחם הענישה שנקבע, היה מקום להטיל על הנאשמת עונש מאסר קצר שיכול וירוצה בעבודות שירות לצד רכיבי ענישה נוספים ובהם קנס שיהא בו להרתיע מביצוע עבירות מסוג זה שלרוב מבוצעות ממניע כלכלי גרידא. ואולם, לאחר שנתתי דעתי לנסיבותיה הפרטניות והחריגות של הנאשמת ועל אף שההליך השיקומי נמצא בראשיתו, הגעתי לכלל מסקנה כי יש לאמץ את המלצת שירות המבחן ולהסתפק בענישה שיקומית חינוכית. אנמק טעמיי. </w:t>
      </w:r>
    </w:p>
    <w:p w14:paraId="66004261"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32FF69D1"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FrankRuehl" w:hAnsi="FrankRuehl" w:cs="FrankRuehl"/>
          <w:sz w:val="28"/>
          <w:szCs w:val="28"/>
          <w:rtl/>
        </w:rPr>
        <w:t xml:space="preserve">כידוע סטייה ממתחם העונש ההולם אפשרית רק בהתקיים החריגים הקבועים </w:t>
      </w:r>
      <w:hyperlink r:id="rId61" w:history="1">
        <w:r w:rsidR="00936034" w:rsidRPr="00936034">
          <w:rPr>
            <w:rStyle w:val="Hyperlink"/>
            <w:rFonts w:ascii="FrankRuehl" w:hAnsi="FrankRuehl" w:cs="FrankRuehl"/>
            <w:sz w:val="28"/>
            <w:szCs w:val="28"/>
            <w:rtl/>
          </w:rPr>
          <w:t>בסעיף 40ג(ב)</w:t>
        </w:r>
      </w:hyperlink>
      <w:r>
        <w:rPr>
          <w:rFonts w:ascii="FrankRuehl" w:hAnsi="FrankRuehl" w:cs="FrankRuehl"/>
          <w:sz w:val="28"/>
          <w:szCs w:val="28"/>
          <w:rtl/>
        </w:rPr>
        <w:t xml:space="preserve"> ל</w:t>
      </w:r>
      <w:hyperlink r:id="rId62" w:history="1">
        <w:r w:rsidR="00842986" w:rsidRPr="00842986">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והעוסקים בקיומו של פוטנציאל שיקומי משמעותי או בצורך מיוחד בהגנה על הציבור. </w:t>
      </w:r>
      <w:hyperlink r:id="rId63" w:history="1">
        <w:r w:rsidR="00936034" w:rsidRPr="00936034">
          <w:rPr>
            <w:rStyle w:val="Hyperlink"/>
            <w:rFonts w:ascii="FrankRuehl" w:hAnsi="FrankRuehl" w:cs="FrankRuehl" w:hint="cs"/>
            <w:sz w:val="28"/>
            <w:szCs w:val="28"/>
            <w:rtl/>
          </w:rPr>
          <w:t>סעיף</w:t>
        </w:r>
        <w:r w:rsidR="00936034" w:rsidRPr="00936034">
          <w:rPr>
            <w:rStyle w:val="Hyperlink"/>
            <w:rFonts w:ascii="FrankRuehl" w:hAnsi="FrankRuehl" w:cs="FrankRuehl"/>
            <w:sz w:val="28"/>
            <w:szCs w:val="28"/>
            <w:rtl/>
          </w:rPr>
          <w:t xml:space="preserve"> 40ד'</w:t>
        </w:r>
      </w:hyperlink>
      <w:r>
        <w:rPr>
          <w:rFonts w:ascii="FrankRuehl" w:hAnsi="FrankRuehl" w:cs="FrankRuehl" w:hint="cs"/>
          <w:sz w:val="28"/>
          <w:szCs w:val="28"/>
          <w:rtl/>
        </w:rPr>
        <w:t xml:space="preserve"> ל</w:t>
      </w:r>
      <w:hyperlink r:id="rId64" w:history="1">
        <w:r w:rsidR="00842986" w:rsidRPr="00842986">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מאפשר לבית המשפט לחרוג ממתחם העונש ההולם אם מצא כי הנאשם "השתקם או כי יש סיכוי של ממש שישתקם". בהקשר זה נפסק כי לשם סטייה מן המתחם יש להצביע על פוטנציאל שיקומי גבוה. ראו </w:t>
      </w:r>
      <w:hyperlink r:id="rId65" w:history="1">
        <w:r w:rsidR="00842986" w:rsidRPr="00842986">
          <w:rPr>
            <w:rFonts w:cs="FrankRuehl"/>
            <w:color w:val="0000FF"/>
            <w:sz w:val="28"/>
            <w:szCs w:val="28"/>
            <w:u w:val="single"/>
            <w:rtl/>
          </w:rPr>
          <w:t>ע"פ 6637/17</w:t>
        </w:r>
      </w:hyperlink>
      <w:r>
        <w:rPr>
          <w:rFonts w:cs="FrankRuehl"/>
          <w:sz w:val="28"/>
          <w:szCs w:val="28"/>
          <w:rtl/>
        </w:rPr>
        <w:t xml:space="preserve"> </w:t>
      </w:r>
      <w:r>
        <w:rPr>
          <w:rFonts w:ascii="Century" w:hAnsi="Century" w:cs="Miriam"/>
          <w:b/>
          <w:rtl/>
        </w:rPr>
        <w:t>קרנדל נ' מדינת ישראל</w:t>
      </w:r>
      <w:r>
        <w:rPr>
          <w:rFonts w:cs="FrankRuehl"/>
          <w:sz w:val="28"/>
          <w:szCs w:val="28"/>
          <w:rtl/>
        </w:rPr>
        <w:t xml:space="preserve"> (18.4.2018), שם עמד בית המשפט העליון על השיקולים המרכזיים בהם יטה בית המשפט להפעיל את סמכותו ולחרוג ממתחם העונש ההולם. </w:t>
      </w:r>
      <w:r>
        <w:rPr>
          <w:rFonts w:ascii="FrankRuehl" w:hAnsi="FrankRuehl" w:cs="FrankRuehl"/>
          <w:sz w:val="28"/>
          <w:szCs w:val="28"/>
          <w:rtl/>
        </w:rPr>
        <w:t xml:space="preserve">עוד נקבע כי את סיכויי השיקום יש לתמוך בעובדות, ראיות ובראש ובראשונה בתסקיר שירות מבחן. ראו: </w:t>
      </w:r>
      <w:hyperlink r:id="rId66" w:history="1">
        <w:r w:rsidR="00842986" w:rsidRPr="00842986">
          <w:rPr>
            <w:rFonts w:ascii="FrankRuehl" w:hAnsi="FrankRuehl" w:cs="FrankRuehl"/>
            <w:color w:val="0000FF"/>
            <w:sz w:val="28"/>
            <w:szCs w:val="28"/>
            <w:u w:val="single"/>
            <w:rtl/>
          </w:rPr>
          <w:t>ע"פ 8377/18</w:t>
        </w:r>
      </w:hyperlink>
      <w:r>
        <w:rPr>
          <w:rFonts w:ascii="FrankRuehl" w:hAnsi="FrankRuehl" w:cs="FrankRuehl"/>
          <w:sz w:val="28"/>
          <w:szCs w:val="28"/>
          <w:rtl/>
        </w:rPr>
        <w:t xml:space="preserve"> </w:t>
      </w:r>
      <w:r>
        <w:rPr>
          <w:rFonts w:ascii="Century" w:hAnsi="Century" w:cs="Miriam"/>
          <w:b/>
          <w:rtl/>
        </w:rPr>
        <w:t>ירושלמי נ' מדינת ישראל</w:t>
      </w:r>
      <w:r>
        <w:rPr>
          <w:rFonts w:ascii="FrankRuehl" w:hAnsi="FrankRuehl" w:cs="FrankRuehl"/>
          <w:sz w:val="28"/>
          <w:szCs w:val="28"/>
          <w:rtl/>
        </w:rPr>
        <w:t xml:space="preserve"> (31.7.2019); </w:t>
      </w:r>
      <w:hyperlink r:id="rId67" w:history="1">
        <w:r w:rsidR="00842986" w:rsidRPr="00842986">
          <w:rPr>
            <w:rFonts w:ascii="FrankRuehl" w:hAnsi="FrankRuehl" w:cs="FrankRuehl"/>
            <w:color w:val="0000FF"/>
            <w:sz w:val="28"/>
            <w:szCs w:val="28"/>
            <w:u w:val="single"/>
            <w:rtl/>
          </w:rPr>
          <w:t>ע"פ 2125/18</w:t>
        </w:r>
      </w:hyperlink>
      <w:r>
        <w:rPr>
          <w:rFonts w:ascii="FrankRuehl" w:hAnsi="FrankRuehl" w:cs="FrankRuehl"/>
          <w:sz w:val="28"/>
          <w:szCs w:val="28"/>
          <w:rtl/>
        </w:rPr>
        <w:t xml:space="preserve"> </w:t>
      </w:r>
      <w:r>
        <w:rPr>
          <w:rFonts w:ascii="Century" w:hAnsi="Century" w:cs="Miriam"/>
          <w:b/>
          <w:rtl/>
        </w:rPr>
        <w:t>דוד נ' מדינת ישראל</w:t>
      </w:r>
      <w:r>
        <w:rPr>
          <w:rFonts w:ascii="FrankRuehl" w:hAnsi="FrankRuehl" w:cs="FrankRuehl"/>
          <w:sz w:val="28"/>
          <w:szCs w:val="28"/>
          <w:rtl/>
        </w:rPr>
        <w:t xml:space="preserve"> (18.12.2018) (להלן: </w:t>
      </w:r>
      <w:r>
        <w:rPr>
          <w:rFonts w:ascii="Century" w:hAnsi="Century" w:cs="Miriam"/>
          <w:b/>
          <w:rtl/>
        </w:rPr>
        <w:t>עניין דוד</w:t>
      </w:r>
      <w:r>
        <w:rPr>
          <w:rFonts w:ascii="FrankRuehl" w:hAnsi="FrankRuehl" w:cs="FrankRuehl"/>
          <w:sz w:val="28"/>
          <w:szCs w:val="28"/>
          <w:rtl/>
        </w:rPr>
        <w:t xml:space="preserve">); </w:t>
      </w:r>
      <w:hyperlink r:id="rId68" w:history="1">
        <w:r w:rsidR="00842986" w:rsidRPr="00842986">
          <w:rPr>
            <w:rFonts w:cs="FrankRuehl"/>
            <w:color w:val="0000FF"/>
            <w:sz w:val="28"/>
            <w:szCs w:val="28"/>
            <w:u w:val="single"/>
            <w:rtl/>
          </w:rPr>
          <w:t>ע"פ 4678/18</w:t>
        </w:r>
      </w:hyperlink>
      <w:r>
        <w:rPr>
          <w:rFonts w:cs="FrankRuehl"/>
          <w:sz w:val="28"/>
          <w:szCs w:val="28"/>
          <w:rtl/>
        </w:rPr>
        <w:t xml:space="preserve"> </w:t>
      </w:r>
      <w:r>
        <w:rPr>
          <w:rFonts w:ascii="Century" w:hAnsi="Century" w:cs="Miriam"/>
          <w:b/>
          <w:rtl/>
        </w:rPr>
        <w:t>אנופרייב נ' מדינת ישראל</w:t>
      </w:r>
      <w:r>
        <w:rPr>
          <w:rFonts w:cs="FrankRuehl"/>
          <w:sz w:val="28"/>
          <w:szCs w:val="28"/>
          <w:rtl/>
        </w:rPr>
        <w:t xml:space="preserve"> (23.1.2019). </w:t>
      </w:r>
    </w:p>
    <w:p w14:paraId="0B8B43F5" w14:textId="77777777" w:rsidR="005B51BC" w:rsidRPr="00F4768E" w:rsidRDefault="005B51BC" w:rsidP="005B51BC">
      <w:pPr>
        <w:pStyle w:val="aa"/>
        <w:rPr>
          <w:rFonts w:ascii="Corbel" w:hAnsi="Corbel" w:cs="FrankRuehl"/>
          <w:sz w:val="28"/>
          <w:szCs w:val="28"/>
          <w:rtl/>
        </w:rPr>
      </w:pPr>
    </w:p>
    <w:p w14:paraId="78BAB6FD"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הנאשמת ילידת 1970 נעדרת עבר פלילי, גרושה ואם לבן יחיד. היא אינה עובדת ומתקיימת מקצבת הביטוח הלאומי. הנאשמת הודתה ולקחה אחריות מלאה על מעשיה. כך עשתה בתחנת המשטרה, כך גם עשתה בפני גורמי הטיפול ובהם שירות המבחן וכך גם בפני בית המשפט. הודאתה של הנאשמת חסכה זמן ציבורי יקר, אך חשוב מכך, הדבר מלמד על הפנמת הפסול במעשיה והבעת חרטה על בחירותיה. </w:t>
      </w:r>
    </w:p>
    <w:p w14:paraId="2E0AEF76" w14:textId="77777777" w:rsidR="005B51BC" w:rsidRPr="00F4768E" w:rsidRDefault="005B51BC" w:rsidP="005B51BC">
      <w:pPr>
        <w:pStyle w:val="aa"/>
        <w:spacing w:before="100" w:beforeAutospacing="1" w:after="120"/>
        <w:ind w:left="0"/>
        <w:jc w:val="both"/>
        <w:rPr>
          <w:rFonts w:ascii="Corbel" w:hAnsi="Corbel" w:cs="FrankRuehl"/>
          <w:sz w:val="28"/>
          <w:szCs w:val="28"/>
        </w:rPr>
      </w:pPr>
    </w:p>
    <w:p w14:paraId="74915CE7" w14:textId="77777777" w:rsidR="005B51BC" w:rsidRPr="00F4768E"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נסיבות חייה מורכבות כפי שעולה מתסקירי שירות המבחן ומטיעוני בא כוחה. בתמצית, בפני בית המשפט לא עומדת היום נאשמת שהמזל האיר לה פנים. היא חוותה אלימות מצד בעלה לשעבר, נאלצה להתמודד עם גידול בנה בכוחות עצמה. עבדה בעבודות מזדמנות וחיה מהיד אל הפה ומתוך הבנה ורצון לסייע לבנה לגדול בתנאים מטיבים. בהמשך ניהלה מערכת יחסים אך זו הסתיימה עם פטירתו של בן הזוג מדום לב, בטרם עת. הנאשמת סובלת ממצב בריאותי קשה במיוחד, עברה מספר ניתוחים, אחד מהם לא צלח והיא מצאה את עצמה מרותקת לכיסא גלגלים במשך כשנה ללא יכולת לתפקד בכוחות עצמה. בהמשך אובחנה כסובלת מדאבת שרירים וכן אובחנה כסובלת מדיכאון עמוק. כאמור מצבה הבריאותי של הנאשמת השפיע ומשפיע על תפקודה ומצבה הרגשי. שירות המבחן העריך כי בבסיס העבירות תחושת חוסר אונים שחוותה סביב מצבה הבריאותי והנפשי והחלטתה לחפש אחר דרכי פתרון למצבה גם במחיר של עבירה על החוק. </w:t>
      </w:r>
      <w:r>
        <w:rPr>
          <w:rFonts w:ascii="FrankRuehl" w:hAnsi="FrankRuehl" w:cs="FrankRuehl"/>
          <w:sz w:val="28"/>
          <w:szCs w:val="28"/>
          <w:rtl/>
        </w:rPr>
        <w:t xml:space="preserve">הגם שאין בנסיבות אישיות חריגות ככל שיהיו להצדיק ביצוע עבירות פליליות מכל סוג שהוא, הרי יש לכך משמעות בבחינת רמת הסיכון להישנות עבירות כמו גם בבחינת היכולת לטפל בגורמים שהובילו לביצוע העבירות ובהתאמה יש בכך ללמד על הפוטנציאל השיקומי. </w:t>
      </w:r>
    </w:p>
    <w:p w14:paraId="07A5FE5C" w14:textId="77777777" w:rsidR="005B51BC" w:rsidRPr="00F4768E" w:rsidRDefault="005B51BC" w:rsidP="005B51BC">
      <w:pPr>
        <w:pStyle w:val="aa"/>
        <w:rPr>
          <w:rFonts w:ascii="Corbel" w:hAnsi="Corbel" w:cs="FrankRuehl"/>
          <w:sz w:val="28"/>
          <w:szCs w:val="28"/>
          <w:rtl/>
        </w:rPr>
      </w:pPr>
    </w:p>
    <w:p w14:paraId="061BCD64"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שירות המבחן מצא כי קיימת נזקקות טיפולית, ושילובה בטיפול עשוי להפחית את הסיכון להישנות עבירות בעתיד. הנאשמת הביעה מוטיבציה להשתתף בטיפול ונבחנה האפשרות לשלבה בקבוצה טיפולי לנשים עוברות חוק, אך היא התקשתה לזהות את המוקדים בהם נדרשת בחינה עצמית. ואולם, לא אזקוף זאת לחובתה של הנאשמת כיוון שבין לבין, היא הבינה את הצורך בטיפול והיא פנתה מיוזמתה ובאופן פרטי למרכז "התחלה חדשה". שם היא מטופלת מזה מספר חודשים, נקבעו עבורה שיחות פרטניות בתדירות של אחת לשבוע. נמסר כי הנאשמת שבעת רצון מהקשר הטיפולי והיא מבקשת להמשיך ולקדמו. גם הפרוגנוזה שהציגו גורמי הטיפול במרכז היא חיובית (נ/1, נ/1א). מעבר לכך, הנאשמת מוסרת מזה תקופה ארוכה בדיקות שתן המעידות על ניקיון מסמים, למעט קאנביס רפואי אותו צורכת ברישיון. </w:t>
      </w:r>
    </w:p>
    <w:p w14:paraId="73A3311E" w14:textId="77777777" w:rsidR="005B51BC" w:rsidRPr="00BB1FA7" w:rsidRDefault="005B51BC" w:rsidP="005B51BC">
      <w:pPr>
        <w:pStyle w:val="aa"/>
        <w:spacing w:before="100" w:beforeAutospacing="1" w:after="120"/>
        <w:ind w:left="0"/>
        <w:jc w:val="both"/>
        <w:rPr>
          <w:rFonts w:ascii="Corbel" w:hAnsi="Corbel" w:cs="FrankRuehl"/>
          <w:sz w:val="28"/>
          <w:szCs w:val="28"/>
        </w:rPr>
      </w:pPr>
    </w:p>
    <w:p w14:paraId="56A04A27"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FrankRuehl" w:hAnsi="FrankRuehl" w:cs="FrankRuehl"/>
          <w:sz w:val="28"/>
          <w:szCs w:val="28"/>
          <w:rtl/>
        </w:rPr>
        <w:t xml:space="preserve">נכון הדבר כי הנאשמת לא השתלבה בהליך טיפולי במרכז להתמכרויות ואין עניינה דומה לאדם אשר עבר הליך שיקומי ארוך של גמילה מסמים, לא כל שכן הליך גמילה בקהילה סגורה ובתנאים קשים. ואולם אין בכך להמעיט כהוא זה מהתהליך החיובי שעברה הנאשמת. הימנעות משימוש בחומרים פסיכו-אקטיביים אסורים לצד התמודדות עם כאבים פיזיים קשים כפי שחווה וחווה הנאשמת מידי יום ביומו, מצריכה כוחות ותעצומות נפש, בפרט לנוכח יכולותיה האישיות של הנאשמת. </w:t>
      </w:r>
    </w:p>
    <w:p w14:paraId="5E49968E" w14:textId="77777777" w:rsidR="005B51BC" w:rsidRDefault="005B51BC" w:rsidP="005B51BC">
      <w:pPr>
        <w:pStyle w:val="aa"/>
        <w:spacing w:before="100" w:beforeAutospacing="1" w:after="120"/>
        <w:ind w:left="0"/>
        <w:jc w:val="both"/>
        <w:rPr>
          <w:rFonts w:ascii="Corbel" w:hAnsi="Corbel" w:cs="FrankRuehl"/>
          <w:sz w:val="28"/>
          <w:szCs w:val="28"/>
        </w:rPr>
      </w:pPr>
    </w:p>
    <w:p w14:paraId="48219E00"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שירות המבחן התייחס בתסקירים לגורמי הסיכון והסיכויים לשיקום וחרף העובדה כי הנאשמת לא שולבה בטיפול הוא המליץ עוד בתסקיר הראשון, על ענישה שיקומית- חינוכית. אמנם אין הערכה מפורשת של רמת הסיכון להישנות עבירות בעתיד אך הדבר משתמע בין שורות התסקיר הראשון וגם השני. מכל מקום, הערכה הסיכון מסורה לבית המשפט. בהינתן סוג העבירה, מאפייניה, השלכותיה, ובהינתן הסיבות העומדות ברקע ביצוען של העבירות לרבות חוסר אונים והתמודדות עם מצב בריאותי רגשי באופן שאינו מיטבי, מאפייני אישיותה של הנאשמת שאין בהם דפוסים עברייניים מושרשים, לצד לקיחת אחריות מלאה והבנה בדבר הפסול במעשיה, הרי שאפשר להעריך כי רמת הסיכון להישנות עבירות בעתיד אינה גבוהה.  </w:t>
      </w:r>
    </w:p>
    <w:p w14:paraId="4CB74CBA" w14:textId="77777777" w:rsidR="005B51BC" w:rsidRPr="00F4768E" w:rsidRDefault="005B51BC" w:rsidP="005B51BC">
      <w:pPr>
        <w:pStyle w:val="aa"/>
        <w:rPr>
          <w:rFonts w:ascii="Corbel" w:hAnsi="Corbel" w:cs="FrankRuehl"/>
          <w:sz w:val="28"/>
          <w:szCs w:val="28"/>
          <w:rtl/>
        </w:rPr>
      </w:pPr>
    </w:p>
    <w:p w14:paraId="2F075689"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הנאשמת נעצרה בתיק זה לראשונה בחייה ושהתה במעצר כשבועיים ימים, לאחר מכן שוחררה בתנאים הכוללים מעצר בית, אלו הוקלו מעת לעת עד לביטולם לאחר כשנה. ניכר כי חווית המעצר היוותה גורם מטלטל והשפיעה בין השאר, על מערכת היחסים עם בנה, המורכבת ממילא. מאז המעשים בגינם נותנת את הדין, הנאשמת לא שבה והסתבכה בפלילים ואפשר לומר בפה מלא כי ההליכים המשפטיים מהווים גורם מרתיע ומציב גבול.</w:t>
      </w:r>
    </w:p>
    <w:p w14:paraId="478F8CE0" w14:textId="77777777" w:rsidR="005B51BC" w:rsidRPr="00F4768E" w:rsidRDefault="005B51BC" w:rsidP="005B51BC">
      <w:pPr>
        <w:pStyle w:val="aa"/>
        <w:rPr>
          <w:rFonts w:ascii="Corbel" w:hAnsi="Corbel" w:cs="FrankRuehl"/>
          <w:sz w:val="28"/>
          <w:szCs w:val="28"/>
          <w:rtl/>
        </w:rPr>
      </w:pPr>
    </w:p>
    <w:p w14:paraId="691C55AC"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ההליך הטיפולי </w:t>
      </w:r>
      <w:r>
        <w:rPr>
          <w:rFonts w:cs="FrankRuehl" w:hint="cs"/>
          <w:sz w:val="28"/>
          <w:szCs w:val="28"/>
          <w:rtl/>
        </w:rPr>
        <w:t xml:space="preserve">אמנם </w:t>
      </w:r>
      <w:r>
        <w:rPr>
          <w:rFonts w:cs="FrankRuehl"/>
          <w:sz w:val="28"/>
          <w:szCs w:val="28"/>
          <w:rtl/>
        </w:rPr>
        <w:t>בראשיתו</w:t>
      </w:r>
      <w:r>
        <w:rPr>
          <w:rFonts w:ascii="FrankRuehl" w:hAnsi="FrankRuehl" w:cs="FrankRuehl"/>
          <w:sz w:val="28"/>
          <w:szCs w:val="28"/>
          <w:rtl/>
        </w:rPr>
        <w:t xml:space="preserve">, ויש צורך להמשיך ולהעמיק את הטיפול ולשמרו. במובן זה לנאשמת עוד צפויה כברת דרך עד להשלמת התהליך הטיפולי. </w:t>
      </w:r>
      <w:r>
        <w:rPr>
          <w:rFonts w:cs="FrankRuehl"/>
          <w:sz w:val="28"/>
          <w:szCs w:val="28"/>
          <w:rtl/>
        </w:rPr>
        <w:t xml:space="preserve">אודה כי התלבטתי האם יש מקום לדחות את הטיעונים לעונש ומתן גזר הדין עד לקבלת תסקיר משלים שייבחן את העמקה בטיפול וההתמדה בו. אבל, בבחינת רמת הסיכון להישנות עבירות אל מול גורמי הסיכוי מצאתי כי אין הכרח לעשות כן, הרי כבר עתה בהתבסס על נתונים רבים הפרושים לפניי אפשר לראות כי ישנו סיכויי ממשי לשיקום. בין אלו אפשר למנות את העובדה כי מעורבותה של הנאשמת בפלילים היא בבחינת חריג לאורחות חייה, לקיחת האחריות המלאה והבעת החרטה, חלוף הזמן, הימנעות משימוש בסמים (למעט צריכת קאנביס רפואי וברישיון), העדר מעורבות בפעילות פורצת חוק, היות ההליך הפלילי מרתיע ומציב גבול. לכל אלו אצרף את התרשמותי מכנות דבריה של הנאשמת אשר מבקשת לראשונה לערוך שינוי באורחות חייה והיא מסתייעת בגורמי טיפול חיצוניים לעשות כן. יתרה מזאת, ההליך אינו מסתיים כאן, היה וחלילה הנאשמת תמעד ותחזור לפעילות עבריינית, אפשר יהיה להחזירה לבית המשפט לצורך גזירת עונשה מחדש. </w:t>
      </w:r>
    </w:p>
    <w:p w14:paraId="7F0FA1B0" w14:textId="77777777" w:rsidR="005B51BC" w:rsidRPr="00DE727F" w:rsidRDefault="005B51BC" w:rsidP="005B51BC">
      <w:pPr>
        <w:pStyle w:val="aa"/>
        <w:rPr>
          <w:rFonts w:ascii="Corbel" w:hAnsi="Corbel" w:cs="FrankRuehl"/>
          <w:sz w:val="28"/>
          <w:szCs w:val="28"/>
          <w:rtl/>
        </w:rPr>
      </w:pPr>
    </w:p>
    <w:p w14:paraId="15BAE6F5"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על יסוד כלל הנתונים שפורטו לעיל, היה מקום להטיל על הנאשמת בגין מעשיה עונש מאסר קצר לריצוי בעבודות שירות, זאת גם אם הנאשמת לא הייתה עוברת הליך שיקומי כלשהו. מכאן שהסטייה ממתחם העונש ההולם כהמלצת שירות המבחן אינה בבחינת סטייה חדה. </w:t>
      </w:r>
    </w:p>
    <w:p w14:paraId="3E3B0EF5" w14:textId="77777777" w:rsidR="005B51BC" w:rsidRPr="00DE727F" w:rsidRDefault="005B51BC" w:rsidP="005B51BC">
      <w:pPr>
        <w:pStyle w:val="aa"/>
        <w:spacing w:before="100" w:beforeAutospacing="1" w:after="120"/>
        <w:ind w:left="0"/>
        <w:jc w:val="both"/>
        <w:rPr>
          <w:rFonts w:ascii="Corbel" w:hAnsi="Corbel" w:cs="FrankRuehl"/>
          <w:sz w:val="28"/>
          <w:szCs w:val="28"/>
        </w:rPr>
      </w:pPr>
    </w:p>
    <w:p w14:paraId="7AB9B18E"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זאת ועוד, החשש כי שליחתה של הנאשמת לריצוי עונש מאסר בדרך של עבודות שירות, יסיג את מצבה לאחור ועשוי לפגוע בהתקדמות שהושגה עד כה, אינו בעלמא. זאת בהינתן נסיבותיה האישיות והרפואיות המורכבות כאמור  לעיל. ובנסיבות העניין, אין בעונש זה לשרת לא את האינטרס השיקומי של הנאשמת ולא את האינטרס השיקומי הציבורי. להבדיל, משירות לתועלת הציבור אשר עשוי ליצור תחושת שליחות, משמעות ויגביר את המוטיבציה של הנאשמת לשפר את חייה בכל המובנים ויהא בו לסייע בהליך שיקומה. עם זאת, מצאתי להגדיל את מכסת שעות השל"צ.</w:t>
      </w:r>
    </w:p>
    <w:p w14:paraId="40DD8BA6" w14:textId="77777777" w:rsidR="005B51BC" w:rsidRPr="00DE727F" w:rsidRDefault="005B51BC" w:rsidP="005B51BC">
      <w:pPr>
        <w:pStyle w:val="aa"/>
        <w:rPr>
          <w:rFonts w:ascii="Corbel" w:hAnsi="Corbel" w:cs="FrankRuehl"/>
          <w:sz w:val="28"/>
          <w:szCs w:val="28"/>
          <w:rtl/>
        </w:rPr>
      </w:pPr>
    </w:p>
    <w:p w14:paraId="0E432AE9"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התוצאה אליה הגעתי חריגה, וחלילה שלא יהא בה להעביר </w:t>
      </w:r>
      <w:r>
        <w:rPr>
          <w:rFonts w:ascii="Arial" w:hAnsi="Arial" w:cs="FrankRuehl"/>
          <w:sz w:val="28"/>
          <w:szCs w:val="28"/>
          <w:rtl/>
        </w:rPr>
        <w:t xml:space="preserve">מסר מוטעה של סלחנות למי שמבצע עבירות סמים, אלא שיהא בה לשדר מסר לפיו בית המשפט יטה לבכר </w:t>
      </w:r>
      <w:r>
        <w:rPr>
          <w:rFonts w:ascii="Arial" w:hAnsi="Arial" w:cs="FrankRuehl" w:hint="cs"/>
          <w:sz w:val="28"/>
          <w:szCs w:val="28"/>
          <w:rtl/>
        </w:rPr>
        <w:t>נסיבות חיים מורכבות ביותר ו</w:t>
      </w:r>
      <w:r>
        <w:rPr>
          <w:rFonts w:ascii="Arial" w:hAnsi="Arial" w:cs="FrankRuehl"/>
          <w:sz w:val="28"/>
          <w:szCs w:val="28"/>
          <w:rtl/>
        </w:rPr>
        <w:t>הליך שיקומי על פני שיקולים אחרים במקרים המתאימים.</w:t>
      </w:r>
      <w:r>
        <w:rPr>
          <w:rFonts w:ascii="Corbel" w:hAnsi="Corbel" w:cs="FrankRuehl"/>
          <w:sz w:val="28"/>
          <w:szCs w:val="28"/>
          <w:rtl/>
        </w:rPr>
        <w:t xml:space="preserve"> העדפת האינטרס השיקומי הוא חלק בלתי נפרד מהאינטרס הציבורי. </w:t>
      </w:r>
    </w:p>
    <w:p w14:paraId="41D1EAAF" w14:textId="77777777" w:rsidR="005B51BC" w:rsidRPr="00DE727F" w:rsidRDefault="005B51BC" w:rsidP="005B51BC">
      <w:pPr>
        <w:pStyle w:val="aa"/>
        <w:rPr>
          <w:rFonts w:ascii="Corbel" w:hAnsi="Corbel" w:cs="FrankRuehl"/>
          <w:sz w:val="28"/>
          <w:szCs w:val="28"/>
          <w:rtl/>
        </w:rPr>
      </w:pPr>
    </w:p>
    <w:p w14:paraId="2D2524B3" w14:textId="77777777" w:rsidR="005B51BC" w:rsidRDefault="005B51BC" w:rsidP="005B51BC">
      <w:pPr>
        <w:pStyle w:val="aa"/>
        <w:spacing w:before="100" w:beforeAutospacing="1" w:after="120" w:line="360" w:lineRule="auto"/>
        <w:ind w:left="0"/>
        <w:jc w:val="both"/>
        <w:rPr>
          <w:rFonts w:ascii="Corbel" w:hAnsi="Corbel" w:cs="FrankRuehl"/>
          <w:sz w:val="28"/>
          <w:szCs w:val="28"/>
        </w:rPr>
      </w:pPr>
      <w:r>
        <w:rPr>
          <w:rFonts w:ascii="Miriam" w:hAnsi="Miriam" w:cs="Miriam"/>
          <w:rtl/>
        </w:rPr>
        <w:t xml:space="preserve">תוצאה </w:t>
      </w:r>
    </w:p>
    <w:p w14:paraId="04FDBACD" w14:textId="77777777" w:rsidR="005B51BC" w:rsidRPr="00DE727F" w:rsidRDefault="005B51BC" w:rsidP="005B51BC">
      <w:pPr>
        <w:pStyle w:val="aa"/>
        <w:spacing w:before="100" w:beforeAutospacing="1" w:after="120"/>
        <w:ind w:left="0"/>
        <w:jc w:val="both"/>
        <w:rPr>
          <w:rFonts w:ascii="Corbel" w:hAnsi="Corbel" w:cs="FrankRuehl"/>
          <w:sz w:val="28"/>
          <w:szCs w:val="28"/>
        </w:rPr>
      </w:pPr>
    </w:p>
    <w:p w14:paraId="14F400CC" w14:textId="77777777" w:rsidR="005B51BC" w:rsidRDefault="005B51BC" w:rsidP="005B51BC">
      <w:pPr>
        <w:pStyle w:val="aa"/>
        <w:numPr>
          <w:ilvl w:val="0"/>
          <w:numId w:val="1"/>
        </w:numPr>
        <w:spacing w:before="100" w:beforeAutospacing="1" w:after="120" w:line="360" w:lineRule="auto"/>
        <w:ind w:left="0" w:firstLine="0"/>
        <w:jc w:val="both"/>
        <w:rPr>
          <w:rFonts w:ascii="Corbel" w:hAnsi="Corbel" w:cs="FrankRuehl"/>
          <w:sz w:val="28"/>
          <w:szCs w:val="28"/>
        </w:rPr>
      </w:pPr>
      <w:r>
        <w:rPr>
          <w:rFonts w:ascii="FrankRuehl" w:hAnsi="FrankRuehl" w:cs="FrankRuehl"/>
          <w:sz w:val="28"/>
          <w:szCs w:val="28"/>
          <w:rtl/>
        </w:rPr>
        <w:t xml:space="preserve">לאור כל האמור, אני מכריזה על הנאשמת סוחרת סמים וגוזרת עליה את העונשים הבאים: </w:t>
      </w:r>
    </w:p>
    <w:p w14:paraId="6FCF6008" w14:textId="77777777" w:rsidR="005B51BC" w:rsidRDefault="005B51BC" w:rsidP="005B51BC">
      <w:pPr>
        <w:numPr>
          <w:ilvl w:val="0"/>
          <w:numId w:val="2"/>
        </w:numPr>
        <w:spacing w:before="100" w:beforeAutospacing="1" w:after="120" w:line="360" w:lineRule="auto"/>
        <w:contextualSpacing/>
        <w:jc w:val="both"/>
        <w:rPr>
          <w:rFonts w:ascii="FrankRuehl" w:hAnsi="FrankRuehl" w:cs="FrankRuehl"/>
          <w:sz w:val="28"/>
          <w:szCs w:val="28"/>
        </w:rPr>
      </w:pPr>
      <w:r>
        <w:rPr>
          <w:rFonts w:ascii="FrankRuehl" w:hAnsi="FrankRuehl" w:cs="FrankRuehl"/>
          <w:sz w:val="28"/>
          <w:szCs w:val="28"/>
          <w:rtl/>
        </w:rPr>
        <w:t xml:space="preserve">6 חודשי מאסר אותם לא תרצה הנאשמת אלא אם תעבור בתוך שלוש שנים עבירה על </w:t>
      </w:r>
      <w:hyperlink r:id="rId69" w:history="1">
        <w:r w:rsidR="00842986" w:rsidRPr="0084298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פשע. </w:t>
      </w:r>
    </w:p>
    <w:p w14:paraId="01A40F84" w14:textId="77777777" w:rsidR="005B51BC" w:rsidRDefault="005B51BC" w:rsidP="005B51BC">
      <w:pPr>
        <w:spacing w:before="100" w:beforeAutospacing="1" w:after="120"/>
        <w:ind w:left="826"/>
        <w:contextualSpacing/>
        <w:jc w:val="both"/>
        <w:rPr>
          <w:rFonts w:ascii="FrankRuehl" w:hAnsi="FrankRuehl" w:cs="FrankRuehl"/>
          <w:sz w:val="28"/>
          <w:szCs w:val="28"/>
          <w:rtl/>
        </w:rPr>
      </w:pPr>
    </w:p>
    <w:p w14:paraId="0DF3F121" w14:textId="77777777" w:rsidR="005B51BC" w:rsidRDefault="005B51BC" w:rsidP="005B51BC">
      <w:pPr>
        <w:numPr>
          <w:ilvl w:val="0"/>
          <w:numId w:val="2"/>
        </w:numPr>
        <w:spacing w:before="100" w:beforeAutospacing="1" w:after="120" w:line="360" w:lineRule="auto"/>
        <w:contextualSpacing/>
        <w:jc w:val="both"/>
        <w:rPr>
          <w:rFonts w:ascii="FrankRuehl" w:hAnsi="FrankRuehl" w:cs="FrankRuehl"/>
          <w:sz w:val="28"/>
          <w:szCs w:val="28"/>
        </w:rPr>
      </w:pPr>
      <w:r>
        <w:rPr>
          <w:rFonts w:ascii="FrankRuehl" w:hAnsi="FrankRuehl" w:cs="FrankRuehl"/>
          <w:sz w:val="28"/>
          <w:szCs w:val="28"/>
          <w:rtl/>
        </w:rPr>
        <w:t xml:space="preserve">3 חודשי מאסר אותם לא תרצה הנאשמת אלא אם תעבור בתוך שלוש שנים עבירה על פי </w:t>
      </w:r>
      <w:hyperlink r:id="rId70" w:history="1">
        <w:r w:rsidR="00842986" w:rsidRPr="0084298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עוון.</w:t>
      </w:r>
    </w:p>
    <w:p w14:paraId="62763EFA" w14:textId="77777777" w:rsidR="005B51BC" w:rsidRDefault="005B51BC" w:rsidP="005B51BC">
      <w:pPr>
        <w:spacing w:before="100" w:beforeAutospacing="1" w:after="120"/>
        <w:ind w:left="826"/>
        <w:contextualSpacing/>
        <w:jc w:val="both"/>
        <w:rPr>
          <w:rFonts w:ascii="FrankRuehl" w:hAnsi="FrankRuehl" w:cs="FrankRuehl"/>
          <w:sz w:val="28"/>
          <w:szCs w:val="28"/>
          <w:rtl/>
        </w:rPr>
      </w:pPr>
    </w:p>
    <w:p w14:paraId="6D5AE6CE" w14:textId="77777777" w:rsidR="005B51BC" w:rsidRDefault="005B51BC" w:rsidP="005B51BC">
      <w:pPr>
        <w:numPr>
          <w:ilvl w:val="0"/>
          <w:numId w:val="2"/>
        </w:numPr>
        <w:spacing w:before="100" w:beforeAutospacing="1" w:after="120" w:line="360" w:lineRule="auto"/>
        <w:contextualSpacing/>
        <w:jc w:val="both"/>
        <w:rPr>
          <w:rFonts w:ascii="FrankRuehl" w:hAnsi="FrankRuehl" w:cs="FrankRuehl"/>
          <w:sz w:val="28"/>
          <w:szCs w:val="28"/>
        </w:rPr>
      </w:pPr>
      <w:r>
        <w:rPr>
          <w:rFonts w:ascii="FrankRuehl" w:hAnsi="FrankRuehl" w:cs="FrankRuehl"/>
          <w:sz w:val="28"/>
          <w:szCs w:val="28"/>
          <w:rtl/>
        </w:rPr>
        <w:t xml:space="preserve">הנאשמת תבצע 350 שעות של"צ בהתאם לתוכנית שגובשה על ידי שירות המבחן. מובהר בזאת לנאשמת כי </w:t>
      </w:r>
      <w:r>
        <w:rPr>
          <w:rFonts w:ascii="FrankRuehl" w:hAnsi="FrankRuehl" w:cs="FrankRuehl" w:hint="cs"/>
          <w:sz w:val="28"/>
          <w:szCs w:val="28"/>
          <w:rtl/>
        </w:rPr>
        <w:t xml:space="preserve">עליה להשלים ביצוע צו השל"צ בתוך שנה החל מיום 5.9.22. </w:t>
      </w:r>
      <w:r>
        <w:rPr>
          <w:rFonts w:ascii="FrankRuehl" w:hAnsi="FrankRuehl" w:cs="FrankRuehl"/>
          <w:sz w:val="28"/>
          <w:szCs w:val="28"/>
          <w:rtl/>
        </w:rPr>
        <w:t xml:space="preserve">ככל שלא תבצע את צו השל"צ או לא תשתף פעולה עם שירות המבחן אפשר להחזיר את עניינה לבית המשפט ולגזור עליה עונש חלופי. </w:t>
      </w:r>
    </w:p>
    <w:p w14:paraId="5355573C" w14:textId="77777777" w:rsidR="005B51BC" w:rsidRDefault="005B51BC" w:rsidP="005B51BC">
      <w:pPr>
        <w:spacing w:before="100" w:beforeAutospacing="1" w:after="120"/>
        <w:ind w:left="826"/>
        <w:contextualSpacing/>
        <w:jc w:val="both"/>
        <w:rPr>
          <w:rFonts w:ascii="FrankRuehl" w:hAnsi="FrankRuehl" w:cs="FrankRuehl"/>
          <w:sz w:val="28"/>
          <w:szCs w:val="28"/>
        </w:rPr>
      </w:pPr>
    </w:p>
    <w:p w14:paraId="0C006FF1" w14:textId="77777777" w:rsidR="005B51BC" w:rsidRDefault="005B51BC" w:rsidP="005B51BC">
      <w:pPr>
        <w:numPr>
          <w:ilvl w:val="0"/>
          <w:numId w:val="2"/>
        </w:numPr>
        <w:spacing w:before="100" w:beforeAutospacing="1" w:after="120" w:line="360" w:lineRule="auto"/>
        <w:contextualSpacing/>
        <w:jc w:val="both"/>
        <w:rPr>
          <w:rFonts w:ascii="FrankRuehl" w:hAnsi="FrankRuehl" w:cs="FrankRuehl"/>
          <w:sz w:val="28"/>
          <w:szCs w:val="28"/>
        </w:rPr>
      </w:pPr>
      <w:r>
        <w:rPr>
          <w:rFonts w:ascii="FrankRuehl" w:hAnsi="FrankRuehl" w:cs="FrankRuehl"/>
          <w:sz w:val="28"/>
          <w:szCs w:val="28"/>
          <w:rtl/>
        </w:rPr>
        <w:t xml:space="preserve">צו מבחן למשך 12 חודשים. הוסברה לנאשמת משמעותו של צו המבחן ואפשרות הפקעתו והטלת עונש במקומו.  </w:t>
      </w:r>
    </w:p>
    <w:p w14:paraId="07D32D8C" w14:textId="77777777" w:rsidR="005B51BC" w:rsidRDefault="005B51BC" w:rsidP="005B51BC">
      <w:pPr>
        <w:spacing w:before="100" w:beforeAutospacing="1" w:after="120"/>
        <w:ind w:left="826"/>
        <w:contextualSpacing/>
        <w:jc w:val="both"/>
        <w:rPr>
          <w:rFonts w:ascii="FrankRuehl" w:hAnsi="FrankRuehl" w:cs="FrankRuehl"/>
          <w:sz w:val="28"/>
          <w:szCs w:val="28"/>
        </w:rPr>
      </w:pPr>
    </w:p>
    <w:p w14:paraId="4B8701CA" w14:textId="77777777" w:rsidR="005B51BC" w:rsidRDefault="005B51BC" w:rsidP="005B51BC">
      <w:pPr>
        <w:numPr>
          <w:ilvl w:val="0"/>
          <w:numId w:val="2"/>
        </w:numPr>
        <w:spacing w:before="100" w:beforeAutospacing="1" w:after="120" w:line="360" w:lineRule="auto"/>
        <w:contextualSpacing/>
        <w:jc w:val="both"/>
        <w:rPr>
          <w:rFonts w:ascii="FrankRuehl" w:hAnsi="FrankRuehl" w:cs="FrankRuehl"/>
          <w:sz w:val="28"/>
          <w:szCs w:val="28"/>
        </w:rPr>
      </w:pPr>
      <w:r>
        <w:rPr>
          <w:rFonts w:ascii="FrankRuehl" w:hAnsi="FrankRuehl" w:cs="FrankRuehl"/>
          <w:sz w:val="28"/>
          <w:szCs w:val="28"/>
          <w:rtl/>
        </w:rPr>
        <w:t>קנס בסך 5,000 ₪</w:t>
      </w:r>
      <w:r>
        <w:rPr>
          <w:rFonts w:ascii="FrankRuehl" w:hAnsi="FrankRuehl" w:cs="FrankRuehl" w:hint="cs"/>
          <w:sz w:val="28"/>
          <w:szCs w:val="28"/>
          <w:rtl/>
        </w:rPr>
        <w:t xml:space="preserve"> או 20 ימי מעצר תמורתו. </w:t>
      </w:r>
      <w:r>
        <w:rPr>
          <w:rFonts w:ascii="FrankRuehl" w:hAnsi="FrankRuehl" w:cs="FrankRuehl"/>
          <w:sz w:val="28"/>
          <w:szCs w:val="28"/>
          <w:rtl/>
        </w:rPr>
        <w:t xml:space="preserve">הקנס ישולם ב- 10 תשלומים שווים ורצופים החל מיום 1.8.2022 ובכל ראשון בחודשו. מובהר בזאת לנאשמת כי עליה לפנות למרכז לגביית קנסות על מנת לקבל לידה שוברי תשלום. </w:t>
      </w:r>
    </w:p>
    <w:p w14:paraId="155C897D" w14:textId="77777777" w:rsidR="005B51BC" w:rsidRDefault="005B51BC" w:rsidP="005B51BC">
      <w:pPr>
        <w:spacing w:before="100" w:beforeAutospacing="1" w:after="120" w:line="360" w:lineRule="auto"/>
        <w:ind w:left="826"/>
        <w:contextualSpacing/>
        <w:jc w:val="both"/>
        <w:rPr>
          <w:rFonts w:cs="FrankRuehl"/>
          <w:sz w:val="28"/>
          <w:szCs w:val="28"/>
        </w:rPr>
      </w:pPr>
      <w:r>
        <w:rPr>
          <w:rFonts w:ascii="FrankRuehl" w:hAnsi="FrankRuehl" w:cs="FrankRuehl"/>
          <w:sz w:val="28"/>
          <w:szCs w:val="28"/>
          <w:rtl/>
        </w:rPr>
        <w:t xml:space="preserve">לבקשת הנאשמת הקנס ישולם מערבון שהופקד מטעמה </w:t>
      </w:r>
      <w:r>
        <w:rPr>
          <w:rFonts w:ascii="FrankRuehl" w:hAnsi="FrankRuehl" w:cs="FrankRuehl" w:hint="cs"/>
          <w:sz w:val="28"/>
          <w:szCs w:val="28"/>
          <w:rtl/>
        </w:rPr>
        <w:t>בהליך</w:t>
      </w:r>
      <w:r>
        <w:rPr>
          <w:rFonts w:ascii="FrankRuehl" w:hAnsi="FrankRuehl" w:cs="FrankRuehl"/>
          <w:sz w:val="28"/>
          <w:szCs w:val="28"/>
          <w:rtl/>
        </w:rPr>
        <w:t xml:space="preserve"> המעצר וככלל שקיימת יתרה זו תושב לנאשמת בכפוף לכל מניעה חוקית אחרת, לרבות עיקול.</w:t>
      </w:r>
    </w:p>
    <w:p w14:paraId="1A13317E" w14:textId="77777777" w:rsidR="005B51BC" w:rsidRDefault="005B51BC" w:rsidP="005B51BC">
      <w:pPr>
        <w:spacing w:before="100" w:beforeAutospacing="1" w:after="120"/>
        <w:ind w:left="826"/>
        <w:contextualSpacing/>
        <w:jc w:val="both"/>
        <w:rPr>
          <w:rFonts w:ascii="FrankRuehl" w:hAnsi="FrankRuehl" w:cs="FrankRuehl"/>
          <w:sz w:val="28"/>
          <w:szCs w:val="28"/>
        </w:rPr>
      </w:pPr>
    </w:p>
    <w:p w14:paraId="6D5E6146" w14:textId="77777777" w:rsidR="005B51BC" w:rsidRDefault="005B51BC" w:rsidP="005B51BC">
      <w:pPr>
        <w:numPr>
          <w:ilvl w:val="0"/>
          <w:numId w:val="2"/>
        </w:numPr>
        <w:spacing w:before="100" w:beforeAutospacing="1" w:after="120" w:line="360" w:lineRule="auto"/>
        <w:contextualSpacing/>
        <w:jc w:val="both"/>
        <w:rPr>
          <w:rFonts w:ascii="FrankRuehl" w:hAnsi="FrankRuehl" w:cs="FrankRuehl"/>
          <w:sz w:val="28"/>
          <w:szCs w:val="28"/>
          <w:rtl/>
        </w:rPr>
      </w:pPr>
      <w:r>
        <w:rPr>
          <w:rFonts w:ascii="FrankRuehl" w:hAnsi="FrankRuehl" w:cs="FrankRuehl" w:hint="cs"/>
          <w:sz w:val="28"/>
          <w:szCs w:val="28"/>
          <w:rtl/>
        </w:rPr>
        <w:t>מורה על חילוט סך 1,150 ₪ לקרן החילוט אוצר המדינה</w:t>
      </w:r>
    </w:p>
    <w:p w14:paraId="58C6A49A" w14:textId="77777777" w:rsidR="005B51BC" w:rsidRDefault="005B51BC" w:rsidP="005B51BC">
      <w:pPr>
        <w:spacing w:before="100" w:beforeAutospacing="1" w:after="120"/>
        <w:ind w:left="226"/>
        <w:jc w:val="both"/>
        <w:rPr>
          <w:rFonts w:ascii="FrankRuehl" w:hAnsi="FrankRuehl" w:cs="FrankRuehl"/>
          <w:sz w:val="28"/>
          <w:szCs w:val="28"/>
        </w:rPr>
      </w:pPr>
      <w:r>
        <w:rPr>
          <w:rFonts w:ascii="FrankRuehl" w:hAnsi="FrankRuehl" w:cs="FrankRuehl"/>
          <w:sz w:val="28"/>
          <w:szCs w:val="28"/>
          <w:rtl/>
        </w:rPr>
        <w:t xml:space="preserve">המזכירות תעביר העתק גזר הדין לידי שירות המבחן. </w:t>
      </w:r>
    </w:p>
    <w:p w14:paraId="57A5909E" w14:textId="77777777" w:rsidR="005B51BC" w:rsidRDefault="005B51BC" w:rsidP="005B51BC">
      <w:pPr>
        <w:spacing w:before="100" w:beforeAutospacing="1" w:after="120"/>
        <w:ind w:left="226"/>
        <w:jc w:val="both"/>
        <w:rPr>
          <w:rFonts w:ascii="FrankRuehl" w:hAnsi="FrankRuehl" w:cs="FrankRuehl"/>
          <w:sz w:val="28"/>
          <w:szCs w:val="28"/>
          <w:rtl/>
        </w:rPr>
      </w:pPr>
      <w:r>
        <w:rPr>
          <w:rFonts w:ascii="FrankRuehl" w:hAnsi="FrankRuehl" w:cs="FrankRuehl"/>
          <w:sz w:val="28"/>
          <w:szCs w:val="28"/>
          <w:rtl/>
        </w:rPr>
        <w:t>צו כללי למוצגים</w:t>
      </w:r>
      <w:r>
        <w:rPr>
          <w:rFonts w:ascii="FrankRuehl" w:hAnsi="FrankRuehl" w:cs="FrankRuehl" w:hint="cs"/>
          <w:sz w:val="28"/>
          <w:szCs w:val="28"/>
          <w:rtl/>
        </w:rPr>
        <w:t xml:space="preserve"> (למעט הטלפון הנייד אשר יושב לנאשמת בתוך 14 ימים מהיום. </w:t>
      </w:r>
    </w:p>
    <w:p w14:paraId="05A9F417" w14:textId="77777777" w:rsidR="005B51BC" w:rsidRDefault="00842986" w:rsidP="005B51BC">
      <w:pPr>
        <w:spacing w:before="100" w:beforeAutospacing="1" w:after="120"/>
        <w:ind w:left="226"/>
        <w:jc w:val="both"/>
        <w:rPr>
          <w:rFonts w:ascii="FrankRuehl" w:hAnsi="FrankRuehl" w:cs="FrankRuehl"/>
          <w:sz w:val="28"/>
          <w:szCs w:val="28"/>
          <w:rtl/>
        </w:rPr>
      </w:pPr>
      <w:r w:rsidRPr="00842986">
        <w:rPr>
          <w:rFonts w:ascii="FrankRuehl" w:hAnsi="FrankRuehl" w:cs="FrankRuehl"/>
          <w:color w:val="FFFFFF"/>
          <w:sz w:val="2"/>
          <w:szCs w:val="2"/>
          <w:rtl/>
        </w:rPr>
        <w:t>5129371</w:t>
      </w:r>
      <w:r w:rsidR="005B51BC">
        <w:rPr>
          <w:rFonts w:ascii="FrankRuehl" w:hAnsi="FrankRuehl" w:cs="FrankRuehl"/>
          <w:sz w:val="28"/>
          <w:szCs w:val="28"/>
          <w:rtl/>
        </w:rPr>
        <w:t>זכות ערעור לבית המשפט המחוזי כחוק.</w:t>
      </w:r>
    </w:p>
    <w:p w14:paraId="6405BF0A" w14:textId="77777777" w:rsidR="005B51BC" w:rsidRPr="00842986" w:rsidRDefault="00842986" w:rsidP="005B51BC">
      <w:pPr>
        <w:rPr>
          <w:rFonts w:ascii="Arial" w:hAnsi="Arial"/>
          <w:b/>
          <w:bCs/>
          <w:color w:val="FFFFFF"/>
          <w:sz w:val="2"/>
          <w:szCs w:val="2"/>
          <w:rtl/>
        </w:rPr>
      </w:pPr>
      <w:r w:rsidRPr="00842986">
        <w:rPr>
          <w:rFonts w:ascii="Arial" w:hAnsi="Arial"/>
          <w:b/>
          <w:bCs/>
          <w:color w:val="FFFFFF"/>
          <w:sz w:val="2"/>
          <w:szCs w:val="2"/>
          <w:rtl/>
        </w:rPr>
        <w:t>54678313</w:t>
      </w:r>
    </w:p>
    <w:p w14:paraId="4B7ED4AC" w14:textId="77777777" w:rsidR="005B51BC" w:rsidRPr="000F2247" w:rsidRDefault="005B51BC" w:rsidP="005B51BC">
      <w:pPr>
        <w:rPr>
          <w:rFonts w:ascii="Arial" w:hAnsi="Arial"/>
          <w:b/>
          <w:bCs/>
          <w:sz w:val="26"/>
          <w:szCs w:val="26"/>
          <w:rtl/>
        </w:rPr>
      </w:pPr>
    </w:p>
    <w:p w14:paraId="5BB1B5DB" w14:textId="77777777" w:rsidR="005B51BC" w:rsidRPr="000F2247" w:rsidRDefault="00842986" w:rsidP="005B51BC">
      <w:pPr>
        <w:rPr>
          <w:rFonts w:ascii="Arial" w:hAnsi="Arial"/>
          <w:b/>
          <w:bCs/>
          <w:sz w:val="26"/>
          <w:szCs w:val="26"/>
          <w:rtl/>
        </w:rPr>
      </w:pPr>
      <w:bookmarkStart w:id="8" w:name="Nitan"/>
      <w:r>
        <w:rPr>
          <w:rFonts w:ascii="Arial" w:hAnsi="Arial"/>
          <w:b/>
          <w:bCs/>
          <w:sz w:val="26"/>
          <w:szCs w:val="26"/>
          <w:rtl/>
        </w:rPr>
        <w:t xml:space="preserve">ניתן היום,  ט"ז סיוון תשפ"ב, 15 יוני 2022, במעמד הצדדים. </w:t>
      </w:r>
      <w:bookmarkEnd w:id="8"/>
    </w:p>
    <w:p w14:paraId="4B9A7790" w14:textId="77777777" w:rsidR="005B51BC" w:rsidRPr="000F2247" w:rsidRDefault="005B51BC" w:rsidP="0084298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FE9A374" w14:textId="77777777" w:rsidR="005B51BC" w:rsidRPr="00936034" w:rsidRDefault="00936034" w:rsidP="005B51BC">
      <w:pPr>
        <w:jc w:val="center"/>
        <w:rPr>
          <w:rFonts w:ascii="Arial" w:hAnsi="Arial"/>
          <w:b/>
          <w:bCs/>
          <w:color w:val="FFFFFF"/>
          <w:sz w:val="2"/>
          <w:szCs w:val="2"/>
          <w:rtl/>
        </w:rPr>
      </w:pPr>
      <w:r w:rsidRPr="00936034">
        <w:rPr>
          <w:rFonts w:ascii="Arial" w:hAnsi="Arial"/>
          <w:b/>
          <w:bCs/>
          <w:color w:val="FFFFFF"/>
          <w:sz w:val="2"/>
          <w:szCs w:val="2"/>
          <w:rtl/>
        </w:rPr>
        <w:t>5129371</w:t>
      </w:r>
    </w:p>
    <w:p w14:paraId="413098AB" w14:textId="77777777" w:rsidR="00B47F87" w:rsidRPr="00936034" w:rsidRDefault="00936034" w:rsidP="00842986">
      <w:pPr>
        <w:keepNext/>
        <w:rPr>
          <w:rFonts w:ascii="David" w:hAnsi="David"/>
          <w:color w:val="FFFFFF"/>
          <w:sz w:val="2"/>
          <w:szCs w:val="2"/>
          <w:rtl/>
        </w:rPr>
      </w:pPr>
      <w:r w:rsidRPr="00936034">
        <w:rPr>
          <w:rFonts w:ascii="David" w:hAnsi="David"/>
          <w:color w:val="FFFFFF"/>
          <w:sz w:val="2"/>
          <w:szCs w:val="2"/>
          <w:rtl/>
        </w:rPr>
        <w:t>54678313</w:t>
      </w:r>
    </w:p>
    <w:p w14:paraId="005DB7F5" w14:textId="77777777" w:rsidR="00842986" w:rsidRDefault="00842986" w:rsidP="00842986">
      <w:pPr>
        <w:rPr>
          <w:rtl/>
        </w:rPr>
      </w:pPr>
    </w:p>
    <w:p w14:paraId="2666F1B2" w14:textId="77777777" w:rsidR="00842986" w:rsidRDefault="00842986" w:rsidP="00842986">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5652FC47" w14:textId="77777777" w:rsidR="00936034" w:rsidRPr="00936034" w:rsidRDefault="00936034" w:rsidP="00936034">
      <w:pPr>
        <w:keepNext/>
        <w:rPr>
          <w:rFonts w:ascii="David" w:hAnsi="David"/>
          <w:color w:val="000000"/>
          <w:sz w:val="22"/>
          <w:szCs w:val="22"/>
          <w:rtl/>
        </w:rPr>
      </w:pPr>
    </w:p>
    <w:p w14:paraId="48A50403" w14:textId="77777777" w:rsidR="00936034" w:rsidRPr="00936034" w:rsidRDefault="00936034" w:rsidP="00936034">
      <w:pPr>
        <w:keepNext/>
        <w:rPr>
          <w:rFonts w:ascii="David" w:hAnsi="David"/>
          <w:color w:val="000000"/>
          <w:sz w:val="22"/>
          <w:szCs w:val="22"/>
          <w:rtl/>
        </w:rPr>
      </w:pPr>
      <w:r w:rsidRPr="00936034">
        <w:rPr>
          <w:rFonts w:ascii="David" w:hAnsi="David"/>
          <w:color w:val="000000"/>
          <w:sz w:val="22"/>
          <w:szCs w:val="22"/>
          <w:rtl/>
        </w:rPr>
        <w:t>זהר דיבון סגל 54678313-/</w:t>
      </w:r>
    </w:p>
    <w:p w14:paraId="7D97C738" w14:textId="77777777" w:rsidR="00842986" w:rsidRPr="00842986" w:rsidRDefault="00936034" w:rsidP="00936034">
      <w:pPr>
        <w:rPr>
          <w:color w:val="0000FF"/>
          <w:u w:val="single"/>
        </w:rPr>
      </w:pPr>
      <w:r w:rsidRPr="00936034">
        <w:rPr>
          <w:color w:val="000000"/>
          <w:u w:val="single"/>
          <w:rtl/>
        </w:rPr>
        <w:t>נוסח מסמך זה כפוף לשינויי ניסוח ועריכה</w:t>
      </w:r>
    </w:p>
    <w:sectPr w:rsidR="00842986" w:rsidRPr="00842986" w:rsidSect="00936034">
      <w:headerReference w:type="even" r:id="rId72"/>
      <w:headerReference w:type="default" r:id="rId73"/>
      <w:footerReference w:type="even" r:id="rId74"/>
      <w:footerReference w:type="default" r:id="rId7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CFB34" w14:textId="77777777" w:rsidR="00D661B8" w:rsidRDefault="00D661B8" w:rsidP="007B349F">
      <w:r>
        <w:separator/>
      </w:r>
    </w:p>
  </w:endnote>
  <w:endnote w:type="continuationSeparator" w:id="0">
    <w:p w14:paraId="4EA9B14D" w14:textId="77777777" w:rsidR="00D661B8" w:rsidRDefault="00D661B8" w:rsidP="007B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876E4" w14:textId="77777777" w:rsidR="00936034" w:rsidRDefault="00936034" w:rsidP="009360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F5D449" w14:textId="77777777" w:rsidR="00380908" w:rsidRPr="00936034" w:rsidRDefault="00936034" w:rsidP="00936034">
    <w:pPr>
      <w:pStyle w:val="a5"/>
      <w:pBdr>
        <w:top w:val="single" w:sz="4" w:space="1" w:color="auto"/>
        <w:between w:val="single" w:sz="4" w:space="0" w:color="auto"/>
      </w:pBdr>
      <w:spacing w:after="60"/>
      <w:jc w:val="center"/>
      <w:rPr>
        <w:rFonts w:ascii="FrankRuehl" w:hAnsi="FrankRuehl" w:cs="FrankRuehl"/>
        <w:color w:val="000000"/>
      </w:rPr>
    </w:pPr>
    <w:r w:rsidRPr="009360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15921" w14:textId="77777777" w:rsidR="00936034" w:rsidRDefault="00936034" w:rsidP="009360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4B93">
      <w:rPr>
        <w:rFonts w:ascii="FrankRuehl" w:hAnsi="FrankRuehl" w:cs="FrankRuehl"/>
        <w:noProof/>
        <w:rtl/>
      </w:rPr>
      <w:t>1</w:t>
    </w:r>
    <w:r>
      <w:rPr>
        <w:rFonts w:ascii="FrankRuehl" w:hAnsi="FrankRuehl" w:cs="FrankRuehl"/>
        <w:rtl/>
      </w:rPr>
      <w:fldChar w:fldCharType="end"/>
    </w:r>
  </w:p>
  <w:p w14:paraId="49C51A02" w14:textId="77777777" w:rsidR="00380908" w:rsidRPr="00936034" w:rsidRDefault="00936034" w:rsidP="00936034">
    <w:pPr>
      <w:pStyle w:val="a5"/>
      <w:pBdr>
        <w:top w:val="single" w:sz="4" w:space="1" w:color="auto"/>
        <w:between w:val="single" w:sz="4" w:space="0" w:color="auto"/>
      </w:pBdr>
      <w:spacing w:after="60"/>
      <w:jc w:val="center"/>
      <w:rPr>
        <w:rFonts w:ascii="FrankRuehl" w:hAnsi="FrankRuehl" w:cs="FrankRuehl"/>
        <w:color w:val="000000"/>
      </w:rPr>
    </w:pPr>
    <w:r w:rsidRPr="00936034">
      <w:rPr>
        <w:rFonts w:ascii="FrankRuehl" w:hAnsi="FrankRuehl" w:cs="FrankRuehl"/>
        <w:color w:val="000000"/>
      </w:rPr>
      <w:pict w14:anchorId="1B47F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77CB5" w14:textId="77777777" w:rsidR="00D661B8" w:rsidRDefault="00D661B8" w:rsidP="007B349F">
      <w:r>
        <w:separator/>
      </w:r>
    </w:p>
  </w:footnote>
  <w:footnote w:type="continuationSeparator" w:id="0">
    <w:p w14:paraId="25EC11C8" w14:textId="77777777" w:rsidR="00D661B8" w:rsidRDefault="00D661B8" w:rsidP="007B3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2A6C5" w14:textId="77777777" w:rsidR="00842986" w:rsidRPr="00936034" w:rsidRDefault="00936034" w:rsidP="009360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70374-11-20</w:t>
    </w:r>
    <w:r>
      <w:rPr>
        <w:rFonts w:ascii="David" w:hAnsi="David"/>
        <w:color w:val="000000"/>
        <w:sz w:val="22"/>
        <w:szCs w:val="22"/>
        <w:rtl/>
      </w:rPr>
      <w:tab/>
      <w:t xml:space="preserve"> מדינת ישראל נ' רחל סלע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9D9CD" w14:textId="77777777" w:rsidR="00842986" w:rsidRPr="00936034" w:rsidRDefault="00936034" w:rsidP="009360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70374-11-20</w:t>
    </w:r>
    <w:r>
      <w:rPr>
        <w:rFonts w:ascii="David" w:hAnsi="David"/>
        <w:color w:val="000000"/>
        <w:sz w:val="22"/>
        <w:szCs w:val="22"/>
        <w:rtl/>
      </w:rPr>
      <w:tab/>
      <w:t xml:space="preserve"> מדינת ישראל נ' רחל סלע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26516"/>
    <w:multiLevelType w:val="hybridMultilevel"/>
    <w:tmpl w:val="D79294A2"/>
    <w:lvl w:ilvl="0" w:tplc="8B3C04EC">
      <w:start w:val="1"/>
      <w:numFmt w:val="decimal"/>
      <w:lvlText w:val="%1."/>
      <w:lvlJc w:val="left"/>
      <w:pPr>
        <w:ind w:left="358" w:hanging="360"/>
      </w:pPr>
      <w:rPr>
        <w:rFonts w:ascii="David" w:hAnsi="David" w:cs="FrankRuehl" w:hint="default"/>
        <w:sz w:val="28"/>
        <w:szCs w:val="28"/>
      </w:rPr>
    </w:lvl>
    <w:lvl w:ilvl="1" w:tplc="04090019">
      <w:start w:val="1"/>
      <w:numFmt w:val="lowerLetter"/>
      <w:lvlText w:val="%2."/>
      <w:lvlJc w:val="left"/>
      <w:pPr>
        <w:ind w:left="1078" w:hanging="360"/>
      </w:pPr>
    </w:lvl>
    <w:lvl w:ilvl="2" w:tplc="0409001B">
      <w:start w:val="1"/>
      <w:numFmt w:val="lowerRoman"/>
      <w:lvlText w:val="%3."/>
      <w:lvlJc w:val="right"/>
      <w:pPr>
        <w:ind w:left="1798" w:hanging="180"/>
      </w:pPr>
    </w:lvl>
    <w:lvl w:ilvl="3" w:tplc="0409000F">
      <w:start w:val="1"/>
      <w:numFmt w:val="decimal"/>
      <w:lvlText w:val="%4."/>
      <w:lvlJc w:val="left"/>
      <w:pPr>
        <w:ind w:left="2518" w:hanging="360"/>
      </w:pPr>
    </w:lvl>
    <w:lvl w:ilvl="4" w:tplc="04090019">
      <w:start w:val="1"/>
      <w:numFmt w:val="lowerLetter"/>
      <w:lvlText w:val="%5."/>
      <w:lvlJc w:val="left"/>
      <w:pPr>
        <w:ind w:left="3238" w:hanging="360"/>
      </w:pPr>
    </w:lvl>
    <w:lvl w:ilvl="5" w:tplc="0409001B">
      <w:start w:val="1"/>
      <w:numFmt w:val="lowerRoman"/>
      <w:lvlText w:val="%6."/>
      <w:lvlJc w:val="right"/>
      <w:pPr>
        <w:ind w:left="3958" w:hanging="180"/>
      </w:pPr>
    </w:lvl>
    <w:lvl w:ilvl="6" w:tplc="0409000F">
      <w:start w:val="1"/>
      <w:numFmt w:val="decimal"/>
      <w:lvlText w:val="%7."/>
      <w:lvlJc w:val="left"/>
      <w:pPr>
        <w:ind w:left="4678" w:hanging="360"/>
      </w:pPr>
    </w:lvl>
    <w:lvl w:ilvl="7" w:tplc="04090019">
      <w:start w:val="1"/>
      <w:numFmt w:val="lowerLetter"/>
      <w:lvlText w:val="%8."/>
      <w:lvlJc w:val="left"/>
      <w:pPr>
        <w:ind w:left="5398" w:hanging="360"/>
      </w:pPr>
    </w:lvl>
    <w:lvl w:ilvl="8" w:tplc="0409001B">
      <w:start w:val="1"/>
      <w:numFmt w:val="lowerRoman"/>
      <w:lvlText w:val="%9."/>
      <w:lvlJc w:val="right"/>
      <w:pPr>
        <w:ind w:left="6118" w:hanging="180"/>
      </w:pPr>
    </w:lvl>
  </w:abstractNum>
  <w:abstractNum w:abstractNumId="1" w15:restartNumberingAfterBreak="0">
    <w:nsid w:val="6E2300F3"/>
    <w:multiLevelType w:val="hybridMultilevel"/>
    <w:tmpl w:val="7A707CFC"/>
    <w:lvl w:ilvl="0" w:tplc="F92C9816">
      <w:start w:val="1"/>
      <w:numFmt w:val="hebrew1"/>
      <w:lvlText w:val="%1."/>
      <w:lvlJc w:val="left"/>
      <w:pPr>
        <w:ind w:left="826" w:hanging="600"/>
      </w:pPr>
      <w:rPr>
        <w:rFonts w:cs="Times New Roman"/>
      </w:rPr>
    </w:lvl>
    <w:lvl w:ilvl="1" w:tplc="04090019">
      <w:start w:val="1"/>
      <w:numFmt w:val="lowerLetter"/>
      <w:lvlText w:val="%2."/>
      <w:lvlJc w:val="left"/>
      <w:pPr>
        <w:ind w:left="1306" w:hanging="360"/>
      </w:pPr>
      <w:rPr>
        <w:rFonts w:cs="Times New Roman"/>
      </w:rPr>
    </w:lvl>
    <w:lvl w:ilvl="2" w:tplc="0409001B">
      <w:start w:val="1"/>
      <w:numFmt w:val="lowerRoman"/>
      <w:lvlText w:val="%3."/>
      <w:lvlJc w:val="right"/>
      <w:pPr>
        <w:ind w:left="2026" w:hanging="180"/>
      </w:pPr>
      <w:rPr>
        <w:rFonts w:cs="Times New Roman"/>
      </w:rPr>
    </w:lvl>
    <w:lvl w:ilvl="3" w:tplc="0409000F">
      <w:start w:val="1"/>
      <w:numFmt w:val="decimal"/>
      <w:lvlText w:val="%4."/>
      <w:lvlJc w:val="left"/>
      <w:pPr>
        <w:ind w:left="2746" w:hanging="360"/>
      </w:pPr>
      <w:rPr>
        <w:rFonts w:cs="Times New Roman"/>
      </w:rPr>
    </w:lvl>
    <w:lvl w:ilvl="4" w:tplc="04090019">
      <w:start w:val="1"/>
      <w:numFmt w:val="lowerLetter"/>
      <w:lvlText w:val="%5."/>
      <w:lvlJc w:val="left"/>
      <w:pPr>
        <w:ind w:left="3466" w:hanging="360"/>
      </w:pPr>
      <w:rPr>
        <w:rFonts w:cs="Times New Roman"/>
      </w:rPr>
    </w:lvl>
    <w:lvl w:ilvl="5" w:tplc="0409001B">
      <w:start w:val="1"/>
      <w:numFmt w:val="lowerRoman"/>
      <w:lvlText w:val="%6."/>
      <w:lvlJc w:val="right"/>
      <w:pPr>
        <w:ind w:left="4186" w:hanging="180"/>
      </w:pPr>
      <w:rPr>
        <w:rFonts w:cs="Times New Roman"/>
      </w:rPr>
    </w:lvl>
    <w:lvl w:ilvl="6" w:tplc="0409000F">
      <w:start w:val="1"/>
      <w:numFmt w:val="decimal"/>
      <w:lvlText w:val="%7."/>
      <w:lvlJc w:val="left"/>
      <w:pPr>
        <w:ind w:left="4906" w:hanging="360"/>
      </w:pPr>
      <w:rPr>
        <w:rFonts w:cs="Times New Roman"/>
      </w:rPr>
    </w:lvl>
    <w:lvl w:ilvl="7" w:tplc="04090019">
      <w:start w:val="1"/>
      <w:numFmt w:val="lowerLetter"/>
      <w:lvlText w:val="%8."/>
      <w:lvlJc w:val="left"/>
      <w:pPr>
        <w:ind w:left="5626" w:hanging="360"/>
      </w:pPr>
      <w:rPr>
        <w:rFonts w:cs="Times New Roman"/>
      </w:rPr>
    </w:lvl>
    <w:lvl w:ilvl="8" w:tplc="0409001B">
      <w:start w:val="1"/>
      <w:numFmt w:val="lowerRoman"/>
      <w:lvlText w:val="%9."/>
      <w:lvlJc w:val="right"/>
      <w:pPr>
        <w:ind w:left="6346" w:hanging="180"/>
      </w:pPr>
      <w:rPr>
        <w:rFonts w:cs="Times New Roman"/>
      </w:rPr>
    </w:lvl>
  </w:abstractNum>
  <w:num w:numId="1" w16cid:durableId="1329865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2480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51BC"/>
    <w:rsid w:val="00173992"/>
    <w:rsid w:val="00174B93"/>
    <w:rsid w:val="001B5A3B"/>
    <w:rsid w:val="001F6858"/>
    <w:rsid w:val="00380908"/>
    <w:rsid w:val="005B51BC"/>
    <w:rsid w:val="00697BA6"/>
    <w:rsid w:val="007B349F"/>
    <w:rsid w:val="00842986"/>
    <w:rsid w:val="00936034"/>
    <w:rsid w:val="0096020C"/>
    <w:rsid w:val="00A0426C"/>
    <w:rsid w:val="00B21D4C"/>
    <w:rsid w:val="00B47F87"/>
    <w:rsid w:val="00D661B8"/>
    <w:rsid w:val="00EA26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B540C9"/>
  <w15:chartTrackingRefBased/>
  <w15:docId w15:val="{E713E363-093C-465C-AF05-7D03CAAD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51B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51BC"/>
    <w:pPr>
      <w:tabs>
        <w:tab w:val="center" w:pos="4153"/>
        <w:tab w:val="right" w:pos="8306"/>
      </w:tabs>
    </w:pPr>
  </w:style>
  <w:style w:type="character" w:customStyle="1" w:styleId="a4">
    <w:name w:val="כותרת עליונה תו"/>
    <w:link w:val="a3"/>
    <w:rsid w:val="005B51BC"/>
    <w:rPr>
      <w:rFonts w:ascii="Times New Roman" w:eastAsia="Times New Roman" w:hAnsi="Times New Roman" w:cs="David"/>
      <w:sz w:val="24"/>
      <w:szCs w:val="24"/>
    </w:rPr>
  </w:style>
  <w:style w:type="paragraph" w:styleId="a5">
    <w:name w:val="footer"/>
    <w:basedOn w:val="a"/>
    <w:link w:val="a6"/>
    <w:rsid w:val="005B51BC"/>
    <w:pPr>
      <w:tabs>
        <w:tab w:val="center" w:pos="4153"/>
        <w:tab w:val="right" w:pos="8306"/>
      </w:tabs>
    </w:pPr>
  </w:style>
  <w:style w:type="character" w:customStyle="1" w:styleId="a6">
    <w:name w:val="כותרת תחתונה תו"/>
    <w:link w:val="a5"/>
    <w:rsid w:val="005B51BC"/>
    <w:rPr>
      <w:rFonts w:ascii="Times New Roman" w:eastAsia="Times New Roman" w:hAnsi="Times New Roman" w:cs="David"/>
      <w:sz w:val="24"/>
      <w:szCs w:val="24"/>
    </w:rPr>
  </w:style>
  <w:style w:type="table" w:styleId="a7">
    <w:name w:val="Table Grid"/>
    <w:basedOn w:val="a1"/>
    <w:rsid w:val="005B51B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51BC"/>
  </w:style>
  <w:style w:type="character" w:customStyle="1" w:styleId="a9">
    <w:name w:val="פיסקת רשימה תו"/>
    <w:link w:val="aa"/>
    <w:locked/>
    <w:rsid w:val="005B51BC"/>
    <w:rPr>
      <w:rFonts w:ascii="David" w:hAnsi="David" w:cs="David"/>
      <w:sz w:val="24"/>
      <w:szCs w:val="24"/>
    </w:rPr>
  </w:style>
  <w:style w:type="paragraph" w:styleId="aa">
    <w:name w:val="List Paragraph"/>
    <w:basedOn w:val="a"/>
    <w:link w:val="a9"/>
    <w:qFormat/>
    <w:rsid w:val="005B51BC"/>
    <w:pPr>
      <w:ind w:left="720"/>
      <w:contextualSpacing/>
    </w:pPr>
    <w:rPr>
      <w:rFonts w:ascii="David" w:eastAsia="Calibri" w:hAnsi="David"/>
    </w:rPr>
  </w:style>
  <w:style w:type="character" w:styleId="Hyperlink">
    <w:name w:val="Hyperlink"/>
    <w:rsid w:val="00842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844852" TargetMode="External"/><Relationship Id="rId21" Type="http://schemas.openxmlformats.org/officeDocument/2006/relationships/hyperlink" Target="http://www.nevo.co.il/case/20033641" TargetMode="External"/><Relationship Id="rId42" Type="http://schemas.openxmlformats.org/officeDocument/2006/relationships/hyperlink" Target="http://www.nevo.co.il/case/22128021" TargetMode="External"/><Relationship Id="rId47" Type="http://schemas.openxmlformats.org/officeDocument/2006/relationships/hyperlink" Target="http://www.nevo.co.il/case/27068906" TargetMode="External"/><Relationship Id="rId63" Type="http://schemas.openxmlformats.org/officeDocument/2006/relationships/hyperlink" Target="http://www.nevo.co.il/law/70301/40d" TargetMode="External"/><Relationship Id="rId68" Type="http://schemas.openxmlformats.org/officeDocument/2006/relationships/hyperlink" Target="http://www.nevo.co.il/case/24307831" TargetMode="External"/><Relationship Id="rId1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6045416" TargetMode="External"/><Relationship Id="rId32" Type="http://schemas.openxmlformats.org/officeDocument/2006/relationships/hyperlink" Target="http://www.nevo.co.il/case/27537984" TargetMode="External"/><Relationship Id="rId37" Type="http://schemas.openxmlformats.org/officeDocument/2006/relationships/hyperlink" Target="http://www.nevo.co.il/case/22645661" TargetMode="External"/><Relationship Id="rId40" Type="http://schemas.openxmlformats.org/officeDocument/2006/relationships/hyperlink" Target="http://www.nevo.co.il/case/23672166" TargetMode="External"/><Relationship Id="rId45" Type="http://schemas.openxmlformats.org/officeDocument/2006/relationships/hyperlink" Target="http://www.nevo.co.il/case/20621782" TargetMode="External"/><Relationship Id="rId53" Type="http://schemas.openxmlformats.org/officeDocument/2006/relationships/hyperlink" Target="http://www.nevo.co.il/case/26222649" TargetMode="External"/><Relationship Id="rId58" Type="http://schemas.openxmlformats.org/officeDocument/2006/relationships/hyperlink" Target="http://www.nevo.co.il/case/20554181" TargetMode="External"/><Relationship Id="rId66" Type="http://schemas.openxmlformats.org/officeDocument/2006/relationships/hyperlink" Target="http://www.nevo.co.il/case/25179725"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40c.b" TargetMode="External"/><Relationship Id="rId19" Type="http://schemas.openxmlformats.org/officeDocument/2006/relationships/hyperlink" Target="http://www.nevo.co.il/case/17954235"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6022441" TargetMode="External"/><Relationship Id="rId30" Type="http://schemas.openxmlformats.org/officeDocument/2006/relationships/hyperlink" Target="http://www.nevo.co.il/case/27002992" TargetMode="External"/><Relationship Id="rId35" Type="http://schemas.openxmlformats.org/officeDocument/2006/relationships/hyperlink" Target="http://www.nevo.co.il/case/24398360" TargetMode="External"/><Relationship Id="rId43" Type="http://schemas.openxmlformats.org/officeDocument/2006/relationships/hyperlink" Target="http://www.nevo.co.il/case/21592697" TargetMode="External"/><Relationship Id="rId48" Type="http://schemas.openxmlformats.org/officeDocument/2006/relationships/hyperlink" Target="http://www.nevo.co.il/case/22937758" TargetMode="External"/><Relationship Id="rId56" Type="http://schemas.openxmlformats.org/officeDocument/2006/relationships/hyperlink" Target="http://www.nevo.co.il/case/22963299" TargetMode="External"/><Relationship Id="rId64" Type="http://schemas.openxmlformats.org/officeDocument/2006/relationships/hyperlink" Target="http://www.nevo.co.il/law/70301" TargetMode="External"/><Relationship Id="rId69" Type="http://schemas.openxmlformats.org/officeDocument/2006/relationships/hyperlink" Target="http://www.nevo.co.il/law/4216" TargetMode="External"/><Relationship Id="rId77"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3519993"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17939812" TargetMode="External"/><Relationship Id="rId33" Type="http://schemas.openxmlformats.org/officeDocument/2006/relationships/hyperlink" Target="http://www.nevo.co.il/case/27481166" TargetMode="External"/><Relationship Id="rId38" Type="http://schemas.openxmlformats.org/officeDocument/2006/relationships/hyperlink" Target="http://www.nevo.co.il/case/24335465" TargetMode="External"/><Relationship Id="rId46" Type="http://schemas.openxmlformats.org/officeDocument/2006/relationships/hyperlink" Target="http://www.nevo.co.il/case/21822291" TargetMode="External"/><Relationship Id="rId59" Type="http://schemas.openxmlformats.org/officeDocument/2006/relationships/hyperlink" Target="http://www.nevo.co.il/case/24178485" TargetMode="External"/><Relationship Id="rId67" Type="http://schemas.openxmlformats.org/officeDocument/2006/relationships/hyperlink" Target="http://www.nevo.co.il/case/23785604" TargetMode="External"/><Relationship Id="rId20" Type="http://schemas.openxmlformats.org/officeDocument/2006/relationships/hyperlink" Target="http://www.nevo.co.il/case/13101134" TargetMode="External"/><Relationship Id="rId41" Type="http://schemas.openxmlformats.org/officeDocument/2006/relationships/hyperlink" Target="http://www.nevo.co.il/case/20991958" TargetMode="External"/><Relationship Id="rId54" Type="http://schemas.openxmlformats.org/officeDocument/2006/relationships/hyperlink" Target="http://www.nevo.co.il/case/21477472" TargetMode="External"/><Relationship Id="rId62" Type="http://schemas.openxmlformats.org/officeDocument/2006/relationships/hyperlink" Target="http://www.nevo.co.il/law/70301" TargetMode="External"/><Relationship Id="rId70" Type="http://schemas.openxmlformats.org/officeDocument/2006/relationships/hyperlink" Target="http://www.nevo.co.il/law/4216"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5786821" TargetMode="External"/><Relationship Id="rId28" Type="http://schemas.openxmlformats.org/officeDocument/2006/relationships/hyperlink" Target="http://www.nevo.co.il/case/21639429" TargetMode="External"/><Relationship Id="rId36" Type="http://schemas.openxmlformats.org/officeDocument/2006/relationships/hyperlink" Target="http://www.nevo.co.il/case/23777143" TargetMode="External"/><Relationship Id="rId49" Type="http://schemas.openxmlformats.org/officeDocument/2006/relationships/hyperlink" Target="http://www.nevo.co.il/case/23777143" TargetMode="External"/><Relationship Id="rId57" Type="http://schemas.openxmlformats.org/officeDocument/2006/relationships/hyperlink" Target="http://www.nevo.co.il/case/23360870"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6732753" TargetMode="External"/><Relationship Id="rId44" Type="http://schemas.openxmlformats.org/officeDocument/2006/relationships/hyperlink" Target="http://www.nevo.co.il/case/20975571" TargetMode="External"/><Relationship Id="rId52" Type="http://schemas.openxmlformats.org/officeDocument/2006/relationships/hyperlink" Target="http://www.nevo.co.il/case/22865634" TargetMode="External"/><Relationship Id="rId60" Type="http://schemas.openxmlformats.org/officeDocument/2006/relationships/hyperlink" Target="http://www.nevo.co.il/case/22931697" TargetMode="External"/><Relationship Id="rId65" Type="http://schemas.openxmlformats.org/officeDocument/2006/relationships/hyperlink" Target="http://www.nevo.co.il/case/22938500"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case/13093721" TargetMode="External"/><Relationship Id="rId39" Type="http://schemas.openxmlformats.org/officeDocument/2006/relationships/hyperlink" Target="http://www.nevo.co.il/case/25457133" TargetMode="External"/><Relationship Id="rId34" Type="http://schemas.openxmlformats.org/officeDocument/2006/relationships/hyperlink" Target="http://www.nevo.co.il/case/26804829" TargetMode="External"/><Relationship Id="rId50" Type="http://schemas.openxmlformats.org/officeDocument/2006/relationships/hyperlink" Target="http://www.nevo.co.il/case/26473157" TargetMode="External"/><Relationship Id="rId55" Type="http://schemas.openxmlformats.org/officeDocument/2006/relationships/hyperlink" Target="http://www.nevo.co.il/case/5576554"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2676589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4963</Words>
  <Characters>24817</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29721</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8257637</vt:i4>
      </vt:variant>
      <vt:variant>
        <vt:i4>189</vt:i4>
      </vt:variant>
      <vt:variant>
        <vt:i4>0</vt:i4>
      </vt:variant>
      <vt:variant>
        <vt:i4>5</vt:i4>
      </vt:variant>
      <vt:variant>
        <vt:lpwstr>http://www.nevo.co.il/law/4216</vt:lpwstr>
      </vt:variant>
      <vt:variant>
        <vt:lpwstr/>
      </vt:variant>
      <vt:variant>
        <vt:i4>8257637</vt:i4>
      </vt:variant>
      <vt:variant>
        <vt:i4>186</vt:i4>
      </vt:variant>
      <vt:variant>
        <vt:i4>0</vt:i4>
      </vt:variant>
      <vt:variant>
        <vt:i4>5</vt:i4>
      </vt:variant>
      <vt:variant>
        <vt:lpwstr>http://www.nevo.co.il/law/4216</vt:lpwstr>
      </vt:variant>
      <vt:variant>
        <vt:lpwstr/>
      </vt:variant>
      <vt:variant>
        <vt:i4>3473528</vt:i4>
      </vt:variant>
      <vt:variant>
        <vt:i4>183</vt:i4>
      </vt:variant>
      <vt:variant>
        <vt:i4>0</vt:i4>
      </vt:variant>
      <vt:variant>
        <vt:i4>5</vt:i4>
      </vt:variant>
      <vt:variant>
        <vt:lpwstr>http://www.nevo.co.il/case/24307831</vt:lpwstr>
      </vt:variant>
      <vt:variant>
        <vt:lpwstr/>
      </vt:variant>
      <vt:variant>
        <vt:i4>3145849</vt:i4>
      </vt:variant>
      <vt:variant>
        <vt:i4>180</vt:i4>
      </vt:variant>
      <vt:variant>
        <vt:i4>0</vt:i4>
      </vt:variant>
      <vt:variant>
        <vt:i4>5</vt:i4>
      </vt:variant>
      <vt:variant>
        <vt:lpwstr>http://www.nevo.co.il/case/23785604</vt:lpwstr>
      </vt:variant>
      <vt:variant>
        <vt:lpwstr/>
      </vt:variant>
      <vt:variant>
        <vt:i4>3670129</vt:i4>
      </vt:variant>
      <vt:variant>
        <vt:i4>177</vt:i4>
      </vt:variant>
      <vt:variant>
        <vt:i4>0</vt:i4>
      </vt:variant>
      <vt:variant>
        <vt:i4>5</vt:i4>
      </vt:variant>
      <vt:variant>
        <vt:lpwstr>http://www.nevo.co.il/case/25179725</vt:lpwstr>
      </vt:variant>
      <vt:variant>
        <vt:lpwstr/>
      </vt:variant>
      <vt:variant>
        <vt:i4>3342448</vt:i4>
      </vt:variant>
      <vt:variant>
        <vt:i4>174</vt:i4>
      </vt:variant>
      <vt:variant>
        <vt:i4>0</vt:i4>
      </vt:variant>
      <vt:variant>
        <vt:i4>5</vt:i4>
      </vt:variant>
      <vt:variant>
        <vt:lpwstr>http://www.nevo.co.il/case/22938500</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http://www.nevo.co.il/law/70301/40d</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4915202</vt:i4>
      </vt:variant>
      <vt:variant>
        <vt:i4>162</vt:i4>
      </vt:variant>
      <vt:variant>
        <vt:i4>0</vt:i4>
      </vt:variant>
      <vt:variant>
        <vt:i4>5</vt:i4>
      </vt:variant>
      <vt:variant>
        <vt:lpwstr>http://www.nevo.co.il/law/70301/40c.b</vt:lpwstr>
      </vt:variant>
      <vt:variant>
        <vt:lpwstr/>
      </vt:variant>
      <vt:variant>
        <vt:i4>3342451</vt:i4>
      </vt:variant>
      <vt:variant>
        <vt:i4>159</vt:i4>
      </vt:variant>
      <vt:variant>
        <vt:i4>0</vt:i4>
      </vt:variant>
      <vt:variant>
        <vt:i4>5</vt:i4>
      </vt:variant>
      <vt:variant>
        <vt:lpwstr>http://www.nevo.co.il/case/22931697</vt:lpwstr>
      </vt:variant>
      <vt:variant>
        <vt:lpwstr/>
      </vt:variant>
      <vt:variant>
        <vt:i4>3342451</vt:i4>
      </vt:variant>
      <vt:variant>
        <vt:i4>156</vt:i4>
      </vt:variant>
      <vt:variant>
        <vt:i4>0</vt:i4>
      </vt:variant>
      <vt:variant>
        <vt:i4>5</vt:i4>
      </vt:variant>
      <vt:variant>
        <vt:lpwstr>http://www.nevo.co.il/case/24178485</vt:lpwstr>
      </vt:variant>
      <vt:variant>
        <vt:lpwstr/>
      </vt:variant>
      <vt:variant>
        <vt:i4>3866736</vt:i4>
      </vt:variant>
      <vt:variant>
        <vt:i4>153</vt:i4>
      </vt:variant>
      <vt:variant>
        <vt:i4>0</vt:i4>
      </vt:variant>
      <vt:variant>
        <vt:i4>5</vt:i4>
      </vt:variant>
      <vt:variant>
        <vt:lpwstr>http://www.nevo.co.il/case/20554181</vt:lpwstr>
      </vt:variant>
      <vt:variant>
        <vt:lpwstr/>
      </vt:variant>
      <vt:variant>
        <vt:i4>3539065</vt:i4>
      </vt:variant>
      <vt:variant>
        <vt:i4>150</vt:i4>
      </vt:variant>
      <vt:variant>
        <vt:i4>0</vt:i4>
      </vt:variant>
      <vt:variant>
        <vt:i4>5</vt:i4>
      </vt:variant>
      <vt:variant>
        <vt:lpwstr>http://www.nevo.co.il/case/23360870</vt:lpwstr>
      </vt:variant>
      <vt:variant>
        <vt:lpwstr/>
      </vt:variant>
      <vt:variant>
        <vt:i4>3211378</vt:i4>
      </vt:variant>
      <vt:variant>
        <vt:i4>147</vt:i4>
      </vt:variant>
      <vt:variant>
        <vt:i4>0</vt:i4>
      </vt:variant>
      <vt:variant>
        <vt:i4>5</vt:i4>
      </vt:variant>
      <vt:variant>
        <vt:lpwstr>http://www.nevo.co.il/case/22963299</vt:lpwstr>
      </vt:variant>
      <vt:variant>
        <vt:lpwstr/>
      </vt:variant>
      <vt:variant>
        <vt:i4>3342450</vt:i4>
      </vt:variant>
      <vt:variant>
        <vt:i4>144</vt:i4>
      </vt:variant>
      <vt:variant>
        <vt:i4>0</vt:i4>
      </vt:variant>
      <vt:variant>
        <vt:i4>5</vt:i4>
      </vt:variant>
      <vt:variant>
        <vt:lpwstr>http://www.nevo.co.il/case/5576554</vt:lpwstr>
      </vt:variant>
      <vt:variant>
        <vt:lpwstr/>
      </vt:variant>
      <vt:variant>
        <vt:i4>3539062</vt:i4>
      </vt:variant>
      <vt:variant>
        <vt:i4>141</vt:i4>
      </vt:variant>
      <vt:variant>
        <vt:i4>0</vt:i4>
      </vt:variant>
      <vt:variant>
        <vt:i4>5</vt:i4>
      </vt:variant>
      <vt:variant>
        <vt:lpwstr>http://www.nevo.co.il/case/21477472</vt:lpwstr>
      </vt:variant>
      <vt:variant>
        <vt:lpwstr/>
      </vt:variant>
      <vt:variant>
        <vt:i4>3539062</vt:i4>
      </vt:variant>
      <vt:variant>
        <vt:i4>138</vt:i4>
      </vt:variant>
      <vt:variant>
        <vt:i4>0</vt:i4>
      </vt:variant>
      <vt:variant>
        <vt:i4>5</vt:i4>
      </vt:variant>
      <vt:variant>
        <vt:lpwstr>http://www.nevo.co.il/case/26222649</vt:lpwstr>
      </vt:variant>
      <vt:variant>
        <vt:lpwstr/>
      </vt:variant>
      <vt:variant>
        <vt:i4>3932278</vt:i4>
      </vt:variant>
      <vt:variant>
        <vt:i4>135</vt:i4>
      </vt:variant>
      <vt:variant>
        <vt:i4>0</vt:i4>
      </vt:variant>
      <vt:variant>
        <vt:i4>5</vt:i4>
      </vt:variant>
      <vt:variant>
        <vt:lpwstr>http://www.nevo.co.il/case/22865634</vt:lpwstr>
      </vt:variant>
      <vt:variant>
        <vt:lpwstr/>
      </vt:variant>
      <vt:variant>
        <vt:i4>3604607</vt:i4>
      </vt:variant>
      <vt:variant>
        <vt:i4>132</vt:i4>
      </vt:variant>
      <vt:variant>
        <vt:i4>0</vt:i4>
      </vt:variant>
      <vt:variant>
        <vt:i4>5</vt:i4>
      </vt:variant>
      <vt:variant>
        <vt:lpwstr>http://www.nevo.co.il/case/23519993</vt:lpwstr>
      </vt:variant>
      <vt:variant>
        <vt:lpwstr/>
      </vt:variant>
      <vt:variant>
        <vt:i4>3145844</vt:i4>
      </vt:variant>
      <vt:variant>
        <vt:i4>129</vt:i4>
      </vt:variant>
      <vt:variant>
        <vt:i4>0</vt:i4>
      </vt:variant>
      <vt:variant>
        <vt:i4>5</vt:i4>
      </vt:variant>
      <vt:variant>
        <vt:lpwstr>http://www.nevo.co.il/case/26473157</vt:lpwstr>
      </vt:variant>
      <vt:variant>
        <vt:lpwstr/>
      </vt:variant>
      <vt:variant>
        <vt:i4>3539057</vt:i4>
      </vt:variant>
      <vt:variant>
        <vt:i4>126</vt:i4>
      </vt:variant>
      <vt:variant>
        <vt:i4>0</vt:i4>
      </vt:variant>
      <vt:variant>
        <vt:i4>5</vt:i4>
      </vt:variant>
      <vt:variant>
        <vt:lpwstr>http://www.nevo.co.il/case/23777143</vt:lpwstr>
      </vt:variant>
      <vt:variant>
        <vt:lpwstr/>
      </vt:variant>
      <vt:variant>
        <vt:i4>3735666</vt:i4>
      </vt:variant>
      <vt:variant>
        <vt:i4>123</vt:i4>
      </vt:variant>
      <vt:variant>
        <vt:i4>0</vt:i4>
      </vt:variant>
      <vt:variant>
        <vt:i4>5</vt:i4>
      </vt:variant>
      <vt:variant>
        <vt:lpwstr>http://www.nevo.co.il/case/22937758</vt:lpwstr>
      </vt:variant>
      <vt:variant>
        <vt:lpwstr/>
      </vt:variant>
      <vt:variant>
        <vt:i4>3801212</vt:i4>
      </vt:variant>
      <vt:variant>
        <vt:i4>120</vt:i4>
      </vt:variant>
      <vt:variant>
        <vt:i4>0</vt:i4>
      </vt:variant>
      <vt:variant>
        <vt:i4>5</vt:i4>
      </vt:variant>
      <vt:variant>
        <vt:lpwstr>http://www.nevo.co.il/case/27068906</vt:lpwstr>
      </vt:variant>
      <vt:variant>
        <vt:lpwstr/>
      </vt:variant>
      <vt:variant>
        <vt:i4>3211381</vt:i4>
      </vt:variant>
      <vt:variant>
        <vt:i4>117</vt:i4>
      </vt:variant>
      <vt:variant>
        <vt:i4>0</vt:i4>
      </vt:variant>
      <vt:variant>
        <vt:i4>5</vt:i4>
      </vt:variant>
      <vt:variant>
        <vt:lpwstr>http://www.nevo.co.il/case/21822291</vt:lpwstr>
      </vt:variant>
      <vt:variant>
        <vt:lpwstr/>
      </vt:variant>
      <vt:variant>
        <vt:i4>3997809</vt:i4>
      </vt:variant>
      <vt:variant>
        <vt:i4>114</vt:i4>
      </vt:variant>
      <vt:variant>
        <vt:i4>0</vt:i4>
      </vt:variant>
      <vt:variant>
        <vt:i4>5</vt:i4>
      </vt:variant>
      <vt:variant>
        <vt:lpwstr>http://www.nevo.co.il/case/20621782</vt:lpwstr>
      </vt:variant>
      <vt:variant>
        <vt:lpwstr/>
      </vt:variant>
      <vt:variant>
        <vt:i4>3735670</vt:i4>
      </vt:variant>
      <vt:variant>
        <vt:i4>111</vt:i4>
      </vt:variant>
      <vt:variant>
        <vt:i4>0</vt:i4>
      </vt:variant>
      <vt:variant>
        <vt:i4>5</vt:i4>
      </vt:variant>
      <vt:variant>
        <vt:lpwstr>http://www.nevo.co.il/case/20975571</vt:lpwstr>
      </vt:variant>
      <vt:variant>
        <vt:lpwstr/>
      </vt:variant>
      <vt:variant>
        <vt:i4>3932282</vt:i4>
      </vt:variant>
      <vt:variant>
        <vt:i4>108</vt:i4>
      </vt:variant>
      <vt:variant>
        <vt:i4>0</vt:i4>
      </vt:variant>
      <vt:variant>
        <vt:i4>5</vt:i4>
      </vt:variant>
      <vt:variant>
        <vt:lpwstr>http://www.nevo.co.il/case/21592697</vt:lpwstr>
      </vt:variant>
      <vt:variant>
        <vt:lpwstr/>
      </vt:variant>
      <vt:variant>
        <vt:i4>3735668</vt:i4>
      </vt:variant>
      <vt:variant>
        <vt:i4>105</vt:i4>
      </vt:variant>
      <vt:variant>
        <vt:i4>0</vt:i4>
      </vt:variant>
      <vt:variant>
        <vt:i4>5</vt:i4>
      </vt:variant>
      <vt:variant>
        <vt:lpwstr>http://www.nevo.co.il/case/22128021</vt:lpwstr>
      </vt:variant>
      <vt:variant>
        <vt:lpwstr/>
      </vt:variant>
      <vt:variant>
        <vt:i4>4128884</vt:i4>
      </vt:variant>
      <vt:variant>
        <vt:i4>102</vt:i4>
      </vt:variant>
      <vt:variant>
        <vt:i4>0</vt:i4>
      </vt:variant>
      <vt:variant>
        <vt:i4>5</vt:i4>
      </vt:variant>
      <vt:variant>
        <vt:lpwstr>http://www.nevo.co.il/case/20991958</vt:lpwstr>
      </vt:variant>
      <vt:variant>
        <vt:lpwstr/>
      </vt:variant>
      <vt:variant>
        <vt:i4>3145841</vt:i4>
      </vt:variant>
      <vt:variant>
        <vt:i4>99</vt:i4>
      </vt:variant>
      <vt:variant>
        <vt:i4>0</vt:i4>
      </vt:variant>
      <vt:variant>
        <vt:i4>5</vt:i4>
      </vt:variant>
      <vt:variant>
        <vt:lpwstr>http://www.nevo.co.il/case/23672166</vt:lpwstr>
      </vt:variant>
      <vt:variant>
        <vt:lpwstr/>
      </vt:variant>
      <vt:variant>
        <vt:i4>3276917</vt:i4>
      </vt:variant>
      <vt:variant>
        <vt:i4>96</vt:i4>
      </vt:variant>
      <vt:variant>
        <vt:i4>0</vt:i4>
      </vt:variant>
      <vt:variant>
        <vt:i4>5</vt:i4>
      </vt:variant>
      <vt:variant>
        <vt:lpwstr>http://www.nevo.co.il/case/25457133</vt:lpwstr>
      </vt:variant>
      <vt:variant>
        <vt:lpwstr/>
      </vt:variant>
      <vt:variant>
        <vt:i4>3276919</vt:i4>
      </vt:variant>
      <vt:variant>
        <vt:i4>93</vt:i4>
      </vt:variant>
      <vt:variant>
        <vt:i4>0</vt:i4>
      </vt:variant>
      <vt:variant>
        <vt:i4>5</vt:i4>
      </vt:variant>
      <vt:variant>
        <vt:lpwstr>http://www.nevo.co.il/case/24335465</vt:lpwstr>
      </vt:variant>
      <vt:variant>
        <vt:lpwstr/>
      </vt:variant>
      <vt:variant>
        <vt:i4>3604596</vt:i4>
      </vt:variant>
      <vt:variant>
        <vt:i4>90</vt:i4>
      </vt:variant>
      <vt:variant>
        <vt:i4>0</vt:i4>
      </vt:variant>
      <vt:variant>
        <vt:i4>5</vt:i4>
      </vt:variant>
      <vt:variant>
        <vt:lpwstr>http://www.nevo.co.il/case/22645661</vt:lpwstr>
      </vt:variant>
      <vt:variant>
        <vt:lpwstr/>
      </vt:variant>
      <vt:variant>
        <vt:i4>3539057</vt:i4>
      </vt:variant>
      <vt:variant>
        <vt:i4>87</vt:i4>
      </vt:variant>
      <vt:variant>
        <vt:i4>0</vt:i4>
      </vt:variant>
      <vt:variant>
        <vt:i4>5</vt:i4>
      </vt:variant>
      <vt:variant>
        <vt:lpwstr>http://www.nevo.co.il/case/23777143</vt:lpwstr>
      </vt:variant>
      <vt:variant>
        <vt:lpwstr/>
      </vt:variant>
      <vt:variant>
        <vt:i4>4128890</vt:i4>
      </vt:variant>
      <vt:variant>
        <vt:i4>84</vt:i4>
      </vt:variant>
      <vt:variant>
        <vt:i4>0</vt:i4>
      </vt:variant>
      <vt:variant>
        <vt:i4>5</vt:i4>
      </vt:variant>
      <vt:variant>
        <vt:lpwstr>http://www.nevo.co.il/case/24398360</vt:lpwstr>
      </vt:variant>
      <vt:variant>
        <vt:lpwstr/>
      </vt:variant>
      <vt:variant>
        <vt:i4>3932282</vt:i4>
      </vt:variant>
      <vt:variant>
        <vt:i4>81</vt:i4>
      </vt:variant>
      <vt:variant>
        <vt:i4>0</vt:i4>
      </vt:variant>
      <vt:variant>
        <vt:i4>5</vt:i4>
      </vt:variant>
      <vt:variant>
        <vt:lpwstr>http://www.nevo.co.il/case/26804829</vt:lpwstr>
      </vt:variant>
      <vt:variant>
        <vt:lpwstr/>
      </vt:variant>
      <vt:variant>
        <vt:i4>3211386</vt:i4>
      </vt:variant>
      <vt:variant>
        <vt:i4>78</vt:i4>
      </vt:variant>
      <vt:variant>
        <vt:i4>0</vt:i4>
      </vt:variant>
      <vt:variant>
        <vt:i4>5</vt:i4>
      </vt:variant>
      <vt:variant>
        <vt:lpwstr>http://www.nevo.co.il/case/27481166</vt:lpwstr>
      </vt:variant>
      <vt:variant>
        <vt:lpwstr/>
      </vt:variant>
      <vt:variant>
        <vt:i4>3670137</vt:i4>
      </vt:variant>
      <vt:variant>
        <vt:i4>75</vt:i4>
      </vt:variant>
      <vt:variant>
        <vt:i4>0</vt:i4>
      </vt:variant>
      <vt:variant>
        <vt:i4>5</vt:i4>
      </vt:variant>
      <vt:variant>
        <vt:lpwstr>http://www.nevo.co.il/case/27537984</vt:lpwstr>
      </vt:variant>
      <vt:variant>
        <vt:lpwstr/>
      </vt:variant>
      <vt:variant>
        <vt:i4>3276918</vt:i4>
      </vt:variant>
      <vt:variant>
        <vt:i4>72</vt:i4>
      </vt:variant>
      <vt:variant>
        <vt:i4>0</vt:i4>
      </vt:variant>
      <vt:variant>
        <vt:i4>5</vt:i4>
      </vt:variant>
      <vt:variant>
        <vt:lpwstr>http://www.nevo.co.il/case/26732753</vt:lpwstr>
      </vt:variant>
      <vt:variant>
        <vt:lpwstr/>
      </vt:variant>
      <vt:variant>
        <vt:i4>3735674</vt:i4>
      </vt:variant>
      <vt:variant>
        <vt:i4>69</vt:i4>
      </vt:variant>
      <vt:variant>
        <vt:i4>0</vt:i4>
      </vt:variant>
      <vt:variant>
        <vt:i4>5</vt:i4>
      </vt:variant>
      <vt:variant>
        <vt:lpwstr>http://www.nevo.co.il/case/27002992</vt:lpwstr>
      </vt:variant>
      <vt:variant>
        <vt:lpwstr/>
      </vt:variant>
      <vt:variant>
        <vt:i4>3735676</vt:i4>
      </vt:variant>
      <vt:variant>
        <vt:i4>66</vt:i4>
      </vt:variant>
      <vt:variant>
        <vt:i4>0</vt:i4>
      </vt:variant>
      <vt:variant>
        <vt:i4>5</vt:i4>
      </vt:variant>
      <vt:variant>
        <vt:lpwstr>http://www.nevo.co.il/case/26765897</vt:lpwstr>
      </vt:variant>
      <vt:variant>
        <vt:lpwstr/>
      </vt:variant>
      <vt:variant>
        <vt:i4>4128882</vt:i4>
      </vt:variant>
      <vt:variant>
        <vt:i4>63</vt:i4>
      </vt:variant>
      <vt:variant>
        <vt:i4>0</vt:i4>
      </vt:variant>
      <vt:variant>
        <vt:i4>5</vt:i4>
      </vt:variant>
      <vt:variant>
        <vt:lpwstr>http://www.nevo.co.il/case/21639429</vt:lpwstr>
      </vt:variant>
      <vt:variant>
        <vt:lpwstr/>
      </vt:variant>
      <vt:variant>
        <vt:i4>3407988</vt:i4>
      </vt:variant>
      <vt:variant>
        <vt:i4>60</vt:i4>
      </vt:variant>
      <vt:variant>
        <vt:i4>0</vt:i4>
      </vt:variant>
      <vt:variant>
        <vt:i4>5</vt:i4>
      </vt:variant>
      <vt:variant>
        <vt:lpwstr>http://www.nevo.co.il/case/26022441</vt:lpwstr>
      </vt:variant>
      <vt:variant>
        <vt:lpwstr/>
      </vt:variant>
      <vt:variant>
        <vt:i4>3866749</vt:i4>
      </vt:variant>
      <vt:variant>
        <vt:i4>57</vt:i4>
      </vt:variant>
      <vt:variant>
        <vt:i4>0</vt:i4>
      </vt:variant>
      <vt:variant>
        <vt:i4>5</vt:i4>
      </vt:variant>
      <vt:variant>
        <vt:lpwstr>http://www.nevo.co.il/case/5844852</vt:lpwstr>
      </vt:variant>
      <vt:variant>
        <vt:lpwstr/>
      </vt:variant>
      <vt:variant>
        <vt:i4>3145848</vt:i4>
      </vt:variant>
      <vt:variant>
        <vt:i4>54</vt:i4>
      </vt:variant>
      <vt:variant>
        <vt:i4>0</vt:i4>
      </vt:variant>
      <vt:variant>
        <vt:i4>5</vt:i4>
      </vt:variant>
      <vt:variant>
        <vt:lpwstr>http://www.nevo.co.il/case/17939812</vt:lpwstr>
      </vt:variant>
      <vt:variant>
        <vt:lpwstr/>
      </vt:variant>
      <vt:variant>
        <vt:i4>3145840</vt:i4>
      </vt:variant>
      <vt:variant>
        <vt:i4>51</vt:i4>
      </vt:variant>
      <vt:variant>
        <vt:i4>0</vt:i4>
      </vt:variant>
      <vt:variant>
        <vt:i4>5</vt:i4>
      </vt:variant>
      <vt:variant>
        <vt:lpwstr>http://www.nevo.co.il/case/6045416</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3473521</vt:i4>
      </vt:variant>
      <vt:variant>
        <vt:i4>42</vt:i4>
      </vt:variant>
      <vt:variant>
        <vt:i4>0</vt:i4>
      </vt:variant>
      <vt:variant>
        <vt:i4>5</vt:i4>
      </vt:variant>
      <vt:variant>
        <vt:lpwstr>http://www.nevo.co.il/case/20033641</vt:lpwstr>
      </vt:variant>
      <vt:variant>
        <vt:lpwstr/>
      </vt:variant>
      <vt:variant>
        <vt:i4>3276918</vt:i4>
      </vt:variant>
      <vt:variant>
        <vt:i4>39</vt:i4>
      </vt:variant>
      <vt:variant>
        <vt:i4>0</vt:i4>
      </vt:variant>
      <vt:variant>
        <vt:i4>5</vt:i4>
      </vt:variant>
      <vt:variant>
        <vt:lpwstr>http://www.nevo.co.il/case/13101134</vt:lpwstr>
      </vt:variant>
      <vt:variant>
        <vt:lpwstr/>
      </vt:variant>
      <vt:variant>
        <vt:i4>4128884</vt:i4>
      </vt:variant>
      <vt:variant>
        <vt:i4>36</vt:i4>
      </vt:variant>
      <vt:variant>
        <vt:i4>0</vt:i4>
      </vt:variant>
      <vt:variant>
        <vt:i4>5</vt:i4>
      </vt:variant>
      <vt:variant>
        <vt:lpwstr>http://www.nevo.co.il/case/17954235</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70374</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רחל סלע</vt:lpwstr>
  </property>
  <property fmtid="{D5CDD505-2E9C-101B-9397-08002B2CF9AE}" pid="10" name="LAWYER">
    <vt:lpwstr>נס בן נתן</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20220615</vt:lpwstr>
  </property>
  <property fmtid="{D5CDD505-2E9C-101B-9397-08002B2CF9AE}" pid="14" name="TYPE_N_DATE">
    <vt:lpwstr>38020220615</vt:lpwstr>
  </property>
  <property fmtid="{D5CDD505-2E9C-101B-9397-08002B2CF9AE}" pid="15" name="WORDNUMPAGES">
    <vt:lpwstr>15</vt:lpwstr>
  </property>
  <property fmtid="{D5CDD505-2E9C-101B-9397-08002B2CF9AE}" pid="16" name="TYPE_ABS_DATE">
    <vt:lpwstr>380020220615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13093721;17954235;13101134;20033641;5738608;5786821;6045416;17939812;5844852;26022441;21639429;26765897;27002992;26732753;27537984;27481166;26804829;24398360;23777143:2;22645661;24335465;25457133;23672166;20991958;22128021;21592697;20975571;20621782</vt:lpwstr>
  </property>
  <property fmtid="{D5CDD505-2E9C-101B-9397-08002B2CF9AE}" pid="36" name="CASESLISTTMP2">
    <vt:lpwstr>21822291;27068906;22937758;26473157;23519993;22865634;26222649;21477472;5576554;22963299;23360870;20554181;24178485;22931697;22938500;25179725;23785604;24307831</vt:lpwstr>
  </property>
  <property fmtid="{D5CDD505-2E9C-101B-9397-08002B2CF9AE}" pid="37" name="LAWLISTTMP1">
    <vt:lpwstr>4216/007.a;007.c;013;019.a</vt:lpwstr>
  </property>
  <property fmtid="{D5CDD505-2E9C-101B-9397-08002B2CF9AE}" pid="38" name="LAWLISTTMP2">
    <vt:lpwstr>70301/040c.b;040d</vt:lpwstr>
  </property>
</Properties>
</file>