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8F0329" w:rsidRPr="002D09DB" w14:paraId="3E159CF2" w14:textId="77777777" w:rsidTr="00B35C85">
        <w:trPr>
          <w:gridAfter w:val="1"/>
          <w:wAfter w:w="99" w:type="dxa"/>
          <w:trHeight w:hRule="exact" w:val="418"/>
          <w:jc w:val="center"/>
        </w:trPr>
        <w:tc>
          <w:tcPr>
            <w:tcW w:w="8721" w:type="dxa"/>
            <w:gridSpan w:val="4"/>
          </w:tcPr>
          <w:p w14:paraId="114924CE" w14:textId="77777777" w:rsidR="008F0329" w:rsidRPr="002D09DB" w:rsidRDefault="008F0329" w:rsidP="00A271AF">
            <w:pPr>
              <w:pStyle w:val="a3"/>
              <w:jc w:val="center"/>
              <w:rPr>
                <w:rFonts w:ascii="Tahoma" w:hAnsi="Tahoma" w:cs="Tahoma"/>
                <w:color w:val="000080"/>
                <w:rtl/>
              </w:rPr>
            </w:pPr>
            <w:bookmarkStart w:id="0" w:name="LastJudge"/>
            <w:r w:rsidRPr="002D09DB">
              <w:rPr>
                <w:rFonts w:ascii="Tahoma" w:hAnsi="Tahoma" w:cs="Tahoma"/>
                <w:b/>
                <w:bCs/>
                <w:color w:val="000080"/>
                <w:rtl/>
              </w:rPr>
              <w:t>בית משפט השלום בתל אביב -יפו</w:t>
            </w:r>
          </w:p>
        </w:tc>
      </w:tr>
      <w:tr w:rsidR="008F0329" w:rsidRPr="002D09DB" w14:paraId="3B621CE3" w14:textId="77777777" w:rsidTr="00B35C85">
        <w:trPr>
          <w:gridAfter w:val="1"/>
          <w:wAfter w:w="99" w:type="dxa"/>
          <w:trHeight w:val="337"/>
          <w:jc w:val="center"/>
        </w:trPr>
        <w:tc>
          <w:tcPr>
            <w:tcW w:w="5054" w:type="dxa"/>
            <w:gridSpan w:val="3"/>
          </w:tcPr>
          <w:p w14:paraId="5E32CCE6" w14:textId="77777777" w:rsidR="008F0329" w:rsidRPr="002D09DB" w:rsidRDefault="008F0329" w:rsidP="00A271AF">
            <w:pPr>
              <w:rPr>
                <w:rFonts w:cs="FrankRuehl"/>
                <w:sz w:val="28"/>
                <w:szCs w:val="28"/>
                <w:rtl/>
              </w:rPr>
            </w:pPr>
            <w:r w:rsidRPr="002D09DB">
              <w:rPr>
                <w:rFonts w:cs="FrankRuehl"/>
                <w:sz w:val="28"/>
                <w:szCs w:val="28"/>
                <w:rtl/>
              </w:rPr>
              <w:t>ת"פ</w:t>
            </w:r>
            <w:r w:rsidRPr="002D09DB">
              <w:rPr>
                <w:rFonts w:cs="FrankRuehl" w:hint="cs"/>
                <w:sz w:val="28"/>
                <w:szCs w:val="28"/>
                <w:rtl/>
              </w:rPr>
              <w:t xml:space="preserve"> </w:t>
            </w:r>
            <w:r w:rsidRPr="002D09DB">
              <w:rPr>
                <w:rFonts w:cs="FrankRuehl"/>
                <w:sz w:val="28"/>
                <w:szCs w:val="28"/>
                <w:rtl/>
              </w:rPr>
              <w:t>14193-12-20</w:t>
            </w:r>
            <w:r w:rsidRPr="002D09DB">
              <w:rPr>
                <w:rFonts w:cs="FrankRuehl" w:hint="cs"/>
                <w:sz w:val="28"/>
                <w:szCs w:val="28"/>
                <w:rtl/>
              </w:rPr>
              <w:t xml:space="preserve"> </w:t>
            </w:r>
            <w:r w:rsidRPr="002D09DB">
              <w:rPr>
                <w:rFonts w:cs="FrankRuehl"/>
                <w:sz w:val="28"/>
                <w:szCs w:val="28"/>
                <w:rtl/>
              </w:rPr>
              <w:t>מדינת ישראל נ' גויטע</w:t>
            </w:r>
          </w:p>
          <w:p w14:paraId="5DEB7D5A" w14:textId="77777777" w:rsidR="008F0329" w:rsidRPr="002D09DB" w:rsidRDefault="008F0329" w:rsidP="00A271AF">
            <w:pPr>
              <w:pStyle w:val="a3"/>
              <w:rPr>
                <w:rFonts w:cs="FrankRuehl"/>
                <w:sz w:val="28"/>
                <w:szCs w:val="28"/>
                <w:rtl/>
              </w:rPr>
            </w:pPr>
          </w:p>
        </w:tc>
        <w:tc>
          <w:tcPr>
            <w:tcW w:w="3667" w:type="dxa"/>
          </w:tcPr>
          <w:p w14:paraId="2E34D1D1" w14:textId="77777777" w:rsidR="008F0329" w:rsidRPr="002D09DB" w:rsidRDefault="008F0329" w:rsidP="00A271AF">
            <w:pPr>
              <w:pStyle w:val="a3"/>
              <w:jc w:val="right"/>
              <w:rPr>
                <w:rFonts w:cs="FrankRuehl"/>
                <w:sz w:val="28"/>
                <w:szCs w:val="28"/>
                <w:rtl/>
              </w:rPr>
            </w:pPr>
          </w:p>
        </w:tc>
      </w:tr>
      <w:tr w:rsidR="008F0329" w:rsidRPr="002D09DB" w14:paraId="5A6FA802" w14:textId="77777777" w:rsidTr="00B35C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DFB01C3" w14:textId="77777777" w:rsidR="008F0329" w:rsidRPr="002D09DB" w:rsidRDefault="008F0329" w:rsidP="008F0329">
            <w:pPr>
              <w:spacing w:line="360" w:lineRule="auto"/>
              <w:jc w:val="both"/>
              <w:rPr>
                <w:rFonts w:ascii="David" w:hAnsi="David"/>
                <w:b/>
                <w:bCs/>
                <w:sz w:val="26"/>
                <w:szCs w:val="26"/>
              </w:rPr>
            </w:pPr>
            <w:r w:rsidRPr="002D09DB">
              <w:rPr>
                <w:rFonts w:hint="cs"/>
                <w:rtl/>
              </w:rPr>
              <w:t xml:space="preserve"> </w:t>
            </w:r>
            <w:r w:rsidRPr="002D09DB">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617F72C0" w14:textId="77777777" w:rsidR="008F0329" w:rsidRPr="002D09DB" w:rsidRDefault="008F0329" w:rsidP="008F0329">
            <w:pPr>
              <w:spacing w:line="360" w:lineRule="auto"/>
              <w:rPr>
                <w:rFonts w:ascii="David" w:hAnsi="David"/>
                <w:b/>
                <w:bCs/>
                <w:sz w:val="26"/>
                <w:szCs w:val="26"/>
                <w:rtl/>
              </w:rPr>
            </w:pPr>
            <w:r w:rsidRPr="002D09DB">
              <w:rPr>
                <w:rFonts w:ascii="David" w:hAnsi="David" w:hint="cs"/>
                <w:b/>
                <w:bCs/>
                <w:sz w:val="26"/>
                <w:szCs w:val="26"/>
                <w:rtl/>
              </w:rPr>
              <w:t>כבוד השופט הבכיר, שאול אבינור</w:t>
            </w:r>
          </w:p>
          <w:p w14:paraId="71621294" w14:textId="77777777" w:rsidR="008F0329" w:rsidRPr="002D09DB" w:rsidRDefault="008F0329" w:rsidP="008F0329">
            <w:pPr>
              <w:spacing w:line="360" w:lineRule="auto"/>
              <w:rPr>
                <w:rFonts w:ascii="David" w:hAnsi="David"/>
                <w:sz w:val="26"/>
                <w:szCs w:val="26"/>
              </w:rPr>
            </w:pPr>
          </w:p>
        </w:tc>
      </w:tr>
      <w:tr w:rsidR="008F0329" w:rsidRPr="002D09DB" w14:paraId="74FE6C96" w14:textId="77777777" w:rsidTr="00B35C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88D3277" w14:textId="77777777" w:rsidR="008F0329" w:rsidRPr="002D09DB" w:rsidRDefault="008F0329" w:rsidP="008F0329">
            <w:pPr>
              <w:spacing w:line="360" w:lineRule="auto"/>
              <w:jc w:val="both"/>
              <w:rPr>
                <w:rFonts w:ascii="David" w:hAnsi="David"/>
                <w:sz w:val="26"/>
                <w:szCs w:val="26"/>
              </w:rPr>
            </w:pPr>
            <w:bookmarkStart w:id="1" w:name="FirstAppellant"/>
            <w:bookmarkStart w:id="2" w:name="FirstLawyer"/>
            <w:r w:rsidRPr="002D09DB">
              <w:rPr>
                <w:rFonts w:ascii="David" w:hAnsi="David"/>
                <w:sz w:val="26"/>
                <w:szCs w:val="26"/>
                <w:rtl/>
              </w:rPr>
              <w:t>בעניין:</w:t>
            </w:r>
          </w:p>
        </w:tc>
        <w:tc>
          <w:tcPr>
            <w:tcW w:w="3219" w:type="dxa"/>
            <w:tcBorders>
              <w:top w:val="nil"/>
              <w:left w:val="nil"/>
              <w:bottom w:val="nil"/>
              <w:right w:val="nil"/>
            </w:tcBorders>
            <w:shd w:val="clear" w:color="auto" w:fill="auto"/>
          </w:tcPr>
          <w:p w14:paraId="2BD5BBA0" w14:textId="77777777" w:rsidR="008F0329" w:rsidRPr="002D09DB" w:rsidRDefault="008F0329" w:rsidP="008F0329">
            <w:pPr>
              <w:suppressLineNumbers/>
              <w:spacing w:line="360" w:lineRule="auto"/>
            </w:pPr>
            <w:r w:rsidRPr="002D09DB">
              <w:rPr>
                <w:rFonts w:ascii="Arial" w:hAnsi="Arial" w:hint="cs"/>
                <w:b/>
                <w:bCs/>
                <w:sz w:val="26"/>
                <w:szCs w:val="26"/>
                <w:rtl/>
              </w:rPr>
              <w:t>המאשימה:</w:t>
            </w:r>
          </w:p>
          <w:p w14:paraId="418BAC09" w14:textId="77777777" w:rsidR="008F0329" w:rsidRPr="002D09DB" w:rsidRDefault="008F0329" w:rsidP="008F0329">
            <w:pPr>
              <w:spacing w:line="360" w:lineRule="auto"/>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653B6FA" w14:textId="77777777" w:rsidR="008F0329" w:rsidRPr="002D09DB" w:rsidRDefault="008F0329" w:rsidP="008F0329">
            <w:pPr>
              <w:suppressLineNumbers/>
              <w:spacing w:line="360" w:lineRule="auto"/>
              <w:rPr>
                <w:rFonts w:ascii="Arial" w:hAnsi="Arial"/>
                <w:rtl/>
              </w:rPr>
            </w:pPr>
            <w:r w:rsidRPr="002D09DB">
              <w:rPr>
                <w:rFonts w:ascii="Arial" w:hAnsi="Arial"/>
                <w:b/>
                <w:bCs/>
                <w:sz w:val="26"/>
                <w:szCs w:val="26"/>
                <w:rtl/>
              </w:rPr>
              <w:t>מדינת ישראל</w:t>
            </w:r>
            <w:r w:rsidRPr="002D09DB">
              <w:rPr>
                <w:rFonts w:ascii="Arial" w:hAnsi="Arial" w:hint="cs"/>
                <w:b/>
                <w:bCs/>
                <w:sz w:val="26"/>
                <w:szCs w:val="26"/>
                <w:rtl/>
              </w:rPr>
              <w:t xml:space="preserve"> </w:t>
            </w:r>
          </w:p>
          <w:p w14:paraId="749F6943" w14:textId="77777777" w:rsidR="008F0329" w:rsidRPr="002D09DB" w:rsidRDefault="008F0329" w:rsidP="008F0329">
            <w:pPr>
              <w:suppressLineNumbers/>
              <w:spacing w:line="360" w:lineRule="auto"/>
            </w:pPr>
            <w:r w:rsidRPr="002D09DB">
              <w:rPr>
                <w:rFonts w:ascii="Arial" w:hAnsi="Arial"/>
                <w:rtl/>
              </w:rPr>
              <w:t>ע"י</w:t>
            </w:r>
            <w:r w:rsidRPr="002D09DB">
              <w:rPr>
                <w:rFonts w:ascii="Arial" w:hAnsi="Arial"/>
                <w:b/>
                <w:bCs/>
                <w:sz w:val="26"/>
                <w:szCs w:val="26"/>
                <w:rtl/>
              </w:rPr>
              <w:t xml:space="preserve"> </w:t>
            </w:r>
            <w:r w:rsidRPr="002D09DB">
              <w:rPr>
                <w:rFonts w:ascii="Arial" w:hAnsi="Arial"/>
                <w:rtl/>
              </w:rPr>
              <w:t>ב"כ עו"ד</w:t>
            </w:r>
            <w:r w:rsidRPr="002D09DB">
              <w:rPr>
                <w:rFonts w:ascii="Arial" w:hAnsi="Arial" w:hint="cs"/>
                <w:rtl/>
              </w:rPr>
              <w:t xml:space="preserve"> רועי חמדני</w:t>
            </w:r>
          </w:p>
          <w:p w14:paraId="22962461" w14:textId="77777777" w:rsidR="008F0329" w:rsidRPr="002D09DB" w:rsidRDefault="008F0329" w:rsidP="008F0329">
            <w:pPr>
              <w:spacing w:line="360" w:lineRule="auto"/>
              <w:rPr>
                <w:rFonts w:ascii="David" w:hAnsi="David"/>
                <w:sz w:val="26"/>
                <w:szCs w:val="26"/>
              </w:rPr>
            </w:pPr>
          </w:p>
        </w:tc>
      </w:tr>
      <w:bookmarkEnd w:id="1"/>
      <w:bookmarkEnd w:id="2"/>
      <w:tr w:rsidR="008F0329" w:rsidRPr="002D09DB" w14:paraId="41465618" w14:textId="77777777" w:rsidTr="00B35C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F989E0B" w14:textId="77777777" w:rsidR="008F0329" w:rsidRPr="002D09DB" w:rsidRDefault="008F0329" w:rsidP="008F0329">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7CF3E708" w14:textId="77777777" w:rsidR="008F0329" w:rsidRPr="002D09DB" w:rsidRDefault="008F0329" w:rsidP="008F0329">
            <w:pPr>
              <w:spacing w:line="360" w:lineRule="auto"/>
              <w:jc w:val="center"/>
              <w:rPr>
                <w:rFonts w:ascii="David" w:hAnsi="David"/>
                <w:b/>
                <w:bCs/>
                <w:sz w:val="26"/>
                <w:szCs w:val="26"/>
                <w:rtl/>
              </w:rPr>
            </w:pPr>
          </w:p>
          <w:p w14:paraId="33F31259" w14:textId="77777777" w:rsidR="008F0329" w:rsidRPr="002D09DB" w:rsidRDefault="008F0329" w:rsidP="008F0329">
            <w:pPr>
              <w:spacing w:line="360" w:lineRule="auto"/>
              <w:jc w:val="center"/>
              <w:rPr>
                <w:rFonts w:ascii="David" w:hAnsi="David"/>
                <w:b/>
                <w:bCs/>
                <w:sz w:val="26"/>
                <w:szCs w:val="26"/>
                <w:rtl/>
              </w:rPr>
            </w:pPr>
            <w:r w:rsidRPr="002D09DB">
              <w:rPr>
                <w:rFonts w:ascii="David" w:hAnsi="David"/>
                <w:b/>
                <w:bCs/>
                <w:sz w:val="26"/>
                <w:szCs w:val="26"/>
                <w:rtl/>
              </w:rPr>
              <w:t>נגד</w:t>
            </w:r>
          </w:p>
          <w:p w14:paraId="0F139E4D" w14:textId="77777777" w:rsidR="008F0329" w:rsidRPr="002D09DB" w:rsidRDefault="008F0329" w:rsidP="008F0329">
            <w:pPr>
              <w:spacing w:line="360" w:lineRule="auto"/>
              <w:jc w:val="both"/>
              <w:rPr>
                <w:rFonts w:ascii="David" w:hAnsi="David"/>
                <w:sz w:val="26"/>
                <w:szCs w:val="26"/>
                <w:rtl/>
              </w:rPr>
            </w:pPr>
          </w:p>
          <w:p w14:paraId="7EACABC3" w14:textId="77777777" w:rsidR="008F0329" w:rsidRPr="002D09DB" w:rsidRDefault="008F0329" w:rsidP="008F0329">
            <w:pPr>
              <w:spacing w:line="360" w:lineRule="auto"/>
              <w:jc w:val="both"/>
              <w:rPr>
                <w:rFonts w:ascii="David" w:hAnsi="David"/>
                <w:sz w:val="26"/>
                <w:szCs w:val="26"/>
              </w:rPr>
            </w:pPr>
          </w:p>
        </w:tc>
      </w:tr>
      <w:tr w:rsidR="008F0329" w:rsidRPr="002D09DB" w14:paraId="7D3C5035" w14:textId="77777777" w:rsidTr="00B35C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61B31B" w14:textId="77777777" w:rsidR="008F0329" w:rsidRPr="002D09DB" w:rsidRDefault="008F0329" w:rsidP="008F0329">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3920EB3A" w14:textId="77777777" w:rsidR="008F0329" w:rsidRPr="002D09DB" w:rsidRDefault="008F0329" w:rsidP="008F0329">
            <w:pPr>
              <w:spacing w:line="360" w:lineRule="auto"/>
              <w:rPr>
                <w:rFonts w:ascii="Arial" w:hAnsi="Arial"/>
                <w:b/>
                <w:bCs/>
                <w:sz w:val="26"/>
                <w:szCs w:val="26"/>
                <w:rtl/>
              </w:rPr>
            </w:pPr>
            <w:r w:rsidRPr="002D09DB">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3EECD06F" w14:textId="77777777" w:rsidR="008F0329" w:rsidRPr="002D09DB" w:rsidRDefault="008F0329" w:rsidP="008F0329">
            <w:pPr>
              <w:suppressLineNumbers/>
              <w:spacing w:line="360" w:lineRule="auto"/>
              <w:rPr>
                <w:rFonts w:ascii="Arial" w:hAnsi="Arial"/>
                <w:b/>
                <w:bCs/>
                <w:sz w:val="26"/>
                <w:szCs w:val="26"/>
                <w:rtl/>
              </w:rPr>
            </w:pPr>
            <w:r w:rsidRPr="002D09DB">
              <w:rPr>
                <w:rFonts w:ascii="Arial" w:hAnsi="Arial"/>
                <w:b/>
                <w:bCs/>
                <w:sz w:val="26"/>
                <w:szCs w:val="26"/>
                <w:rtl/>
              </w:rPr>
              <w:t>ברק גויטע</w:t>
            </w:r>
            <w:r w:rsidRPr="002D09DB">
              <w:rPr>
                <w:rFonts w:ascii="Arial" w:hAnsi="Arial" w:hint="cs"/>
                <w:b/>
                <w:bCs/>
                <w:sz w:val="26"/>
                <w:szCs w:val="26"/>
                <w:rtl/>
              </w:rPr>
              <w:t xml:space="preserve"> </w:t>
            </w:r>
          </w:p>
          <w:p w14:paraId="1E050D4A" w14:textId="77777777" w:rsidR="008F0329" w:rsidRPr="002D09DB" w:rsidRDefault="008F0329" w:rsidP="008F0329">
            <w:pPr>
              <w:suppressLineNumbers/>
              <w:spacing w:line="360" w:lineRule="auto"/>
            </w:pPr>
            <w:r w:rsidRPr="002D09DB">
              <w:rPr>
                <w:rFonts w:ascii="Arial" w:hAnsi="Arial"/>
                <w:rtl/>
              </w:rPr>
              <w:t>ע"י</w:t>
            </w:r>
            <w:r w:rsidRPr="002D09DB">
              <w:rPr>
                <w:rFonts w:ascii="Arial" w:hAnsi="Arial"/>
                <w:b/>
                <w:bCs/>
                <w:sz w:val="26"/>
                <w:szCs w:val="26"/>
                <w:rtl/>
              </w:rPr>
              <w:t xml:space="preserve"> </w:t>
            </w:r>
            <w:r w:rsidRPr="002D09DB">
              <w:rPr>
                <w:rFonts w:ascii="Arial" w:hAnsi="Arial"/>
                <w:rtl/>
              </w:rPr>
              <w:t>ב"כ עוה"ד</w:t>
            </w:r>
            <w:r w:rsidRPr="002D09DB">
              <w:rPr>
                <w:rFonts w:hint="cs"/>
                <w:rtl/>
              </w:rPr>
              <w:t xml:space="preserve"> שי אורן ובן יהודה</w:t>
            </w:r>
          </w:p>
          <w:p w14:paraId="42DB96FD" w14:textId="77777777" w:rsidR="008F0329" w:rsidRPr="002D09DB" w:rsidRDefault="008F0329" w:rsidP="008F0329">
            <w:pPr>
              <w:spacing w:line="360" w:lineRule="auto"/>
              <w:rPr>
                <w:rFonts w:ascii="David" w:hAnsi="David"/>
                <w:sz w:val="26"/>
                <w:szCs w:val="26"/>
              </w:rPr>
            </w:pPr>
          </w:p>
        </w:tc>
      </w:tr>
    </w:tbl>
    <w:p w14:paraId="0DDDFB77" w14:textId="77777777" w:rsidR="002D09DB" w:rsidRPr="002D09DB" w:rsidRDefault="002D09DB" w:rsidP="002D09DB">
      <w:pPr>
        <w:spacing w:before="120" w:after="120" w:line="240" w:lineRule="exact"/>
        <w:ind w:left="283" w:hanging="283"/>
        <w:jc w:val="both"/>
        <w:rPr>
          <w:rFonts w:ascii="FrankRuehl" w:hAnsi="FrankRuehl" w:cs="FrankRuehl"/>
          <w:rtl/>
        </w:rPr>
      </w:pPr>
    </w:p>
    <w:p w14:paraId="1804C199" w14:textId="77777777" w:rsidR="002D09DB" w:rsidRPr="002D09DB" w:rsidRDefault="002D09DB" w:rsidP="002D09DB">
      <w:pPr>
        <w:spacing w:line="360" w:lineRule="auto"/>
        <w:rPr>
          <w:sz w:val="26"/>
          <w:szCs w:val="26"/>
          <w:rtl/>
        </w:rPr>
      </w:pPr>
    </w:p>
    <w:p w14:paraId="0983DB5C" w14:textId="77777777" w:rsidR="00B35C85" w:rsidRPr="00B35C85" w:rsidRDefault="00B35C85" w:rsidP="00B35C85">
      <w:pPr>
        <w:spacing w:before="120" w:after="120" w:line="240" w:lineRule="exact"/>
        <w:ind w:left="283" w:hanging="283"/>
        <w:jc w:val="both"/>
        <w:rPr>
          <w:rFonts w:ascii="FrankRuehl" w:hAnsi="FrankRuehl" w:cs="FrankRuehl"/>
          <w:rtl/>
        </w:rPr>
      </w:pPr>
      <w:bookmarkStart w:id="3" w:name="LawTable"/>
      <w:bookmarkEnd w:id="3"/>
    </w:p>
    <w:p w14:paraId="2283048F" w14:textId="77777777" w:rsidR="00B35C85" w:rsidRPr="00B35C85" w:rsidRDefault="00B35C85" w:rsidP="00B35C85">
      <w:pPr>
        <w:spacing w:before="120" w:after="120" w:line="240" w:lineRule="exact"/>
        <w:ind w:left="283" w:hanging="283"/>
        <w:jc w:val="both"/>
        <w:rPr>
          <w:rFonts w:ascii="FrankRuehl" w:hAnsi="FrankRuehl" w:cs="FrankRuehl"/>
          <w:rtl/>
        </w:rPr>
      </w:pPr>
      <w:r w:rsidRPr="00B35C85">
        <w:rPr>
          <w:rFonts w:ascii="FrankRuehl" w:hAnsi="FrankRuehl" w:cs="FrankRuehl"/>
          <w:rtl/>
        </w:rPr>
        <w:t xml:space="preserve">חקיקה שאוזכרה: </w:t>
      </w:r>
    </w:p>
    <w:p w14:paraId="175294E7" w14:textId="77777777" w:rsidR="00B35C85" w:rsidRPr="00B35C85" w:rsidRDefault="00B35C85" w:rsidP="00B35C85">
      <w:pPr>
        <w:spacing w:before="120" w:after="120" w:line="240" w:lineRule="exact"/>
        <w:ind w:left="283" w:hanging="283"/>
        <w:jc w:val="both"/>
        <w:rPr>
          <w:rFonts w:ascii="FrankRuehl" w:hAnsi="FrankRuehl" w:cs="FrankRuehl"/>
          <w:color w:val="0000FF"/>
          <w:rtl/>
        </w:rPr>
      </w:pPr>
      <w:hyperlink r:id="rId7" w:history="1">
        <w:r w:rsidRPr="00B35C85">
          <w:rPr>
            <w:rStyle w:val="Hyperlink"/>
            <w:rFonts w:ascii="FrankRuehl" w:hAnsi="FrankRuehl" w:cs="FrankRuehl"/>
            <w:u w:val="none"/>
            <w:rtl/>
          </w:rPr>
          <w:t>פקודת הסמים המסוכנים [נוסח חדש], תשל"ג-1973</w:t>
        </w:r>
      </w:hyperlink>
      <w:r w:rsidRPr="00B35C85">
        <w:rPr>
          <w:rFonts w:ascii="FrankRuehl" w:hAnsi="FrankRuehl" w:cs="FrankRuehl"/>
          <w:color w:val="0000FF"/>
          <w:rtl/>
        </w:rPr>
        <w:t xml:space="preserve">: סע'  </w:t>
      </w:r>
      <w:hyperlink r:id="rId8" w:history="1">
        <w:r w:rsidRPr="00B35C85">
          <w:rPr>
            <w:rStyle w:val="Hyperlink"/>
            <w:rFonts w:ascii="FrankRuehl" w:hAnsi="FrankRuehl" w:cs="FrankRuehl"/>
            <w:u w:val="none"/>
          </w:rPr>
          <w:t>7</w:t>
        </w:r>
      </w:hyperlink>
      <w:r w:rsidRPr="00B35C85">
        <w:rPr>
          <w:rFonts w:ascii="FrankRuehl" w:hAnsi="FrankRuehl" w:cs="FrankRuehl"/>
          <w:color w:val="0000FF"/>
          <w:rtl/>
        </w:rPr>
        <w:t xml:space="preserve">(א), </w:t>
      </w:r>
      <w:hyperlink r:id="rId9" w:history="1">
        <w:r w:rsidRPr="00B35C85">
          <w:rPr>
            <w:rStyle w:val="Hyperlink"/>
            <w:rFonts w:ascii="FrankRuehl" w:hAnsi="FrankRuehl" w:cs="FrankRuehl"/>
            <w:u w:val="none"/>
          </w:rPr>
          <w:t>7</w:t>
        </w:r>
      </w:hyperlink>
      <w:r w:rsidRPr="00B35C85">
        <w:rPr>
          <w:rFonts w:ascii="FrankRuehl" w:hAnsi="FrankRuehl" w:cs="FrankRuehl"/>
          <w:color w:val="0000FF"/>
          <w:rtl/>
        </w:rPr>
        <w:t>(ג)</w:t>
      </w:r>
    </w:p>
    <w:p w14:paraId="5627292C" w14:textId="77777777" w:rsidR="00B35C85" w:rsidRPr="00B35C85" w:rsidRDefault="00B35C85" w:rsidP="00B35C85">
      <w:pPr>
        <w:spacing w:before="120" w:after="120" w:line="240" w:lineRule="exact"/>
        <w:ind w:left="283" w:hanging="283"/>
        <w:jc w:val="both"/>
        <w:rPr>
          <w:rFonts w:ascii="FrankRuehl" w:hAnsi="FrankRuehl" w:cs="FrankRuehl"/>
          <w:color w:val="0000FF"/>
          <w:rtl/>
        </w:rPr>
      </w:pPr>
      <w:hyperlink r:id="rId10" w:history="1">
        <w:r w:rsidRPr="00B35C85">
          <w:rPr>
            <w:rStyle w:val="Hyperlink"/>
            <w:rFonts w:ascii="FrankRuehl" w:hAnsi="FrankRuehl" w:cs="FrankRuehl"/>
            <w:u w:val="none"/>
            <w:rtl/>
          </w:rPr>
          <w:t>חוק העבירות המינהליות, תשמ"ו-1985</w:t>
        </w:r>
      </w:hyperlink>
      <w:r w:rsidRPr="00B35C85">
        <w:rPr>
          <w:rFonts w:ascii="FrankRuehl" w:hAnsi="FrankRuehl" w:cs="FrankRuehl"/>
          <w:color w:val="0000FF"/>
          <w:rtl/>
        </w:rPr>
        <w:t xml:space="preserve">: סע'  </w:t>
      </w:r>
      <w:hyperlink r:id="rId11" w:history="1">
        <w:r w:rsidRPr="00B35C85">
          <w:rPr>
            <w:rStyle w:val="Hyperlink"/>
            <w:rFonts w:ascii="FrankRuehl" w:hAnsi="FrankRuehl" w:cs="FrankRuehl"/>
            <w:u w:val="none"/>
          </w:rPr>
          <w:t>15</w:t>
        </w:r>
      </w:hyperlink>
    </w:p>
    <w:p w14:paraId="37637339" w14:textId="77777777" w:rsidR="00B35C85" w:rsidRPr="00B35C85" w:rsidRDefault="00B35C85" w:rsidP="00B35C85">
      <w:pPr>
        <w:spacing w:before="120" w:after="120" w:line="240" w:lineRule="exact"/>
        <w:ind w:left="283" w:hanging="283"/>
        <w:jc w:val="both"/>
        <w:rPr>
          <w:rFonts w:ascii="FrankRuehl" w:hAnsi="FrankRuehl" w:cs="FrankRuehl"/>
          <w:color w:val="0000FF"/>
          <w:rtl/>
        </w:rPr>
      </w:pPr>
      <w:hyperlink r:id="rId12" w:history="1">
        <w:r w:rsidRPr="00B35C85">
          <w:rPr>
            <w:rStyle w:val="Hyperlink"/>
            <w:rFonts w:ascii="FrankRuehl" w:hAnsi="FrankRuehl" w:cs="FrankRuehl"/>
            <w:u w:val="none"/>
            <w:rtl/>
          </w:rPr>
          <w:t>חוק העונשין, תשל"ז-1977</w:t>
        </w:r>
      </w:hyperlink>
      <w:r w:rsidRPr="00B35C85">
        <w:rPr>
          <w:rFonts w:ascii="FrankRuehl" w:hAnsi="FrankRuehl" w:cs="FrankRuehl"/>
          <w:color w:val="0000FF"/>
          <w:rtl/>
        </w:rPr>
        <w:t xml:space="preserve">: סע'  </w:t>
      </w:r>
      <w:hyperlink r:id="rId13" w:history="1">
        <w:r w:rsidRPr="00B35C85">
          <w:rPr>
            <w:rStyle w:val="Hyperlink"/>
            <w:rFonts w:ascii="FrankRuehl" w:hAnsi="FrankRuehl" w:cs="FrankRuehl"/>
            <w:u w:val="none"/>
          </w:rPr>
          <w:t>58</w:t>
        </w:r>
      </w:hyperlink>
    </w:p>
    <w:p w14:paraId="7D481D4E" w14:textId="77777777" w:rsidR="008F0329" w:rsidRPr="00B35C85" w:rsidRDefault="008F0329" w:rsidP="00B35C85">
      <w:pPr>
        <w:spacing w:line="360" w:lineRule="auto"/>
        <w:rPr>
          <w:sz w:val="26"/>
          <w:szCs w:val="26"/>
        </w:rPr>
      </w:pPr>
      <w:bookmarkStart w:id="4" w:name="LawTable_End"/>
      <w:bookmarkEnd w:id="4"/>
    </w:p>
    <w:p w14:paraId="5299441A" w14:textId="77777777" w:rsidR="00B35C85" w:rsidRPr="002D09DB" w:rsidRDefault="00B35C85" w:rsidP="002D09DB">
      <w:pPr>
        <w:spacing w:after="120" w:line="360" w:lineRule="auto"/>
        <w:jc w:val="center"/>
        <w:rPr>
          <w:rFonts w:ascii="David" w:hAnsi="David"/>
          <w:b/>
          <w:bCs/>
          <w:sz w:val="36"/>
          <w:szCs w:val="36"/>
          <w:u w:val="single"/>
          <w:rtl/>
        </w:rPr>
      </w:pPr>
      <w:bookmarkStart w:id="5" w:name="PsakDin" w:colFirst="0" w:colLast="0"/>
      <w:bookmarkEnd w:id="0"/>
      <w:r w:rsidRPr="002D09DB">
        <w:rPr>
          <w:rFonts w:ascii="David" w:hAnsi="David"/>
          <w:b/>
          <w:bCs/>
          <w:sz w:val="36"/>
          <w:szCs w:val="36"/>
          <w:u w:val="single"/>
          <w:rtl/>
        </w:rPr>
        <w:t>גזר דין</w:t>
      </w:r>
    </w:p>
    <w:p w14:paraId="5CD68291" w14:textId="77777777" w:rsidR="00B35C85" w:rsidRPr="002D09DB" w:rsidRDefault="00B35C85" w:rsidP="002D09DB">
      <w:pPr>
        <w:spacing w:after="120" w:line="360" w:lineRule="auto"/>
        <w:jc w:val="center"/>
        <w:rPr>
          <w:rFonts w:ascii="David" w:hAnsi="David"/>
          <w:bCs/>
          <w:sz w:val="36"/>
          <w:szCs w:val="36"/>
          <w:u w:val="single"/>
          <w:rtl/>
        </w:rPr>
      </w:pPr>
    </w:p>
    <w:bookmarkEnd w:id="5"/>
    <w:p w14:paraId="2C5BEECF" w14:textId="77777777" w:rsidR="008F0329" w:rsidRDefault="008F0329" w:rsidP="008F0329">
      <w:pPr>
        <w:pStyle w:val="a9"/>
        <w:numPr>
          <w:ilvl w:val="0"/>
          <w:numId w:val="1"/>
        </w:numPr>
        <w:spacing w:after="120" w:line="360" w:lineRule="auto"/>
        <w:ind w:left="360"/>
        <w:jc w:val="both"/>
        <w:rPr>
          <w:rFonts w:ascii="Tahoma" w:hAnsi="Tahoma"/>
          <w:b/>
          <w:bCs/>
          <w:u w:val="single"/>
        </w:rPr>
      </w:pPr>
      <w:r>
        <w:rPr>
          <w:rFonts w:ascii="Tahoma" w:hAnsi="Tahoma"/>
          <w:b/>
          <w:bCs/>
          <w:u w:val="single"/>
          <w:rtl/>
        </w:rPr>
        <w:t>רקע כללי והשתלשלות ההליכים המשפטיים:</w:t>
      </w:r>
    </w:p>
    <w:p w14:paraId="5DE557E2" w14:textId="77777777" w:rsidR="008F0329" w:rsidRDefault="008F0329" w:rsidP="008F0329">
      <w:pPr>
        <w:numPr>
          <w:ilvl w:val="0"/>
          <w:numId w:val="2"/>
        </w:numPr>
        <w:spacing w:after="120" w:line="360" w:lineRule="auto"/>
        <w:ind w:left="360"/>
        <w:jc w:val="both"/>
        <w:rPr>
          <w:rFonts w:ascii="Tahoma" w:hAnsi="Tahoma"/>
          <w:rtl/>
        </w:rPr>
      </w:pPr>
      <w:bookmarkStart w:id="6" w:name="ABSTRACT_START"/>
      <w:bookmarkEnd w:id="6"/>
      <w:r>
        <w:rPr>
          <w:rFonts w:ascii="Tahoma" w:hAnsi="Tahoma"/>
          <w:rtl/>
        </w:rPr>
        <w:t xml:space="preserve">הנאשם הורשע – על יסוד הודאתו בעובדות כתב האישום המתוקן, שניתנה במסגרת הסדר טיעון – בביצוע עבירה של </w:t>
      </w:r>
      <w:r>
        <w:rPr>
          <w:rFonts w:ascii="Tahoma" w:hAnsi="Tahoma"/>
          <w:b/>
          <w:bCs/>
          <w:rtl/>
        </w:rPr>
        <w:t>החזקת סמים מסוכנים לצריכה עצמית</w:t>
      </w:r>
      <w:r>
        <w:rPr>
          <w:rFonts w:ascii="Tahoma" w:hAnsi="Tahoma"/>
          <w:rtl/>
        </w:rPr>
        <w:t xml:space="preserve">, לפי הוראות </w:t>
      </w:r>
      <w:hyperlink r:id="rId14" w:history="1">
        <w:r w:rsidR="00B35C85" w:rsidRPr="00B35C85">
          <w:rPr>
            <w:rStyle w:val="Hyperlink"/>
            <w:rFonts w:ascii="Tahoma" w:hAnsi="Tahoma"/>
            <w:color w:val="0000FF"/>
            <w:rtl/>
          </w:rPr>
          <w:t>סעיף 7(א)</w:t>
        </w:r>
      </w:hyperlink>
      <w:r>
        <w:rPr>
          <w:rFonts w:ascii="Tahoma" w:hAnsi="Tahoma"/>
          <w:rtl/>
        </w:rPr>
        <w:t xml:space="preserve"> יחד עם סעיף </w:t>
      </w:r>
      <w:hyperlink r:id="rId15" w:history="1">
        <w:r w:rsidR="00B35C85" w:rsidRPr="00B35C85">
          <w:rPr>
            <w:rStyle w:val="Hyperlink"/>
            <w:rFonts w:ascii="Tahoma" w:hAnsi="Tahoma"/>
            <w:color w:val="0000FF"/>
            <w:rtl/>
          </w:rPr>
          <w:t>7(ג)</w:t>
        </w:r>
      </w:hyperlink>
      <w:r>
        <w:rPr>
          <w:rFonts w:ascii="Tahoma" w:hAnsi="Tahoma"/>
          <w:rtl/>
        </w:rPr>
        <w:t xml:space="preserve"> סיפא ל</w:t>
      </w:r>
      <w:hyperlink r:id="rId16" w:history="1">
        <w:r w:rsidR="002D09DB" w:rsidRPr="002D09DB">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w:t>
      </w:r>
    </w:p>
    <w:p w14:paraId="42696D64" w14:textId="77777777" w:rsidR="008F0329" w:rsidRDefault="008F0329" w:rsidP="008F0329">
      <w:pPr>
        <w:numPr>
          <w:ilvl w:val="0"/>
          <w:numId w:val="2"/>
        </w:numPr>
        <w:spacing w:after="120" w:line="360" w:lineRule="auto"/>
        <w:ind w:left="360"/>
        <w:jc w:val="both"/>
        <w:rPr>
          <w:rFonts w:ascii="Tahoma" w:hAnsi="Tahoma"/>
        </w:rPr>
      </w:pPr>
      <w:bookmarkStart w:id="7" w:name="ABSTRACT_END"/>
      <w:bookmarkEnd w:id="7"/>
      <w:r>
        <w:rPr>
          <w:rFonts w:ascii="Tahoma" w:hAnsi="Tahoma"/>
          <w:rtl/>
        </w:rPr>
        <w:lastRenderedPageBreak/>
        <w:t xml:space="preserve">בעובדות כתב האישום המתוקן נטען כי ביום 13.02.2020, בשעה 12:23 או בסמוך לכך, החזיק הנאשם בדירה, ברחוב פקיעין בתל אביב, בסמים מסוכנים מסוג </w:t>
      </w:r>
      <w:r>
        <w:rPr>
          <w:rFonts w:ascii="Tahoma" w:hAnsi="Tahoma"/>
          <w:b/>
          <w:bCs/>
          <w:rtl/>
        </w:rPr>
        <w:t>קנבוס</w:t>
      </w:r>
      <w:r>
        <w:rPr>
          <w:rFonts w:ascii="Tahoma" w:hAnsi="Tahoma"/>
          <w:rtl/>
        </w:rPr>
        <w:t xml:space="preserve"> במשקל של </w:t>
      </w:r>
      <w:r>
        <w:rPr>
          <w:rFonts w:ascii="Tahoma" w:hAnsi="Tahoma"/>
          <w:b/>
          <w:bCs/>
          <w:rtl/>
        </w:rPr>
        <w:t>100 גרם נטו</w:t>
      </w:r>
      <w:r>
        <w:rPr>
          <w:rFonts w:ascii="Tahoma" w:hAnsi="Tahoma"/>
          <w:rtl/>
        </w:rPr>
        <w:t>, לצריכתו העצמית.</w:t>
      </w:r>
    </w:p>
    <w:p w14:paraId="61966B92" w14:textId="77777777" w:rsidR="008F0329" w:rsidRDefault="008F0329" w:rsidP="008F0329">
      <w:pPr>
        <w:numPr>
          <w:ilvl w:val="0"/>
          <w:numId w:val="2"/>
        </w:numPr>
        <w:spacing w:after="120" w:line="360" w:lineRule="auto"/>
        <w:ind w:left="360"/>
        <w:jc w:val="both"/>
        <w:rPr>
          <w:rFonts w:ascii="Tahoma" w:hAnsi="Tahoma"/>
        </w:rPr>
      </w:pPr>
      <w:r>
        <w:rPr>
          <w:rFonts w:ascii="Tahoma" w:hAnsi="Tahoma"/>
          <w:rtl/>
        </w:rPr>
        <w:t xml:space="preserve">הדיונים המקדמיים התמשכו בשל אי התייצבויות חוזרות ונשנות מצד הנאשם, שבגינן נדרש בית המשפט להוציא צווי הבאה נגד הנאשם. עם זאת, בשלב מאוחר יותר הודיעו הצדדים כי הגיעו להסדר טיעון, אשר במסגרתו הוגש כתב האישום המתוקן (בפרוטוקול, עמ' 8). לעניין הטיעונים לעונש עתרו הצדדים במשותף לקבלת תסקיר שירות מבחן, אשר יבחן את אפשרות הארכת המאסר המותנה בן </w:t>
      </w:r>
      <w:r>
        <w:rPr>
          <w:rFonts w:ascii="Tahoma" w:hAnsi="Tahoma" w:hint="cs"/>
          <w:rtl/>
        </w:rPr>
        <w:t>ארבעה</w:t>
      </w:r>
      <w:r>
        <w:rPr>
          <w:rFonts w:ascii="Tahoma" w:hAnsi="Tahoma"/>
          <w:rtl/>
        </w:rPr>
        <w:t xml:space="preserve"> חודשים התלוי ועומד נגד הנאשם </w:t>
      </w:r>
      <w:r>
        <w:rPr>
          <w:rFonts w:ascii="Tahoma" w:hAnsi="Tahoma" w:hint="cs"/>
          <w:rtl/>
        </w:rPr>
        <w:t>(שנגזר עליו ב</w:t>
      </w:r>
      <w:hyperlink r:id="rId17" w:history="1">
        <w:r w:rsidR="002D09DB" w:rsidRPr="002D09DB">
          <w:rPr>
            <w:rFonts w:ascii="Tahoma" w:hAnsi="Tahoma"/>
            <w:color w:val="0000FF"/>
            <w:u w:val="single"/>
            <w:rtl/>
          </w:rPr>
          <w:t>ת"פ (שלום אשקלון) 50598-07-18</w:t>
        </w:r>
      </w:hyperlink>
      <w:r>
        <w:rPr>
          <w:rFonts w:ascii="Tahoma" w:hAnsi="Tahoma" w:hint="cs"/>
          <w:rtl/>
        </w:rPr>
        <w:t xml:space="preserve">. </w:t>
      </w:r>
      <w:r>
        <w:rPr>
          <w:rFonts w:ascii="Tahoma" w:hAnsi="Tahoma"/>
          <w:rtl/>
        </w:rPr>
        <w:t>להלן – המאסר המותנה).</w:t>
      </w:r>
    </w:p>
    <w:p w14:paraId="62A99C80" w14:textId="77777777" w:rsidR="008F0329" w:rsidRDefault="008F0329" w:rsidP="008F0329">
      <w:pPr>
        <w:numPr>
          <w:ilvl w:val="0"/>
          <w:numId w:val="2"/>
        </w:numPr>
        <w:spacing w:after="120" w:line="360" w:lineRule="auto"/>
        <w:ind w:left="360"/>
        <w:jc w:val="both"/>
        <w:rPr>
          <w:rFonts w:ascii="Tahoma" w:hAnsi="Tahoma"/>
        </w:rPr>
      </w:pPr>
      <w:r>
        <w:rPr>
          <w:rFonts w:ascii="Tahoma" w:hAnsi="Tahoma"/>
          <w:rtl/>
        </w:rPr>
        <w:t>ב"כ המאשימה הודיע כי, בכפוף לקבלת תסקיר חיובי שיצביע על ניקיון מסמים ושיתוף פעולה עם שירות המבחן, המאשימה תסכים לעתור לענישה שתכלול את הארכת המאסר המותנה, השתת קנס בסכום של 5,000 ₪ וצו של"צ. ואולם, ככל שהתסקיר יה</w:t>
      </w:r>
      <w:r>
        <w:rPr>
          <w:rFonts w:ascii="Tahoma" w:hAnsi="Tahoma" w:hint="cs"/>
          <w:rtl/>
        </w:rPr>
        <w:t>א</w:t>
      </w:r>
      <w:r>
        <w:rPr>
          <w:rFonts w:ascii="Tahoma" w:hAnsi="Tahoma"/>
          <w:rtl/>
        </w:rPr>
        <w:t xml:space="preserve"> שלילי הצדדים יטענו לעונש באופן פתוח.</w:t>
      </w:r>
    </w:p>
    <w:p w14:paraId="1FE5B9E3" w14:textId="77777777" w:rsidR="008F0329" w:rsidRDefault="008F0329" w:rsidP="008F0329">
      <w:pPr>
        <w:numPr>
          <w:ilvl w:val="0"/>
          <w:numId w:val="2"/>
        </w:numPr>
        <w:spacing w:after="120" w:line="360" w:lineRule="auto"/>
        <w:ind w:left="360"/>
        <w:jc w:val="both"/>
        <w:rPr>
          <w:rFonts w:ascii="Tahoma" w:hAnsi="Tahoma"/>
        </w:rPr>
      </w:pPr>
      <w:r>
        <w:rPr>
          <w:rFonts w:ascii="Tahoma" w:hAnsi="Tahoma"/>
          <w:rtl/>
        </w:rPr>
        <w:t xml:space="preserve">הנאשם הודה </w:t>
      </w:r>
      <w:r>
        <w:rPr>
          <w:rFonts w:ascii="Tahoma" w:hAnsi="Tahoma" w:hint="cs"/>
          <w:rtl/>
        </w:rPr>
        <w:t xml:space="preserve">אפוא </w:t>
      </w:r>
      <w:r>
        <w:rPr>
          <w:rFonts w:ascii="Tahoma" w:hAnsi="Tahoma"/>
          <w:rtl/>
        </w:rPr>
        <w:t xml:space="preserve">בעובדות כתב האישום המתוקן והורשע, על יסוד הודאה זו, בעבירה בה הואשם כאמור בפסקה 1 דלעיל. בית המשפט נעתר לבקשת הצדדים והורה על קבלת תסקיר שירות המבחן בעניינו של הנאשם. יאמר כבר עתה כי בין לבין, ביום 27.02.2023, הורשע הנאשם בהליך אחר שהתנהל בבית משפט השלום באילת ובמסגרתו </w:t>
      </w:r>
      <w:r>
        <w:rPr>
          <w:rFonts w:ascii="Tahoma" w:hAnsi="Tahoma" w:hint="cs"/>
          <w:rtl/>
        </w:rPr>
        <w:t xml:space="preserve">הוארך </w:t>
      </w:r>
      <w:r>
        <w:rPr>
          <w:rFonts w:ascii="Tahoma" w:hAnsi="Tahoma"/>
          <w:rtl/>
        </w:rPr>
        <w:t>המאסר המותנה, באופן שעונש זה הפך לחב</w:t>
      </w:r>
      <w:r>
        <w:rPr>
          <w:rFonts w:ascii="Tahoma" w:hAnsi="Tahoma" w:hint="cs"/>
          <w:rtl/>
        </w:rPr>
        <w:t>-</w:t>
      </w:r>
      <w:r>
        <w:rPr>
          <w:rFonts w:ascii="Tahoma" w:hAnsi="Tahoma"/>
          <w:rtl/>
        </w:rPr>
        <w:t>הפעלה</w:t>
      </w:r>
      <w:r>
        <w:rPr>
          <w:rFonts w:ascii="Tahoma" w:hAnsi="Tahoma" w:hint="cs"/>
          <w:rtl/>
        </w:rPr>
        <w:t xml:space="preserve"> בענייננו</w:t>
      </w:r>
      <w:r>
        <w:rPr>
          <w:rFonts w:ascii="Tahoma" w:hAnsi="Tahoma"/>
          <w:rtl/>
        </w:rPr>
        <w:t>.</w:t>
      </w:r>
    </w:p>
    <w:p w14:paraId="4B18F5B5" w14:textId="77777777" w:rsidR="008F0329" w:rsidRDefault="008F0329" w:rsidP="008F0329">
      <w:pPr>
        <w:spacing w:after="120" w:line="360" w:lineRule="auto"/>
        <w:jc w:val="both"/>
        <w:rPr>
          <w:rFonts w:ascii="Tahoma" w:hAnsi="Tahoma"/>
          <w:b/>
          <w:bCs/>
          <w:u w:val="single"/>
        </w:rPr>
      </w:pPr>
    </w:p>
    <w:p w14:paraId="1796FC18" w14:textId="77777777" w:rsidR="008F0329" w:rsidRDefault="008F0329" w:rsidP="008F0329">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תסקירי שירות המבחן:</w:t>
      </w:r>
    </w:p>
    <w:p w14:paraId="1651E84F" w14:textId="77777777" w:rsidR="008F0329" w:rsidRDefault="008F0329" w:rsidP="008F0329">
      <w:pPr>
        <w:numPr>
          <w:ilvl w:val="0"/>
          <w:numId w:val="2"/>
        </w:numPr>
        <w:spacing w:after="120" w:line="360" w:lineRule="auto"/>
        <w:ind w:left="360"/>
        <w:jc w:val="both"/>
        <w:rPr>
          <w:rFonts w:ascii="Tahoma" w:hAnsi="Tahoma"/>
          <w:rtl/>
        </w:rPr>
      </w:pPr>
      <w:r>
        <w:rPr>
          <w:rFonts w:ascii="Tahoma" w:hAnsi="Tahoma"/>
          <w:rtl/>
        </w:rPr>
        <w:t xml:space="preserve">תסקיר שירות המבחן (מיום 29.01.2023) מפרט את נסיבותיו האישיות של הנאשם, יליד שנת 1994 (כבן 30 שנים כיום). הנאשם </w:t>
      </w:r>
      <w:r>
        <w:rPr>
          <w:rFonts w:ascii="Tahoma" w:hAnsi="Tahoma" w:hint="cs"/>
          <w:rtl/>
        </w:rPr>
        <w:t xml:space="preserve">עדיין </w:t>
      </w:r>
      <w:r>
        <w:rPr>
          <w:rFonts w:ascii="Tahoma" w:hAnsi="Tahoma"/>
          <w:rtl/>
        </w:rPr>
        <w:t>מתגורר בבית הוריו באשקלון ועובד מזה כארבע שנים כסדרן בחברת הסעות. שירות המבחן התרשם, מסקירת קורות הנאשם ומהלך חייו, כי הנאשם התמודד מגיל צעיר עם אתגרים ומורכבות משפחתית ורגשית. בנערותו התנהל הנאשם ללא פיקוח או מסגרת, חבר לסביבה שולית, הסתבך בפלילים ולרקע זה אף לא גויס לצבא.</w:t>
      </w:r>
    </w:p>
    <w:p w14:paraId="5F49CC07" w14:textId="77777777" w:rsidR="008F0329" w:rsidRDefault="008F0329" w:rsidP="008F0329">
      <w:pPr>
        <w:numPr>
          <w:ilvl w:val="0"/>
          <w:numId w:val="2"/>
        </w:numPr>
        <w:spacing w:after="120" w:line="360" w:lineRule="auto"/>
        <w:ind w:left="360"/>
        <w:jc w:val="both"/>
        <w:rPr>
          <w:rFonts w:ascii="Tahoma" w:hAnsi="Tahoma"/>
        </w:rPr>
      </w:pPr>
      <w:r>
        <w:rPr>
          <w:rFonts w:ascii="Tahoma" w:hAnsi="Tahoma"/>
          <w:rtl/>
        </w:rPr>
        <w:t xml:space="preserve">הנאשם סיפר לשירות המבחן כי כיום הוא צועד בדרך אחרת וניתק קשרים עם חברה שולית המעורבת בפלילים. עם זאת ביטא הנאשם תפיסות שוליות, בין השאר בציינו כי המשטרה עוינת </w:t>
      </w:r>
      <w:r>
        <w:rPr>
          <w:rFonts w:ascii="Tahoma" w:hAnsi="Tahoma" w:hint="cs"/>
          <w:rtl/>
        </w:rPr>
        <w:t xml:space="preserve">אותו </w:t>
      </w:r>
      <w:r>
        <w:rPr>
          <w:rFonts w:ascii="Tahoma" w:hAnsi="Tahoma"/>
          <w:rtl/>
        </w:rPr>
        <w:t>ורודפת אותו, תוך שציין כי חבריו הם ככלל אנשים אלימים, הפועלים באלימות בין לצורך השגת מטרות ובין באופן שרירותי. עוד ציין שירות המבחן שיחה שנערכה עם אביו של הנאשם, בה תיאר האב את המשפחה כנורמטיבית וטען כי כיום חל שינוי משמעותי בהתנהגות הנאשם ובמיוחד במוטיבציה שלו לערוך שינוי בסביבתו ולהשתלב בחיים נורמטיביים.</w:t>
      </w:r>
    </w:p>
    <w:p w14:paraId="2D2524A0" w14:textId="77777777" w:rsidR="008F0329" w:rsidRPr="00EA4C27" w:rsidRDefault="008F0329" w:rsidP="008F0329">
      <w:pPr>
        <w:numPr>
          <w:ilvl w:val="0"/>
          <w:numId w:val="2"/>
        </w:numPr>
        <w:spacing w:after="120" w:line="360" w:lineRule="auto"/>
        <w:ind w:left="360"/>
        <w:jc w:val="both"/>
        <w:rPr>
          <w:rFonts w:ascii="Tahoma" w:hAnsi="Tahoma"/>
        </w:rPr>
      </w:pPr>
      <w:r w:rsidRPr="00EA4C27">
        <w:rPr>
          <w:rFonts w:ascii="Tahoma" w:hAnsi="Tahoma"/>
          <w:rtl/>
        </w:rPr>
        <w:lastRenderedPageBreak/>
        <w:t>הנאשם התבקש להתייחס לעברו הפלילי המכביד וטען כי מדובר בעבירות שחבריו ביצעו והוא הואשם בביצוען –</w:t>
      </w:r>
      <w:r w:rsidRPr="00EA4C27">
        <w:rPr>
          <w:rFonts w:ascii="Tahoma" w:hAnsi="Tahoma" w:hint="cs"/>
          <w:rtl/>
        </w:rPr>
        <w:t xml:space="preserve"> </w:t>
      </w:r>
      <w:r w:rsidRPr="00EA4C27">
        <w:rPr>
          <w:rFonts w:ascii="Tahoma" w:hAnsi="Tahoma"/>
          <w:rtl/>
        </w:rPr>
        <w:t>לרקע רדיפתו הנטענת על ידי גורמי אכיפת החוק</w:t>
      </w:r>
      <w:r w:rsidRPr="00EA4C27">
        <w:rPr>
          <w:rFonts w:ascii="Tahoma" w:hAnsi="Tahoma" w:hint="cs"/>
          <w:rtl/>
        </w:rPr>
        <w:t xml:space="preserve"> </w:t>
      </w:r>
      <w:r w:rsidRPr="00EA4C27">
        <w:rPr>
          <w:rFonts w:ascii="Tahoma" w:hAnsi="Tahoma"/>
          <w:rtl/>
        </w:rPr>
        <w:t>–</w:t>
      </w:r>
      <w:r w:rsidRPr="00EA4C27">
        <w:rPr>
          <w:rFonts w:ascii="Tahoma" w:hAnsi="Tahoma" w:hint="cs"/>
          <w:rtl/>
        </w:rPr>
        <w:t xml:space="preserve"> </w:t>
      </w:r>
      <w:r w:rsidRPr="00EA4C27">
        <w:rPr>
          <w:rFonts w:ascii="Tahoma" w:hAnsi="Tahoma"/>
          <w:rtl/>
        </w:rPr>
        <w:t>והודה אך ורק בביצוע עבירות של החזקת קנבוס</w:t>
      </w:r>
      <w:r>
        <w:rPr>
          <w:rFonts w:ascii="Tahoma" w:hAnsi="Tahoma" w:hint="cs"/>
          <w:rtl/>
        </w:rPr>
        <w:t>, לדבריו</w:t>
      </w:r>
      <w:r>
        <w:rPr>
          <w:rFonts w:ascii="Tahoma" w:hAnsi="Tahoma"/>
          <w:rtl/>
        </w:rPr>
        <w:t xml:space="preserve"> מסיבות רפואיות</w:t>
      </w:r>
      <w:r w:rsidRPr="00EA4C27">
        <w:rPr>
          <w:rFonts w:ascii="Tahoma" w:hAnsi="Tahoma"/>
          <w:rtl/>
        </w:rPr>
        <w:t xml:space="preserve">. הנאשם סיפר כי מגיל צעיר הוא נחשף לסמים והתחיל בצריכתם, </w:t>
      </w:r>
      <w:r>
        <w:rPr>
          <w:rFonts w:ascii="Tahoma" w:hAnsi="Tahoma" w:hint="cs"/>
          <w:rtl/>
        </w:rPr>
        <w:t xml:space="preserve">והוסיף </w:t>
      </w:r>
      <w:r w:rsidRPr="00EA4C27">
        <w:rPr>
          <w:rFonts w:ascii="Tahoma" w:hAnsi="Tahoma"/>
          <w:rtl/>
        </w:rPr>
        <w:t>וטען כי צריכת קנביס מסייעת לו להתמודד עם כאבים הנובעים מתאונות שונות בהן היה מעורב בעברו. הנאשם אף טען כי כשאינו צורך קנבוס הוא נוטה לעצבנות ולהתנהגות אלימה, והציג רישיון לקנבוס רפואי.</w:t>
      </w:r>
    </w:p>
    <w:p w14:paraId="04FAE02D" w14:textId="77777777" w:rsidR="008F0329" w:rsidRDefault="008F0329" w:rsidP="008F0329">
      <w:pPr>
        <w:numPr>
          <w:ilvl w:val="0"/>
          <w:numId w:val="2"/>
        </w:numPr>
        <w:spacing w:after="120" w:line="360" w:lineRule="auto"/>
        <w:ind w:left="360"/>
        <w:jc w:val="both"/>
        <w:rPr>
          <w:rFonts w:ascii="Tahoma" w:hAnsi="Tahoma"/>
        </w:rPr>
      </w:pPr>
      <w:r>
        <w:rPr>
          <w:rFonts w:ascii="Tahoma" w:hAnsi="Tahoma"/>
          <w:rtl/>
        </w:rPr>
        <w:t>לרקע כל אלה התרשם שירות המבחן כי הנאשם פיתח התמכרות לסמים. עם זאת, נוכח התרשמות נוספת מהנאשם כצעיר בעל כוחות</w:t>
      </w:r>
      <w:r>
        <w:rPr>
          <w:rFonts w:ascii="Tahoma" w:hAnsi="Tahoma" w:hint="cs"/>
          <w:rtl/>
        </w:rPr>
        <w:t>,</w:t>
      </w:r>
      <w:r>
        <w:rPr>
          <w:rFonts w:ascii="Tahoma" w:hAnsi="Tahoma"/>
          <w:rtl/>
        </w:rPr>
        <w:t xml:space="preserve"> המבטא רצון לניהול אורח חיים נורמטיבי ופועל למען כך, המליץ שירות המבחן על דחייה לצורך העמקת בחינת עניינו של הנאשם. בית המשפט נעתר להמלצה, אך למרות זאת – בתקופת הדחייה – התחמק הנאשם מיצירת קשר עם שירות המבחן. כאמור בתסקיר המשלים (מיום 04.07.2023), שירות המבחן ניסה ליצור קשר עם הנאשם מספר רב של פעמים, </w:t>
      </w:r>
      <w:r>
        <w:rPr>
          <w:rFonts w:ascii="Tahoma" w:hAnsi="Tahoma" w:hint="cs"/>
          <w:rtl/>
        </w:rPr>
        <w:t xml:space="preserve">אך </w:t>
      </w:r>
      <w:r>
        <w:rPr>
          <w:rFonts w:ascii="Tahoma" w:hAnsi="Tahoma"/>
          <w:rtl/>
        </w:rPr>
        <w:t>ללא הצלחה. בסופו של דבר ולאחר שנוצר קשר נקבעו עם הנאשם שתי פגישות, שאליהן לא הגיע. שירות המבחן העריך אפוא כי חלה נסיגה במצבו של הנאשם ונמנע מלבוא בהמלצה שיקומית</w:t>
      </w:r>
      <w:r>
        <w:rPr>
          <w:rFonts w:ascii="Tahoma" w:hAnsi="Tahoma" w:hint="cs"/>
          <w:rtl/>
        </w:rPr>
        <w:t xml:space="preserve"> בעניינו</w:t>
      </w:r>
      <w:r>
        <w:rPr>
          <w:rFonts w:ascii="Tahoma" w:hAnsi="Tahoma"/>
          <w:rtl/>
        </w:rPr>
        <w:t>, לרבות בהקשר ל</w:t>
      </w:r>
      <w:r>
        <w:rPr>
          <w:rFonts w:ascii="Tahoma" w:hAnsi="Tahoma" w:hint="cs"/>
          <w:rtl/>
        </w:rPr>
        <w:t xml:space="preserve">אפשרות </w:t>
      </w:r>
      <w:r>
        <w:rPr>
          <w:rFonts w:ascii="Tahoma" w:hAnsi="Tahoma"/>
          <w:rtl/>
        </w:rPr>
        <w:t>הארכת המאסר המותנה.</w:t>
      </w:r>
    </w:p>
    <w:p w14:paraId="2776CDDB" w14:textId="77777777" w:rsidR="008F0329" w:rsidRPr="00EA4C27" w:rsidRDefault="008F0329" w:rsidP="008F0329">
      <w:pPr>
        <w:spacing w:after="120" w:line="360" w:lineRule="auto"/>
        <w:jc w:val="both"/>
        <w:rPr>
          <w:rFonts w:ascii="Tahoma" w:hAnsi="Tahoma"/>
          <w:b/>
          <w:bCs/>
          <w:u w:val="single"/>
        </w:rPr>
      </w:pPr>
    </w:p>
    <w:p w14:paraId="13C4042E" w14:textId="77777777" w:rsidR="008F0329" w:rsidRDefault="008F0329" w:rsidP="008F0329">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הראיות והטיעונים לעונש:</w:t>
      </w:r>
    </w:p>
    <w:p w14:paraId="61E12656" w14:textId="77777777" w:rsidR="008F0329" w:rsidRDefault="008F0329" w:rsidP="008F0329">
      <w:pPr>
        <w:numPr>
          <w:ilvl w:val="0"/>
          <w:numId w:val="2"/>
        </w:numPr>
        <w:spacing w:after="120" w:line="360" w:lineRule="auto"/>
        <w:ind w:left="360"/>
        <w:jc w:val="both"/>
        <w:rPr>
          <w:rFonts w:ascii="Tahoma" w:hAnsi="Tahoma"/>
          <w:rtl/>
        </w:rPr>
      </w:pPr>
      <w:r>
        <w:rPr>
          <w:rFonts w:ascii="Tahoma" w:hAnsi="Tahoma"/>
          <w:rtl/>
        </w:rPr>
        <w:t>ב"כ המאשימה הגיש, כראיה לקביעת העונש, את תדפיס המידע הפלילי של הנאשם. כעולה מתדפיס זה</w:t>
      </w:r>
      <w:r>
        <w:rPr>
          <w:rFonts w:ascii="Tahoma" w:hAnsi="Tahoma" w:hint="cs"/>
          <w:rtl/>
        </w:rPr>
        <w:t>,</w:t>
      </w:r>
      <w:r>
        <w:rPr>
          <w:rFonts w:ascii="Tahoma" w:hAnsi="Tahoma"/>
          <w:rtl/>
        </w:rPr>
        <w:t xml:space="preserve"> לנאשם – כאמור יליד שנת 1994, כבן 30 שנה כיום – שש הרשעות קודמות בגין ביצוע מגוון עבירות, לרבות שתי הרשעות בגין עבירות סמים. הנאשם אף נשפט בעברו לעונשי מאסר בפועל. הרשעתו הקודמת האחרונה של הנאשם היא מבית משפט השלום באילת, כאשר בגזר הדין שניתן שם הוארך </w:t>
      </w:r>
      <w:r>
        <w:rPr>
          <w:rFonts w:ascii="Tahoma" w:hAnsi="Tahoma" w:hint="cs"/>
          <w:rtl/>
        </w:rPr>
        <w:t xml:space="preserve">כאמור </w:t>
      </w:r>
      <w:r>
        <w:rPr>
          <w:rFonts w:ascii="Tahoma" w:hAnsi="Tahoma"/>
          <w:rtl/>
        </w:rPr>
        <w:t>המאסר המותנה. ב"כ המאשימה הדגיש את עברו המכביד של הנאשם, כמו גם את העובדה שהמאסר המותנה הפך חב הפעלה, וביקש ללמוד מכך כי עסקינן בנאשם המעורב באופן עמוק בעולם הסמים.</w:t>
      </w:r>
    </w:p>
    <w:p w14:paraId="158891FA" w14:textId="77777777" w:rsidR="008F0329" w:rsidRDefault="008F0329" w:rsidP="008F0329">
      <w:pPr>
        <w:numPr>
          <w:ilvl w:val="0"/>
          <w:numId w:val="2"/>
        </w:numPr>
        <w:spacing w:after="120" w:line="360" w:lineRule="auto"/>
        <w:ind w:left="360"/>
        <w:jc w:val="both"/>
        <w:rPr>
          <w:rFonts w:ascii="Tahoma" w:hAnsi="Tahoma"/>
        </w:rPr>
      </w:pPr>
      <w:r>
        <w:rPr>
          <w:rFonts w:ascii="Tahoma" w:hAnsi="Tahoma"/>
          <w:rtl/>
        </w:rPr>
        <w:t>בטיעוניו עמד ב"כ המאשימה על עובדות כתב האישום המתוקן, בהן הודה הנאשם, כאשר כאמור מדובר בהחזקת סמים מסוכנים מסוג קנבוס, במשקל של 100 גרם נטו, לצריכה עצמית. ב"כ המאשימה ציין את הערכים החברתיים שנפגעו כתולדה מביצוע העבירה, ובהם הפגיעה בהגנה על שלום הציבור ו</w:t>
      </w:r>
      <w:r>
        <w:rPr>
          <w:rFonts w:ascii="Tahoma" w:hAnsi="Tahoma" w:hint="cs"/>
          <w:rtl/>
        </w:rPr>
        <w:t xml:space="preserve">על </w:t>
      </w:r>
      <w:r>
        <w:rPr>
          <w:rFonts w:ascii="Tahoma" w:hAnsi="Tahoma"/>
          <w:rtl/>
        </w:rPr>
        <w:t>בריאותו מפני הנזקים הישירים והעקיפים הנגרמים משימוש בסמים מסוכנים</w:t>
      </w:r>
      <w:r>
        <w:rPr>
          <w:rFonts w:ascii="Tahoma" w:hAnsi="Tahoma" w:hint="cs"/>
          <w:rtl/>
        </w:rPr>
        <w:t xml:space="preserve">. עוד </w:t>
      </w:r>
      <w:r>
        <w:rPr>
          <w:rFonts w:ascii="Tahoma" w:hAnsi="Tahoma"/>
          <w:rtl/>
        </w:rPr>
        <w:t>הפנה לפסיקה ועתר לקביעת מתחם עונש הולם שבין ענישה צופה פני עתיד לבין 6 חודשי מאסר בפועל.</w:t>
      </w:r>
    </w:p>
    <w:p w14:paraId="3354EA67" w14:textId="77777777" w:rsidR="008F0329" w:rsidRDefault="008F0329" w:rsidP="008F0329">
      <w:pPr>
        <w:numPr>
          <w:ilvl w:val="0"/>
          <w:numId w:val="2"/>
        </w:numPr>
        <w:spacing w:after="120" w:line="360" w:lineRule="auto"/>
        <w:ind w:left="360"/>
        <w:jc w:val="both"/>
        <w:rPr>
          <w:rFonts w:ascii="Tahoma" w:hAnsi="Tahoma"/>
        </w:rPr>
      </w:pPr>
      <w:r>
        <w:rPr>
          <w:rFonts w:ascii="Tahoma" w:hAnsi="Tahoma"/>
          <w:rtl/>
        </w:rPr>
        <w:t>אשר לגזירת עונשו של הנאשם בתוך מתחם העונש ההולם הפנה התובע לעברו הפלילי המכביד של הנאשם וכן לתסקירים שנערכו בעניינו וההיבטים השליליים העולים מהם. בטיעוניו הטעים התובע כי הנאשם התקשה לשתף פעולה עם שירות המבחן ושלל נזקקות טיפולית. בנוסף, על אף שבית המשפט הורה על הכנת תסקיר משלים, הנאשם ניתק כל קשר עם שירות המבחן. בנסיבות אלה, למעט ההודאה לא ניתן לזקוף דבר לזכותו של הנאשם. בשורה התחתונה עתר אפוא התובע להשית על הנאשם חמישה חודשי מאסר בפועל, להפעיל את המאסר המותנה התלוי ועומד נגדו וכן להטיל עליו ענישה מותנית וקנס כספי.</w:t>
      </w:r>
    </w:p>
    <w:p w14:paraId="5BB14F4D" w14:textId="77777777" w:rsidR="008F0329" w:rsidRDefault="008F0329" w:rsidP="008F0329">
      <w:pPr>
        <w:numPr>
          <w:ilvl w:val="0"/>
          <w:numId w:val="2"/>
        </w:numPr>
        <w:spacing w:after="120" w:line="360" w:lineRule="auto"/>
        <w:ind w:left="360"/>
        <w:jc w:val="both"/>
        <w:rPr>
          <w:rFonts w:ascii="Tahoma" w:hAnsi="Tahoma"/>
        </w:rPr>
      </w:pPr>
      <w:r>
        <w:rPr>
          <w:rFonts w:ascii="Tahoma" w:hAnsi="Tahoma"/>
          <w:rtl/>
        </w:rPr>
        <w:t>ב"כ הנאשם, מצידו, הדגיש כי הנאשם הורשע בעבירה של החזקת סמים מסוג קנבוס, לצריכה עצמית, שהיא העבירה הקלה ביותר המצויה ב</w:t>
      </w:r>
      <w:hyperlink r:id="rId18" w:history="1">
        <w:r w:rsidR="002D09DB" w:rsidRPr="002D09DB">
          <w:rPr>
            <w:rFonts w:ascii="Tahoma" w:hAnsi="Tahoma"/>
            <w:color w:val="0000FF"/>
            <w:u w:val="single"/>
            <w:rtl/>
          </w:rPr>
          <w:t>פקודת הסמים המסוכנים</w:t>
        </w:r>
      </w:hyperlink>
      <w:r>
        <w:rPr>
          <w:rFonts w:ascii="Tahoma" w:hAnsi="Tahoma"/>
          <w:rtl/>
        </w:rPr>
        <w:t xml:space="preserve"> ומוגדרת כיום כעבירה מנהלית. עוד הדגיש</w:t>
      </w:r>
      <w:r>
        <w:rPr>
          <w:rFonts w:ascii="Tahoma" w:hAnsi="Tahoma" w:hint="cs"/>
          <w:rtl/>
        </w:rPr>
        <w:t xml:space="preserve"> הסניגור</w:t>
      </w:r>
      <w:r>
        <w:rPr>
          <w:rFonts w:ascii="Tahoma" w:hAnsi="Tahoma"/>
          <w:rtl/>
        </w:rPr>
        <w:t>, בהקשר זה, כי הנאשם נזקק לשימוש בקנבוס על רקע רפואי והא ראיה לכך היא העובדה שהוא מחזיק מזה תקופה ארוכה ברישיון לשימוש כזה.</w:t>
      </w:r>
    </w:p>
    <w:p w14:paraId="3C3C2DAA" w14:textId="77777777" w:rsidR="008F0329" w:rsidRDefault="008F0329" w:rsidP="008F0329">
      <w:pPr>
        <w:numPr>
          <w:ilvl w:val="0"/>
          <w:numId w:val="2"/>
        </w:numPr>
        <w:spacing w:after="120" w:line="360" w:lineRule="auto"/>
        <w:ind w:left="360"/>
        <w:jc w:val="both"/>
        <w:rPr>
          <w:rFonts w:ascii="Tahoma" w:hAnsi="Tahoma"/>
        </w:rPr>
      </w:pPr>
      <w:r>
        <w:rPr>
          <w:rFonts w:ascii="Tahoma" w:hAnsi="Tahoma"/>
          <w:rtl/>
        </w:rPr>
        <w:t>הסניגור ער לכך שהמאסר על תנאי התלוי ועומד נגד הנאשם הוא כיום חב-הפעלה, אך בנסיבות שפירט ביקש שכל ענישה שתושת על הנאשם תהא בחופף להפעלת ה</w:t>
      </w:r>
      <w:r>
        <w:rPr>
          <w:rFonts w:ascii="Tahoma" w:hAnsi="Tahoma" w:hint="cs"/>
          <w:rtl/>
        </w:rPr>
        <w:t>מאסר המותנה</w:t>
      </w:r>
      <w:r>
        <w:rPr>
          <w:rFonts w:ascii="Tahoma" w:hAnsi="Tahoma"/>
          <w:rtl/>
        </w:rPr>
        <w:t xml:space="preserve">. הסניגור אף ער לאי שיתוף הפעולה של הנאשם עם שירות המבחן, אך הסביר זאת בהשקפתו של הנאשם כי הוא נדרש לקנבוס לצורך רפואי </w:t>
      </w:r>
      <w:r>
        <w:rPr>
          <w:rFonts w:ascii="Tahoma" w:hAnsi="Tahoma" w:hint="cs"/>
          <w:rtl/>
        </w:rPr>
        <w:t xml:space="preserve">בלבד </w:t>
      </w:r>
      <w:r>
        <w:rPr>
          <w:rFonts w:ascii="Tahoma" w:hAnsi="Tahoma"/>
          <w:rtl/>
        </w:rPr>
        <w:t xml:space="preserve">– כאשר מדובר באדם המחזיק רישיון לשימוש כזה ואף הממונה על עבודות השירות מצא אותו מתאים לנשיאת עונש </w:t>
      </w:r>
      <w:r>
        <w:rPr>
          <w:rFonts w:ascii="Tahoma" w:hAnsi="Tahoma" w:hint="cs"/>
          <w:rtl/>
        </w:rPr>
        <w:t>בעבודות שירות</w:t>
      </w:r>
      <w:r>
        <w:rPr>
          <w:rFonts w:ascii="Tahoma" w:hAnsi="Tahoma"/>
          <w:rtl/>
        </w:rPr>
        <w:t>.</w:t>
      </w:r>
    </w:p>
    <w:p w14:paraId="6BB0B3CA" w14:textId="77777777" w:rsidR="008F0329" w:rsidRDefault="008F0329" w:rsidP="008F0329">
      <w:pPr>
        <w:numPr>
          <w:ilvl w:val="0"/>
          <w:numId w:val="2"/>
        </w:numPr>
        <w:spacing w:after="120" w:line="360" w:lineRule="auto"/>
        <w:ind w:left="360"/>
        <w:jc w:val="both"/>
        <w:rPr>
          <w:rFonts w:ascii="Tahoma" w:hAnsi="Tahoma"/>
        </w:rPr>
      </w:pPr>
      <w:r>
        <w:rPr>
          <w:rFonts w:ascii="Tahoma" w:hAnsi="Tahoma"/>
          <w:rtl/>
        </w:rPr>
        <w:t xml:space="preserve">לבסוף, בהיבט הכלכלי הדגיש הסניגור כי הנאשם הוא תושב אשקלון, שבתחילת תקופת המלחמה פונה לאילת. עוד הדגיש את הפגיעה הכלכלית שתיגרם </w:t>
      </w:r>
      <w:r>
        <w:rPr>
          <w:rFonts w:ascii="Tahoma" w:hAnsi="Tahoma" w:hint="cs"/>
          <w:rtl/>
        </w:rPr>
        <w:t xml:space="preserve">לנאשם </w:t>
      </w:r>
      <w:r>
        <w:rPr>
          <w:rFonts w:ascii="Tahoma" w:hAnsi="Tahoma"/>
          <w:rtl/>
        </w:rPr>
        <w:t>עקב השתת ענישה של מאסר בפועל, לנשיאה בדרך של עבודות שירות, וביקש להימנע מענישה כלכלית.</w:t>
      </w:r>
    </w:p>
    <w:p w14:paraId="74EE2ED6" w14:textId="77777777" w:rsidR="008F0329" w:rsidRDefault="008F0329" w:rsidP="008F0329">
      <w:pPr>
        <w:numPr>
          <w:ilvl w:val="0"/>
          <w:numId w:val="2"/>
        </w:numPr>
        <w:spacing w:after="120" w:line="360" w:lineRule="auto"/>
        <w:ind w:left="360"/>
        <w:jc w:val="both"/>
        <w:rPr>
          <w:rFonts w:ascii="Tahoma" w:hAnsi="Tahoma"/>
        </w:rPr>
      </w:pPr>
      <w:r>
        <w:rPr>
          <w:rFonts w:ascii="Tahoma" w:hAnsi="Tahoma"/>
          <w:rtl/>
        </w:rPr>
        <w:t>לבסוף הנאשם, בדברו האחרון לעונש, אמר: "</w:t>
      </w:r>
      <w:r>
        <w:rPr>
          <w:rFonts w:ascii="Tahoma" w:hAnsi="Tahoma"/>
          <w:b/>
          <w:bCs/>
          <w:rtl/>
        </w:rPr>
        <w:t>אני כבר 3 וחצי עם רישיון לקנביס ומדובר בתיק מאוד ישן... אני מקווה שזה יגמר ואסיים את עבודות השירות...</w:t>
      </w:r>
      <w:r>
        <w:rPr>
          <w:rFonts w:ascii="Tahoma" w:hAnsi="Tahoma"/>
          <w:rtl/>
        </w:rPr>
        <w:t>" (בפרוטוקול, עמ' 20 שורה 9 ואילך).</w:t>
      </w:r>
    </w:p>
    <w:p w14:paraId="7087BBA7" w14:textId="77777777" w:rsidR="008F0329" w:rsidRDefault="008F0329" w:rsidP="008F0329">
      <w:pPr>
        <w:spacing w:after="120" w:line="360" w:lineRule="auto"/>
        <w:jc w:val="both"/>
        <w:rPr>
          <w:rFonts w:ascii="Tahoma" w:hAnsi="Tahoma"/>
          <w:rtl/>
        </w:rPr>
      </w:pPr>
    </w:p>
    <w:p w14:paraId="2236F5DF" w14:textId="77777777" w:rsidR="008F0329" w:rsidRPr="007F1C62" w:rsidRDefault="008F0329" w:rsidP="008F0329">
      <w:pPr>
        <w:pStyle w:val="a9"/>
        <w:numPr>
          <w:ilvl w:val="0"/>
          <w:numId w:val="1"/>
        </w:numPr>
        <w:spacing w:after="120" w:line="360" w:lineRule="auto"/>
        <w:ind w:left="360"/>
        <w:jc w:val="both"/>
        <w:rPr>
          <w:rFonts w:ascii="Tahoma" w:hAnsi="Tahoma"/>
          <w:b/>
          <w:bCs/>
          <w:u w:val="single"/>
          <w:rtl/>
        </w:rPr>
      </w:pPr>
      <w:r w:rsidRPr="007F1C62">
        <w:rPr>
          <w:rFonts w:hint="cs"/>
          <w:b/>
          <w:bCs/>
          <w:u w:val="single"/>
          <w:rtl/>
        </w:rPr>
        <w:t>קביעת מתחם העונש ההולם:</w:t>
      </w:r>
    </w:p>
    <w:p w14:paraId="31833DC2" w14:textId="77777777" w:rsidR="008F0329" w:rsidRPr="00F15324" w:rsidRDefault="008F0329" w:rsidP="008F0329">
      <w:pPr>
        <w:numPr>
          <w:ilvl w:val="0"/>
          <w:numId w:val="2"/>
        </w:numPr>
        <w:spacing w:after="120" w:line="360" w:lineRule="auto"/>
        <w:ind w:left="360"/>
        <w:jc w:val="both"/>
        <w:rPr>
          <w:rFonts w:ascii="Tahoma" w:hAnsi="Tahoma"/>
        </w:rPr>
      </w:pPr>
      <w:r>
        <w:rPr>
          <w:rFonts w:hint="cs"/>
          <w:rtl/>
        </w:rPr>
        <w:t xml:space="preserve">בעת גזירת עונשו של נאשם על בית המשפט לקבוע, תחילה, את מתחם העונש ההולם לאירוע שבגינו הורשע הנאשם, וזאת בהתאם </w:t>
      </w:r>
      <w:r w:rsidRPr="0072704B">
        <w:rPr>
          <w:rFonts w:ascii="Tahoma" w:hAnsi="Tahoma" w:hint="cs"/>
          <w:rtl/>
        </w:rPr>
        <w:t xml:space="preserve">לעיקרון ההלימה. בהקשר זה יתחשב בית המשפט, בין השאר, </w:t>
      </w:r>
      <w:r>
        <w:rPr>
          <w:rFonts w:hint="cs"/>
          <w:rtl/>
        </w:rPr>
        <w:t>בערכים החברתיים שנפגעו מביצוע העבירה ובמידת הפגיעה בהם, במדיניות הענישה הנהוגה ובנסיבות הקשורות בביצוע העבירה.</w:t>
      </w:r>
    </w:p>
    <w:p w14:paraId="12E51BD6" w14:textId="77777777" w:rsidR="008F0329" w:rsidRPr="00B341A5" w:rsidRDefault="008F0329" w:rsidP="008F0329">
      <w:pPr>
        <w:numPr>
          <w:ilvl w:val="0"/>
          <w:numId w:val="2"/>
        </w:numPr>
        <w:spacing w:after="120" w:line="360" w:lineRule="auto"/>
        <w:ind w:left="360"/>
        <w:jc w:val="both"/>
        <w:rPr>
          <w:rFonts w:ascii="Tahoma" w:hAnsi="Tahoma"/>
        </w:rPr>
      </w:pPr>
      <w:r>
        <w:rPr>
          <w:rFonts w:hint="cs"/>
          <w:rtl/>
        </w:rPr>
        <w:t>אשר לערכים החברתיים</w:t>
      </w:r>
      <w:r w:rsidRPr="00B341A5">
        <w:rPr>
          <w:rFonts w:ascii="Tahoma" w:hAnsi="Tahoma" w:hint="cs"/>
          <w:rtl/>
        </w:rPr>
        <w:t xml:space="preserve"> שנפגעו כתולדה מביצוע העבירה מקובל עליי טיעון ב"כ המאשימה. עם זאת נסיבות ביצוע העבירה הן, יחסית, ברף חומרה תחתון</w:t>
      </w:r>
      <w:r>
        <w:rPr>
          <w:rFonts w:ascii="Tahoma" w:hAnsi="Tahoma" w:hint="cs"/>
          <w:rtl/>
        </w:rPr>
        <w:t>,</w:t>
      </w:r>
      <w:r w:rsidRPr="00B341A5">
        <w:rPr>
          <w:rFonts w:ascii="Tahoma" w:hAnsi="Tahoma" w:hint="cs"/>
          <w:rtl/>
        </w:rPr>
        <w:t xml:space="preserve"> שכן מדובר בהחזקת הסמים בדירת מגורים (להבדיל מרכב או מקום בילוי) ובכמות סמים מוגבלת. בנוסף, יש לזכור כי העבירה של החזקת סמים מסוכנים מסוג קנבוס, לצריכה עצמית, היא כיום עבירה מנהלית </w:t>
      </w:r>
      <w:r w:rsidRPr="00B341A5">
        <w:rPr>
          <w:rFonts w:ascii="Tahoma" w:hAnsi="Tahoma"/>
          <w:rtl/>
        </w:rPr>
        <w:t>–</w:t>
      </w:r>
      <w:r w:rsidRPr="00B341A5">
        <w:rPr>
          <w:rFonts w:ascii="Tahoma" w:hAnsi="Tahoma" w:hint="cs"/>
          <w:rtl/>
        </w:rPr>
        <w:t xml:space="preserve"> ככלל ובכפוף לאמור בהוראות </w:t>
      </w:r>
      <w:hyperlink r:id="rId19" w:history="1">
        <w:r w:rsidR="00B35C85" w:rsidRPr="00B35C85">
          <w:rPr>
            <w:rStyle w:val="Hyperlink"/>
            <w:rFonts w:ascii="Tahoma" w:hAnsi="Tahoma"/>
            <w:color w:val="0000FF"/>
            <w:rtl/>
          </w:rPr>
          <w:t>סעיף 15</w:t>
        </w:r>
      </w:hyperlink>
      <w:r>
        <w:rPr>
          <w:rFonts w:ascii="Tahoma" w:hAnsi="Tahoma"/>
          <w:rtl/>
        </w:rPr>
        <w:t xml:space="preserve"> ל</w:t>
      </w:r>
      <w:hyperlink r:id="rId20" w:history="1">
        <w:r w:rsidR="002D09DB" w:rsidRPr="002D09DB">
          <w:rPr>
            <w:rFonts w:ascii="Tahoma" w:hAnsi="Tahoma"/>
            <w:color w:val="0000FF"/>
            <w:u w:val="single"/>
            <w:rtl/>
          </w:rPr>
          <w:t>חוק העבירות המנהליות</w:t>
        </w:r>
      </w:hyperlink>
      <w:r w:rsidRPr="00B341A5">
        <w:rPr>
          <w:rFonts w:ascii="Tahoma" w:hAnsi="Tahoma"/>
          <w:rtl/>
        </w:rPr>
        <w:t>, תשמ"ו-1985</w:t>
      </w:r>
      <w:r w:rsidRPr="00B341A5">
        <w:rPr>
          <w:rFonts w:ascii="Tahoma" w:hAnsi="Tahoma" w:hint="cs"/>
          <w:rtl/>
        </w:rPr>
        <w:t>.</w:t>
      </w:r>
    </w:p>
    <w:p w14:paraId="7A69AAD8" w14:textId="77777777" w:rsidR="008F0329" w:rsidRPr="00EB7F5F" w:rsidRDefault="008F0329" w:rsidP="008F0329">
      <w:pPr>
        <w:numPr>
          <w:ilvl w:val="0"/>
          <w:numId w:val="2"/>
        </w:numPr>
        <w:spacing w:after="120" w:line="360" w:lineRule="auto"/>
        <w:ind w:left="360"/>
        <w:jc w:val="both"/>
        <w:rPr>
          <w:rFonts w:ascii="Tahoma" w:hAnsi="Tahoma"/>
        </w:rPr>
      </w:pPr>
      <w:r w:rsidRPr="00EB7F5F">
        <w:rPr>
          <w:rFonts w:ascii="Tahoma" w:hAnsi="Tahoma" w:hint="cs"/>
          <w:rtl/>
        </w:rPr>
        <w:t xml:space="preserve">בנסיבות אלה ובהתחשב במדיניות הענישה הנהוגה </w:t>
      </w:r>
      <w:r>
        <w:rPr>
          <w:rFonts w:hint="cs"/>
          <w:rtl/>
        </w:rPr>
        <w:t>אני קובע את מתחם העונש ההולם, במקרה זה, בין ענישה צופה פני עתיד לבין מספר חודשי מאסר בפועל, לנשיאה בדרך של עבודות שירות.</w:t>
      </w:r>
    </w:p>
    <w:p w14:paraId="42CC12F6" w14:textId="77777777" w:rsidR="008F0329" w:rsidRPr="00EB7F5F" w:rsidRDefault="008F0329" w:rsidP="008F0329">
      <w:pPr>
        <w:spacing w:after="120" w:line="360" w:lineRule="auto"/>
        <w:jc w:val="both"/>
        <w:rPr>
          <w:rFonts w:ascii="Tahoma" w:hAnsi="Tahoma"/>
          <w:rtl/>
        </w:rPr>
      </w:pPr>
    </w:p>
    <w:p w14:paraId="2A002FD3" w14:textId="77777777" w:rsidR="008F0329" w:rsidRDefault="008F0329" w:rsidP="008F0329">
      <w:pPr>
        <w:pStyle w:val="a9"/>
        <w:numPr>
          <w:ilvl w:val="0"/>
          <w:numId w:val="1"/>
        </w:numPr>
        <w:spacing w:after="120" w:line="360" w:lineRule="auto"/>
        <w:ind w:left="360"/>
        <w:jc w:val="both"/>
        <w:rPr>
          <w:rFonts w:ascii="Tahoma" w:hAnsi="Tahoma"/>
          <w:b/>
          <w:bCs/>
          <w:u w:val="single"/>
          <w:rtl/>
        </w:rPr>
      </w:pPr>
      <w:r w:rsidRPr="00CE1F20">
        <w:rPr>
          <w:rFonts w:hint="cs"/>
          <w:b/>
          <w:bCs/>
          <w:u w:val="single"/>
          <w:rtl/>
        </w:rPr>
        <w:t>גזירת עונשו של הנאשם בתוך מתחם העונש ההולם:</w:t>
      </w:r>
    </w:p>
    <w:p w14:paraId="64377DED" w14:textId="77777777" w:rsidR="008F0329" w:rsidRDefault="008F0329" w:rsidP="008F0329">
      <w:pPr>
        <w:numPr>
          <w:ilvl w:val="0"/>
          <w:numId w:val="2"/>
        </w:numPr>
        <w:spacing w:after="120" w:line="360" w:lineRule="auto"/>
        <w:ind w:left="360"/>
        <w:jc w:val="both"/>
        <w:rPr>
          <w:rFonts w:ascii="Tahoma" w:hAnsi="Tahoma"/>
        </w:rPr>
      </w:pPr>
      <w:r>
        <w:rPr>
          <w:rFonts w:hint="cs"/>
          <w:rtl/>
        </w:rPr>
        <w:t>לאחר קביעת מתחם העונש ההולם על בית המשפט לגזור את עונשו של הנאשם בתוך מתחם זה תוך התחשבות בנסיבות שאינן קשורות בביצוע העבירה.</w:t>
      </w:r>
    </w:p>
    <w:p w14:paraId="3FE6E9DB" w14:textId="77777777" w:rsidR="008F0329" w:rsidRPr="00014B6B" w:rsidRDefault="008F0329" w:rsidP="008F0329">
      <w:pPr>
        <w:numPr>
          <w:ilvl w:val="0"/>
          <w:numId w:val="2"/>
        </w:numPr>
        <w:spacing w:after="120" w:line="360" w:lineRule="auto"/>
        <w:ind w:left="360"/>
        <w:jc w:val="both"/>
        <w:rPr>
          <w:rFonts w:ascii="Tahoma" w:hAnsi="Tahoma"/>
        </w:rPr>
      </w:pPr>
      <w:r>
        <w:rPr>
          <w:rFonts w:hint="cs"/>
          <w:rtl/>
        </w:rPr>
        <w:t>אשר לנאשם שלפניי, השיקולים הרלוואנטיים לגזירת עונשו הם כלהלן:</w:t>
      </w:r>
    </w:p>
    <w:p w14:paraId="18A63A99" w14:textId="77777777" w:rsidR="008F0329" w:rsidRDefault="008F0329" w:rsidP="008F0329">
      <w:pPr>
        <w:snapToGrid w:val="0"/>
        <w:spacing w:after="120" w:line="360" w:lineRule="auto"/>
        <w:ind w:left="720"/>
        <w:jc w:val="both"/>
        <w:rPr>
          <w:rtl/>
        </w:rPr>
      </w:pPr>
      <w:r w:rsidRPr="00627467">
        <w:rPr>
          <w:rFonts w:hint="cs"/>
          <w:b/>
          <w:bCs/>
          <w:rtl/>
        </w:rPr>
        <w:t xml:space="preserve">עברו הפלילי של הנאשם </w:t>
      </w:r>
      <w:r w:rsidRPr="00627467">
        <w:rPr>
          <w:b/>
          <w:bCs/>
          <w:rtl/>
        </w:rPr>
        <w:t>–</w:t>
      </w:r>
      <w:r w:rsidRPr="00627467">
        <w:rPr>
          <w:rFonts w:hint="cs"/>
          <w:b/>
          <w:bCs/>
          <w:rtl/>
        </w:rPr>
        <w:t xml:space="preserve"> </w:t>
      </w:r>
      <w:r>
        <w:rPr>
          <w:rFonts w:hint="cs"/>
          <w:rtl/>
        </w:rPr>
        <w:t xml:space="preserve">לנאשם עבר פלילי מכביד הכולל שש הרשעות קודמות. נתון זה הוא בעל משמעות מהותית, שכן ניתן ללמוד ממנו כי עסקינן בנאשם החוזר ומבצע עבירות הפוגעות בציבור, על אף גילו הצעיר יחסית, וכי העונשים שהושתו עליו בעבר </w:t>
      </w:r>
      <w:r>
        <w:rPr>
          <w:rtl/>
        </w:rPr>
        <w:t>–</w:t>
      </w:r>
      <w:r>
        <w:rPr>
          <w:rFonts w:hint="cs"/>
          <w:rtl/>
        </w:rPr>
        <w:t xml:space="preserve"> לרבות בדמות מאסרים בפועל </w:t>
      </w:r>
      <w:r>
        <w:rPr>
          <w:rtl/>
        </w:rPr>
        <w:t>–</w:t>
      </w:r>
      <w:r>
        <w:rPr>
          <w:rFonts w:hint="cs"/>
          <w:rtl/>
        </w:rPr>
        <w:t xml:space="preserve"> לא הרתיעו אותו מלחזור ולשוב לסורו.</w:t>
      </w:r>
    </w:p>
    <w:p w14:paraId="3C22B05C" w14:textId="77777777" w:rsidR="008F0329" w:rsidRDefault="008F0329" w:rsidP="008F0329">
      <w:pPr>
        <w:snapToGrid w:val="0"/>
        <w:spacing w:after="120" w:line="360" w:lineRule="auto"/>
        <w:ind w:left="720"/>
        <w:jc w:val="both"/>
        <w:rPr>
          <w:rtl/>
        </w:rPr>
      </w:pPr>
      <w:r w:rsidRPr="0047118D">
        <w:rPr>
          <w:rFonts w:hint="cs"/>
          <w:b/>
          <w:bCs/>
          <w:rtl/>
        </w:rPr>
        <w:t>הפגיעה של העונש בנאשם ובמשפחתו –</w:t>
      </w:r>
      <w:r w:rsidRPr="0047118D">
        <w:rPr>
          <w:rFonts w:hint="cs"/>
          <w:rtl/>
        </w:rPr>
        <w:t xml:space="preserve"> הטלת עונש של מאסר בפועל תפגע הן בנאשם והן במשפחתו</w:t>
      </w:r>
      <w:r>
        <w:rPr>
          <w:rFonts w:hint="cs"/>
          <w:rtl/>
        </w:rPr>
        <w:t>. עם זאת, הטלת עונש כאמור לנשיאה בדרך של עבודות שירות תגבש פגיעה מתונה בהרבה.</w:t>
      </w:r>
    </w:p>
    <w:p w14:paraId="19D49CC8" w14:textId="77777777" w:rsidR="008F0329" w:rsidRDefault="008F0329" w:rsidP="008F0329">
      <w:pPr>
        <w:snapToGrid w:val="0"/>
        <w:spacing w:after="120" w:line="360" w:lineRule="auto"/>
        <w:ind w:left="720"/>
        <w:jc w:val="both"/>
        <w:rPr>
          <w:rtl/>
        </w:rPr>
      </w:pPr>
      <w:r w:rsidRPr="00627467">
        <w:rPr>
          <w:rFonts w:hint="cs"/>
          <w:b/>
          <w:bCs/>
          <w:rtl/>
        </w:rPr>
        <w:t xml:space="preserve">הודאה ונטילת אחריות </w:t>
      </w:r>
      <w:r>
        <w:rPr>
          <w:rtl/>
        </w:rPr>
        <w:t>–</w:t>
      </w:r>
      <w:r>
        <w:rPr>
          <w:rFonts w:hint="cs"/>
          <w:rtl/>
        </w:rPr>
        <w:t xml:space="preserve"> הנאשם הודה בעובדות כתב האישום המתוקן. בכך חסך הנאשם מזמנם של העדים, הצדדים ובית המשפט. נסיבות אלה יש לזקוף לזכותו של הנאשם.</w:t>
      </w:r>
    </w:p>
    <w:p w14:paraId="0C8F5297" w14:textId="77777777" w:rsidR="008F0329" w:rsidRDefault="008F0329" w:rsidP="008F0329">
      <w:pPr>
        <w:snapToGrid w:val="0"/>
        <w:spacing w:after="120" w:line="360" w:lineRule="auto"/>
        <w:ind w:left="720"/>
        <w:jc w:val="both"/>
        <w:rPr>
          <w:rtl/>
        </w:rPr>
      </w:pPr>
      <w:r>
        <w:rPr>
          <w:rFonts w:hint="cs"/>
          <w:b/>
          <w:bCs/>
          <w:rtl/>
        </w:rPr>
        <w:t>חלוף הזמן מעת ביצוע העבירה –</w:t>
      </w:r>
      <w:r>
        <w:rPr>
          <w:rFonts w:hint="cs"/>
          <w:rtl/>
        </w:rPr>
        <w:t xml:space="preserve"> מאז ביצוע העבירה חלפה כבר תקופה ממושכת. עם זאת, עיכובים רבים נגרמו בניהול התיק בעטיו של הנאשם, כאשר כאמור נדרשה הוצאת צווי הבאה על מנת להבטיח את התייצבותו בבית המשפט. בנסיבות אלה ברי כי אין ליתן משקל קולה משמעותי לחלוף הזמן.</w:t>
      </w:r>
    </w:p>
    <w:p w14:paraId="71602B97" w14:textId="77777777" w:rsidR="008F0329" w:rsidRDefault="008F0329" w:rsidP="008F0329">
      <w:pPr>
        <w:numPr>
          <w:ilvl w:val="0"/>
          <w:numId w:val="2"/>
        </w:numPr>
        <w:spacing w:after="120" w:line="360" w:lineRule="auto"/>
        <w:ind w:left="360"/>
        <w:jc w:val="both"/>
        <w:rPr>
          <w:rFonts w:ascii="Tahoma" w:hAnsi="Tahoma"/>
        </w:rPr>
      </w:pPr>
      <w:r>
        <w:rPr>
          <w:rFonts w:hint="cs"/>
          <w:rtl/>
        </w:rPr>
        <w:t>המסקנה המתבקשת ממכלול הנסיבות והשיקולים שפורטו לעיל היא שבמקרה זה נסיבות הקולה עולות במשקלן במידה מסוימת על נסיבות החומרה,</w:t>
      </w:r>
      <w:r w:rsidRPr="00014B6B">
        <w:rPr>
          <w:rFonts w:ascii="Tahoma" w:hAnsi="Tahoma" w:hint="cs"/>
          <w:rtl/>
        </w:rPr>
        <w:t xml:space="preserve"> </w:t>
      </w:r>
      <w:r>
        <w:rPr>
          <w:rFonts w:ascii="Tahoma" w:hAnsi="Tahoma" w:hint="cs"/>
          <w:rtl/>
        </w:rPr>
        <w:t>באופן ש</w:t>
      </w:r>
      <w:r w:rsidRPr="00014B6B">
        <w:rPr>
          <w:rFonts w:ascii="Tahoma" w:hAnsi="Tahoma" w:hint="cs"/>
          <w:rtl/>
        </w:rPr>
        <w:t>יש לגזור את עונשו ש</w:t>
      </w:r>
      <w:r>
        <w:rPr>
          <w:rFonts w:ascii="Tahoma" w:hAnsi="Tahoma" w:hint="cs"/>
          <w:rtl/>
        </w:rPr>
        <w:t>ל הנאשם במחצית התחתונה של מתחם העונש ההולם אך לא ברף התחתון.</w:t>
      </w:r>
    </w:p>
    <w:p w14:paraId="11753DAA" w14:textId="77777777" w:rsidR="008F0329" w:rsidRPr="00D93CE8" w:rsidRDefault="008F0329" w:rsidP="008F0329">
      <w:pPr>
        <w:numPr>
          <w:ilvl w:val="0"/>
          <w:numId w:val="2"/>
        </w:numPr>
        <w:spacing w:after="120" w:line="360" w:lineRule="auto"/>
        <w:ind w:left="360"/>
        <w:jc w:val="both"/>
        <w:rPr>
          <w:rFonts w:ascii="Tahoma" w:hAnsi="Tahoma"/>
        </w:rPr>
      </w:pPr>
      <w:r w:rsidRPr="00D93CE8">
        <w:rPr>
          <w:rFonts w:ascii="Tahoma" w:hAnsi="Tahoma" w:hint="cs"/>
          <w:rtl/>
        </w:rPr>
        <w:t xml:space="preserve">אשר למאסר המותנה התלוי ועומד נגד הנאשם, שהוא כאמור חב הפעלה לפניי, כלל הדין הוא כי יש להפעילו במצטבר (כאמור בהוראות </w:t>
      </w:r>
      <w:hyperlink r:id="rId21" w:history="1">
        <w:r w:rsidR="00B35C85" w:rsidRPr="00B35C85">
          <w:rPr>
            <w:rStyle w:val="Hyperlink"/>
            <w:rFonts w:ascii="Tahoma" w:hAnsi="Tahoma" w:hint="eastAsia"/>
            <w:color w:val="0000FF"/>
            <w:rtl/>
          </w:rPr>
          <w:t>סעיף</w:t>
        </w:r>
        <w:r w:rsidR="00B35C85" w:rsidRPr="00B35C85">
          <w:rPr>
            <w:rStyle w:val="Hyperlink"/>
            <w:rFonts w:ascii="Tahoma" w:hAnsi="Tahoma"/>
            <w:color w:val="0000FF"/>
            <w:rtl/>
          </w:rPr>
          <w:t xml:space="preserve"> 58</w:t>
        </w:r>
      </w:hyperlink>
      <w:r w:rsidRPr="00D93CE8">
        <w:rPr>
          <w:rFonts w:ascii="Tahoma" w:hAnsi="Tahoma" w:hint="cs"/>
          <w:rtl/>
        </w:rPr>
        <w:t xml:space="preserve"> ל</w:t>
      </w:r>
      <w:hyperlink r:id="rId22" w:history="1">
        <w:r w:rsidR="002D09DB" w:rsidRPr="002D09DB">
          <w:rPr>
            <w:rFonts w:ascii="Tahoma" w:hAnsi="Tahoma"/>
            <w:color w:val="0000FF"/>
            <w:u w:val="single"/>
            <w:rtl/>
          </w:rPr>
          <w:t>חוק העונשין</w:t>
        </w:r>
      </w:hyperlink>
      <w:r w:rsidRPr="00D93CE8">
        <w:rPr>
          <w:rFonts w:ascii="Tahoma" w:hAnsi="Tahoma" w:hint="cs"/>
          <w:rtl/>
        </w:rPr>
        <w:t xml:space="preserve">). במקרה דנא ברי אפוא כי לא ניתן להורות על הפעלה בחפיפה מלאה וניתן להורות </w:t>
      </w:r>
      <w:r w:rsidRPr="00D93CE8">
        <w:rPr>
          <w:rFonts w:ascii="Tahoma" w:hAnsi="Tahoma"/>
          <w:rtl/>
        </w:rPr>
        <w:t>–</w:t>
      </w:r>
      <w:r w:rsidRPr="00D93CE8">
        <w:rPr>
          <w:rFonts w:ascii="Tahoma" w:hAnsi="Tahoma" w:hint="cs"/>
          <w:rtl/>
        </w:rPr>
        <w:t xml:space="preserve"> וגם זו למעשה לפנים משורת הדין </w:t>
      </w:r>
      <w:r w:rsidRPr="00D93CE8">
        <w:rPr>
          <w:rFonts w:ascii="Tahoma" w:hAnsi="Tahoma"/>
          <w:rtl/>
        </w:rPr>
        <w:t>–</w:t>
      </w:r>
      <w:r w:rsidRPr="00D93CE8">
        <w:rPr>
          <w:rFonts w:ascii="Tahoma" w:hAnsi="Tahoma" w:hint="cs"/>
          <w:rtl/>
        </w:rPr>
        <w:t xml:space="preserve"> על חפיפה חלקית</w:t>
      </w:r>
      <w:r>
        <w:rPr>
          <w:rFonts w:ascii="Tahoma" w:hAnsi="Tahoma" w:hint="cs"/>
          <w:rtl/>
        </w:rPr>
        <w:t xml:space="preserve"> בלבד</w:t>
      </w:r>
      <w:r w:rsidRPr="00D93CE8">
        <w:rPr>
          <w:rFonts w:ascii="Tahoma" w:hAnsi="Tahoma" w:hint="cs"/>
          <w:rtl/>
        </w:rPr>
        <w:t>.</w:t>
      </w:r>
      <w:r>
        <w:rPr>
          <w:rFonts w:ascii="Tahoma" w:hAnsi="Tahoma" w:hint="cs"/>
          <w:rtl/>
        </w:rPr>
        <w:t xml:space="preserve"> </w:t>
      </w:r>
      <w:r w:rsidRPr="00D93CE8">
        <w:rPr>
          <w:rFonts w:ascii="Tahoma" w:hAnsi="Tahoma" w:hint="cs"/>
          <w:rtl/>
        </w:rPr>
        <w:t>לבסוף, נוכח העובדה שמדובר בעבירת סמים יש מקום להשית גם ענישה כלכלית מסוימת.</w:t>
      </w:r>
    </w:p>
    <w:p w14:paraId="59CB5555" w14:textId="77777777" w:rsidR="008F0329" w:rsidRPr="002059D0" w:rsidRDefault="008F0329" w:rsidP="008F0329">
      <w:pPr>
        <w:spacing w:after="120" w:line="360" w:lineRule="auto"/>
        <w:jc w:val="both"/>
        <w:rPr>
          <w:rFonts w:ascii="Tahoma" w:hAnsi="Tahoma"/>
          <w:rtl/>
        </w:rPr>
      </w:pPr>
    </w:p>
    <w:p w14:paraId="68958F05" w14:textId="77777777" w:rsidR="008F0329" w:rsidRDefault="008F0329" w:rsidP="008F0329">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4C9C974B" w14:textId="77777777" w:rsidR="008F0329" w:rsidRPr="002059D0" w:rsidRDefault="008F0329" w:rsidP="008F0329">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2E650857" w14:textId="77777777" w:rsidR="008F0329" w:rsidRDefault="008F0329" w:rsidP="008F0329">
      <w:pPr>
        <w:spacing w:after="120" w:line="360" w:lineRule="auto"/>
        <w:ind w:left="1080" w:hanging="720"/>
        <w:jc w:val="both"/>
        <w:rPr>
          <w:rFonts w:ascii="Tahoma" w:hAnsi="Tahoma"/>
          <w:rtl/>
        </w:rPr>
      </w:pPr>
      <w:r>
        <w:rPr>
          <w:rFonts w:hint="cs"/>
          <w:rtl/>
        </w:rPr>
        <w:t>(א)</w:t>
      </w:r>
      <w:r>
        <w:rPr>
          <w:rtl/>
        </w:rPr>
        <w:tab/>
      </w:r>
      <w:r>
        <w:rPr>
          <w:rFonts w:hint="cs"/>
          <w:rtl/>
        </w:rPr>
        <w:t>חודש מאסר בפועל.</w:t>
      </w:r>
    </w:p>
    <w:p w14:paraId="74FDC140" w14:textId="77777777" w:rsidR="008F0329" w:rsidRDefault="008F0329" w:rsidP="008F0329">
      <w:pPr>
        <w:spacing w:after="120" w:line="360" w:lineRule="auto"/>
        <w:ind w:left="108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על הנאשם להתייצב לנשיאת עונשו במשרדי הממונה על עבודות השירות, ביום 01.08.2024 עד השעה 08:00.</w:t>
      </w:r>
    </w:p>
    <w:p w14:paraId="45EBB7AD" w14:textId="77777777" w:rsidR="008F0329" w:rsidRDefault="008F0329" w:rsidP="008F0329">
      <w:pPr>
        <w:spacing w:after="120" w:line="360" w:lineRule="auto"/>
        <w:ind w:left="108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7EF23266" w14:textId="77777777" w:rsidR="008F0329" w:rsidRPr="002B12C1" w:rsidRDefault="008F0329" w:rsidP="008F0329">
      <w:pPr>
        <w:spacing w:after="120" w:line="360" w:lineRule="auto"/>
        <w:ind w:left="1080" w:hanging="720"/>
        <w:jc w:val="both"/>
        <w:rPr>
          <w:b/>
          <w:bCs/>
          <w:rtl/>
        </w:rPr>
      </w:pPr>
      <w:r>
        <w:rPr>
          <w:rFonts w:hint="cs"/>
          <w:rtl/>
        </w:rPr>
        <w:t>(ב)</w:t>
      </w:r>
      <w:r>
        <w:rPr>
          <w:rtl/>
        </w:rPr>
        <w:tab/>
      </w:r>
      <w:r>
        <w:rPr>
          <w:rFonts w:hint="cs"/>
          <w:rtl/>
        </w:rPr>
        <w:t>המאסר המותנה, בן  ארבעה חודשים, אשר נגזר על הנאשם ביום 03.10.2018 בבית משפט השלום באשקלון, ב</w:t>
      </w:r>
      <w:hyperlink r:id="rId23" w:history="1">
        <w:r w:rsidR="002D09DB" w:rsidRPr="002D09DB">
          <w:rPr>
            <w:color w:val="0000FF"/>
            <w:u w:val="single"/>
            <w:rtl/>
          </w:rPr>
          <w:t>ת"פ 50598-07-18</w:t>
        </w:r>
      </w:hyperlink>
      <w:r>
        <w:rPr>
          <w:rFonts w:hint="cs"/>
          <w:rtl/>
        </w:rPr>
        <w:t>, מופעל בחלקו בחופף ובחלקו במצטבר לעונש המאסר אשר הוטל בסעיף-קטן (א) דלעיל</w:t>
      </w:r>
      <w:r>
        <w:rPr>
          <w:rFonts w:ascii="Tahoma" w:hAnsi="Tahoma" w:hint="cs"/>
          <w:rtl/>
        </w:rPr>
        <w:t xml:space="preserve"> </w:t>
      </w:r>
      <w:r w:rsidRPr="00045BE8">
        <w:rPr>
          <w:rFonts w:ascii="Tahoma" w:hAnsi="Tahoma" w:hint="cs"/>
          <w:b/>
          <w:bCs/>
          <w:rtl/>
        </w:rPr>
        <w:t xml:space="preserve">באופן </w:t>
      </w:r>
      <w:r w:rsidRPr="00045BE8">
        <w:rPr>
          <w:rFonts w:hint="cs"/>
          <w:b/>
          <w:bCs/>
          <w:rtl/>
        </w:rPr>
        <w:t>בסך הכל יישא הנאשם עונש של ארבעה וחצי חודשי מאסר, בדרך של עבודות</w:t>
      </w:r>
      <w:r w:rsidRPr="002B12C1">
        <w:rPr>
          <w:rFonts w:hint="cs"/>
          <w:b/>
          <w:bCs/>
          <w:rtl/>
        </w:rPr>
        <w:t xml:space="preserve"> שירות.</w:t>
      </w:r>
    </w:p>
    <w:p w14:paraId="2C8468FE" w14:textId="77777777" w:rsidR="008F0329" w:rsidRDefault="008F0329" w:rsidP="008F0329">
      <w:pPr>
        <w:spacing w:after="120" w:line="360" w:lineRule="auto"/>
        <w:ind w:left="1080" w:hanging="720"/>
        <w:jc w:val="both"/>
        <w:rPr>
          <w:rFonts w:ascii="Tahoma" w:hAnsi="Tahoma"/>
          <w:rtl/>
        </w:rPr>
      </w:pPr>
      <w:r>
        <w:rPr>
          <w:rFonts w:hint="cs"/>
          <w:rtl/>
        </w:rPr>
        <w:t xml:space="preserve"> (ג)</w:t>
      </w:r>
      <w:r>
        <w:rPr>
          <w:rtl/>
        </w:rPr>
        <w:tab/>
      </w:r>
      <w:r>
        <w:rPr>
          <w:rFonts w:hint="cs"/>
          <w:rtl/>
        </w:rPr>
        <w:t xml:space="preserve">מאסר על תנאי למשך חודשיים, אותו לא יישא הנאשם אלא אם כן יעבור, תוך שלוש שנים מהיום, עבירה לפי הוראות </w:t>
      </w:r>
      <w:hyperlink r:id="rId24" w:history="1">
        <w:r w:rsidR="002D09DB" w:rsidRPr="002D09DB">
          <w:rPr>
            <w:color w:val="0000FF"/>
            <w:u w:val="single"/>
            <w:rtl/>
          </w:rPr>
          <w:t>פקודת הסמים המסוכנים</w:t>
        </w:r>
      </w:hyperlink>
      <w:r>
        <w:rPr>
          <w:rFonts w:hint="cs"/>
          <w:rtl/>
        </w:rPr>
        <w:t xml:space="preserve"> מסוג עוון</w:t>
      </w:r>
      <w:r>
        <w:rPr>
          <w:rFonts w:ascii="Tahoma" w:hAnsi="Tahoma" w:hint="cs"/>
          <w:rtl/>
        </w:rPr>
        <w:t>.</w:t>
      </w:r>
    </w:p>
    <w:p w14:paraId="6EBCAE83" w14:textId="77777777" w:rsidR="008F0329" w:rsidRDefault="008F0329" w:rsidP="008F0329">
      <w:pPr>
        <w:spacing w:after="120" w:line="360" w:lineRule="auto"/>
        <w:ind w:left="1080" w:hanging="720"/>
        <w:jc w:val="both"/>
        <w:rPr>
          <w:rtl/>
        </w:rPr>
      </w:pPr>
      <w:r>
        <w:rPr>
          <w:rFonts w:hint="cs"/>
          <w:rtl/>
        </w:rPr>
        <w:t>(ד)</w:t>
      </w:r>
      <w:r>
        <w:rPr>
          <w:rtl/>
        </w:rPr>
        <w:tab/>
      </w:r>
      <w:r>
        <w:rPr>
          <w:rFonts w:hint="cs"/>
          <w:rtl/>
        </w:rPr>
        <w:t>קנס בסך של 2,000 ₪, או 10 ימי מאסר תמורתו.</w:t>
      </w:r>
    </w:p>
    <w:p w14:paraId="577FDA6A" w14:textId="77777777" w:rsidR="008F0329" w:rsidRDefault="008F0329" w:rsidP="008F0329">
      <w:pPr>
        <w:spacing w:after="120" w:line="360" w:lineRule="auto"/>
        <w:ind w:left="1080"/>
        <w:jc w:val="both"/>
        <w:rPr>
          <w:rFonts w:ascii="Tahoma" w:hAnsi="Tahoma"/>
          <w:rtl/>
        </w:rPr>
      </w:pPr>
      <w:r>
        <w:rPr>
          <w:rFonts w:hint="cs"/>
          <w:rtl/>
        </w:rPr>
        <w:t>הקנס ישולם ב-4 תשלומים חודשיים, שווים ורצופים, החל מיום 01.07.2024 ובכל אחד בחודש שלאחריו. היה והנאשם לא ישלם את אחד התשלומים במועד תועמד כל יתרת הקנס לפירעון מידי.</w:t>
      </w:r>
    </w:p>
    <w:p w14:paraId="5EEAF40A" w14:textId="77777777" w:rsidR="008F0329" w:rsidRDefault="008F0329" w:rsidP="008F0329">
      <w:pPr>
        <w:spacing w:after="120" w:line="360" w:lineRule="auto"/>
        <w:jc w:val="both"/>
        <w:rPr>
          <w:rtl/>
        </w:rPr>
      </w:pPr>
      <w:r w:rsidRPr="00BF022E">
        <w:rPr>
          <w:rtl/>
        </w:rPr>
        <w:t>ככל ש</w:t>
      </w:r>
      <w:r>
        <w:rPr>
          <w:rFonts w:hint="cs"/>
          <w:rtl/>
        </w:rPr>
        <w:t>נותר בתיק בית המשפט פיקדון שהופקד מטעם הנאשם, בהסכמת ההגנה יקוזז הפיקדון לתשלום הקנס, כאשר הנאשם יידרש לשלם רק את יתרת הסכום שתיוותר.</w:t>
      </w:r>
    </w:p>
    <w:p w14:paraId="76A1142C" w14:textId="77777777" w:rsidR="008F0329" w:rsidRDefault="002D09DB" w:rsidP="008F0329">
      <w:pPr>
        <w:spacing w:after="120" w:line="360" w:lineRule="auto"/>
        <w:jc w:val="both"/>
        <w:rPr>
          <w:rtl/>
        </w:rPr>
      </w:pPr>
      <w:r w:rsidRPr="002D09DB">
        <w:rPr>
          <w:color w:val="FFFFFF"/>
          <w:sz w:val="2"/>
          <w:szCs w:val="2"/>
          <w:rtl/>
        </w:rPr>
        <w:t>5129371</w:t>
      </w:r>
      <w:r w:rsidR="008F0329">
        <w:rPr>
          <w:rFonts w:hint="cs"/>
          <w:rtl/>
        </w:rPr>
        <w:t>ניתן בזה צו כללי, לעניין מוצגים, לשיקול דעתו של קצין משטרה. הסמים יושמדו.</w:t>
      </w:r>
    </w:p>
    <w:p w14:paraId="1C8FD572" w14:textId="77777777" w:rsidR="008F0329" w:rsidRDefault="002D09DB" w:rsidP="008F0329">
      <w:pPr>
        <w:snapToGrid w:val="0"/>
        <w:spacing w:after="120" w:line="360" w:lineRule="auto"/>
        <w:jc w:val="both"/>
        <w:rPr>
          <w:rtl/>
        </w:rPr>
      </w:pPr>
      <w:r w:rsidRPr="002D09DB">
        <w:rPr>
          <w:color w:val="FFFFFF"/>
          <w:sz w:val="2"/>
          <w:szCs w:val="2"/>
          <w:rtl/>
        </w:rPr>
        <w:t>54678313</w:t>
      </w:r>
      <w:r w:rsidR="008F0329">
        <w:rPr>
          <w:rFonts w:hint="cs"/>
          <w:rtl/>
        </w:rPr>
        <w:t>זכות ערעור בתוך 45 יום מהיום.</w:t>
      </w:r>
    </w:p>
    <w:p w14:paraId="54FC3AD3" w14:textId="77777777" w:rsidR="008F0329" w:rsidRPr="00761D70" w:rsidRDefault="008F0329" w:rsidP="008F0329">
      <w:pPr>
        <w:spacing w:after="120" w:line="360" w:lineRule="auto"/>
        <w:jc w:val="both"/>
        <w:rPr>
          <w:rFonts w:ascii="Tahoma" w:hAnsi="Tahoma"/>
          <w:rtl/>
        </w:rPr>
      </w:pPr>
      <w:r>
        <w:rPr>
          <w:rFonts w:hint="cs"/>
          <w:rtl/>
        </w:rPr>
        <w:t>המזכירות תמציא גזר דין זה לשירות המבחן.</w:t>
      </w:r>
    </w:p>
    <w:p w14:paraId="6B698445" w14:textId="77777777" w:rsidR="008F0329" w:rsidRPr="000F2247" w:rsidRDefault="002D09DB" w:rsidP="008F0329">
      <w:pPr>
        <w:spacing w:line="360" w:lineRule="auto"/>
        <w:jc w:val="both"/>
        <w:rPr>
          <w:rFonts w:ascii="Arial" w:hAnsi="Arial"/>
          <w:b/>
          <w:bCs/>
          <w:sz w:val="26"/>
          <w:szCs w:val="26"/>
          <w:rtl/>
        </w:rPr>
      </w:pPr>
      <w:bookmarkStart w:id="8" w:name="Nitan"/>
      <w:r>
        <w:rPr>
          <w:rFonts w:ascii="Arial" w:hAnsi="Arial"/>
          <w:rtl/>
        </w:rPr>
        <w:t xml:space="preserve">ניתן היום, י"ב סיוון תשפ"ד, 18 יוני 2024, במעמד הצדדים. </w:t>
      </w:r>
      <w:bookmarkEnd w:id="8"/>
      <w:r w:rsidR="008F0329">
        <w:rPr>
          <w:rFonts w:ascii="Arial" w:hAnsi="Arial"/>
          <w:b/>
          <w:bCs/>
          <w:sz w:val="26"/>
          <w:szCs w:val="26"/>
          <w:rtl/>
        </w:rPr>
        <w:tab/>
      </w:r>
      <w:r w:rsidR="008F0329">
        <w:rPr>
          <w:rFonts w:ascii="Arial" w:hAnsi="Arial"/>
          <w:b/>
          <w:bCs/>
          <w:sz w:val="26"/>
          <w:szCs w:val="26"/>
          <w:rtl/>
        </w:rPr>
        <w:tab/>
      </w:r>
      <w:r w:rsidR="008F0329">
        <w:rPr>
          <w:rFonts w:ascii="Arial" w:hAnsi="Arial"/>
          <w:b/>
          <w:bCs/>
          <w:sz w:val="26"/>
          <w:szCs w:val="26"/>
          <w:rtl/>
        </w:rPr>
        <w:tab/>
      </w:r>
      <w:r w:rsidR="008F0329">
        <w:rPr>
          <w:rFonts w:ascii="Arial" w:hAnsi="Arial"/>
          <w:b/>
          <w:bCs/>
          <w:sz w:val="26"/>
          <w:szCs w:val="26"/>
          <w:rtl/>
        </w:rPr>
        <w:tab/>
      </w:r>
      <w:r w:rsidR="008F0329">
        <w:rPr>
          <w:rFonts w:ascii="Arial" w:hAnsi="Arial"/>
          <w:b/>
          <w:bCs/>
          <w:sz w:val="26"/>
          <w:szCs w:val="26"/>
          <w:rtl/>
        </w:rPr>
        <w:tab/>
      </w:r>
      <w:r w:rsidR="008F0329">
        <w:rPr>
          <w:rFonts w:ascii="Arial" w:hAnsi="Arial"/>
          <w:b/>
          <w:bCs/>
          <w:sz w:val="26"/>
          <w:szCs w:val="26"/>
          <w:rtl/>
        </w:rPr>
        <w:tab/>
      </w:r>
      <w:r w:rsidR="008F0329">
        <w:rPr>
          <w:rFonts w:ascii="Arial" w:hAnsi="Arial"/>
          <w:b/>
          <w:bCs/>
          <w:sz w:val="26"/>
          <w:szCs w:val="26"/>
          <w:rtl/>
        </w:rPr>
        <w:tab/>
      </w:r>
      <w:r w:rsidR="008F0329">
        <w:rPr>
          <w:rFonts w:ascii="Arial" w:hAnsi="Arial" w:hint="cs"/>
          <w:b/>
          <w:bCs/>
          <w:sz w:val="26"/>
          <w:szCs w:val="26"/>
          <w:rtl/>
        </w:rPr>
        <w:t xml:space="preserve">         </w:t>
      </w:r>
    </w:p>
    <w:p w14:paraId="4A04402E" w14:textId="77777777" w:rsidR="008F0329" w:rsidRPr="000F2247" w:rsidRDefault="008F0329" w:rsidP="002D09D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01EFAF5" w14:textId="77777777" w:rsidR="008F0329" w:rsidRPr="000F2247" w:rsidRDefault="008F0329" w:rsidP="008F0329">
      <w:pPr>
        <w:jc w:val="center"/>
        <w:rPr>
          <w:rFonts w:ascii="Arial" w:hAnsi="Arial"/>
          <w:b/>
          <w:bCs/>
          <w:sz w:val="26"/>
          <w:szCs w:val="26"/>
          <w:rtl/>
        </w:rPr>
      </w:pPr>
    </w:p>
    <w:p w14:paraId="5F8E3F1A" w14:textId="77777777" w:rsidR="00B761EF" w:rsidRPr="002D09DB" w:rsidRDefault="00B761EF" w:rsidP="002D09DB">
      <w:pPr>
        <w:keepNext/>
        <w:rPr>
          <w:rFonts w:ascii="David" w:hAnsi="David"/>
          <w:color w:val="000000"/>
          <w:sz w:val="22"/>
          <w:szCs w:val="22"/>
          <w:rtl/>
        </w:rPr>
      </w:pPr>
    </w:p>
    <w:p w14:paraId="6F17A7D4" w14:textId="77777777" w:rsidR="002D09DB" w:rsidRPr="002D09DB" w:rsidRDefault="002D09DB" w:rsidP="002D09DB">
      <w:pPr>
        <w:keepNext/>
        <w:rPr>
          <w:rFonts w:ascii="David" w:hAnsi="David"/>
          <w:color w:val="000000"/>
          <w:sz w:val="22"/>
          <w:szCs w:val="22"/>
          <w:rtl/>
        </w:rPr>
      </w:pPr>
      <w:r w:rsidRPr="002D09DB">
        <w:rPr>
          <w:rFonts w:ascii="David" w:hAnsi="David"/>
          <w:color w:val="000000"/>
          <w:sz w:val="22"/>
          <w:szCs w:val="22"/>
          <w:rtl/>
        </w:rPr>
        <w:t>שאול אבינור 54678313</w:t>
      </w:r>
    </w:p>
    <w:p w14:paraId="798E529E" w14:textId="77777777" w:rsidR="002D09DB" w:rsidRDefault="002D09DB" w:rsidP="002D09DB">
      <w:r w:rsidRPr="002D09DB">
        <w:rPr>
          <w:color w:val="000000"/>
          <w:rtl/>
        </w:rPr>
        <w:t>נוסח מסמך זה כפוף לשינויי ניסוח ועריכה</w:t>
      </w:r>
    </w:p>
    <w:p w14:paraId="64047919" w14:textId="77777777" w:rsidR="002D09DB" w:rsidRDefault="002D09DB" w:rsidP="002D09DB">
      <w:pPr>
        <w:rPr>
          <w:rtl/>
        </w:rPr>
      </w:pPr>
    </w:p>
    <w:p w14:paraId="1AA69E1C" w14:textId="77777777" w:rsidR="002D09DB" w:rsidRDefault="002D09DB" w:rsidP="002D09DB">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050C4C7A" w14:textId="77777777" w:rsidR="002D09DB" w:rsidRPr="002D09DB" w:rsidRDefault="002D09DB" w:rsidP="002D09DB">
      <w:pPr>
        <w:jc w:val="center"/>
        <w:rPr>
          <w:color w:val="0000FF"/>
          <w:u w:val="single"/>
        </w:rPr>
      </w:pPr>
    </w:p>
    <w:sectPr w:rsidR="002D09DB" w:rsidRPr="002D09DB" w:rsidSect="002D09DB">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F8D29" w14:textId="77777777" w:rsidR="001F293F" w:rsidRDefault="001F293F" w:rsidP="00202E80">
      <w:r>
        <w:separator/>
      </w:r>
    </w:p>
  </w:endnote>
  <w:endnote w:type="continuationSeparator" w:id="0">
    <w:p w14:paraId="6D4E4799" w14:textId="77777777" w:rsidR="001F293F" w:rsidRDefault="001F293F" w:rsidP="0020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D3A26" w14:textId="77777777" w:rsidR="002D09DB" w:rsidRDefault="002D09DB" w:rsidP="002D09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4CC6DC" w14:textId="77777777" w:rsidR="00A271AF" w:rsidRPr="002D09DB" w:rsidRDefault="002D09DB" w:rsidP="002D09D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48429" w14:textId="77777777" w:rsidR="002D09DB" w:rsidRDefault="002D09DB" w:rsidP="002D09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42E8">
      <w:rPr>
        <w:rFonts w:ascii="FrankRuehl" w:hAnsi="FrankRuehl" w:cs="FrankRuehl"/>
        <w:noProof/>
        <w:rtl/>
      </w:rPr>
      <w:t>1</w:t>
    </w:r>
    <w:r>
      <w:rPr>
        <w:rFonts w:ascii="FrankRuehl" w:hAnsi="FrankRuehl" w:cs="FrankRuehl"/>
        <w:rtl/>
      </w:rPr>
      <w:fldChar w:fldCharType="end"/>
    </w:r>
  </w:p>
  <w:p w14:paraId="0A0EF13D" w14:textId="77777777" w:rsidR="00A271AF" w:rsidRPr="002D09DB" w:rsidRDefault="002D09DB" w:rsidP="002D09D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51895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60D02" w14:textId="77777777" w:rsidR="001F293F" w:rsidRDefault="001F293F" w:rsidP="00202E80">
      <w:r>
        <w:separator/>
      </w:r>
    </w:p>
  </w:footnote>
  <w:footnote w:type="continuationSeparator" w:id="0">
    <w:p w14:paraId="52771C48" w14:textId="77777777" w:rsidR="001F293F" w:rsidRDefault="001F293F" w:rsidP="00202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1B710" w14:textId="77777777" w:rsidR="002D09DB" w:rsidRPr="002D09DB" w:rsidRDefault="002D09DB" w:rsidP="002D09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14193-12-20</w:t>
    </w:r>
    <w:r>
      <w:rPr>
        <w:rFonts w:ascii="David" w:hAnsi="David"/>
        <w:color w:val="000000"/>
        <w:sz w:val="22"/>
        <w:szCs w:val="22"/>
        <w:rtl/>
      </w:rPr>
      <w:tab/>
      <w:t xml:space="preserve"> מדינת ישראל נ' ברק גויטע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B00B2" w14:textId="77777777" w:rsidR="002D09DB" w:rsidRPr="002D09DB" w:rsidRDefault="002D09DB" w:rsidP="002D09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14193-12-20</w:t>
    </w:r>
    <w:r>
      <w:rPr>
        <w:rFonts w:ascii="David" w:hAnsi="David"/>
        <w:color w:val="000000"/>
        <w:sz w:val="22"/>
        <w:szCs w:val="22"/>
        <w:rtl/>
      </w:rPr>
      <w:tab/>
      <w:t xml:space="preserve"> מדינת ישראל נ' ברק גויטע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A6349440"/>
    <w:lvl w:ilvl="0" w:tplc="EF3A0AEC">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696035"/>
    <w:multiLevelType w:val="hybridMultilevel"/>
    <w:tmpl w:val="0FF0C620"/>
    <w:lvl w:ilvl="0" w:tplc="64300682">
      <w:start w:val="1"/>
      <w:numFmt w:val="hebrew1"/>
      <w:lvlText w:val="%1."/>
      <w:lvlJc w:val="left"/>
      <w:pPr>
        <w:ind w:left="728" w:hanging="360"/>
      </w:p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6554528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6760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0329"/>
    <w:rsid w:val="001B5A3B"/>
    <w:rsid w:val="001F293F"/>
    <w:rsid w:val="00202E80"/>
    <w:rsid w:val="002D09DB"/>
    <w:rsid w:val="004142E8"/>
    <w:rsid w:val="00711AE6"/>
    <w:rsid w:val="008F0329"/>
    <w:rsid w:val="00A271AF"/>
    <w:rsid w:val="00B35C85"/>
    <w:rsid w:val="00B761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88CCB0"/>
  <w15:chartTrackingRefBased/>
  <w15:docId w15:val="{33597F76-0E42-447B-9217-986AB8D5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032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0329"/>
    <w:pPr>
      <w:tabs>
        <w:tab w:val="center" w:pos="4153"/>
        <w:tab w:val="right" w:pos="8306"/>
      </w:tabs>
    </w:pPr>
  </w:style>
  <w:style w:type="character" w:customStyle="1" w:styleId="a4">
    <w:name w:val="כותרת עליונה תו"/>
    <w:link w:val="a3"/>
    <w:rsid w:val="008F0329"/>
    <w:rPr>
      <w:rFonts w:ascii="Times New Roman" w:eastAsia="Times New Roman" w:hAnsi="Times New Roman" w:cs="David"/>
      <w:sz w:val="24"/>
      <w:szCs w:val="24"/>
    </w:rPr>
  </w:style>
  <w:style w:type="paragraph" w:styleId="a5">
    <w:name w:val="footer"/>
    <w:basedOn w:val="a"/>
    <w:link w:val="a6"/>
    <w:rsid w:val="008F0329"/>
    <w:pPr>
      <w:tabs>
        <w:tab w:val="center" w:pos="4153"/>
        <w:tab w:val="right" w:pos="8306"/>
      </w:tabs>
    </w:pPr>
  </w:style>
  <w:style w:type="character" w:customStyle="1" w:styleId="a6">
    <w:name w:val="כותרת תחתונה תו"/>
    <w:link w:val="a5"/>
    <w:rsid w:val="008F0329"/>
    <w:rPr>
      <w:rFonts w:ascii="Times New Roman" w:eastAsia="Times New Roman" w:hAnsi="Times New Roman" w:cs="David"/>
      <w:sz w:val="24"/>
      <w:szCs w:val="24"/>
    </w:rPr>
  </w:style>
  <w:style w:type="table" w:styleId="a7">
    <w:name w:val="Table Grid"/>
    <w:basedOn w:val="a1"/>
    <w:rsid w:val="008F032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0329"/>
  </w:style>
  <w:style w:type="paragraph" w:styleId="a9">
    <w:name w:val="List Paragraph"/>
    <w:basedOn w:val="a"/>
    <w:qFormat/>
    <w:rsid w:val="008F0329"/>
    <w:pPr>
      <w:ind w:left="720"/>
      <w:contextualSpacing/>
    </w:pPr>
    <w:rPr>
      <w:rFonts w:ascii="Arial (W1)" w:hAnsi="Arial (W1)"/>
    </w:rPr>
  </w:style>
  <w:style w:type="character" w:styleId="Hyperlink">
    <w:name w:val="Hyperlink"/>
    <w:rsid w:val="002D09D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58" TargetMode="External"/><Relationship Id="rId18" Type="http://schemas.openxmlformats.org/officeDocument/2006/relationships/hyperlink" Target="http://www.nevo.co.il/law/4216"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58"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4402408"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4248"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48/15"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4402408" TargetMode="External"/><Relationship Id="rId28" Type="http://schemas.openxmlformats.org/officeDocument/2006/relationships/footer" Target="footer1.xml"/><Relationship Id="rId10" Type="http://schemas.openxmlformats.org/officeDocument/2006/relationships/hyperlink" Target="http://www.nevo.co.il/law/74248" TargetMode="External"/><Relationship Id="rId19" Type="http://schemas.openxmlformats.org/officeDocument/2006/relationships/hyperlink" Target="http://www.nevo.co.il/law/74248/1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1930</Words>
  <Characters>9653</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11560</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3407988</vt:i4>
      </vt:variant>
      <vt:variant>
        <vt:i4>48</vt:i4>
      </vt:variant>
      <vt:variant>
        <vt:i4>0</vt:i4>
      </vt:variant>
      <vt:variant>
        <vt:i4>5</vt:i4>
      </vt:variant>
      <vt:variant>
        <vt:lpwstr>http://www.nevo.co.il/case/24402408</vt:lpwstr>
      </vt:variant>
      <vt:variant>
        <vt:lpwstr/>
      </vt:variant>
      <vt:variant>
        <vt:i4>7995492</vt:i4>
      </vt:variant>
      <vt:variant>
        <vt:i4>45</vt:i4>
      </vt:variant>
      <vt:variant>
        <vt:i4>0</vt:i4>
      </vt:variant>
      <vt:variant>
        <vt:i4>5</vt:i4>
      </vt:variant>
      <vt:variant>
        <vt:lpwstr>http://www.nevo.co.il/law/70301</vt:lpwstr>
      </vt:variant>
      <vt:variant>
        <vt:lpwstr/>
      </vt:variant>
      <vt:variant>
        <vt:i4>7143520</vt:i4>
      </vt:variant>
      <vt:variant>
        <vt:i4>42</vt:i4>
      </vt:variant>
      <vt:variant>
        <vt:i4>0</vt:i4>
      </vt:variant>
      <vt:variant>
        <vt:i4>5</vt:i4>
      </vt:variant>
      <vt:variant>
        <vt:lpwstr>http://www.nevo.co.il/law/70301/58</vt:lpwstr>
      </vt:variant>
      <vt:variant>
        <vt:lpwstr/>
      </vt:variant>
      <vt:variant>
        <vt:i4>7995493</vt:i4>
      </vt:variant>
      <vt:variant>
        <vt:i4>39</vt:i4>
      </vt:variant>
      <vt:variant>
        <vt:i4>0</vt:i4>
      </vt:variant>
      <vt:variant>
        <vt:i4>5</vt:i4>
      </vt:variant>
      <vt:variant>
        <vt:lpwstr>http://www.nevo.co.il/law/74248</vt:lpwstr>
      </vt:variant>
      <vt:variant>
        <vt:lpwstr/>
      </vt:variant>
      <vt:variant>
        <vt:i4>6291564</vt:i4>
      </vt:variant>
      <vt:variant>
        <vt:i4>36</vt:i4>
      </vt:variant>
      <vt:variant>
        <vt:i4>0</vt:i4>
      </vt:variant>
      <vt:variant>
        <vt:i4>5</vt:i4>
      </vt:variant>
      <vt:variant>
        <vt:lpwstr>http://www.nevo.co.il/law/74248/15</vt:lpwstr>
      </vt:variant>
      <vt:variant>
        <vt:lpwstr/>
      </vt:variant>
      <vt:variant>
        <vt:i4>8257637</vt:i4>
      </vt:variant>
      <vt:variant>
        <vt:i4>33</vt:i4>
      </vt:variant>
      <vt:variant>
        <vt:i4>0</vt:i4>
      </vt:variant>
      <vt:variant>
        <vt:i4>5</vt:i4>
      </vt:variant>
      <vt:variant>
        <vt:lpwstr>http://www.nevo.co.il/law/4216</vt:lpwstr>
      </vt:variant>
      <vt:variant>
        <vt:lpwstr/>
      </vt:variant>
      <vt:variant>
        <vt:i4>3407988</vt:i4>
      </vt:variant>
      <vt:variant>
        <vt:i4>30</vt:i4>
      </vt:variant>
      <vt:variant>
        <vt:i4>0</vt:i4>
      </vt:variant>
      <vt:variant>
        <vt:i4>5</vt:i4>
      </vt:variant>
      <vt:variant>
        <vt:lpwstr>http://www.nevo.co.il/case/24402408</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7143520</vt:i4>
      </vt:variant>
      <vt:variant>
        <vt:i4>18</vt:i4>
      </vt:variant>
      <vt:variant>
        <vt:i4>0</vt:i4>
      </vt:variant>
      <vt:variant>
        <vt:i4>5</vt:i4>
      </vt:variant>
      <vt:variant>
        <vt:lpwstr>http://www.nevo.co.il/law/70301/58</vt:lpwstr>
      </vt:variant>
      <vt:variant>
        <vt:lpwstr/>
      </vt:variant>
      <vt:variant>
        <vt:i4>7995492</vt:i4>
      </vt:variant>
      <vt:variant>
        <vt:i4>15</vt:i4>
      </vt:variant>
      <vt:variant>
        <vt:i4>0</vt:i4>
      </vt:variant>
      <vt:variant>
        <vt:i4>5</vt:i4>
      </vt:variant>
      <vt:variant>
        <vt:lpwstr>http://www.nevo.co.il/law/70301</vt:lpwstr>
      </vt:variant>
      <vt:variant>
        <vt:lpwstr/>
      </vt:variant>
      <vt:variant>
        <vt:i4>6291564</vt:i4>
      </vt:variant>
      <vt:variant>
        <vt:i4>12</vt:i4>
      </vt:variant>
      <vt:variant>
        <vt:i4>0</vt:i4>
      </vt:variant>
      <vt:variant>
        <vt:i4>5</vt:i4>
      </vt:variant>
      <vt:variant>
        <vt:lpwstr>http://www.nevo.co.il/law/74248/15</vt:lpwstr>
      </vt:variant>
      <vt:variant>
        <vt:lpwstr/>
      </vt:variant>
      <vt:variant>
        <vt:i4>7995493</vt:i4>
      </vt:variant>
      <vt:variant>
        <vt:i4>9</vt:i4>
      </vt:variant>
      <vt:variant>
        <vt:i4>0</vt:i4>
      </vt:variant>
      <vt:variant>
        <vt:i4>5</vt:i4>
      </vt:variant>
      <vt:variant>
        <vt:lpwstr>http://www.nevo.co.il/law/74248</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2025-04-23T00:49:00Z</dcterms:created>
  <dcterms:modified xsi:type="dcterms:W3CDTF">2025-04-23T00:49:00Z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14193</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ברק גויטע</vt:lpwstr>
  </property>
  <property fmtid="{D5CDD505-2E9C-101B-9397-08002B2CF9AE}" pid="10" name="LAWYER">
    <vt:lpwstr>רועי חמדני;שי אורן ובן יהודה</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20240618</vt:lpwstr>
  </property>
  <property fmtid="{D5CDD505-2E9C-101B-9397-08002B2CF9AE}" pid="14" name="TYPE_N_DATE">
    <vt:lpwstr>38020240618</vt:lpwstr>
  </property>
  <property fmtid="{D5CDD505-2E9C-101B-9397-08002B2CF9AE}" pid="15" name="CASESLISTTMP1">
    <vt:lpwstr>24402408:2</vt:lpwstr>
  </property>
  <property fmtid="{D5CDD505-2E9C-101B-9397-08002B2CF9AE}" pid="16" name="WORDNUMPAGES">
    <vt:lpwstr>7</vt:lpwstr>
  </property>
  <property fmtid="{D5CDD505-2E9C-101B-9397-08002B2CF9AE}" pid="17" name="TYPE_ABS_DATE">
    <vt:lpwstr>380020240618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74248/015</vt:lpwstr>
  </property>
  <property fmtid="{D5CDD505-2E9C-101B-9397-08002B2CF9AE}" pid="38" name="LAWLISTTMP3">
    <vt:lpwstr>70301/058</vt:lpwstr>
  </property>
</Properties>
</file>