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7"/>
        <w:gridCol w:w="3664"/>
      </w:tblGrid>
      <w:tr w:rsidR="0007376E" w:rsidRPr="00351F0A" w14:paraId="1837F7C4" w14:textId="77777777" w:rsidTr="00DF69E1">
        <w:trPr>
          <w:trHeight w:hRule="exact" w:val="418"/>
          <w:jc w:val="center"/>
        </w:trPr>
        <w:tc>
          <w:tcPr>
            <w:tcW w:w="8721" w:type="dxa"/>
            <w:gridSpan w:val="2"/>
          </w:tcPr>
          <w:p w14:paraId="73B23F6C" w14:textId="77777777" w:rsidR="0007376E" w:rsidRPr="00351F0A" w:rsidRDefault="0007376E" w:rsidP="001F1F42">
            <w:pPr>
              <w:pStyle w:val="a3"/>
              <w:jc w:val="center"/>
              <w:rPr>
                <w:rFonts w:ascii="Tahoma" w:hAnsi="Tahoma" w:cs="Tahoma"/>
                <w:color w:val="000080"/>
                <w:rtl/>
              </w:rPr>
            </w:pPr>
            <w:r w:rsidRPr="00351F0A">
              <w:rPr>
                <w:rFonts w:ascii="Tahoma" w:hAnsi="Tahoma" w:cs="Tahoma"/>
                <w:b/>
                <w:bCs/>
                <w:color w:val="000080"/>
                <w:rtl/>
              </w:rPr>
              <w:t>בית משפט השלום בבאר שבע</w:t>
            </w:r>
          </w:p>
        </w:tc>
      </w:tr>
      <w:tr w:rsidR="0007376E" w:rsidRPr="00351F0A" w14:paraId="47273CFA" w14:textId="77777777" w:rsidTr="00DF69E1">
        <w:trPr>
          <w:trHeight w:val="337"/>
          <w:jc w:val="center"/>
        </w:trPr>
        <w:tc>
          <w:tcPr>
            <w:tcW w:w="5057" w:type="dxa"/>
          </w:tcPr>
          <w:p w14:paraId="3628D27A" w14:textId="77777777" w:rsidR="0007376E" w:rsidRPr="00351F0A" w:rsidRDefault="0007376E" w:rsidP="001F1F42">
            <w:pPr>
              <w:rPr>
                <w:rFonts w:ascii="David" w:hAnsi="David"/>
                <w:b/>
                <w:bCs/>
                <w:sz w:val="26"/>
                <w:szCs w:val="26"/>
                <w:rtl/>
              </w:rPr>
            </w:pPr>
            <w:r w:rsidRPr="00351F0A">
              <w:rPr>
                <w:rFonts w:ascii="David" w:hAnsi="David"/>
                <w:b/>
                <w:bCs/>
                <w:sz w:val="26"/>
                <w:szCs w:val="26"/>
                <w:rtl/>
              </w:rPr>
              <w:t>ת"פ 20931-12-20 מדינת ישראל נ' דהן(עציר)</w:t>
            </w:r>
          </w:p>
          <w:p w14:paraId="571F559B" w14:textId="77777777" w:rsidR="0007376E" w:rsidRPr="00351F0A" w:rsidRDefault="0007376E" w:rsidP="001F1F42">
            <w:pPr>
              <w:pStyle w:val="a3"/>
              <w:rPr>
                <w:rFonts w:cs="FrankRuehl"/>
                <w:sz w:val="28"/>
                <w:szCs w:val="28"/>
                <w:rtl/>
              </w:rPr>
            </w:pPr>
          </w:p>
        </w:tc>
        <w:tc>
          <w:tcPr>
            <w:tcW w:w="3664" w:type="dxa"/>
          </w:tcPr>
          <w:p w14:paraId="6823F97E" w14:textId="77777777" w:rsidR="0007376E" w:rsidRPr="00351F0A" w:rsidRDefault="0007376E" w:rsidP="001F1F42">
            <w:pPr>
              <w:pStyle w:val="a3"/>
              <w:jc w:val="right"/>
              <w:rPr>
                <w:rFonts w:cs="FrankRuehl"/>
                <w:sz w:val="28"/>
                <w:szCs w:val="28"/>
                <w:rtl/>
              </w:rPr>
            </w:pPr>
          </w:p>
        </w:tc>
      </w:tr>
    </w:tbl>
    <w:p w14:paraId="475B135E" w14:textId="77777777" w:rsidR="0007376E" w:rsidRPr="00351F0A" w:rsidRDefault="0007376E" w:rsidP="0007376E">
      <w:pPr>
        <w:pStyle w:val="a3"/>
        <w:rPr>
          <w:rtl/>
        </w:rPr>
      </w:pPr>
      <w:r w:rsidRPr="00351F0A">
        <w:rPr>
          <w:rFonts w:hint="cs"/>
          <w:rtl/>
        </w:rPr>
        <w:t xml:space="preserve"> </w:t>
      </w:r>
    </w:p>
    <w:p w14:paraId="0C02E11B" w14:textId="77777777" w:rsidR="0007376E" w:rsidRPr="00351F0A" w:rsidRDefault="0007376E" w:rsidP="0007376E">
      <w:pPr>
        <w:rPr>
          <w:rtl/>
        </w:rPr>
      </w:pPr>
    </w:p>
    <w:p w14:paraId="6582881F" w14:textId="77777777" w:rsidR="0007376E" w:rsidRPr="00351F0A" w:rsidRDefault="0007376E" w:rsidP="0007376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7376E" w:rsidRPr="00351F0A" w14:paraId="5C29EBCE" w14:textId="77777777" w:rsidTr="0007376E">
        <w:trPr>
          <w:trHeight w:val="295"/>
          <w:jc w:val="center"/>
        </w:trPr>
        <w:tc>
          <w:tcPr>
            <w:tcW w:w="923" w:type="dxa"/>
            <w:tcBorders>
              <w:top w:val="nil"/>
              <w:left w:val="nil"/>
              <w:bottom w:val="nil"/>
              <w:right w:val="nil"/>
            </w:tcBorders>
            <w:shd w:val="clear" w:color="auto" w:fill="auto"/>
          </w:tcPr>
          <w:p w14:paraId="5BACF9C2" w14:textId="77777777" w:rsidR="0007376E" w:rsidRPr="00351F0A" w:rsidRDefault="0007376E" w:rsidP="0007376E">
            <w:pPr>
              <w:jc w:val="both"/>
              <w:rPr>
                <w:rFonts w:ascii="David" w:hAnsi="David"/>
                <w:b/>
                <w:bCs/>
                <w:sz w:val="26"/>
                <w:szCs w:val="26"/>
              </w:rPr>
            </w:pPr>
            <w:r w:rsidRPr="00351F0A">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14:paraId="15F661EB" w14:textId="77777777" w:rsidR="0007376E" w:rsidRPr="00351F0A" w:rsidRDefault="0007376E" w:rsidP="001F1F42">
            <w:pPr>
              <w:rPr>
                <w:rFonts w:ascii="David" w:hAnsi="David"/>
                <w:b/>
                <w:bCs/>
                <w:sz w:val="26"/>
                <w:szCs w:val="26"/>
                <w:rtl/>
              </w:rPr>
            </w:pPr>
            <w:r w:rsidRPr="00351F0A">
              <w:rPr>
                <w:rFonts w:ascii="David" w:hAnsi="David"/>
                <w:b/>
                <w:bCs/>
                <w:sz w:val="26"/>
                <w:szCs w:val="26"/>
                <w:rtl/>
              </w:rPr>
              <w:t>כבוד השופטת, סגנית הנשיא  ענת חולתא</w:t>
            </w:r>
          </w:p>
          <w:p w14:paraId="28173111" w14:textId="77777777" w:rsidR="0007376E" w:rsidRPr="00351F0A" w:rsidRDefault="0007376E" w:rsidP="001F1F42">
            <w:pPr>
              <w:rPr>
                <w:rFonts w:ascii="David" w:hAnsi="David"/>
                <w:b/>
                <w:bCs/>
                <w:sz w:val="26"/>
                <w:szCs w:val="26"/>
                <w:rtl/>
              </w:rPr>
            </w:pPr>
          </w:p>
          <w:p w14:paraId="1CC21199" w14:textId="77777777" w:rsidR="0007376E" w:rsidRPr="00351F0A" w:rsidRDefault="0007376E" w:rsidP="0007376E">
            <w:pPr>
              <w:jc w:val="both"/>
              <w:rPr>
                <w:rFonts w:ascii="David" w:hAnsi="David"/>
                <w:b/>
                <w:bCs/>
                <w:sz w:val="26"/>
                <w:szCs w:val="26"/>
              </w:rPr>
            </w:pPr>
          </w:p>
        </w:tc>
      </w:tr>
      <w:tr w:rsidR="0007376E" w:rsidRPr="00351F0A" w14:paraId="292B8F70" w14:textId="77777777" w:rsidTr="0007376E">
        <w:trPr>
          <w:trHeight w:val="355"/>
          <w:jc w:val="center"/>
        </w:trPr>
        <w:tc>
          <w:tcPr>
            <w:tcW w:w="923" w:type="dxa"/>
            <w:tcBorders>
              <w:top w:val="nil"/>
              <w:left w:val="nil"/>
              <w:bottom w:val="nil"/>
              <w:right w:val="nil"/>
            </w:tcBorders>
            <w:shd w:val="clear" w:color="auto" w:fill="auto"/>
          </w:tcPr>
          <w:p w14:paraId="4F4813C7" w14:textId="77777777" w:rsidR="0007376E" w:rsidRPr="00351F0A" w:rsidRDefault="0007376E" w:rsidP="0007376E">
            <w:pPr>
              <w:jc w:val="both"/>
              <w:rPr>
                <w:rFonts w:ascii="David" w:hAnsi="David"/>
                <w:b/>
                <w:bCs/>
                <w:sz w:val="26"/>
                <w:szCs w:val="26"/>
              </w:rPr>
            </w:pPr>
            <w:bookmarkStart w:id="0" w:name="FirstAppellant"/>
            <w:bookmarkStart w:id="1" w:name="LastJudge"/>
            <w:bookmarkEnd w:id="1"/>
            <w:r w:rsidRPr="00351F0A">
              <w:rPr>
                <w:rFonts w:ascii="David" w:hAnsi="David"/>
                <w:b/>
                <w:bCs/>
                <w:sz w:val="26"/>
                <w:szCs w:val="26"/>
                <w:rtl/>
              </w:rPr>
              <w:t>בעניין:</w:t>
            </w:r>
          </w:p>
        </w:tc>
        <w:tc>
          <w:tcPr>
            <w:tcW w:w="4126" w:type="dxa"/>
            <w:tcBorders>
              <w:top w:val="nil"/>
              <w:left w:val="nil"/>
              <w:bottom w:val="nil"/>
              <w:right w:val="nil"/>
            </w:tcBorders>
            <w:shd w:val="clear" w:color="auto" w:fill="auto"/>
          </w:tcPr>
          <w:p w14:paraId="1B2BA03F" w14:textId="77777777" w:rsidR="0007376E" w:rsidRPr="00351F0A" w:rsidRDefault="0007376E" w:rsidP="001F1F42">
            <w:pPr>
              <w:rPr>
                <w:rFonts w:ascii="David" w:hAnsi="David"/>
                <w:b/>
                <w:bCs/>
                <w:sz w:val="26"/>
                <w:szCs w:val="26"/>
              </w:rPr>
            </w:pPr>
            <w:r w:rsidRPr="00351F0A">
              <w:rPr>
                <w:rFonts w:ascii="David" w:hAnsi="David"/>
                <w:b/>
                <w:bCs/>
                <w:sz w:val="26"/>
                <w:szCs w:val="26"/>
                <w:rtl/>
              </w:rPr>
              <w:t>מדינת ישראל</w:t>
            </w:r>
            <w:r w:rsidRPr="00351F0A">
              <w:rPr>
                <w:rFonts w:ascii="David" w:hAnsi="David" w:hint="cs"/>
                <w:b/>
                <w:bCs/>
                <w:sz w:val="26"/>
                <w:szCs w:val="26"/>
                <w:rtl/>
              </w:rPr>
              <w:t>-תביעות נגב</w:t>
            </w:r>
          </w:p>
        </w:tc>
        <w:tc>
          <w:tcPr>
            <w:tcW w:w="3771" w:type="dxa"/>
            <w:tcBorders>
              <w:top w:val="nil"/>
              <w:left w:val="nil"/>
              <w:bottom w:val="nil"/>
              <w:right w:val="nil"/>
            </w:tcBorders>
            <w:shd w:val="clear" w:color="auto" w:fill="auto"/>
          </w:tcPr>
          <w:p w14:paraId="73AF5A63" w14:textId="77777777" w:rsidR="0007376E" w:rsidRPr="00351F0A" w:rsidRDefault="0007376E" w:rsidP="0007376E">
            <w:pPr>
              <w:jc w:val="both"/>
              <w:rPr>
                <w:rFonts w:ascii="David" w:hAnsi="David"/>
                <w:b/>
                <w:bCs/>
                <w:sz w:val="26"/>
                <w:szCs w:val="26"/>
              </w:rPr>
            </w:pPr>
          </w:p>
        </w:tc>
      </w:tr>
      <w:tr w:rsidR="0007376E" w:rsidRPr="00351F0A" w14:paraId="66796198" w14:textId="77777777" w:rsidTr="0007376E">
        <w:trPr>
          <w:trHeight w:val="355"/>
          <w:jc w:val="center"/>
        </w:trPr>
        <w:tc>
          <w:tcPr>
            <w:tcW w:w="923" w:type="dxa"/>
            <w:tcBorders>
              <w:top w:val="nil"/>
              <w:left w:val="nil"/>
              <w:bottom w:val="nil"/>
              <w:right w:val="nil"/>
            </w:tcBorders>
            <w:shd w:val="clear" w:color="auto" w:fill="auto"/>
          </w:tcPr>
          <w:p w14:paraId="072A7EC1" w14:textId="77777777" w:rsidR="0007376E" w:rsidRPr="00351F0A" w:rsidRDefault="0007376E" w:rsidP="0007376E">
            <w:pPr>
              <w:jc w:val="both"/>
              <w:rPr>
                <w:rFonts w:ascii="David" w:hAnsi="David"/>
                <w:b/>
                <w:bCs/>
                <w:sz w:val="26"/>
                <w:szCs w:val="26"/>
                <w:rtl/>
              </w:rPr>
            </w:pPr>
            <w:bookmarkStart w:id="2" w:name="FirstLawyer"/>
            <w:bookmarkEnd w:id="0"/>
          </w:p>
        </w:tc>
        <w:tc>
          <w:tcPr>
            <w:tcW w:w="4126" w:type="dxa"/>
            <w:tcBorders>
              <w:top w:val="nil"/>
              <w:left w:val="nil"/>
              <w:bottom w:val="nil"/>
              <w:right w:val="nil"/>
            </w:tcBorders>
            <w:shd w:val="clear" w:color="auto" w:fill="auto"/>
          </w:tcPr>
          <w:p w14:paraId="044D5509" w14:textId="77777777" w:rsidR="0007376E" w:rsidRPr="00351F0A" w:rsidRDefault="0007376E" w:rsidP="0007376E">
            <w:pPr>
              <w:jc w:val="both"/>
              <w:rPr>
                <w:rFonts w:ascii="David" w:hAnsi="David"/>
                <w:b/>
                <w:bCs/>
                <w:sz w:val="26"/>
                <w:szCs w:val="26"/>
                <w:rtl/>
              </w:rPr>
            </w:pPr>
            <w:r w:rsidRPr="00351F0A">
              <w:rPr>
                <w:rFonts w:ascii="David" w:hAnsi="David" w:hint="cs"/>
                <w:b/>
                <w:bCs/>
                <w:sz w:val="26"/>
                <w:szCs w:val="26"/>
                <w:rtl/>
              </w:rPr>
              <w:t>ע"י ב"כ עו"ד לי גורמן</w:t>
            </w:r>
          </w:p>
        </w:tc>
        <w:tc>
          <w:tcPr>
            <w:tcW w:w="3771" w:type="dxa"/>
            <w:tcBorders>
              <w:top w:val="nil"/>
              <w:left w:val="nil"/>
              <w:bottom w:val="nil"/>
              <w:right w:val="nil"/>
            </w:tcBorders>
            <w:shd w:val="clear" w:color="auto" w:fill="auto"/>
          </w:tcPr>
          <w:p w14:paraId="25C3E01C" w14:textId="77777777" w:rsidR="0007376E" w:rsidRPr="00351F0A" w:rsidRDefault="0007376E" w:rsidP="0007376E">
            <w:pPr>
              <w:jc w:val="right"/>
              <w:rPr>
                <w:rFonts w:ascii="David" w:hAnsi="David"/>
                <w:b/>
                <w:bCs/>
                <w:sz w:val="26"/>
                <w:szCs w:val="26"/>
                <w:rtl/>
              </w:rPr>
            </w:pPr>
            <w:r w:rsidRPr="00351F0A">
              <w:rPr>
                <w:rFonts w:ascii="David" w:hAnsi="David"/>
                <w:b/>
                <w:bCs/>
                <w:sz w:val="26"/>
                <w:szCs w:val="26"/>
                <w:rtl/>
              </w:rPr>
              <w:t>המאשימה</w:t>
            </w:r>
          </w:p>
        </w:tc>
      </w:tr>
      <w:bookmarkEnd w:id="2"/>
      <w:tr w:rsidR="0007376E" w:rsidRPr="00351F0A" w14:paraId="449AD3C9" w14:textId="77777777" w:rsidTr="0007376E">
        <w:trPr>
          <w:trHeight w:val="355"/>
          <w:jc w:val="center"/>
        </w:trPr>
        <w:tc>
          <w:tcPr>
            <w:tcW w:w="923" w:type="dxa"/>
            <w:tcBorders>
              <w:top w:val="nil"/>
              <w:left w:val="nil"/>
              <w:bottom w:val="nil"/>
              <w:right w:val="nil"/>
            </w:tcBorders>
            <w:shd w:val="clear" w:color="auto" w:fill="auto"/>
          </w:tcPr>
          <w:p w14:paraId="59A1F2BD" w14:textId="77777777" w:rsidR="0007376E" w:rsidRPr="00351F0A" w:rsidRDefault="0007376E" w:rsidP="0007376E">
            <w:pPr>
              <w:jc w:val="both"/>
              <w:rPr>
                <w:rFonts w:ascii="David" w:hAnsi="David"/>
                <w:b/>
                <w:bCs/>
                <w:sz w:val="26"/>
                <w:szCs w:val="26"/>
                <w:rtl/>
              </w:rPr>
            </w:pPr>
          </w:p>
        </w:tc>
        <w:tc>
          <w:tcPr>
            <w:tcW w:w="7897" w:type="dxa"/>
            <w:gridSpan w:val="2"/>
            <w:tcBorders>
              <w:top w:val="nil"/>
              <w:left w:val="nil"/>
              <w:bottom w:val="nil"/>
              <w:right w:val="nil"/>
            </w:tcBorders>
            <w:shd w:val="clear" w:color="auto" w:fill="auto"/>
          </w:tcPr>
          <w:p w14:paraId="34EA136E" w14:textId="77777777" w:rsidR="0007376E" w:rsidRPr="00351F0A" w:rsidRDefault="0007376E" w:rsidP="0007376E">
            <w:pPr>
              <w:jc w:val="center"/>
              <w:rPr>
                <w:rFonts w:ascii="David" w:hAnsi="David"/>
                <w:b/>
                <w:bCs/>
                <w:sz w:val="26"/>
                <w:szCs w:val="26"/>
                <w:rtl/>
              </w:rPr>
            </w:pPr>
          </w:p>
          <w:p w14:paraId="12F8237A" w14:textId="77777777" w:rsidR="0007376E" w:rsidRPr="00351F0A" w:rsidRDefault="0007376E" w:rsidP="0007376E">
            <w:pPr>
              <w:jc w:val="center"/>
              <w:rPr>
                <w:rFonts w:ascii="David" w:hAnsi="David"/>
                <w:b/>
                <w:bCs/>
                <w:sz w:val="26"/>
                <w:szCs w:val="26"/>
                <w:rtl/>
              </w:rPr>
            </w:pPr>
            <w:r w:rsidRPr="00351F0A">
              <w:rPr>
                <w:rFonts w:ascii="David" w:hAnsi="David"/>
                <w:b/>
                <w:bCs/>
                <w:sz w:val="26"/>
                <w:szCs w:val="26"/>
                <w:rtl/>
              </w:rPr>
              <w:t>נגד</w:t>
            </w:r>
          </w:p>
          <w:p w14:paraId="5475C1DB" w14:textId="77777777" w:rsidR="0007376E" w:rsidRPr="00351F0A" w:rsidRDefault="0007376E" w:rsidP="0007376E">
            <w:pPr>
              <w:jc w:val="both"/>
              <w:rPr>
                <w:rFonts w:ascii="David" w:hAnsi="David"/>
                <w:b/>
                <w:bCs/>
                <w:sz w:val="26"/>
                <w:szCs w:val="26"/>
              </w:rPr>
            </w:pPr>
          </w:p>
        </w:tc>
      </w:tr>
      <w:tr w:rsidR="0007376E" w:rsidRPr="00351F0A" w14:paraId="2892EB23" w14:textId="77777777" w:rsidTr="0007376E">
        <w:trPr>
          <w:trHeight w:val="355"/>
          <w:jc w:val="center"/>
        </w:trPr>
        <w:tc>
          <w:tcPr>
            <w:tcW w:w="923" w:type="dxa"/>
            <w:tcBorders>
              <w:top w:val="nil"/>
              <w:left w:val="nil"/>
              <w:bottom w:val="nil"/>
              <w:right w:val="nil"/>
            </w:tcBorders>
            <w:shd w:val="clear" w:color="auto" w:fill="auto"/>
          </w:tcPr>
          <w:p w14:paraId="02BBAF13" w14:textId="77777777" w:rsidR="0007376E" w:rsidRPr="00351F0A" w:rsidRDefault="0007376E" w:rsidP="001F1F42">
            <w:pPr>
              <w:rPr>
                <w:rFonts w:ascii="David" w:hAnsi="David"/>
                <w:b/>
                <w:bCs/>
                <w:sz w:val="26"/>
                <w:szCs w:val="26"/>
                <w:rtl/>
              </w:rPr>
            </w:pPr>
          </w:p>
        </w:tc>
        <w:tc>
          <w:tcPr>
            <w:tcW w:w="4126" w:type="dxa"/>
            <w:tcBorders>
              <w:top w:val="nil"/>
              <w:left w:val="nil"/>
              <w:bottom w:val="nil"/>
              <w:right w:val="nil"/>
            </w:tcBorders>
            <w:shd w:val="clear" w:color="auto" w:fill="auto"/>
          </w:tcPr>
          <w:p w14:paraId="75381256" w14:textId="77777777" w:rsidR="0007376E" w:rsidRPr="00351F0A" w:rsidRDefault="0007376E" w:rsidP="001F1F42">
            <w:pPr>
              <w:rPr>
                <w:rFonts w:ascii="David" w:hAnsi="David"/>
                <w:b/>
                <w:bCs/>
                <w:sz w:val="26"/>
                <w:szCs w:val="26"/>
                <w:rtl/>
              </w:rPr>
            </w:pPr>
            <w:r w:rsidRPr="00351F0A">
              <w:rPr>
                <w:rFonts w:ascii="David" w:hAnsi="David"/>
                <w:b/>
                <w:bCs/>
                <w:sz w:val="26"/>
                <w:szCs w:val="26"/>
                <w:rtl/>
              </w:rPr>
              <w:t>פנחס דהן (עציר)</w:t>
            </w:r>
            <w:r w:rsidRPr="00351F0A">
              <w:rPr>
                <w:rFonts w:ascii="David" w:hAnsi="David" w:hint="cs"/>
                <w:b/>
                <w:bCs/>
                <w:sz w:val="26"/>
                <w:szCs w:val="26"/>
                <w:rtl/>
              </w:rPr>
              <w:t>-ויעוד חזותי</w:t>
            </w:r>
          </w:p>
        </w:tc>
        <w:tc>
          <w:tcPr>
            <w:tcW w:w="3771" w:type="dxa"/>
            <w:tcBorders>
              <w:top w:val="nil"/>
              <w:left w:val="nil"/>
              <w:bottom w:val="nil"/>
              <w:right w:val="nil"/>
            </w:tcBorders>
            <w:shd w:val="clear" w:color="auto" w:fill="auto"/>
          </w:tcPr>
          <w:p w14:paraId="0324746B" w14:textId="77777777" w:rsidR="0007376E" w:rsidRPr="00351F0A" w:rsidRDefault="0007376E" w:rsidP="0007376E">
            <w:pPr>
              <w:jc w:val="right"/>
              <w:rPr>
                <w:rFonts w:ascii="David" w:hAnsi="David"/>
                <w:b/>
                <w:bCs/>
                <w:sz w:val="26"/>
                <w:szCs w:val="26"/>
              </w:rPr>
            </w:pPr>
          </w:p>
        </w:tc>
      </w:tr>
      <w:tr w:rsidR="0007376E" w:rsidRPr="00351F0A" w14:paraId="610B67ED" w14:textId="77777777" w:rsidTr="0007376E">
        <w:trPr>
          <w:trHeight w:val="355"/>
          <w:jc w:val="center"/>
        </w:trPr>
        <w:tc>
          <w:tcPr>
            <w:tcW w:w="923" w:type="dxa"/>
            <w:tcBorders>
              <w:top w:val="nil"/>
              <w:left w:val="nil"/>
              <w:bottom w:val="nil"/>
              <w:right w:val="nil"/>
            </w:tcBorders>
            <w:shd w:val="clear" w:color="auto" w:fill="auto"/>
          </w:tcPr>
          <w:p w14:paraId="27537563" w14:textId="77777777" w:rsidR="0007376E" w:rsidRPr="00351F0A" w:rsidRDefault="0007376E" w:rsidP="0007376E">
            <w:pPr>
              <w:jc w:val="both"/>
              <w:rPr>
                <w:rFonts w:ascii="David" w:hAnsi="David"/>
                <w:b/>
                <w:bCs/>
                <w:sz w:val="26"/>
                <w:szCs w:val="26"/>
                <w:rtl/>
              </w:rPr>
            </w:pPr>
          </w:p>
        </w:tc>
        <w:tc>
          <w:tcPr>
            <w:tcW w:w="4126" w:type="dxa"/>
            <w:tcBorders>
              <w:top w:val="nil"/>
              <w:left w:val="nil"/>
              <w:bottom w:val="nil"/>
              <w:right w:val="nil"/>
            </w:tcBorders>
            <w:shd w:val="clear" w:color="auto" w:fill="auto"/>
          </w:tcPr>
          <w:p w14:paraId="47CB0F03" w14:textId="77777777" w:rsidR="0007376E" w:rsidRPr="00351F0A" w:rsidRDefault="0007376E" w:rsidP="0007376E">
            <w:pPr>
              <w:jc w:val="both"/>
              <w:rPr>
                <w:rFonts w:ascii="David" w:hAnsi="David"/>
                <w:b/>
                <w:bCs/>
                <w:sz w:val="26"/>
                <w:szCs w:val="26"/>
                <w:rtl/>
              </w:rPr>
            </w:pPr>
            <w:r w:rsidRPr="00351F0A">
              <w:rPr>
                <w:rFonts w:ascii="David" w:hAnsi="David" w:hint="cs"/>
                <w:b/>
                <w:bCs/>
                <w:sz w:val="26"/>
                <w:szCs w:val="26"/>
                <w:rtl/>
              </w:rPr>
              <w:t>ע"י ב"כ עו"ד עלי אבו לבן</w:t>
            </w:r>
          </w:p>
        </w:tc>
        <w:tc>
          <w:tcPr>
            <w:tcW w:w="3771" w:type="dxa"/>
            <w:tcBorders>
              <w:top w:val="nil"/>
              <w:left w:val="nil"/>
              <w:bottom w:val="nil"/>
              <w:right w:val="nil"/>
            </w:tcBorders>
            <w:shd w:val="clear" w:color="auto" w:fill="auto"/>
          </w:tcPr>
          <w:p w14:paraId="540BBAD5" w14:textId="77777777" w:rsidR="0007376E" w:rsidRPr="00351F0A" w:rsidRDefault="0007376E" w:rsidP="0007376E">
            <w:pPr>
              <w:jc w:val="right"/>
              <w:rPr>
                <w:rFonts w:ascii="David" w:hAnsi="David"/>
                <w:b/>
                <w:bCs/>
                <w:sz w:val="26"/>
                <w:szCs w:val="26"/>
              </w:rPr>
            </w:pPr>
            <w:r w:rsidRPr="00351F0A">
              <w:rPr>
                <w:rFonts w:ascii="David" w:hAnsi="David"/>
                <w:b/>
                <w:bCs/>
                <w:sz w:val="26"/>
                <w:szCs w:val="26"/>
                <w:rtl/>
              </w:rPr>
              <w:t>הנאשם</w:t>
            </w:r>
          </w:p>
        </w:tc>
      </w:tr>
    </w:tbl>
    <w:p w14:paraId="0D9ED42E" w14:textId="77777777" w:rsidR="00DF69E1" w:rsidRDefault="00DF69E1" w:rsidP="00351F0A">
      <w:pPr>
        <w:rPr>
          <w:sz w:val="26"/>
          <w:szCs w:val="26"/>
          <w:rtl/>
        </w:rPr>
      </w:pPr>
    </w:p>
    <w:p w14:paraId="213E9D76" w14:textId="77777777" w:rsidR="00DF69E1" w:rsidRPr="00DF69E1" w:rsidRDefault="00DF69E1" w:rsidP="00DF69E1">
      <w:pPr>
        <w:spacing w:after="120" w:line="240" w:lineRule="exact"/>
        <w:ind w:left="283" w:hanging="283"/>
        <w:jc w:val="both"/>
        <w:rPr>
          <w:rFonts w:ascii="FrankRuehl" w:hAnsi="FrankRuehl" w:cs="FrankRuehl"/>
          <w:rtl/>
        </w:rPr>
      </w:pPr>
    </w:p>
    <w:p w14:paraId="7A2B8CE8" w14:textId="77777777" w:rsidR="00F37B97" w:rsidRPr="00F37B97" w:rsidRDefault="00F37B97" w:rsidP="00F37B97">
      <w:pPr>
        <w:spacing w:before="120" w:after="120" w:line="240" w:lineRule="exact"/>
        <w:ind w:left="283" w:hanging="283"/>
        <w:jc w:val="both"/>
        <w:rPr>
          <w:rFonts w:ascii="FrankRuehl" w:hAnsi="FrankRuehl" w:cs="FrankRuehl"/>
          <w:rtl/>
        </w:rPr>
      </w:pPr>
    </w:p>
    <w:p w14:paraId="73C9A6B3" w14:textId="77777777" w:rsidR="00C107C9" w:rsidRDefault="00C107C9" w:rsidP="00C107C9">
      <w:pPr>
        <w:rPr>
          <w:sz w:val="26"/>
          <w:szCs w:val="26"/>
          <w:rtl/>
        </w:rPr>
      </w:pPr>
      <w:bookmarkStart w:id="3" w:name="LawTable"/>
      <w:bookmarkEnd w:id="3"/>
    </w:p>
    <w:p w14:paraId="1A0D1C23" w14:textId="77777777" w:rsidR="00C107C9" w:rsidRPr="00C107C9" w:rsidRDefault="00C107C9" w:rsidP="00C107C9">
      <w:pPr>
        <w:spacing w:before="120" w:after="120" w:line="240" w:lineRule="exact"/>
        <w:ind w:left="283" w:hanging="283"/>
        <w:jc w:val="both"/>
        <w:rPr>
          <w:rFonts w:ascii="FrankRuehl" w:hAnsi="FrankRuehl" w:cs="FrankRuehl"/>
          <w:rtl/>
        </w:rPr>
      </w:pPr>
    </w:p>
    <w:p w14:paraId="03FD2EFA" w14:textId="77777777" w:rsidR="00C107C9" w:rsidRPr="00C107C9" w:rsidRDefault="00C107C9" w:rsidP="00C107C9">
      <w:pPr>
        <w:spacing w:before="120" w:after="120" w:line="240" w:lineRule="exact"/>
        <w:ind w:left="283" w:hanging="283"/>
        <w:jc w:val="both"/>
        <w:rPr>
          <w:rFonts w:ascii="FrankRuehl" w:hAnsi="FrankRuehl" w:cs="FrankRuehl"/>
          <w:rtl/>
        </w:rPr>
      </w:pPr>
    </w:p>
    <w:p w14:paraId="22FFF281" w14:textId="77777777" w:rsidR="00C107C9" w:rsidRPr="00C107C9" w:rsidRDefault="00C107C9" w:rsidP="00C107C9">
      <w:pPr>
        <w:spacing w:before="120" w:after="120" w:line="240" w:lineRule="exact"/>
        <w:ind w:left="283" w:hanging="283"/>
        <w:jc w:val="both"/>
        <w:rPr>
          <w:rFonts w:ascii="FrankRuehl" w:hAnsi="FrankRuehl" w:cs="FrankRuehl"/>
          <w:rtl/>
        </w:rPr>
      </w:pPr>
      <w:r w:rsidRPr="00C107C9">
        <w:rPr>
          <w:rFonts w:ascii="FrankRuehl" w:hAnsi="FrankRuehl" w:cs="FrankRuehl"/>
          <w:rtl/>
        </w:rPr>
        <w:t xml:space="preserve">חקיקה שאוזכרה: </w:t>
      </w:r>
    </w:p>
    <w:p w14:paraId="500715DB" w14:textId="77777777" w:rsidR="00C107C9" w:rsidRPr="00C107C9" w:rsidRDefault="00C107C9" w:rsidP="00C107C9">
      <w:pPr>
        <w:spacing w:before="120" w:after="120" w:line="240" w:lineRule="exact"/>
        <w:ind w:left="283" w:hanging="283"/>
        <w:jc w:val="both"/>
        <w:rPr>
          <w:rFonts w:ascii="FrankRuehl" w:hAnsi="FrankRuehl" w:cs="FrankRuehl"/>
          <w:rtl/>
        </w:rPr>
      </w:pPr>
      <w:hyperlink r:id="rId7" w:history="1">
        <w:r w:rsidRPr="00C107C9">
          <w:rPr>
            <w:rFonts w:ascii="FrankRuehl" w:hAnsi="FrankRuehl" w:cs="FrankRuehl"/>
            <w:color w:val="0000FF"/>
            <w:rtl/>
          </w:rPr>
          <w:t>פקודת הסמים המסוכנים [נוסח חדש], תשל"ג-1973</w:t>
        </w:r>
      </w:hyperlink>
      <w:r w:rsidRPr="00C107C9">
        <w:rPr>
          <w:rFonts w:ascii="FrankRuehl" w:hAnsi="FrankRuehl" w:cs="FrankRuehl"/>
          <w:rtl/>
        </w:rPr>
        <w:t xml:space="preserve">: סע'  </w:t>
      </w:r>
      <w:hyperlink r:id="rId8" w:history="1">
        <w:r w:rsidRPr="00C107C9">
          <w:rPr>
            <w:rFonts w:ascii="FrankRuehl" w:hAnsi="FrankRuehl" w:cs="FrankRuehl"/>
            <w:color w:val="0000FF"/>
            <w:rtl/>
          </w:rPr>
          <w:t>7.א.</w:t>
        </w:r>
      </w:hyperlink>
      <w:r w:rsidRPr="00C107C9">
        <w:rPr>
          <w:rFonts w:ascii="FrankRuehl" w:hAnsi="FrankRuehl" w:cs="FrankRuehl"/>
          <w:rtl/>
        </w:rPr>
        <w:t xml:space="preserve">, </w:t>
      </w:r>
      <w:hyperlink r:id="rId9" w:history="1">
        <w:r w:rsidRPr="00C107C9">
          <w:rPr>
            <w:rFonts w:ascii="FrankRuehl" w:hAnsi="FrankRuehl" w:cs="FrankRuehl"/>
            <w:color w:val="0000FF"/>
            <w:rtl/>
          </w:rPr>
          <w:t>7.ג</w:t>
        </w:r>
      </w:hyperlink>
      <w:r w:rsidRPr="00C107C9">
        <w:rPr>
          <w:rFonts w:ascii="FrankRuehl" w:hAnsi="FrankRuehl" w:cs="FrankRuehl"/>
          <w:rtl/>
        </w:rPr>
        <w:t xml:space="preserve">, </w:t>
      </w:r>
      <w:hyperlink r:id="rId10" w:history="1">
        <w:r w:rsidRPr="00C107C9">
          <w:rPr>
            <w:rFonts w:ascii="FrankRuehl" w:hAnsi="FrankRuehl" w:cs="FrankRuehl"/>
            <w:color w:val="0000FF"/>
            <w:rtl/>
          </w:rPr>
          <w:t>13</w:t>
        </w:r>
      </w:hyperlink>
      <w:r w:rsidRPr="00C107C9">
        <w:rPr>
          <w:rFonts w:ascii="FrankRuehl" w:hAnsi="FrankRuehl" w:cs="FrankRuehl"/>
          <w:rtl/>
        </w:rPr>
        <w:t xml:space="preserve">, </w:t>
      </w:r>
      <w:hyperlink r:id="rId11" w:history="1">
        <w:r w:rsidRPr="00C107C9">
          <w:rPr>
            <w:rFonts w:ascii="FrankRuehl" w:hAnsi="FrankRuehl" w:cs="FrankRuehl"/>
            <w:color w:val="0000FF"/>
            <w:rtl/>
          </w:rPr>
          <w:t>19א</w:t>
        </w:r>
      </w:hyperlink>
    </w:p>
    <w:p w14:paraId="3ADE47FA" w14:textId="77777777" w:rsidR="00C107C9" w:rsidRPr="00C107C9" w:rsidRDefault="00C107C9" w:rsidP="00C107C9">
      <w:pPr>
        <w:spacing w:before="120" w:after="120" w:line="240" w:lineRule="exact"/>
        <w:ind w:left="283" w:hanging="283"/>
        <w:jc w:val="both"/>
        <w:rPr>
          <w:rFonts w:ascii="FrankRuehl" w:hAnsi="FrankRuehl" w:cs="FrankRuehl"/>
          <w:rtl/>
        </w:rPr>
      </w:pPr>
      <w:hyperlink r:id="rId12" w:history="1">
        <w:r w:rsidRPr="00C107C9">
          <w:rPr>
            <w:rFonts w:ascii="FrankRuehl" w:hAnsi="FrankRuehl" w:cs="FrankRuehl"/>
            <w:color w:val="0000FF"/>
            <w:rtl/>
          </w:rPr>
          <w:t>פקודת הראיות [נוסח חדש], תשל"א-1971</w:t>
        </w:r>
      </w:hyperlink>
      <w:r w:rsidRPr="00C107C9">
        <w:rPr>
          <w:rFonts w:ascii="FrankRuehl" w:hAnsi="FrankRuehl" w:cs="FrankRuehl"/>
          <w:rtl/>
        </w:rPr>
        <w:t xml:space="preserve">: סע'  </w:t>
      </w:r>
      <w:hyperlink r:id="rId13" w:history="1">
        <w:r w:rsidRPr="00C107C9">
          <w:rPr>
            <w:rFonts w:ascii="FrankRuehl" w:hAnsi="FrankRuehl" w:cs="FrankRuehl"/>
            <w:color w:val="0000FF"/>
            <w:rtl/>
          </w:rPr>
          <w:t>26</w:t>
        </w:r>
      </w:hyperlink>
    </w:p>
    <w:p w14:paraId="7C7C1E5A" w14:textId="77777777" w:rsidR="00C107C9" w:rsidRPr="00C107C9" w:rsidRDefault="00C107C9" w:rsidP="00C107C9">
      <w:pPr>
        <w:spacing w:before="120" w:after="120" w:line="240" w:lineRule="exact"/>
        <w:ind w:left="283" w:hanging="283"/>
        <w:jc w:val="both"/>
        <w:rPr>
          <w:rFonts w:ascii="FrankRuehl" w:hAnsi="FrankRuehl" w:cs="FrankRuehl"/>
          <w:rtl/>
        </w:rPr>
      </w:pPr>
      <w:hyperlink r:id="rId14" w:history="1">
        <w:r w:rsidRPr="00C107C9">
          <w:rPr>
            <w:rFonts w:ascii="FrankRuehl" w:hAnsi="FrankRuehl" w:cs="FrankRuehl"/>
            <w:color w:val="0000FF"/>
            <w:rtl/>
          </w:rPr>
          <w:t>חוק סדר הדין הפלילי [נוסח משולב], תשמ"ב-1982</w:t>
        </w:r>
      </w:hyperlink>
      <w:r w:rsidRPr="00C107C9">
        <w:rPr>
          <w:rFonts w:ascii="FrankRuehl" w:hAnsi="FrankRuehl" w:cs="FrankRuehl"/>
          <w:rtl/>
        </w:rPr>
        <w:t xml:space="preserve">: סע'  </w:t>
      </w:r>
      <w:hyperlink r:id="rId15" w:history="1">
        <w:r w:rsidRPr="00C107C9">
          <w:rPr>
            <w:rFonts w:ascii="FrankRuehl" w:hAnsi="FrankRuehl" w:cs="FrankRuehl"/>
            <w:color w:val="0000FF"/>
            <w:rtl/>
          </w:rPr>
          <w:t>53</w:t>
        </w:r>
      </w:hyperlink>
      <w:r w:rsidRPr="00C107C9">
        <w:rPr>
          <w:rFonts w:ascii="FrankRuehl" w:hAnsi="FrankRuehl" w:cs="FrankRuehl"/>
          <w:rtl/>
        </w:rPr>
        <w:t xml:space="preserve">, </w:t>
      </w:r>
      <w:hyperlink r:id="rId16" w:history="1">
        <w:r w:rsidRPr="00C107C9">
          <w:rPr>
            <w:rFonts w:ascii="FrankRuehl" w:hAnsi="FrankRuehl" w:cs="FrankRuehl"/>
            <w:color w:val="0000FF"/>
            <w:rtl/>
          </w:rPr>
          <w:t>144</w:t>
        </w:r>
      </w:hyperlink>
    </w:p>
    <w:p w14:paraId="40A56F69" w14:textId="77777777" w:rsidR="00C107C9" w:rsidRPr="00C107C9" w:rsidRDefault="00C107C9" w:rsidP="00C107C9">
      <w:pPr>
        <w:rPr>
          <w:sz w:val="26"/>
          <w:szCs w:val="26"/>
          <w:rtl/>
        </w:rPr>
      </w:pPr>
      <w:bookmarkStart w:id="4" w:name="LawTable_End"/>
      <w:bookmarkEnd w:id="4"/>
    </w:p>
    <w:p w14:paraId="25AFEDC8" w14:textId="77777777" w:rsidR="0007376E" w:rsidRPr="00F37B97" w:rsidRDefault="0007376E" w:rsidP="00F37B97">
      <w:pPr>
        <w:rPr>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7376E" w14:paraId="2B69B580" w14:textId="77777777" w:rsidTr="0007376E">
        <w:trPr>
          <w:trHeight w:val="355"/>
          <w:jc w:val="center"/>
        </w:trPr>
        <w:tc>
          <w:tcPr>
            <w:tcW w:w="8820" w:type="dxa"/>
            <w:tcBorders>
              <w:top w:val="nil"/>
              <w:left w:val="nil"/>
              <w:bottom w:val="nil"/>
              <w:right w:val="nil"/>
            </w:tcBorders>
            <w:shd w:val="clear" w:color="auto" w:fill="auto"/>
          </w:tcPr>
          <w:p w14:paraId="6941D4F1" w14:textId="77777777" w:rsidR="00351F0A" w:rsidRPr="00351F0A" w:rsidRDefault="00351F0A" w:rsidP="00351F0A">
            <w:pPr>
              <w:jc w:val="center"/>
              <w:rPr>
                <w:rFonts w:ascii="David" w:hAnsi="David"/>
                <w:b/>
                <w:bCs/>
                <w:sz w:val="32"/>
                <w:szCs w:val="32"/>
                <w:u w:val="single"/>
                <w:rtl/>
              </w:rPr>
            </w:pPr>
            <w:bookmarkStart w:id="5" w:name="PsakDin" w:colFirst="0" w:colLast="0"/>
            <w:r w:rsidRPr="00351F0A">
              <w:rPr>
                <w:rFonts w:ascii="David" w:hAnsi="David"/>
                <w:b/>
                <w:bCs/>
                <w:sz w:val="32"/>
                <w:szCs w:val="32"/>
                <w:u w:val="single"/>
                <w:rtl/>
              </w:rPr>
              <w:t>גזר דין</w:t>
            </w:r>
          </w:p>
          <w:p w14:paraId="1D92FFBD" w14:textId="77777777" w:rsidR="0007376E" w:rsidRPr="00351F0A" w:rsidRDefault="0007376E" w:rsidP="00351F0A">
            <w:pPr>
              <w:jc w:val="center"/>
              <w:rPr>
                <w:rFonts w:ascii="David" w:hAnsi="David"/>
                <w:bCs/>
                <w:sz w:val="32"/>
                <w:szCs w:val="32"/>
                <w:u w:val="single"/>
                <w:rtl/>
              </w:rPr>
            </w:pPr>
          </w:p>
        </w:tc>
      </w:tr>
      <w:bookmarkEnd w:id="5"/>
    </w:tbl>
    <w:p w14:paraId="1164C00D" w14:textId="77777777" w:rsidR="0007376E" w:rsidRPr="002B7D23" w:rsidRDefault="0007376E" w:rsidP="0007376E">
      <w:pPr>
        <w:rPr>
          <w:rFonts w:ascii="David" w:hAnsi="David"/>
          <w:sz w:val="26"/>
          <w:szCs w:val="26"/>
          <w:rtl/>
        </w:rPr>
      </w:pPr>
    </w:p>
    <w:p w14:paraId="61287050" w14:textId="77777777" w:rsidR="0007376E" w:rsidRPr="002B7D23" w:rsidRDefault="0007376E" w:rsidP="0007376E">
      <w:pPr>
        <w:rPr>
          <w:rFonts w:ascii="David" w:hAnsi="David"/>
          <w:sz w:val="26"/>
          <w:szCs w:val="26"/>
          <w:rtl/>
        </w:rPr>
      </w:pPr>
    </w:p>
    <w:p w14:paraId="676992BD" w14:textId="77777777" w:rsidR="0007376E" w:rsidRPr="004B1F31" w:rsidRDefault="0007376E" w:rsidP="0007376E">
      <w:pPr>
        <w:spacing w:after="80" w:line="360" w:lineRule="auto"/>
        <w:jc w:val="both"/>
        <w:rPr>
          <w:b/>
          <w:bCs/>
          <w:u w:val="single"/>
          <w:rtl/>
          <w:lang w:eastAsia="he-IL"/>
        </w:rPr>
      </w:pPr>
      <w:r w:rsidRPr="004B1F31">
        <w:rPr>
          <w:b/>
          <w:bCs/>
          <w:u w:val="single"/>
          <w:rtl/>
          <w:lang w:eastAsia="he-IL"/>
        </w:rPr>
        <w:t>רקע</w:t>
      </w:r>
    </w:p>
    <w:p w14:paraId="582F4928" w14:textId="77777777" w:rsidR="0007376E" w:rsidRPr="004B1F31" w:rsidRDefault="0007376E" w:rsidP="0007376E">
      <w:pPr>
        <w:numPr>
          <w:ilvl w:val="0"/>
          <w:numId w:val="1"/>
        </w:numPr>
        <w:snapToGrid w:val="0"/>
        <w:spacing w:after="80" w:line="360" w:lineRule="auto"/>
        <w:contextualSpacing/>
        <w:jc w:val="both"/>
        <w:rPr>
          <w:lang w:eastAsia="he-IL"/>
        </w:rPr>
      </w:pPr>
      <w:bookmarkStart w:id="6" w:name="ABSTRACT_START"/>
      <w:bookmarkEnd w:id="6"/>
      <w:r w:rsidRPr="004B1F31">
        <w:rPr>
          <w:rtl/>
          <w:lang w:eastAsia="he-IL"/>
        </w:rPr>
        <w:t xml:space="preserve">הנאשם הורשע לאחר ניהול הוכחות, בעבירות הסמים המיוחסות לו בכתב האישום וזוכה מעבירת האיומים, אשר יוחסה לו באישום השני. </w:t>
      </w:r>
    </w:p>
    <w:p w14:paraId="29165DF9" w14:textId="77777777" w:rsidR="0007376E" w:rsidRPr="004B1F31" w:rsidRDefault="0007376E" w:rsidP="0007376E">
      <w:pPr>
        <w:snapToGrid w:val="0"/>
        <w:spacing w:after="80" w:line="360" w:lineRule="auto"/>
        <w:ind w:left="360"/>
        <w:contextualSpacing/>
        <w:jc w:val="both"/>
        <w:rPr>
          <w:lang w:eastAsia="he-IL"/>
        </w:rPr>
      </w:pPr>
    </w:p>
    <w:p w14:paraId="5A1FD626" w14:textId="77777777" w:rsidR="0007376E" w:rsidRPr="004B1F31" w:rsidRDefault="0007376E" w:rsidP="0007376E">
      <w:pPr>
        <w:numPr>
          <w:ilvl w:val="0"/>
          <w:numId w:val="1"/>
        </w:numPr>
        <w:spacing w:after="160" w:line="360" w:lineRule="auto"/>
        <w:contextualSpacing/>
        <w:jc w:val="both"/>
        <w:rPr>
          <w:rFonts w:ascii="David" w:hAnsi="David"/>
          <w:rtl/>
          <w:lang w:eastAsia="he-IL"/>
        </w:rPr>
      </w:pPr>
      <w:r w:rsidRPr="004B1F31">
        <w:rPr>
          <w:rFonts w:ascii="David" w:hAnsi="David"/>
          <w:rtl/>
          <w:lang w:eastAsia="he-IL"/>
        </w:rPr>
        <w:t xml:space="preserve">על פי העובדות בהן הורשע הנאשם, ביום 23.11.2020 סמוך לשעה 22:00 פנה הקונה דניאל לנאשם באמצעות "וואטסאפ" וביקש לקנות ממנו סמים. בהמשך לכך, הגיע הנאשם בסמוך לביתו של דניאל בנתיבות ומכר לו שני גרם קנבוס בתמורה לסך של 50 ₪. </w:t>
      </w:r>
    </w:p>
    <w:p w14:paraId="12674E98" w14:textId="77777777" w:rsidR="0007376E" w:rsidRPr="004B1F31" w:rsidRDefault="0007376E" w:rsidP="0007376E">
      <w:pPr>
        <w:snapToGrid w:val="0"/>
        <w:spacing w:after="80" w:line="360" w:lineRule="auto"/>
        <w:ind w:left="360"/>
        <w:contextualSpacing/>
        <w:jc w:val="both"/>
        <w:rPr>
          <w:rFonts w:ascii="David" w:hAnsi="David"/>
          <w:rtl/>
          <w:lang w:eastAsia="he-IL"/>
        </w:rPr>
      </w:pPr>
      <w:bookmarkStart w:id="7" w:name="ABSTRACT_END"/>
      <w:bookmarkEnd w:id="7"/>
    </w:p>
    <w:p w14:paraId="203EC814" w14:textId="77777777" w:rsidR="0007376E" w:rsidRPr="004B1F31" w:rsidRDefault="0007376E" w:rsidP="0007376E">
      <w:pPr>
        <w:snapToGrid w:val="0"/>
        <w:spacing w:after="80" w:line="360" w:lineRule="auto"/>
        <w:ind w:left="360"/>
        <w:contextualSpacing/>
        <w:jc w:val="both"/>
        <w:rPr>
          <w:rFonts w:ascii="David" w:hAnsi="David"/>
          <w:rtl/>
          <w:lang w:eastAsia="he-IL"/>
        </w:rPr>
      </w:pPr>
      <w:r w:rsidRPr="004B1F31">
        <w:rPr>
          <w:rFonts w:ascii="David" w:hAnsi="David"/>
          <w:rtl/>
          <w:lang w:eastAsia="he-IL"/>
        </w:rPr>
        <w:t xml:space="preserve">ביום 29.11.2020 סמוך לשעה 20:00 הבחינו שוטרים בנאשם כשהוא מתכופף לסבך צמחיה במקום סמוך לביתו ויוצא משם כשהוא מחזיק בשקית עם חומר החשוד כסם. </w:t>
      </w:r>
    </w:p>
    <w:p w14:paraId="238E7D36" w14:textId="77777777" w:rsidR="0007376E" w:rsidRPr="004B1F31" w:rsidRDefault="0007376E" w:rsidP="0007376E">
      <w:pPr>
        <w:snapToGrid w:val="0"/>
        <w:spacing w:after="80" w:line="360" w:lineRule="auto"/>
        <w:ind w:left="360"/>
        <w:contextualSpacing/>
        <w:jc w:val="both"/>
        <w:rPr>
          <w:rFonts w:ascii="David" w:hAnsi="David"/>
          <w:rtl/>
          <w:lang w:eastAsia="he-IL"/>
        </w:rPr>
      </w:pPr>
      <w:r w:rsidRPr="004B1F31">
        <w:rPr>
          <w:rFonts w:ascii="David" w:hAnsi="David"/>
          <w:rtl/>
          <w:lang w:eastAsia="he-IL"/>
        </w:rPr>
        <w:t xml:space="preserve">במעמד זה החזיק הנאשם בשקית המכילה 7.69 גרם קנבוס ובתוך מסתור בסבך הצמחייה החזיק בשתי שקיות המכילות כל אחת מהן שתי שקיות קטנות יותר ובהן קנבוס במשקל כולל של 85.26 גרם. </w:t>
      </w:r>
    </w:p>
    <w:p w14:paraId="2C664135" w14:textId="77777777" w:rsidR="0007376E" w:rsidRPr="004B1F31" w:rsidRDefault="0007376E" w:rsidP="0007376E">
      <w:pPr>
        <w:snapToGrid w:val="0"/>
        <w:spacing w:after="80" w:line="360" w:lineRule="auto"/>
        <w:ind w:left="360"/>
        <w:contextualSpacing/>
        <w:jc w:val="both"/>
        <w:rPr>
          <w:rFonts w:ascii="David" w:hAnsi="David"/>
          <w:rtl/>
          <w:lang w:eastAsia="he-IL"/>
        </w:rPr>
      </w:pPr>
    </w:p>
    <w:p w14:paraId="69E057C2" w14:textId="77777777" w:rsidR="0007376E" w:rsidRPr="004B1F31" w:rsidRDefault="0007376E" w:rsidP="0007376E">
      <w:pPr>
        <w:snapToGrid w:val="0"/>
        <w:spacing w:after="80" w:line="360" w:lineRule="auto"/>
        <w:ind w:left="360"/>
        <w:contextualSpacing/>
        <w:jc w:val="both"/>
        <w:rPr>
          <w:rFonts w:ascii="David" w:hAnsi="David"/>
          <w:rtl/>
          <w:lang w:eastAsia="he-IL"/>
        </w:rPr>
      </w:pPr>
      <w:r w:rsidRPr="004B1F31">
        <w:rPr>
          <w:rFonts w:ascii="David" w:hAnsi="David"/>
          <w:rtl/>
          <w:lang w:eastAsia="he-IL"/>
        </w:rPr>
        <w:t xml:space="preserve">בגין כל אלה הורשע הנאשם בעבירות הבאות: </w:t>
      </w:r>
    </w:p>
    <w:p w14:paraId="5E938E95" w14:textId="77777777" w:rsidR="0007376E" w:rsidRPr="004B1F31" w:rsidRDefault="0007376E" w:rsidP="0007376E">
      <w:pPr>
        <w:snapToGrid w:val="0"/>
        <w:spacing w:after="80" w:line="360" w:lineRule="auto"/>
        <w:ind w:left="360"/>
        <w:contextualSpacing/>
        <w:jc w:val="both"/>
        <w:rPr>
          <w:rFonts w:ascii="David" w:hAnsi="David"/>
          <w:rtl/>
          <w:lang w:eastAsia="he-IL"/>
        </w:rPr>
      </w:pPr>
      <w:r w:rsidRPr="004B1F31">
        <w:rPr>
          <w:rFonts w:ascii="David" w:hAnsi="David"/>
          <w:b/>
          <w:bCs/>
          <w:rtl/>
          <w:lang w:eastAsia="he-IL"/>
        </w:rPr>
        <w:t>סחר בסם</w:t>
      </w:r>
      <w:r w:rsidRPr="004B1F31">
        <w:rPr>
          <w:rFonts w:ascii="David" w:hAnsi="David"/>
          <w:rtl/>
          <w:lang w:eastAsia="he-IL"/>
        </w:rPr>
        <w:t xml:space="preserve">, לפי </w:t>
      </w:r>
      <w:hyperlink r:id="rId17" w:history="1">
        <w:r w:rsidR="00DF69E1" w:rsidRPr="00DF69E1">
          <w:rPr>
            <w:rStyle w:val="Hyperlink"/>
            <w:rFonts w:ascii="David" w:hAnsi="David"/>
            <w:rtl/>
            <w:lang w:eastAsia="he-IL"/>
          </w:rPr>
          <w:t>סעיף 13</w:t>
        </w:r>
      </w:hyperlink>
      <w:r w:rsidRPr="004B1F31">
        <w:rPr>
          <w:rFonts w:ascii="David" w:hAnsi="David"/>
          <w:rtl/>
          <w:lang w:eastAsia="he-IL"/>
        </w:rPr>
        <w:t xml:space="preserve"> + </w:t>
      </w:r>
      <w:hyperlink r:id="rId18" w:history="1">
        <w:r w:rsidR="00DF69E1" w:rsidRPr="00DF69E1">
          <w:rPr>
            <w:rStyle w:val="Hyperlink"/>
            <w:rFonts w:ascii="David" w:hAnsi="David"/>
            <w:rtl/>
            <w:lang w:eastAsia="he-IL"/>
          </w:rPr>
          <w:t>19א</w:t>
        </w:r>
      </w:hyperlink>
      <w:r w:rsidRPr="004B1F31">
        <w:rPr>
          <w:rFonts w:ascii="David" w:hAnsi="David"/>
          <w:rtl/>
          <w:lang w:eastAsia="he-IL"/>
        </w:rPr>
        <w:t xml:space="preserve"> ב</w:t>
      </w:r>
      <w:hyperlink r:id="rId19" w:history="1">
        <w:r w:rsidR="00351F0A" w:rsidRPr="00351F0A">
          <w:rPr>
            <w:rFonts w:ascii="David" w:hAnsi="David"/>
            <w:color w:val="0000FF"/>
            <w:u w:val="single"/>
            <w:rtl/>
            <w:lang w:eastAsia="he-IL"/>
          </w:rPr>
          <w:t>פקודת הסמים המסוכנים</w:t>
        </w:r>
      </w:hyperlink>
      <w:r w:rsidRPr="004B1F31">
        <w:rPr>
          <w:rFonts w:ascii="David" w:hAnsi="David"/>
          <w:rtl/>
          <w:lang w:eastAsia="he-IL"/>
        </w:rPr>
        <w:t xml:space="preserve"> [נוסח חדש] תשל"ג-1973; </w:t>
      </w:r>
    </w:p>
    <w:p w14:paraId="5DD1D38D" w14:textId="77777777" w:rsidR="0007376E" w:rsidRPr="004B1F31" w:rsidRDefault="0007376E" w:rsidP="0007376E">
      <w:pPr>
        <w:snapToGrid w:val="0"/>
        <w:spacing w:after="80" w:line="360" w:lineRule="auto"/>
        <w:ind w:left="360"/>
        <w:contextualSpacing/>
        <w:jc w:val="both"/>
        <w:rPr>
          <w:rFonts w:ascii="David" w:hAnsi="David"/>
          <w:rtl/>
          <w:lang w:eastAsia="he-IL"/>
        </w:rPr>
      </w:pPr>
      <w:r w:rsidRPr="004B1F31">
        <w:rPr>
          <w:rFonts w:ascii="David" w:hAnsi="David"/>
          <w:b/>
          <w:bCs/>
          <w:rtl/>
          <w:lang w:eastAsia="he-IL"/>
        </w:rPr>
        <w:t>החזקת סם שלא לצריכה עצמית,</w:t>
      </w:r>
      <w:r w:rsidRPr="004B1F31">
        <w:rPr>
          <w:rFonts w:ascii="David" w:hAnsi="David"/>
          <w:rtl/>
          <w:lang w:eastAsia="he-IL"/>
        </w:rPr>
        <w:t xml:space="preserve"> לפי </w:t>
      </w:r>
      <w:hyperlink r:id="rId20" w:history="1">
        <w:r w:rsidR="00DF69E1" w:rsidRPr="00DF69E1">
          <w:rPr>
            <w:rStyle w:val="Hyperlink"/>
            <w:rFonts w:ascii="David" w:hAnsi="David"/>
            <w:rtl/>
            <w:lang w:eastAsia="he-IL"/>
          </w:rPr>
          <w:t>סעיף 7(א)+7(ג)</w:t>
        </w:r>
      </w:hyperlink>
      <w:r w:rsidRPr="004B1F31">
        <w:rPr>
          <w:rFonts w:ascii="David" w:hAnsi="David"/>
          <w:rtl/>
          <w:lang w:eastAsia="he-IL"/>
        </w:rPr>
        <w:t xml:space="preserve"> לפקודת הסמים;</w:t>
      </w:r>
    </w:p>
    <w:p w14:paraId="55ADB7DD" w14:textId="77777777" w:rsidR="0007376E" w:rsidRPr="004B1F31" w:rsidRDefault="0007376E" w:rsidP="0007376E">
      <w:pPr>
        <w:spacing w:after="80" w:line="360" w:lineRule="auto"/>
        <w:jc w:val="both"/>
        <w:rPr>
          <w:b/>
          <w:bCs/>
          <w:u w:val="single"/>
          <w:rtl/>
          <w:lang w:eastAsia="he-IL"/>
        </w:rPr>
      </w:pPr>
    </w:p>
    <w:p w14:paraId="04738BDB" w14:textId="77777777" w:rsidR="0007376E" w:rsidRPr="004B1F31" w:rsidRDefault="0007376E" w:rsidP="0007376E">
      <w:pPr>
        <w:spacing w:after="80" w:line="360" w:lineRule="auto"/>
        <w:jc w:val="both"/>
        <w:rPr>
          <w:b/>
          <w:bCs/>
          <w:u w:val="single"/>
          <w:lang w:eastAsia="he-IL"/>
        </w:rPr>
      </w:pPr>
      <w:r w:rsidRPr="004B1F31">
        <w:rPr>
          <w:b/>
          <w:bCs/>
          <w:u w:val="single"/>
          <w:rtl/>
          <w:lang w:eastAsia="he-IL"/>
        </w:rPr>
        <w:t>ראיות לעונש</w:t>
      </w:r>
    </w:p>
    <w:p w14:paraId="5FC8F99E" w14:textId="77777777" w:rsidR="0007376E" w:rsidRPr="004B1F31" w:rsidRDefault="0007376E" w:rsidP="0007376E">
      <w:pPr>
        <w:numPr>
          <w:ilvl w:val="0"/>
          <w:numId w:val="1"/>
        </w:numPr>
        <w:snapToGrid w:val="0"/>
        <w:spacing w:after="80" w:line="360" w:lineRule="auto"/>
        <w:contextualSpacing/>
        <w:jc w:val="both"/>
        <w:rPr>
          <w:b/>
          <w:bCs/>
          <w:lang w:eastAsia="he-IL"/>
        </w:rPr>
      </w:pPr>
      <w:r w:rsidRPr="004B1F31">
        <w:rPr>
          <w:b/>
          <w:bCs/>
          <w:rtl/>
          <w:lang w:eastAsia="he-IL"/>
        </w:rPr>
        <w:t xml:space="preserve">המאשימה </w:t>
      </w:r>
      <w:r w:rsidRPr="004B1F31">
        <w:rPr>
          <w:rtl/>
          <w:lang w:eastAsia="he-IL"/>
        </w:rPr>
        <w:t>הגישה גיליון הרשעות קודמות של הנאשם</w:t>
      </w:r>
      <w:r w:rsidRPr="004B1F31">
        <w:rPr>
          <w:b/>
          <w:bCs/>
          <w:rtl/>
          <w:lang w:eastAsia="he-IL"/>
        </w:rPr>
        <w:t xml:space="preserve"> – סומן ת/1;</w:t>
      </w:r>
    </w:p>
    <w:p w14:paraId="3C1D10EB" w14:textId="77777777" w:rsidR="0007376E" w:rsidRPr="004B1F31" w:rsidRDefault="0007376E" w:rsidP="0007376E">
      <w:pPr>
        <w:snapToGrid w:val="0"/>
        <w:spacing w:after="80" w:line="360" w:lineRule="auto"/>
        <w:ind w:left="360"/>
        <w:contextualSpacing/>
        <w:jc w:val="both"/>
        <w:rPr>
          <w:rFonts w:ascii="Arial" w:hAnsi="Arial"/>
          <w:b/>
          <w:bCs/>
          <w:sz w:val="20"/>
          <w:lang w:eastAsia="he-IL"/>
        </w:rPr>
      </w:pPr>
      <w:r w:rsidRPr="004B1F31">
        <w:rPr>
          <w:rFonts w:ascii="Arial" w:hAnsi="Arial"/>
          <w:sz w:val="20"/>
          <w:rtl/>
          <w:lang w:eastAsia="he-IL"/>
        </w:rPr>
        <w:t>גזר דין בר הפעלה ב</w:t>
      </w:r>
      <w:hyperlink r:id="rId21" w:history="1">
        <w:r w:rsidR="00351F0A" w:rsidRPr="00351F0A">
          <w:rPr>
            <w:rFonts w:ascii="Arial" w:hAnsi="Arial"/>
            <w:color w:val="0000FF"/>
            <w:sz w:val="20"/>
            <w:u w:val="single"/>
            <w:rtl/>
            <w:lang w:eastAsia="he-IL"/>
          </w:rPr>
          <w:t>ת"פ 8633-04-15</w:t>
        </w:r>
      </w:hyperlink>
      <w:r w:rsidRPr="004B1F31">
        <w:rPr>
          <w:rFonts w:ascii="Arial" w:hAnsi="Arial"/>
          <w:sz w:val="20"/>
          <w:rtl/>
          <w:lang w:eastAsia="he-IL"/>
        </w:rPr>
        <w:t xml:space="preserve"> – </w:t>
      </w:r>
      <w:r w:rsidRPr="004B1F31">
        <w:rPr>
          <w:rFonts w:ascii="Arial" w:hAnsi="Arial"/>
          <w:b/>
          <w:bCs/>
          <w:sz w:val="20"/>
          <w:rtl/>
          <w:lang w:eastAsia="he-IL"/>
        </w:rPr>
        <w:t>סומן ת/2;</w:t>
      </w:r>
    </w:p>
    <w:p w14:paraId="421EDE23" w14:textId="77777777" w:rsidR="0007376E" w:rsidRPr="004B1F31" w:rsidRDefault="0007376E" w:rsidP="0007376E">
      <w:pPr>
        <w:snapToGrid w:val="0"/>
        <w:spacing w:after="80" w:line="360" w:lineRule="auto"/>
        <w:ind w:left="360"/>
        <w:contextualSpacing/>
        <w:jc w:val="both"/>
        <w:rPr>
          <w:rFonts w:ascii="Arial" w:hAnsi="Arial"/>
          <w:b/>
          <w:bCs/>
          <w:sz w:val="20"/>
          <w:rtl/>
          <w:lang w:eastAsia="he-IL"/>
        </w:rPr>
      </w:pPr>
      <w:r w:rsidRPr="004B1F31">
        <w:rPr>
          <w:rFonts w:ascii="Arial" w:hAnsi="Arial"/>
          <w:sz w:val="20"/>
          <w:rtl/>
          <w:lang w:eastAsia="he-IL"/>
        </w:rPr>
        <w:t xml:space="preserve">פלט מאסרים/מעצרים – </w:t>
      </w:r>
      <w:r w:rsidRPr="004B1F31">
        <w:rPr>
          <w:rFonts w:ascii="Arial" w:hAnsi="Arial"/>
          <w:b/>
          <w:bCs/>
          <w:sz w:val="20"/>
          <w:rtl/>
          <w:lang w:eastAsia="he-IL"/>
        </w:rPr>
        <w:t>סומן ת/3;</w:t>
      </w:r>
    </w:p>
    <w:p w14:paraId="353CCB98" w14:textId="77777777" w:rsidR="0007376E" w:rsidRPr="004B1F31" w:rsidRDefault="0007376E" w:rsidP="0007376E">
      <w:pPr>
        <w:snapToGrid w:val="0"/>
        <w:spacing w:after="80" w:line="360" w:lineRule="auto"/>
        <w:ind w:left="360"/>
        <w:contextualSpacing/>
        <w:jc w:val="both"/>
        <w:rPr>
          <w:rFonts w:ascii="Arial" w:hAnsi="Arial"/>
          <w:b/>
          <w:bCs/>
          <w:sz w:val="20"/>
          <w:rtl/>
          <w:lang w:eastAsia="he-IL"/>
        </w:rPr>
      </w:pPr>
      <w:r w:rsidRPr="004B1F31">
        <w:rPr>
          <w:rFonts w:ascii="Arial" w:hAnsi="Arial"/>
          <w:sz w:val="20"/>
          <w:rtl/>
          <w:lang w:eastAsia="he-IL"/>
        </w:rPr>
        <w:t>הכרעת הדין מתיק נשוא המאסר המותנה</w:t>
      </w:r>
      <w:r w:rsidRPr="004B1F31">
        <w:rPr>
          <w:rFonts w:ascii="Arial" w:hAnsi="Arial"/>
          <w:b/>
          <w:bCs/>
          <w:sz w:val="20"/>
          <w:rtl/>
          <w:lang w:eastAsia="he-IL"/>
        </w:rPr>
        <w:t xml:space="preserve"> – סומן ת/4;</w:t>
      </w:r>
    </w:p>
    <w:p w14:paraId="785B48C1" w14:textId="77777777" w:rsidR="0007376E" w:rsidRPr="004B1F31" w:rsidRDefault="0007376E" w:rsidP="0007376E">
      <w:pPr>
        <w:snapToGrid w:val="0"/>
        <w:spacing w:after="80" w:line="360" w:lineRule="auto"/>
        <w:ind w:left="360"/>
        <w:contextualSpacing/>
        <w:jc w:val="both"/>
        <w:rPr>
          <w:rFonts w:ascii="Arial" w:hAnsi="Arial"/>
          <w:b/>
          <w:bCs/>
          <w:sz w:val="20"/>
          <w:rtl/>
          <w:lang w:eastAsia="he-IL"/>
        </w:rPr>
      </w:pPr>
      <w:r w:rsidRPr="004B1F31">
        <w:rPr>
          <w:rFonts w:ascii="Arial" w:hAnsi="Arial"/>
          <w:sz w:val="20"/>
          <w:rtl/>
          <w:lang w:eastAsia="he-IL"/>
        </w:rPr>
        <w:t>ערעור על גזר הדין נשוא המאסר המותנה</w:t>
      </w:r>
      <w:r w:rsidRPr="004B1F31">
        <w:rPr>
          <w:rFonts w:ascii="Arial" w:hAnsi="Arial"/>
          <w:b/>
          <w:bCs/>
          <w:sz w:val="20"/>
          <w:rtl/>
          <w:lang w:eastAsia="he-IL"/>
        </w:rPr>
        <w:t xml:space="preserve"> – מסומן ת/5.</w:t>
      </w:r>
    </w:p>
    <w:p w14:paraId="6102F957" w14:textId="77777777" w:rsidR="0007376E" w:rsidRPr="0007376E" w:rsidRDefault="0007376E" w:rsidP="0007376E">
      <w:pPr>
        <w:spacing w:after="80" w:line="360" w:lineRule="auto"/>
        <w:jc w:val="both"/>
        <w:rPr>
          <w:rFonts w:ascii="Calibri" w:hAnsi="Calibri" w:cs="Arial"/>
          <w:b/>
          <w:bCs/>
          <w:szCs w:val="22"/>
          <w:rtl/>
        </w:rPr>
      </w:pPr>
    </w:p>
    <w:p w14:paraId="4A2467BB" w14:textId="77777777" w:rsidR="0007376E" w:rsidRPr="004B1F31" w:rsidRDefault="0007376E" w:rsidP="0007376E">
      <w:pPr>
        <w:snapToGrid w:val="0"/>
        <w:spacing w:after="80" w:line="360" w:lineRule="auto"/>
        <w:contextualSpacing/>
        <w:jc w:val="both"/>
        <w:rPr>
          <w:rFonts w:ascii="David" w:hAnsi="David"/>
          <w:b/>
          <w:bCs/>
          <w:u w:val="single"/>
          <w:rtl/>
          <w:lang w:eastAsia="he-IL"/>
        </w:rPr>
      </w:pPr>
      <w:r w:rsidRPr="004B1F31">
        <w:rPr>
          <w:rFonts w:ascii="David" w:hAnsi="David"/>
          <w:b/>
          <w:bCs/>
          <w:u w:val="single"/>
          <w:rtl/>
          <w:lang w:eastAsia="he-IL"/>
        </w:rPr>
        <w:t>טענות הצדדים לעונש</w:t>
      </w:r>
    </w:p>
    <w:p w14:paraId="71AC44B3" w14:textId="77777777" w:rsidR="0007376E" w:rsidRPr="004B1F31" w:rsidRDefault="0007376E" w:rsidP="0007376E">
      <w:pPr>
        <w:snapToGrid w:val="0"/>
        <w:spacing w:after="80" w:line="360" w:lineRule="auto"/>
        <w:contextualSpacing/>
        <w:jc w:val="both"/>
        <w:rPr>
          <w:rFonts w:ascii="David" w:hAnsi="David"/>
          <w:b/>
          <w:bCs/>
          <w:u w:val="single"/>
          <w:rtl/>
          <w:lang w:eastAsia="he-IL"/>
        </w:rPr>
      </w:pPr>
    </w:p>
    <w:p w14:paraId="78D48A13" w14:textId="77777777" w:rsidR="0007376E" w:rsidRPr="004B1F31" w:rsidRDefault="0007376E" w:rsidP="0007376E">
      <w:pPr>
        <w:numPr>
          <w:ilvl w:val="0"/>
          <w:numId w:val="1"/>
        </w:numPr>
        <w:snapToGrid w:val="0"/>
        <w:spacing w:after="80" w:line="360" w:lineRule="auto"/>
        <w:contextualSpacing/>
        <w:jc w:val="both"/>
        <w:rPr>
          <w:rFonts w:ascii="David" w:hAnsi="David"/>
          <w:b/>
          <w:bCs/>
          <w:lang w:eastAsia="he-IL"/>
        </w:rPr>
      </w:pPr>
      <w:r w:rsidRPr="004B1F31">
        <w:rPr>
          <w:rFonts w:ascii="David" w:hAnsi="David"/>
          <w:b/>
          <w:bCs/>
          <w:rtl/>
          <w:lang w:eastAsia="he-IL"/>
        </w:rPr>
        <w:t>ב"כ המאשימה</w:t>
      </w:r>
      <w:r w:rsidRPr="004B1F31">
        <w:rPr>
          <w:rFonts w:ascii="David" w:hAnsi="David"/>
          <w:rtl/>
          <w:lang w:eastAsia="he-IL"/>
        </w:rPr>
        <w:t xml:space="preserve"> הפנה לעבודות כתב האישום ולהכרעת הדין, כן הפנה להכרעת דין בתיק קודם שניהל הנאשם, ממנו נלמד, כי הנאשם חוזר על אותם המעשים, תוך שימוש באותו מקום לעבירות סמים. </w:t>
      </w:r>
    </w:p>
    <w:p w14:paraId="0CC1EF45" w14:textId="77777777" w:rsidR="0007376E" w:rsidRPr="004B1F31" w:rsidRDefault="0007376E" w:rsidP="0007376E">
      <w:pPr>
        <w:snapToGrid w:val="0"/>
        <w:spacing w:after="80" w:line="360" w:lineRule="auto"/>
        <w:ind w:left="360"/>
        <w:contextualSpacing/>
        <w:jc w:val="both"/>
        <w:rPr>
          <w:rFonts w:ascii="David" w:hAnsi="David"/>
          <w:b/>
          <w:bCs/>
          <w:lang w:eastAsia="he-IL"/>
        </w:rPr>
      </w:pPr>
      <w:r w:rsidRPr="004B1F31">
        <w:rPr>
          <w:rFonts w:ascii="David" w:hAnsi="David"/>
          <w:rtl/>
          <w:lang w:eastAsia="he-IL"/>
        </w:rPr>
        <w:t>נטען, כי מתחם העונש ההולם הינו בין 12-30 חודשי מאסר. בעניין זה הפנה ב"כ המאשימה לפסיקה רלוונטית במחוזינו ולפסיקה של בית משפט השלום בחיפה, בה נקבע מתחם דומה.</w:t>
      </w:r>
    </w:p>
    <w:p w14:paraId="0704E0FE" w14:textId="77777777" w:rsidR="0007376E" w:rsidRPr="004B1F31" w:rsidRDefault="0007376E" w:rsidP="0007376E">
      <w:pPr>
        <w:snapToGrid w:val="0"/>
        <w:spacing w:after="80" w:line="360" w:lineRule="auto"/>
        <w:ind w:left="360"/>
        <w:contextualSpacing/>
        <w:jc w:val="both"/>
        <w:rPr>
          <w:rFonts w:ascii="David" w:hAnsi="David"/>
          <w:rtl/>
          <w:lang w:eastAsia="he-IL"/>
        </w:rPr>
      </w:pPr>
      <w:r w:rsidRPr="004B1F31">
        <w:rPr>
          <w:rFonts w:ascii="David" w:hAnsi="David"/>
          <w:rtl/>
          <w:lang w:eastAsia="he-IL"/>
        </w:rPr>
        <w:t>בתוך גדרי המתחם, נטען כי בשים לב לעברו הפלילי המכביד של הנאשם, אשר שב וביצע עבירות סמים פעם אחר פעם, ובגינן גם ריצה מאסרים ממושכים, וגם כאשר כנגדו עונש מאסר מותנה, הוא שב ומבצע עבירות ללא מורא, ולכן יש להשית עליו עונש בחלקו העליון של המתחם. נטען כי מדובר בהרשעה מספר 44 של הנאשם.</w:t>
      </w:r>
    </w:p>
    <w:p w14:paraId="61382938" w14:textId="77777777" w:rsidR="0007376E" w:rsidRPr="004B1F31" w:rsidRDefault="0007376E" w:rsidP="0007376E">
      <w:pPr>
        <w:snapToGrid w:val="0"/>
        <w:spacing w:after="80" w:line="360" w:lineRule="auto"/>
        <w:ind w:left="360"/>
        <w:contextualSpacing/>
        <w:jc w:val="both"/>
        <w:rPr>
          <w:rFonts w:ascii="David" w:hAnsi="David"/>
          <w:rtl/>
          <w:lang w:eastAsia="he-IL"/>
        </w:rPr>
      </w:pPr>
      <w:r w:rsidRPr="004B1F31">
        <w:rPr>
          <w:rFonts w:ascii="David" w:hAnsi="David"/>
          <w:rtl/>
          <w:lang w:eastAsia="he-IL"/>
        </w:rPr>
        <w:t xml:space="preserve">נטען כי המאסר המותנה כנגד הנאשם חב הפעלה. כן עתר ב"כ המאשימה להפעילו במצטבר לכל עונש אחר שיושת עליו והפנה בעניין זה לפסק דין בעניינו של </w:t>
      </w:r>
      <w:r w:rsidRPr="004B1F31">
        <w:rPr>
          <w:rFonts w:ascii="David" w:hAnsi="David"/>
          <w:b/>
          <w:bCs/>
          <w:rtl/>
          <w:lang w:eastAsia="he-IL"/>
        </w:rPr>
        <w:t>ויקטור עיאש</w:t>
      </w:r>
      <w:r w:rsidRPr="004B1F31">
        <w:rPr>
          <w:rFonts w:ascii="David" w:hAnsi="David"/>
          <w:rtl/>
          <w:lang w:eastAsia="he-IL"/>
        </w:rPr>
        <w:t xml:space="preserve"> בו קבע בית המשפט המחוזי כי עונש המאסר המותנה יופעל כולו במצטבר, מאחר וזה הייתה הרשעתו ה-17 במספרה. </w:t>
      </w:r>
    </w:p>
    <w:p w14:paraId="429224FB" w14:textId="77777777" w:rsidR="0007376E" w:rsidRPr="004B1F31" w:rsidRDefault="0007376E" w:rsidP="0007376E">
      <w:pPr>
        <w:snapToGrid w:val="0"/>
        <w:spacing w:after="80" w:line="360" w:lineRule="auto"/>
        <w:ind w:left="360"/>
        <w:contextualSpacing/>
        <w:jc w:val="both"/>
        <w:rPr>
          <w:rFonts w:ascii="David" w:hAnsi="David"/>
          <w:rtl/>
          <w:lang w:eastAsia="he-IL"/>
        </w:rPr>
      </w:pPr>
    </w:p>
    <w:p w14:paraId="7BA190A4" w14:textId="77777777" w:rsidR="0007376E" w:rsidRPr="004B1F31" w:rsidRDefault="0007376E" w:rsidP="0007376E">
      <w:pPr>
        <w:snapToGrid w:val="0"/>
        <w:spacing w:after="80" w:line="360" w:lineRule="auto"/>
        <w:ind w:left="360"/>
        <w:contextualSpacing/>
        <w:jc w:val="both"/>
        <w:rPr>
          <w:rFonts w:ascii="David" w:hAnsi="David"/>
          <w:rtl/>
          <w:lang w:eastAsia="he-IL"/>
        </w:rPr>
      </w:pPr>
      <w:r w:rsidRPr="004B1F31">
        <w:rPr>
          <w:rFonts w:ascii="David" w:hAnsi="David"/>
          <w:rtl/>
          <w:lang w:eastAsia="he-IL"/>
        </w:rPr>
        <w:lastRenderedPageBreak/>
        <w:t xml:space="preserve">כן נטען, כי יש להשית על הנאשם ענישה כלכלית משמעותית, אשר תבהיר לו כי מעבר לריצוי מאסר בפועל, יש השלכות נוספות לעונשים שנגזרים עליו, השלכות כלכליות שיהיה עליו לשלם. עוד ביקשה המאשימה להשית ענישה נלווית בדמות מאסר מותנה, פסילת רישיון נהיגה בפועל והתחייבות נוספת להימנע מביצוע עבירה, בתקווה שלאלו תהיה השלכה משמעותית יותר על מעשי הנאשם להבא וכי זה יבין שעליו לשלם מחיר כבד על מעשיו. </w:t>
      </w:r>
    </w:p>
    <w:p w14:paraId="0036CD28" w14:textId="77777777" w:rsidR="0007376E" w:rsidRPr="004B1F31" w:rsidRDefault="0007376E" w:rsidP="0007376E">
      <w:pPr>
        <w:snapToGrid w:val="0"/>
        <w:spacing w:after="80" w:line="360" w:lineRule="auto"/>
        <w:ind w:left="360"/>
        <w:contextualSpacing/>
        <w:jc w:val="both"/>
        <w:rPr>
          <w:rFonts w:ascii="David" w:hAnsi="David"/>
          <w:rtl/>
          <w:lang w:eastAsia="he-IL"/>
        </w:rPr>
      </w:pPr>
    </w:p>
    <w:p w14:paraId="51692875" w14:textId="77777777" w:rsidR="0007376E" w:rsidRPr="004B1F31" w:rsidRDefault="0007376E" w:rsidP="0007376E">
      <w:pPr>
        <w:snapToGrid w:val="0"/>
        <w:spacing w:after="80" w:line="360" w:lineRule="auto"/>
        <w:ind w:left="360"/>
        <w:contextualSpacing/>
        <w:jc w:val="both"/>
        <w:rPr>
          <w:rtl/>
          <w:lang w:eastAsia="he-IL"/>
        </w:rPr>
      </w:pPr>
      <w:r w:rsidRPr="004B1F31">
        <w:rPr>
          <w:rFonts w:ascii="David" w:hAnsi="David"/>
          <w:rtl/>
          <w:lang w:eastAsia="he-IL"/>
        </w:rPr>
        <w:t xml:space="preserve">בנוסף, עתר ב"כ המאשימה, להשית על הנאשם פיצויים לפי </w:t>
      </w:r>
      <w:hyperlink r:id="rId22" w:history="1">
        <w:r w:rsidR="00DF69E1" w:rsidRPr="00DF69E1">
          <w:rPr>
            <w:rStyle w:val="Hyperlink"/>
            <w:rFonts w:ascii="David" w:hAnsi="David"/>
            <w:rtl/>
            <w:lang w:eastAsia="he-IL"/>
          </w:rPr>
          <w:t>סעיף 26</w:t>
        </w:r>
      </w:hyperlink>
      <w:r w:rsidRPr="004B1F31">
        <w:rPr>
          <w:rFonts w:ascii="David" w:hAnsi="David"/>
          <w:rtl/>
          <w:lang w:eastAsia="he-IL"/>
        </w:rPr>
        <w:t xml:space="preserve"> ב</w:t>
      </w:r>
      <w:hyperlink r:id="rId23" w:history="1">
        <w:r w:rsidR="00351F0A" w:rsidRPr="00351F0A">
          <w:rPr>
            <w:rFonts w:ascii="David" w:hAnsi="David"/>
            <w:color w:val="0000FF"/>
            <w:u w:val="single"/>
            <w:rtl/>
            <w:lang w:eastAsia="he-IL"/>
          </w:rPr>
          <w:t>פקודת הראיות</w:t>
        </w:r>
      </w:hyperlink>
      <w:r w:rsidRPr="004B1F31">
        <w:rPr>
          <w:rFonts w:ascii="David" w:hAnsi="David"/>
          <w:rtl/>
          <w:lang w:eastAsia="he-IL"/>
        </w:rPr>
        <w:t>, וזאת נוכח חקירת המומחית לעניין טביעות האצבע. נטען, כי כבר במהלך חקירתו במשטרה, הנאשם אישר כי ייתכן ונגע בשקיות הסמים. כן נטען, כי חקירת המומחית התמקדה בשאלות שאינן רלוונטיות וכי השאלות אשר נשאלו ביחס לאופן קביעת טביעת האצבע היו עניין שלא היה במחלוקת ובסופו של דבר ההגנה הודיעה שאינה חולקת על חוות דעת זו. כן נטען, כי גם בתיקים קודמים כנגד הנאשם, פעל הנאשם באופן דומה, גם שם זומן עד מומחה שלא לצורך ובסופו של דבר, בית המשפט המחוזי קבע כי העדות הייתה שלא לצורך, אך לא הושתו הוצאות [ראו הכרעת הדין ת/4]. עוד הפנה ב"כ המאשימה ל</w:t>
      </w:r>
      <w:hyperlink r:id="rId24" w:history="1">
        <w:r w:rsidR="00351F0A" w:rsidRPr="00351F0A">
          <w:rPr>
            <w:rFonts w:ascii="David" w:hAnsi="David"/>
            <w:color w:val="0000FF"/>
            <w:u w:val="single"/>
            <w:rtl/>
            <w:lang w:eastAsia="he-IL"/>
          </w:rPr>
          <w:t>ע"פ 7069/06</w:t>
        </w:r>
      </w:hyperlink>
      <w:r w:rsidRPr="004B1F31">
        <w:rPr>
          <w:rFonts w:ascii="David" w:hAnsi="David"/>
          <w:rtl/>
          <w:lang w:eastAsia="he-IL"/>
        </w:rPr>
        <w:t xml:space="preserve">, בו הושתו הוצאות על נאשם בשל חקירת עד שלא לצורך. ערעור שהוגש נדחה. </w:t>
      </w:r>
    </w:p>
    <w:p w14:paraId="4A4201CC" w14:textId="77777777" w:rsidR="0007376E" w:rsidRPr="004B1F31" w:rsidRDefault="0007376E" w:rsidP="0007376E">
      <w:pPr>
        <w:snapToGrid w:val="0"/>
        <w:spacing w:after="80" w:line="360" w:lineRule="auto"/>
        <w:ind w:left="360"/>
        <w:contextualSpacing/>
        <w:jc w:val="both"/>
        <w:rPr>
          <w:lang w:eastAsia="he-IL"/>
        </w:rPr>
      </w:pPr>
      <w:r w:rsidRPr="004B1F31">
        <w:rPr>
          <w:rtl/>
          <w:lang w:eastAsia="he-IL"/>
        </w:rPr>
        <w:t xml:space="preserve">לעניין זה טען ב"כ המאשימה כי מדובר בהחלטה מערכתית וכי המדינה התריעה במהלך ניהול ההוכחות כי המדינה תעתור להוצאות נוכח זימון העדה המומחית. </w:t>
      </w:r>
    </w:p>
    <w:p w14:paraId="614BC98C" w14:textId="77777777" w:rsidR="0007376E" w:rsidRPr="0007376E" w:rsidRDefault="0007376E" w:rsidP="0007376E">
      <w:pPr>
        <w:tabs>
          <w:tab w:val="left" w:pos="3486"/>
        </w:tabs>
        <w:spacing w:after="80" w:line="360" w:lineRule="auto"/>
        <w:jc w:val="both"/>
        <w:rPr>
          <w:rFonts w:ascii="Calibri" w:hAnsi="Calibri" w:cs="Arial"/>
          <w:szCs w:val="22"/>
          <w:rtl/>
        </w:rPr>
      </w:pPr>
    </w:p>
    <w:p w14:paraId="337FE2EA" w14:textId="77777777" w:rsidR="0007376E" w:rsidRPr="004B1F31" w:rsidRDefault="0007376E" w:rsidP="0007376E">
      <w:pPr>
        <w:numPr>
          <w:ilvl w:val="0"/>
          <w:numId w:val="1"/>
        </w:numPr>
        <w:snapToGrid w:val="0"/>
        <w:spacing w:after="80" w:line="360" w:lineRule="auto"/>
        <w:contextualSpacing/>
        <w:jc w:val="both"/>
        <w:rPr>
          <w:lang w:eastAsia="he-IL"/>
        </w:rPr>
      </w:pPr>
      <w:r w:rsidRPr="004B1F31">
        <w:rPr>
          <w:b/>
          <w:bCs/>
          <w:rtl/>
          <w:lang w:eastAsia="he-IL"/>
        </w:rPr>
        <w:t>ב"כ הנאשם</w:t>
      </w:r>
      <w:r w:rsidRPr="004B1F31">
        <w:rPr>
          <w:rtl/>
          <w:lang w:eastAsia="he-IL"/>
        </w:rPr>
        <w:t xml:space="preserve"> טען כי הנאשם הורשע לאחר ניהול הוכחות בעסקה בה הוא מכר לשכן, לבקשתו, קנביס במחיר של 50 ₪. נטען כי גם הכמות, גם סוג הסם וגם הדרך בה העסקה יצאה לפועל מהווה סוג של אספקה. נטען כי לא מדובר בתיק סוכן, לא מדובר באמצעים מתוחכמים, אלא במה שלשיטת הנאשם נקרא "אחוות משתמשים". נטען, כי הכמות אותה החזיק אינה כמות גדולה. </w:t>
      </w:r>
    </w:p>
    <w:p w14:paraId="4C3109CB" w14:textId="77777777" w:rsidR="0007376E" w:rsidRPr="004B1F31" w:rsidRDefault="0007376E" w:rsidP="0007376E">
      <w:pPr>
        <w:snapToGrid w:val="0"/>
        <w:spacing w:after="80" w:line="360" w:lineRule="auto"/>
        <w:ind w:left="360"/>
        <w:contextualSpacing/>
        <w:jc w:val="both"/>
        <w:rPr>
          <w:rtl/>
          <w:lang w:eastAsia="he-IL"/>
        </w:rPr>
      </w:pPr>
      <w:r w:rsidRPr="004B1F31">
        <w:rPr>
          <w:rtl/>
          <w:lang w:eastAsia="he-IL"/>
        </w:rPr>
        <w:t xml:space="preserve">נטען, כי התיק בגינו קיים מאסר מותנה כנגד הנאשם, הוא תיק חמור יותר, שכן שם מדובר בסמים קשים והמאסר המותנה שהוטל עליו חמור בהתאם. </w:t>
      </w:r>
    </w:p>
    <w:p w14:paraId="105181F9" w14:textId="77777777" w:rsidR="0007376E" w:rsidRPr="004B1F31" w:rsidRDefault="0007376E" w:rsidP="0007376E">
      <w:pPr>
        <w:snapToGrid w:val="0"/>
        <w:spacing w:after="80" w:line="360" w:lineRule="auto"/>
        <w:ind w:left="360"/>
        <w:contextualSpacing/>
        <w:jc w:val="both"/>
        <w:rPr>
          <w:lang w:eastAsia="he-IL"/>
        </w:rPr>
      </w:pPr>
      <w:r w:rsidRPr="004B1F31">
        <w:rPr>
          <w:rtl/>
          <w:lang w:eastAsia="he-IL"/>
        </w:rPr>
        <w:t xml:space="preserve">כן הפנה לפסיקה רלוונטית לפיה המתחמים הם בין 6-12 חודשי מאסר בגין עסקת סחר אחת. </w:t>
      </w:r>
    </w:p>
    <w:p w14:paraId="21F3DD0A" w14:textId="77777777" w:rsidR="0007376E" w:rsidRPr="004B1F31" w:rsidRDefault="0007376E" w:rsidP="0007376E">
      <w:pPr>
        <w:snapToGrid w:val="0"/>
        <w:spacing w:after="80" w:line="360" w:lineRule="auto"/>
        <w:ind w:left="360"/>
        <w:contextualSpacing/>
        <w:jc w:val="both"/>
        <w:rPr>
          <w:b/>
          <w:bCs/>
          <w:rtl/>
          <w:lang w:eastAsia="he-IL"/>
        </w:rPr>
      </w:pPr>
    </w:p>
    <w:p w14:paraId="23738939" w14:textId="77777777" w:rsidR="0007376E" w:rsidRPr="004B1F31" w:rsidRDefault="0007376E" w:rsidP="0007376E">
      <w:pPr>
        <w:snapToGrid w:val="0"/>
        <w:spacing w:after="80" w:line="360" w:lineRule="auto"/>
        <w:ind w:left="360"/>
        <w:contextualSpacing/>
        <w:jc w:val="both"/>
        <w:rPr>
          <w:rtl/>
          <w:lang w:eastAsia="he-IL"/>
        </w:rPr>
      </w:pPr>
      <w:r w:rsidRPr="004B1F31">
        <w:rPr>
          <w:rtl/>
          <w:lang w:eastAsia="he-IL"/>
        </w:rPr>
        <w:t xml:space="preserve">ב"כ הנאשם עתר למתחם של מספר חודשים שיכול וירוצה בעבודת שירות ועד ל-18 חודשי מאסר בפועל וזאת לגבי שתי העבירות בהן הורשע. </w:t>
      </w:r>
    </w:p>
    <w:p w14:paraId="22641937" w14:textId="77777777" w:rsidR="0007376E" w:rsidRPr="004B1F31" w:rsidRDefault="0007376E" w:rsidP="0007376E">
      <w:pPr>
        <w:snapToGrid w:val="0"/>
        <w:spacing w:after="80" w:line="360" w:lineRule="auto"/>
        <w:ind w:left="360"/>
        <w:contextualSpacing/>
        <w:jc w:val="both"/>
        <w:rPr>
          <w:rtl/>
          <w:lang w:eastAsia="he-IL"/>
        </w:rPr>
      </w:pPr>
    </w:p>
    <w:p w14:paraId="75280DB9" w14:textId="77777777" w:rsidR="0007376E" w:rsidRPr="004B1F31" w:rsidRDefault="0007376E" w:rsidP="0007376E">
      <w:pPr>
        <w:snapToGrid w:val="0"/>
        <w:spacing w:after="80" w:line="360" w:lineRule="auto"/>
        <w:ind w:left="360"/>
        <w:contextualSpacing/>
        <w:jc w:val="both"/>
        <w:rPr>
          <w:rtl/>
          <w:lang w:eastAsia="he-IL"/>
        </w:rPr>
      </w:pPr>
      <w:r w:rsidRPr="004B1F31">
        <w:rPr>
          <w:rtl/>
          <w:lang w:eastAsia="he-IL"/>
        </w:rPr>
        <w:t xml:space="preserve">נטען, כי מדובר בנאשם מבוגר, אשר חצה את גיל ה-60, נטען כי אמנם עברו הפלילי מכביד, אך נסיבות חייו אינן פשוטות. נטען כי הנאשם החל להסתבך עם עולם הפלילים מאז שהיה בן 13 וכי אף יד לא הייתה מושטת לעברו לשם טיפול, וכי אם היום היה נמצא באותו מצב, סביר להניח שהיה מטופל ולא היה ממשיך להסתבך בפליליים. נטען כי הנאשם היה מובטל כל חייו, בן למשפחה קשת יום וכי אביו היה מכה אותו ואת אחיו ואחיותיו. </w:t>
      </w:r>
    </w:p>
    <w:p w14:paraId="1CA35BA2" w14:textId="77777777" w:rsidR="0007376E" w:rsidRPr="004B1F31" w:rsidRDefault="0007376E" w:rsidP="0007376E">
      <w:pPr>
        <w:snapToGrid w:val="0"/>
        <w:spacing w:after="80" w:line="360" w:lineRule="auto"/>
        <w:ind w:left="360"/>
        <w:contextualSpacing/>
        <w:jc w:val="both"/>
        <w:rPr>
          <w:rtl/>
          <w:lang w:eastAsia="he-IL"/>
        </w:rPr>
      </w:pPr>
    </w:p>
    <w:p w14:paraId="41FF1F35" w14:textId="77777777" w:rsidR="0007376E" w:rsidRPr="004B1F31" w:rsidRDefault="0007376E" w:rsidP="0007376E">
      <w:pPr>
        <w:snapToGrid w:val="0"/>
        <w:spacing w:after="80" w:line="360" w:lineRule="auto"/>
        <w:ind w:left="360"/>
        <w:contextualSpacing/>
        <w:jc w:val="both"/>
        <w:rPr>
          <w:rtl/>
          <w:lang w:eastAsia="he-IL"/>
        </w:rPr>
      </w:pPr>
      <w:r w:rsidRPr="004B1F31">
        <w:rPr>
          <w:rtl/>
          <w:lang w:eastAsia="he-IL"/>
        </w:rPr>
        <w:t xml:space="preserve">ב"כ הנאשם ביקש שבית המשפט לא יכביד לבו ויחמיר עם הנאשם בצורה משמעותית, וכי לא יופעל כנגדו התנאי כולו במצטבר. בעניין זה הפנה ב"כ הנאשם </w:t>
      </w:r>
      <w:hyperlink r:id="rId25" w:history="1">
        <w:r w:rsidR="00DF69E1" w:rsidRPr="00DF69E1">
          <w:rPr>
            <w:rStyle w:val="Hyperlink"/>
            <w:rtl/>
            <w:lang w:eastAsia="he-IL"/>
          </w:rPr>
          <w:t>לסעיף 53</w:t>
        </w:r>
      </w:hyperlink>
      <w:r w:rsidRPr="004B1F31">
        <w:rPr>
          <w:rtl/>
          <w:lang w:eastAsia="he-IL"/>
        </w:rPr>
        <w:t xml:space="preserve"> לחוק, לפיו לבית המשפט סמכות להפעיל את התנאי בחופף, כולו או חלקו, וזאת מטעמים שירשמו. נטען כי הפעלת התנאי כולו במצטבר תהיה לא צודקת לאור אורכו ובשים לב לעבירות בהן הורשע, וכי החוק נועד כדי לשרת את הצדק. </w:t>
      </w:r>
    </w:p>
    <w:p w14:paraId="735D076C" w14:textId="77777777" w:rsidR="0007376E" w:rsidRPr="004B1F31" w:rsidRDefault="0007376E" w:rsidP="0007376E">
      <w:pPr>
        <w:snapToGrid w:val="0"/>
        <w:spacing w:after="80" w:line="360" w:lineRule="auto"/>
        <w:ind w:left="360"/>
        <w:contextualSpacing/>
        <w:jc w:val="both"/>
        <w:rPr>
          <w:rtl/>
          <w:lang w:eastAsia="he-IL"/>
        </w:rPr>
      </w:pPr>
      <w:r w:rsidRPr="004B1F31">
        <w:rPr>
          <w:rtl/>
          <w:lang w:eastAsia="he-IL"/>
        </w:rPr>
        <w:t xml:space="preserve">ב"כ הנאשם ביקש להפעיל את התנאי חציו בחופף וחלקו במצטבר ובסך הכל שהענישה לא תעלה על 18 חודשים. </w:t>
      </w:r>
    </w:p>
    <w:p w14:paraId="52F2ABE6" w14:textId="77777777" w:rsidR="0007376E" w:rsidRPr="004B1F31" w:rsidRDefault="0007376E" w:rsidP="0007376E">
      <w:pPr>
        <w:snapToGrid w:val="0"/>
        <w:spacing w:after="80" w:line="360" w:lineRule="auto"/>
        <w:ind w:left="360"/>
        <w:contextualSpacing/>
        <w:jc w:val="both"/>
        <w:rPr>
          <w:rtl/>
          <w:lang w:eastAsia="he-IL"/>
        </w:rPr>
      </w:pPr>
      <w:r w:rsidRPr="004B1F31">
        <w:rPr>
          <w:rtl/>
          <w:lang w:eastAsia="he-IL"/>
        </w:rPr>
        <w:t>כן ציין, כי הנאשם ביצע את העבירה בסוף תקופת התנאי וכי הנסיבות שבפנינו שונות מהנסיבות בתיק בגינו הושת המאסר המותנה.</w:t>
      </w:r>
    </w:p>
    <w:p w14:paraId="42B98586" w14:textId="77777777" w:rsidR="0007376E" w:rsidRPr="004B1F31" w:rsidRDefault="0007376E" w:rsidP="0007376E">
      <w:pPr>
        <w:snapToGrid w:val="0"/>
        <w:spacing w:after="80" w:line="360" w:lineRule="auto"/>
        <w:ind w:left="360"/>
        <w:contextualSpacing/>
        <w:jc w:val="both"/>
        <w:rPr>
          <w:rtl/>
          <w:lang w:eastAsia="he-IL"/>
        </w:rPr>
      </w:pPr>
    </w:p>
    <w:p w14:paraId="62443FE4" w14:textId="77777777" w:rsidR="0007376E" w:rsidRPr="004B1F31" w:rsidRDefault="0007376E" w:rsidP="0007376E">
      <w:pPr>
        <w:snapToGrid w:val="0"/>
        <w:spacing w:after="80" w:line="360" w:lineRule="auto"/>
        <w:ind w:left="360"/>
        <w:contextualSpacing/>
        <w:jc w:val="both"/>
        <w:rPr>
          <w:rtl/>
          <w:lang w:eastAsia="he-IL"/>
        </w:rPr>
      </w:pPr>
      <w:r w:rsidRPr="004B1F31">
        <w:rPr>
          <w:rtl/>
          <w:lang w:eastAsia="he-IL"/>
        </w:rPr>
        <w:t xml:space="preserve">לעניין עתירת ההוצאות, נטען כי התביעה לא פנתה לסנגוריה בבקשה זו טרם הדיון. לגופו של עניין נטען, כי העדה המומחית זומנה כי בית המשפט נדרש להכריע בשאלה האם הנאשם נגע בשקיות הסמים לאור עמדתו של הנאשם כי הסמים הנוספים שבסבך אינם שלו. נטען כי התשובות שסיפקה המומחית שונות מאלו שההגנה שמעה בעבר וכי השאלות שנשאלו היו רלוונטיות לשאלה שבמחלוקת. נטען כי הבקשה להשית הוצאות על ההגנה יש בה כדי להרתיע מההגנה להזמין עדים מומחים. ב"כ הנאשם ביקש להימנע מהשתת הוצאות. </w:t>
      </w:r>
    </w:p>
    <w:p w14:paraId="6F540257" w14:textId="77777777" w:rsidR="0007376E" w:rsidRPr="0007376E" w:rsidRDefault="0007376E" w:rsidP="0007376E">
      <w:pPr>
        <w:spacing w:after="80" w:line="360" w:lineRule="auto"/>
        <w:jc w:val="both"/>
        <w:rPr>
          <w:rFonts w:ascii="Calibri" w:hAnsi="Calibri"/>
          <w:bCs/>
          <w:u w:val="single"/>
          <w:rtl/>
        </w:rPr>
      </w:pPr>
    </w:p>
    <w:p w14:paraId="04EAAEC2" w14:textId="77777777" w:rsidR="0007376E" w:rsidRPr="0007376E" w:rsidRDefault="0007376E" w:rsidP="0007376E">
      <w:pPr>
        <w:spacing w:after="80" w:line="360" w:lineRule="auto"/>
        <w:jc w:val="both"/>
        <w:rPr>
          <w:rFonts w:ascii="Calibri" w:hAnsi="Calibri"/>
          <w:bCs/>
          <w:u w:val="single"/>
          <w:rtl/>
        </w:rPr>
      </w:pPr>
      <w:r w:rsidRPr="0007376E">
        <w:rPr>
          <w:rFonts w:ascii="Calibri" w:hAnsi="Calibri" w:hint="eastAsia"/>
          <w:bCs/>
          <w:u w:val="single"/>
          <w:rtl/>
        </w:rPr>
        <w:t>דיון</w:t>
      </w:r>
      <w:r w:rsidRPr="0007376E">
        <w:rPr>
          <w:rFonts w:ascii="Calibri" w:hAnsi="Calibri"/>
          <w:bCs/>
          <w:u w:val="single"/>
          <w:rtl/>
        </w:rPr>
        <w:t xml:space="preserve"> </w:t>
      </w:r>
      <w:r w:rsidRPr="0007376E">
        <w:rPr>
          <w:rFonts w:ascii="Calibri" w:hAnsi="Calibri" w:hint="eastAsia"/>
          <w:bCs/>
          <w:u w:val="single"/>
          <w:rtl/>
        </w:rPr>
        <w:t>והכרעה</w:t>
      </w:r>
    </w:p>
    <w:p w14:paraId="3A3EF25D" w14:textId="77777777" w:rsidR="0007376E" w:rsidRPr="004B1F31" w:rsidRDefault="0007376E" w:rsidP="0007376E">
      <w:pPr>
        <w:numPr>
          <w:ilvl w:val="0"/>
          <w:numId w:val="1"/>
        </w:numPr>
        <w:snapToGrid w:val="0"/>
        <w:spacing w:before="60" w:after="80" w:line="360" w:lineRule="auto"/>
        <w:contextualSpacing/>
        <w:jc w:val="both"/>
        <w:rPr>
          <w:lang w:eastAsia="he-IL"/>
        </w:rPr>
      </w:pPr>
      <w:r w:rsidRPr="004B1F31">
        <w:rPr>
          <w:rtl/>
          <w:lang w:eastAsia="he-IL"/>
        </w:rPr>
        <w:t>כתב האישום המתוקן בעניינו של הנאשם מונה שני אישומים, בעבירות סמים, החזקת סם שלא לצריכה עצמית ועבירת סחר.</w:t>
      </w:r>
    </w:p>
    <w:p w14:paraId="1BE4A1DE" w14:textId="77777777" w:rsidR="0007376E" w:rsidRPr="004B1F31" w:rsidRDefault="0007376E" w:rsidP="0007376E">
      <w:pPr>
        <w:snapToGrid w:val="0"/>
        <w:spacing w:before="60" w:after="80" w:line="360" w:lineRule="auto"/>
        <w:ind w:left="360"/>
        <w:contextualSpacing/>
        <w:jc w:val="both"/>
        <w:rPr>
          <w:lang w:eastAsia="he-IL"/>
        </w:rPr>
      </w:pPr>
      <w:r w:rsidRPr="004B1F31">
        <w:rPr>
          <w:rtl/>
          <w:lang w:eastAsia="he-IL"/>
        </w:rPr>
        <w:t>שני הצדדים טענו בפניי למתחם עונש כולל אחד בגין כלל המעשים בהם הורשע הנאשם.</w:t>
      </w:r>
    </w:p>
    <w:p w14:paraId="2D229173" w14:textId="77777777" w:rsidR="0007376E" w:rsidRPr="004B1F31" w:rsidRDefault="0007376E" w:rsidP="0007376E">
      <w:pPr>
        <w:snapToGrid w:val="0"/>
        <w:spacing w:after="80" w:line="360" w:lineRule="auto"/>
        <w:ind w:left="360"/>
        <w:contextualSpacing/>
        <w:jc w:val="both"/>
        <w:rPr>
          <w:rtl/>
          <w:lang w:eastAsia="he-IL"/>
        </w:rPr>
      </w:pPr>
    </w:p>
    <w:p w14:paraId="2232AD6A" w14:textId="77777777" w:rsidR="0007376E" w:rsidRPr="0007376E" w:rsidRDefault="0007376E" w:rsidP="0007376E">
      <w:pPr>
        <w:spacing w:after="80" w:line="360" w:lineRule="auto"/>
        <w:jc w:val="both"/>
        <w:rPr>
          <w:rFonts w:ascii="Calibri" w:hAnsi="Calibri"/>
          <w:u w:val="single"/>
        </w:rPr>
      </w:pPr>
      <w:r w:rsidRPr="0007376E">
        <w:rPr>
          <w:rFonts w:ascii="Calibri" w:hAnsi="Calibri" w:hint="eastAsia"/>
          <w:u w:val="single"/>
          <w:rtl/>
        </w:rPr>
        <w:t>קביעת</w:t>
      </w:r>
      <w:r w:rsidRPr="0007376E">
        <w:rPr>
          <w:rFonts w:ascii="Calibri" w:hAnsi="Calibri"/>
          <w:u w:val="single"/>
          <w:rtl/>
        </w:rPr>
        <w:t xml:space="preserve"> </w:t>
      </w:r>
      <w:r w:rsidRPr="0007376E">
        <w:rPr>
          <w:rFonts w:ascii="Calibri" w:hAnsi="Calibri" w:hint="eastAsia"/>
          <w:u w:val="single"/>
          <w:rtl/>
        </w:rPr>
        <w:t>מתחם</w:t>
      </w:r>
      <w:r w:rsidRPr="0007376E">
        <w:rPr>
          <w:rFonts w:ascii="Calibri" w:hAnsi="Calibri"/>
          <w:u w:val="single"/>
          <w:rtl/>
        </w:rPr>
        <w:t xml:space="preserve"> </w:t>
      </w:r>
      <w:r w:rsidRPr="0007376E">
        <w:rPr>
          <w:rFonts w:ascii="Calibri" w:hAnsi="Calibri" w:hint="eastAsia"/>
          <w:u w:val="single"/>
          <w:rtl/>
        </w:rPr>
        <w:t>העונש</w:t>
      </w:r>
      <w:r w:rsidRPr="0007376E">
        <w:rPr>
          <w:rFonts w:ascii="Calibri" w:hAnsi="Calibri"/>
          <w:u w:val="single"/>
          <w:rtl/>
        </w:rPr>
        <w:t xml:space="preserve"> </w:t>
      </w:r>
      <w:r w:rsidRPr="0007376E">
        <w:rPr>
          <w:rFonts w:ascii="Calibri" w:hAnsi="Calibri" w:hint="eastAsia"/>
          <w:u w:val="single"/>
          <w:rtl/>
        </w:rPr>
        <w:t>ההולם</w:t>
      </w:r>
      <w:r w:rsidRPr="0007376E">
        <w:rPr>
          <w:rFonts w:ascii="Calibri" w:hAnsi="Calibri"/>
          <w:u w:val="single"/>
          <w:rtl/>
        </w:rPr>
        <w:t>:</w:t>
      </w:r>
    </w:p>
    <w:p w14:paraId="0D337DAC" w14:textId="77777777" w:rsidR="0007376E" w:rsidRPr="004B1F31" w:rsidRDefault="0007376E" w:rsidP="0007376E">
      <w:pPr>
        <w:numPr>
          <w:ilvl w:val="0"/>
          <w:numId w:val="1"/>
        </w:numPr>
        <w:snapToGrid w:val="0"/>
        <w:spacing w:after="80" w:line="360" w:lineRule="auto"/>
        <w:contextualSpacing/>
        <w:jc w:val="both"/>
        <w:rPr>
          <w:lang w:eastAsia="he-IL"/>
        </w:rPr>
      </w:pPr>
      <w:r w:rsidRPr="004B1F31">
        <w:rPr>
          <w:rtl/>
          <w:lang w:eastAsia="he-IL"/>
        </w:rPr>
        <w:t>מתחם העונש ההולם למעשה העבירה נקבע בהתאם לעיקרון ההלימה ולפיו נדרש יחס הולם בין חומרת מעשה העבירה בנסיבותיו ומידת האשם של הנאשם, לבין סוג ומידת העונש המוטל עליה. ביישום עיקרון ההלימה וקביעת מתחם העונש במקרה קונקרטי, בית המשפט יתחשב בשלושת אלה: הערך החברתי שנפגע ומידת הפגיעה בו; מדיניות הענישה הנוהגת; נסיבות הקשורות בביצוע העבירה.</w:t>
      </w:r>
    </w:p>
    <w:p w14:paraId="0B68F1E0" w14:textId="77777777" w:rsidR="0007376E" w:rsidRPr="004B1F31" w:rsidRDefault="0007376E" w:rsidP="0007376E">
      <w:pPr>
        <w:snapToGrid w:val="0"/>
        <w:spacing w:after="80" w:line="360" w:lineRule="auto"/>
        <w:ind w:left="360"/>
        <w:contextualSpacing/>
        <w:jc w:val="both"/>
        <w:rPr>
          <w:rtl/>
          <w:lang w:eastAsia="he-IL"/>
        </w:rPr>
      </w:pPr>
    </w:p>
    <w:p w14:paraId="5413CF4D" w14:textId="77777777" w:rsidR="0007376E" w:rsidRPr="004B1F31" w:rsidRDefault="0007376E" w:rsidP="0007376E">
      <w:pPr>
        <w:numPr>
          <w:ilvl w:val="0"/>
          <w:numId w:val="1"/>
        </w:numPr>
        <w:snapToGrid w:val="0"/>
        <w:spacing w:after="200" w:line="360" w:lineRule="auto"/>
        <w:contextualSpacing/>
        <w:jc w:val="both"/>
        <w:rPr>
          <w:rFonts w:ascii="David" w:hAnsi="David"/>
          <w:lang w:eastAsia="he-IL"/>
        </w:rPr>
      </w:pPr>
      <w:r w:rsidRPr="004B1F31">
        <w:rPr>
          <w:rFonts w:ascii="David" w:hAnsi="David"/>
          <w:rtl/>
          <w:lang w:eastAsia="he-IL"/>
        </w:rPr>
        <w:t xml:space="preserve">הערכים המוגנים בעבירות סמים הם הגנה על בריאות הציבור ועל שלומו הפיזי והנפשי מפני הנזקים הישירים והעקיפים הנגרמים עקב השימוש בסמים. בעבירות החזקת הסמים לצרכי הפצה, וסחר בסמים, טמון פוטנציאל לנזק רחב לציבור, לא רק למעורבים הישירים בביצוע העבירות אלא לחברה כולה - צרכן הסמים, משפחתו, והנפגעים העקיפים מהפעילות העבריינית שנלווית פעמים רבות לעבירות הסמים. אף ידוע הקשר שבין שימוש בסמים ובין קשת רחבה של עבירות נלוות ל"תעשיית" ההפצה וכן לשימוש בסמים. </w:t>
      </w:r>
    </w:p>
    <w:p w14:paraId="1704AE44" w14:textId="77777777" w:rsidR="0007376E" w:rsidRPr="004B1F31" w:rsidRDefault="0007376E" w:rsidP="0007376E">
      <w:pPr>
        <w:spacing w:after="200" w:line="360" w:lineRule="auto"/>
        <w:ind w:firstLine="360"/>
        <w:jc w:val="both"/>
        <w:rPr>
          <w:rFonts w:ascii="FrankRuehl" w:hAnsi="FrankRuehl"/>
          <w:rtl/>
        </w:rPr>
      </w:pPr>
      <w:r w:rsidRPr="004B1F31">
        <w:rPr>
          <w:rFonts w:ascii="David" w:hAnsi="David"/>
          <w:rtl/>
        </w:rPr>
        <w:t xml:space="preserve">ראו, למשל, </w:t>
      </w:r>
      <w:hyperlink r:id="rId26" w:history="1">
        <w:r w:rsidR="00351F0A" w:rsidRPr="00351F0A">
          <w:rPr>
            <w:rFonts w:ascii="David" w:hAnsi="David"/>
            <w:color w:val="0000FF"/>
            <w:u w:val="single"/>
            <w:rtl/>
          </w:rPr>
          <w:t>ע"פ 972/11</w:t>
        </w:r>
      </w:hyperlink>
      <w:r w:rsidRPr="004B1F31">
        <w:rPr>
          <w:rFonts w:ascii="David" w:hAnsi="David"/>
          <w:rtl/>
        </w:rPr>
        <w:t xml:space="preserve"> </w:t>
      </w:r>
      <w:r w:rsidRPr="004B1F31">
        <w:rPr>
          <w:rFonts w:ascii="David" w:hAnsi="David"/>
          <w:b/>
          <w:bCs/>
          <w:rtl/>
        </w:rPr>
        <w:t xml:space="preserve">מדינת ישראל נגד יניב יונה </w:t>
      </w:r>
      <w:r w:rsidRPr="004B1F31">
        <w:rPr>
          <w:rFonts w:ascii="David" w:hAnsi="David"/>
          <w:rtl/>
        </w:rPr>
        <w:t>[פורסם במאגרים] (4.7.12):</w:t>
      </w:r>
    </w:p>
    <w:p w14:paraId="299E32C2" w14:textId="77777777" w:rsidR="0007376E" w:rsidRPr="004B1F31" w:rsidRDefault="0007376E" w:rsidP="0007376E">
      <w:pPr>
        <w:ind w:left="1440" w:right="851"/>
        <w:jc w:val="both"/>
        <w:rPr>
          <w:rFonts w:ascii="FrankRuehl" w:hAnsi="FrankRuehl"/>
          <w:b/>
          <w:bCs/>
          <w:rtl/>
        </w:rPr>
      </w:pPr>
      <w:r w:rsidRPr="004B1F31">
        <w:rPr>
          <w:rFonts w:ascii="FrankRuehl" w:hAnsi="FrankRuehl"/>
          <w:b/>
          <w:bCs/>
          <w:rtl/>
        </w:rPr>
        <w:t>"</w:t>
      </w:r>
      <w:r w:rsidRPr="004B1F31">
        <w:rPr>
          <w:rFonts w:ascii="FrankRuehl" w:hAnsi="FrankRuehl" w:hint="eastAsia"/>
          <w:b/>
          <w:bCs/>
          <w:rtl/>
        </w:rPr>
        <w:t>את</w:t>
      </w:r>
      <w:r w:rsidRPr="004B1F31">
        <w:rPr>
          <w:rFonts w:ascii="FrankRuehl" w:hAnsi="FrankRuehl"/>
          <w:b/>
          <w:bCs/>
          <w:rtl/>
        </w:rPr>
        <w:t xml:space="preserve"> </w:t>
      </w:r>
      <w:r w:rsidRPr="004B1F31">
        <w:rPr>
          <w:rFonts w:ascii="FrankRuehl" w:hAnsi="FrankRuehl" w:hint="eastAsia"/>
          <w:b/>
          <w:bCs/>
          <w:rtl/>
        </w:rPr>
        <w:t>נגע</w:t>
      </w:r>
      <w:r w:rsidRPr="004B1F31">
        <w:rPr>
          <w:rFonts w:ascii="FrankRuehl" w:hAnsi="FrankRuehl"/>
          <w:b/>
          <w:bCs/>
          <w:rtl/>
        </w:rPr>
        <w:t xml:space="preserve"> </w:t>
      </w:r>
      <w:r w:rsidRPr="004B1F31">
        <w:rPr>
          <w:rFonts w:ascii="FrankRuehl" w:hAnsi="FrankRuehl" w:hint="eastAsia"/>
          <w:b/>
          <w:bCs/>
          <w:rtl/>
        </w:rPr>
        <w:t>הסמים</w:t>
      </w:r>
      <w:r w:rsidRPr="004B1F31">
        <w:rPr>
          <w:rFonts w:ascii="FrankRuehl" w:hAnsi="FrankRuehl"/>
          <w:b/>
          <w:bCs/>
          <w:rtl/>
        </w:rPr>
        <w:t xml:space="preserve"> </w:t>
      </w:r>
      <w:r w:rsidRPr="004B1F31">
        <w:rPr>
          <w:rFonts w:ascii="FrankRuehl" w:hAnsi="FrankRuehl" w:hint="eastAsia"/>
          <w:b/>
          <w:bCs/>
          <w:rtl/>
        </w:rPr>
        <w:t>יש</w:t>
      </w:r>
      <w:r w:rsidRPr="004B1F31">
        <w:rPr>
          <w:rFonts w:ascii="FrankRuehl" w:hAnsi="FrankRuehl"/>
          <w:b/>
          <w:bCs/>
          <w:rtl/>
        </w:rPr>
        <w:t xml:space="preserve"> </w:t>
      </w:r>
      <w:r w:rsidRPr="004B1F31">
        <w:rPr>
          <w:rFonts w:ascii="FrankRuehl" w:hAnsi="FrankRuehl" w:hint="eastAsia"/>
          <w:b/>
          <w:bCs/>
          <w:rtl/>
        </w:rPr>
        <w:t>לעקור</w:t>
      </w:r>
      <w:r w:rsidRPr="004B1F31">
        <w:rPr>
          <w:rFonts w:ascii="FrankRuehl" w:hAnsi="FrankRuehl"/>
          <w:b/>
          <w:bCs/>
          <w:rtl/>
        </w:rPr>
        <w:t xml:space="preserve"> </w:t>
      </w:r>
      <w:r w:rsidRPr="004B1F31">
        <w:rPr>
          <w:rFonts w:ascii="FrankRuehl" w:hAnsi="FrankRuehl" w:hint="eastAsia"/>
          <w:b/>
          <w:bCs/>
          <w:rtl/>
        </w:rPr>
        <w:t>מן</w:t>
      </w:r>
      <w:r w:rsidRPr="004B1F31">
        <w:rPr>
          <w:rFonts w:ascii="FrankRuehl" w:hAnsi="FrankRuehl"/>
          <w:b/>
          <w:bCs/>
          <w:rtl/>
        </w:rPr>
        <w:t xml:space="preserve"> </w:t>
      </w:r>
      <w:r w:rsidRPr="004B1F31">
        <w:rPr>
          <w:rFonts w:ascii="FrankRuehl" w:hAnsi="FrankRuehl" w:hint="eastAsia"/>
          <w:b/>
          <w:bCs/>
          <w:rtl/>
        </w:rPr>
        <w:t>השורש</w:t>
      </w:r>
      <w:r w:rsidRPr="004B1F31">
        <w:rPr>
          <w:rFonts w:ascii="FrankRuehl" w:hAnsi="FrankRuehl"/>
          <w:b/>
          <w:bCs/>
          <w:rtl/>
        </w:rPr>
        <w:t xml:space="preserve">. </w:t>
      </w:r>
      <w:r w:rsidRPr="004B1F31">
        <w:rPr>
          <w:rFonts w:ascii="FrankRuehl" w:hAnsi="FrankRuehl" w:hint="eastAsia"/>
          <w:b/>
          <w:bCs/>
          <w:rtl/>
        </w:rPr>
        <w:t>ייצור</w:t>
      </w:r>
      <w:r w:rsidRPr="004B1F31">
        <w:rPr>
          <w:rFonts w:ascii="FrankRuehl" w:hAnsi="FrankRuehl"/>
          <w:b/>
          <w:bCs/>
          <w:rtl/>
        </w:rPr>
        <w:t xml:space="preserve">, </w:t>
      </w:r>
      <w:r w:rsidRPr="004B1F31">
        <w:rPr>
          <w:rFonts w:ascii="FrankRuehl" w:hAnsi="FrankRuehl" w:hint="eastAsia"/>
          <w:b/>
          <w:bCs/>
          <w:rtl/>
        </w:rPr>
        <w:t>הפצה</w:t>
      </w:r>
      <w:r w:rsidRPr="004B1F31">
        <w:rPr>
          <w:rFonts w:ascii="FrankRuehl" w:hAnsi="FrankRuehl"/>
          <w:b/>
          <w:bCs/>
          <w:rtl/>
        </w:rPr>
        <w:t xml:space="preserve">, </w:t>
      </w:r>
      <w:r w:rsidRPr="004B1F31">
        <w:rPr>
          <w:rFonts w:ascii="FrankRuehl" w:hAnsi="FrankRuehl" w:hint="eastAsia"/>
          <w:b/>
          <w:bCs/>
          <w:rtl/>
        </w:rPr>
        <w:t>סחר</w:t>
      </w:r>
      <w:r w:rsidRPr="004B1F31">
        <w:rPr>
          <w:rFonts w:ascii="FrankRuehl" w:hAnsi="FrankRuehl"/>
          <w:b/>
          <w:bCs/>
          <w:rtl/>
        </w:rPr>
        <w:t xml:space="preserve"> </w:t>
      </w:r>
      <w:r w:rsidRPr="004B1F31">
        <w:rPr>
          <w:rFonts w:ascii="FrankRuehl" w:hAnsi="FrankRuehl" w:hint="eastAsia"/>
          <w:b/>
          <w:bCs/>
          <w:rtl/>
        </w:rPr>
        <w:t>וכמובן</w:t>
      </w:r>
      <w:r w:rsidRPr="004B1F31">
        <w:rPr>
          <w:rFonts w:ascii="FrankRuehl" w:hAnsi="FrankRuehl"/>
          <w:b/>
          <w:bCs/>
          <w:rtl/>
        </w:rPr>
        <w:t xml:space="preserve"> </w:t>
      </w:r>
      <w:r w:rsidRPr="004B1F31">
        <w:rPr>
          <w:rFonts w:ascii="FrankRuehl" w:hAnsi="FrankRuehl" w:hint="eastAsia"/>
          <w:b/>
          <w:bCs/>
          <w:rtl/>
        </w:rPr>
        <w:t>גם</w:t>
      </w:r>
      <w:r w:rsidRPr="004B1F31">
        <w:rPr>
          <w:rFonts w:ascii="FrankRuehl" w:hAnsi="FrankRuehl"/>
          <w:b/>
          <w:bCs/>
          <w:rtl/>
        </w:rPr>
        <w:t xml:space="preserve"> </w:t>
      </w:r>
      <w:r w:rsidRPr="004B1F31">
        <w:rPr>
          <w:rFonts w:ascii="FrankRuehl" w:hAnsi="FrankRuehl" w:hint="eastAsia"/>
          <w:b/>
          <w:bCs/>
          <w:rtl/>
        </w:rPr>
        <w:t>שימוש</w:t>
      </w:r>
      <w:r w:rsidRPr="004B1F31">
        <w:rPr>
          <w:rFonts w:ascii="FrankRuehl" w:hAnsi="FrankRuehl"/>
          <w:b/>
          <w:bCs/>
          <w:rtl/>
        </w:rPr>
        <w:t xml:space="preserve"> </w:t>
      </w:r>
      <w:r w:rsidRPr="004B1F31">
        <w:rPr>
          <w:rFonts w:ascii="FrankRuehl" w:hAnsi="FrankRuehl" w:hint="eastAsia"/>
          <w:b/>
          <w:bCs/>
          <w:rtl/>
        </w:rPr>
        <w:t>בסמים</w:t>
      </w:r>
      <w:r w:rsidRPr="004B1F31">
        <w:rPr>
          <w:rFonts w:ascii="FrankRuehl" w:hAnsi="FrankRuehl"/>
          <w:b/>
          <w:bCs/>
          <w:rtl/>
        </w:rPr>
        <w:t xml:space="preserve"> - </w:t>
      </w:r>
      <w:r w:rsidRPr="004B1F31">
        <w:rPr>
          <w:rFonts w:ascii="FrankRuehl" w:hAnsi="FrankRuehl" w:hint="eastAsia"/>
          <w:b/>
          <w:bCs/>
          <w:rtl/>
        </w:rPr>
        <w:t>כל</w:t>
      </w:r>
      <w:r w:rsidRPr="004B1F31">
        <w:rPr>
          <w:rFonts w:ascii="FrankRuehl" w:hAnsi="FrankRuehl"/>
          <w:b/>
          <w:bCs/>
          <w:rtl/>
        </w:rPr>
        <w:t xml:space="preserve"> </w:t>
      </w:r>
      <w:r w:rsidRPr="004B1F31">
        <w:rPr>
          <w:rFonts w:ascii="FrankRuehl" w:hAnsi="FrankRuehl" w:hint="eastAsia"/>
          <w:b/>
          <w:bCs/>
          <w:rtl/>
        </w:rPr>
        <w:t>אלו</w:t>
      </w:r>
      <w:r w:rsidRPr="004B1F31">
        <w:rPr>
          <w:rFonts w:ascii="FrankRuehl" w:hAnsi="FrankRuehl"/>
          <w:b/>
          <w:bCs/>
          <w:rtl/>
        </w:rPr>
        <w:t xml:space="preserve"> </w:t>
      </w:r>
      <w:r w:rsidRPr="004B1F31">
        <w:rPr>
          <w:rFonts w:ascii="FrankRuehl" w:hAnsi="FrankRuehl" w:hint="eastAsia"/>
          <w:b/>
          <w:bCs/>
          <w:rtl/>
        </w:rPr>
        <w:t>מסבים</w:t>
      </w:r>
      <w:r w:rsidRPr="004B1F31">
        <w:rPr>
          <w:rFonts w:ascii="FrankRuehl" w:hAnsi="FrankRuehl"/>
          <w:b/>
          <w:bCs/>
          <w:rtl/>
        </w:rPr>
        <w:t xml:space="preserve"> </w:t>
      </w:r>
      <w:r w:rsidRPr="004B1F31">
        <w:rPr>
          <w:rFonts w:ascii="FrankRuehl" w:hAnsi="FrankRuehl" w:hint="eastAsia"/>
          <w:b/>
          <w:bCs/>
          <w:rtl/>
        </w:rPr>
        <w:t>נזק</w:t>
      </w:r>
      <w:r w:rsidRPr="004B1F31">
        <w:rPr>
          <w:rFonts w:ascii="FrankRuehl" w:hAnsi="FrankRuehl"/>
          <w:b/>
          <w:bCs/>
          <w:rtl/>
        </w:rPr>
        <w:t xml:space="preserve"> </w:t>
      </w:r>
      <w:r w:rsidRPr="004B1F31">
        <w:rPr>
          <w:rFonts w:ascii="FrankRuehl" w:hAnsi="FrankRuehl" w:hint="eastAsia"/>
          <w:b/>
          <w:bCs/>
          <w:rtl/>
        </w:rPr>
        <w:t>עצום</w:t>
      </w:r>
      <w:r w:rsidRPr="004B1F31">
        <w:rPr>
          <w:rFonts w:ascii="FrankRuehl" w:hAnsi="FrankRuehl"/>
          <w:b/>
          <w:bCs/>
          <w:rtl/>
        </w:rPr>
        <w:t xml:space="preserve">. </w:t>
      </w:r>
      <w:r w:rsidRPr="004B1F31">
        <w:rPr>
          <w:rFonts w:ascii="FrankRuehl" w:hAnsi="FrankRuehl" w:hint="eastAsia"/>
          <w:b/>
          <w:bCs/>
          <w:rtl/>
        </w:rPr>
        <w:t>הנזק</w:t>
      </w:r>
      <w:r w:rsidRPr="004B1F31">
        <w:rPr>
          <w:rFonts w:ascii="FrankRuehl" w:hAnsi="FrankRuehl"/>
          <w:b/>
          <w:bCs/>
          <w:rtl/>
        </w:rPr>
        <w:t xml:space="preserve"> </w:t>
      </w:r>
      <w:r w:rsidRPr="004B1F31">
        <w:rPr>
          <w:rFonts w:ascii="FrankRuehl" w:hAnsi="FrankRuehl" w:hint="eastAsia"/>
          <w:b/>
          <w:bCs/>
          <w:rtl/>
        </w:rPr>
        <w:t>נגרם</w:t>
      </w:r>
      <w:r w:rsidRPr="004B1F31">
        <w:rPr>
          <w:rFonts w:ascii="FrankRuehl" w:hAnsi="FrankRuehl"/>
          <w:b/>
          <w:bCs/>
          <w:rtl/>
        </w:rPr>
        <w:t xml:space="preserve"> </w:t>
      </w:r>
      <w:r w:rsidRPr="004B1F31">
        <w:rPr>
          <w:rFonts w:ascii="FrankRuehl" w:hAnsi="FrankRuehl" w:hint="eastAsia"/>
          <w:b/>
          <w:bCs/>
          <w:rtl/>
        </w:rPr>
        <w:t>לא</w:t>
      </w:r>
      <w:r w:rsidRPr="004B1F31">
        <w:rPr>
          <w:rFonts w:ascii="FrankRuehl" w:hAnsi="FrankRuehl"/>
          <w:b/>
          <w:bCs/>
          <w:rtl/>
        </w:rPr>
        <w:t xml:space="preserve"> </w:t>
      </w:r>
      <w:r w:rsidRPr="004B1F31">
        <w:rPr>
          <w:rFonts w:ascii="FrankRuehl" w:hAnsi="FrankRuehl" w:hint="eastAsia"/>
          <w:b/>
          <w:bCs/>
          <w:rtl/>
        </w:rPr>
        <w:t>רק</w:t>
      </w:r>
      <w:r w:rsidRPr="004B1F31">
        <w:rPr>
          <w:rFonts w:ascii="FrankRuehl" w:hAnsi="FrankRuehl"/>
          <w:b/>
          <w:bCs/>
          <w:rtl/>
        </w:rPr>
        <w:t xml:space="preserve"> </w:t>
      </w:r>
      <w:r w:rsidRPr="004B1F31">
        <w:rPr>
          <w:rFonts w:ascii="FrankRuehl" w:hAnsi="FrankRuehl" w:hint="eastAsia"/>
          <w:b/>
          <w:bCs/>
          <w:rtl/>
        </w:rPr>
        <w:t>למעגל</w:t>
      </w:r>
      <w:r w:rsidRPr="004B1F31">
        <w:rPr>
          <w:rFonts w:ascii="FrankRuehl" w:hAnsi="FrankRuehl"/>
          <w:b/>
          <w:bCs/>
          <w:rtl/>
        </w:rPr>
        <w:t xml:space="preserve"> </w:t>
      </w:r>
      <w:r w:rsidRPr="004B1F31">
        <w:rPr>
          <w:rFonts w:ascii="FrankRuehl" w:hAnsi="FrankRuehl" w:hint="eastAsia"/>
          <w:b/>
          <w:bCs/>
          <w:rtl/>
        </w:rPr>
        <w:t>הסגור</w:t>
      </w:r>
      <w:r w:rsidRPr="004B1F31">
        <w:rPr>
          <w:rFonts w:ascii="FrankRuehl" w:hAnsi="FrankRuehl"/>
          <w:b/>
          <w:bCs/>
          <w:rtl/>
        </w:rPr>
        <w:t xml:space="preserve"> </w:t>
      </w:r>
      <w:r w:rsidRPr="004B1F31">
        <w:rPr>
          <w:rFonts w:ascii="FrankRuehl" w:hAnsi="FrankRuehl" w:hint="eastAsia"/>
          <w:b/>
          <w:bCs/>
          <w:rtl/>
        </w:rPr>
        <w:t>של</w:t>
      </w:r>
      <w:r w:rsidRPr="004B1F31">
        <w:rPr>
          <w:rFonts w:ascii="FrankRuehl" w:hAnsi="FrankRuehl"/>
          <w:b/>
          <w:bCs/>
          <w:rtl/>
        </w:rPr>
        <w:t xml:space="preserve"> </w:t>
      </w:r>
      <w:r w:rsidRPr="004B1F31">
        <w:rPr>
          <w:rFonts w:ascii="FrankRuehl" w:hAnsi="FrankRuehl" w:hint="eastAsia"/>
          <w:b/>
          <w:bCs/>
          <w:rtl/>
        </w:rPr>
        <w:t>המעורבים</w:t>
      </w:r>
      <w:r w:rsidRPr="004B1F31">
        <w:rPr>
          <w:rFonts w:ascii="FrankRuehl" w:hAnsi="FrankRuehl"/>
          <w:b/>
          <w:bCs/>
          <w:rtl/>
        </w:rPr>
        <w:t xml:space="preserve"> </w:t>
      </w:r>
      <w:r w:rsidRPr="004B1F31">
        <w:rPr>
          <w:rFonts w:ascii="FrankRuehl" w:hAnsi="FrankRuehl" w:hint="eastAsia"/>
          <w:b/>
          <w:bCs/>
          <w:rtl/>
        </w:rPr>
        <w:t>הישירים</w:t>
      </w:r>
      <w:r w:rsidRPr="004B1F31">
        <w:rPr>
          <w:rFonts w:ascii="FrankRuehl" w:hAnsi="FrankRuehl"/>
          <w:b/>
          <w:bCs/>
          <w:rtl/>
        </w:rPr>
        <w:t xml:space="preserve"> </w:t>
      </w:r>
      <w:r w:rsidRPr="004B1F31">
        <w:rPr>
          <w:rFonts w:ascii="FrankRuehl" w:hAnsi="FrankRuehl" w:hint="eastAsia"/>
          <w:b/>
          <w:bCs/>
          <w:rtl/>
        </w:rPr>
        <w:t>בביצוע</w:t>
      </w:r>
      <w:r w:rsidRPr="004B1F31">
        <w:rPr>
          <w:rFonts w:ascii="FrankRuehl" w:hAnsi="FrankRuehl"/>
          <w:b/>
          <w:bCs/>
          <w:rtl/>
        </w:rPr>
        <w:t xml:space="preserve"> </w:t>
      </w:r>
      <w:r w:rsidRPr="004B1F31">
        <w:rPr>
          <w:rFonts w:ascii="FrankRuehl" w:hAnsi="FrankRuehl" w:hint="eastAsia"/>
          <w:b/>
          <w:bCs/>
          <w:rtl/>
        </w:rPr>
        <w:t>העבירות</w:t>
      </w:r>
      <w:r w:rsidRPr="004B1F31">
        <w:rPr>
          <w:rFonts w:ascii="FrankRuehl" w:hAnsi="FrankRuehl"/>
          <w:b/>
          <w:bCs/>
          <w:rtl/>
        </w:rPr>
        <w:t xml:space="preserve">, </w:t>
      </w:r>
      <w:r w:rsidRPr="004B1F31">
        <w:rPr>
          <w:rFonts w:ascii="FrankRuehl" w:hAnsi="FrankRuehl" w:hint="eastAsia"/>
          <w:b/>
          <w:bCs/>
          <w:rtl/>
        </w:rPr>
        <w:t>אלא</w:t>
      </w:r>
      <w:r w:rsidRPr="004B1F31">
        <w:rPr>
          <w:rFonts w:ascii="FrankRuehl" w:hAnsi="FrankRuehl"/>
          <w:b/>
          <w:bCs/>
          <w:rtl/>
        </w:rPr>
        <w:t xml:space="preserve"> </w:t>
      </w:r>
      <w:r w:rsidRPr="004B1F31">
        <w:rPr>
          <w:rFonts w:ascii="FrankRuehl" w:hAnsi="FrankRuehl" w:hint="eastAsia"/>
          <w:b/>
          <w:bCs/>
          <w:rtl/>
        </w:rPr>
        <w:t>גם</w:t>
      </w:r>
      <w:r w:rsidRPr="004B1F31">
        <w:rPr>
          <w:rFonts w:ascii="FrankRuehl" w:hAnsi="FrankRuehl"/>
          <w:b/>
          <w:bCs/>
          <w:rtl/>
        </w:rPr>
        <w:t xml:space="preserve"> </w:t>
      </w:r>
      <w:r w:rsidRPr="004B1F31">
        <w:rPr>
          <w:rFonts w:ascii="FrankRuehl" w:hAnsi="FrankRuehl" w:hint="eastAsia"/>
          <w:b/>
          <w:bCs/>
          <w:rtl/>
        </w:rPr>
        <w:t>לחברה</w:t>
      </w:r>
      <w:r w:rsidRPr="004B1F31">
        <w:rPr>
          <w:rFonts w:ascii="FrankRuehl" w:hAnsi="FrankRuehl"/>
          <w:b/>
          <w:bCs/>
          <w:rtl/>
        </w:rPr>
        <w:t xml:space="preserve"> </w:t>
      </w:r>
      <w:r w:rsidRPr="004B1F31">
        <w:rPr>
          <w:rFonts w:ascii="FrankRuehl" w:hAnsi="FrankRuehl" w:hint="eastAsia"/>
          <w:b/>
          <w:bCs/>
          <w:rtl/>
        </w:rPr>
        <w:t>בכללותה</w:t>
      </w:r>
      <w:r w:rsidRPr="004B1F31">
        <w:rPr>
          <w:rFonts w:ascii="FrankRuehl" w:hAnsi="FrankRuehl"/>
          <w:b/>
          <w:bCs/>
          <w:rtl/>
        </w:rPr>
        <w:t xml:space="preserve">.." </w:t>
      </w:r>
    </w:p>
    <w:p w14:paraId="350DFDF7" w14:textId="77777777" w:rsidR="0007376E" w:rsidRPr="004B1F31" w:rsidRDefault="0007376E" w:rsidP="0007376E">
      <w:pPr>
        <w:spacing w:after="200" w:line="360" w:lineRule="auto"/>
        <w:jc w:val="both"/>
        <w:rPr>
          <w:rFonts w:ascii="David" w:hAnsi="David"/>
          <w:rtl/>
        </w:rPr>
      </w:pPr>
    </w:p>
    <w:p w14:paraId="74D4BD20" w14:textId="77777777" w:rsidR="0007376E" w:rsidRPr="004B1F31" w:rsidRDefault="0007376E" w:rsidP="0007376E">
      <w:pPr>
        <w:spacing w:after="200" w:line="360" w:lineRule="auto"/>
        <w:ind w:firstLine="368"/>
        <w:jc w:val="both"/>
        <w:rPr>
          <w:rFonts w:ascii="David" w:hAnsi="David"/>
          <w:rtl/>
        </w:rPr>
      </w:pPr>
      <w:r w:rsidRPr="004B1F31">
        <w:rPr>
          <w:rFonts w:ascii="David" w:hAnsi="David"/>
          <w:rtl/>
        </w:rPr>
        <w:t xml:space="preserve">ראו גם </w:t>
      </w:r>
      <w:hyperlink r:id="rId27" w:history="1">
        <w:r w:rsidR="00351F0A" w:rsidRPr="00351F0A">
          <w:rPr>
            <w:rFonts w:ascii="David" w:hAnsi="David"/>
            <w:color w:val="0000FF"/>
            <w:u w:val="single"/>
            <w:rtl/>
          </w:rPr>
          <w:t>רע"פ 2557/12</w:t>
        </w:r>
      </w:hyperlink>
      <w:r w:rsidRPr="004B1F31">
        <w:rPr>
          <w:rFonts w:ascii="David" w:hAnsi="David"/>
          <w:rtl/>
        </w:rPr>
        <w:t xml:space="preserve"> </w:t>
      </w:r>
      <w:r w:rsidRPr="004B1F31">
        <w:rPr>
          <w:rFonts w:ascii="David" w:hAnsi="David"/>
          <w:b/>
          <w:bCs/>
          <w:rtl/>
        </w:rPr>
        <w:t>תמם פרדי נגד מדינת ישראל</w:t>
      </w:r>
      <w:r w:rsidRPr="004B1F31">
        <w:rPr>
          <w:rFonts w:ascii="David" w:hAnsi="David"/>
          <w:rtl/>
        </w:rPr>
        <w:t xml:space="preserve"> [פורסם במאגרים] (5.4.12): </w:t>
      </w:r>
    </w:p>
    <w:p w14:paraId="20687102" w14:textId="77777777" w:rsidR="0007376E" w:rsidRPr="004B1F31" w:rsidRDefault="0007376E" w:rsidP="0007376E">
      <w:pPr>
        <w:ind w:left="1440" w:right="851"/>
        <w:jc w:val="both"/>
        <w:rPr>
          <w:rFonts w:ascii="FrankRuehl" w:hAnsi="FrankRuehl"/>
          <w:b/>
          <w:bCs/>
          <w:rtl/>
        </w:rPr>
      </w:pPr>
      <w:r w:rsidRPr="004B1F31">
        <w:rPr>
          <w:rFonts w:ascii="FrankRuehl" w:hAnsi="FrankRuehl"/>
          <w:b/>
          <w:bCs/>
          <w:rtl/>
        </w:rPr>
        <w:t>"</w:t>
      </w:r>
      <w:r w:rsidRPr="004B1F31">
        <w:rPr>
          <w:rFonts w:ascii="FrankRuehl" w:hAnsi="FrankRuehl" w:hint="eastAsia"/>
          <w:b/>
          <w:bCs/>
          <w:rtl/>
        </w:rPr>
        <w:t>עמדנו</w:t>
      </w:r>
      <w:r w:rsidRPr="004B1F31">
        <w:rPr>
          <w:rFonts w:ascii="FrankRuehl" w:hAnsi="FrankRuehl"/>
          <w:b/>
          <w:bCs/>
          <w:rtl/>
        </w:rPr>
        <w:t xml:space="preserve"> </w:t>
      </w:r>
      <w:r w:rsidRPr="004B1F31">
        <w:rPr>
          <w:rFonts w:ascii="FrankRuehl" w:hAnsi="FrankRuehl" w:hint="eastAsia"/>
          <w:b/>
          <w:bCs/>
          <w:rtl/>
        </w:rPr>
        <w:t>לא</w:t>
      </w:r>
      <w:r w:rsidRPr="004B1F31">
        <w:rPr>
          <w:rFonts w:ascii="FrankRuehl" w:hAnsi="FrankRuehl"/>
          <w:b/>
          <w:bCs/>
          <w:rtl/>
        </w:rPr>
        <w:t xml:space="preserve"> </w:t>
      </w:r>
      <w:r w:rsidRPr="004B1F31">
        <w:rPr>
          <w:rFonts w:ascii="FrankRuehl" w:hAnsi="FrankRuehl" w:hint="eastAsia"/>
          <w:b/>
          <w:bCs/>
          <w:rtl/>
        </w:rPr>
        <w:t>אחת</w:t>
      </w:r>
      <w:r w:rsidRPr="004B1F31">
        <w:rPr>
          <w:rFonts w:ascii="FrankRuehl" w:hAnsi="FrankRuehl"/>
          <w:b/>
          <w:bCs/>
          <w:rtl/>
        </w:rPr>
        <w:t xml:space="preserve"> </w:t>
      </w:r>
      <w:r w:rsidRPr="004B1F31">
        <w:rPr>
          <w:rFonts w:ascii="FrankRuehl" w:hAnsi="FrankRuehl" w:hint="eastAsia"/>
          <w:b/>
          <w:bCs/>
          <w:rtl/>
        </w:rPr>
        <w:t>על</w:t>
      </w:r>
      <w:r w:rsidRPr="004B1F31">
        <w:rPr>
          <w:rFonts w:ascii="FrankRuehl" w:hAnsi="FrankRuehl"/>
          <w:b/>
          <w:bCs/>
          <w:rtl/>
        </w:rPr>
        <w:t xml:space="preserve"> </w:t>
      </w:r>
      <w:r w:rsidRPr="004B1F31">
        <w:rPr>
          <w:rFonts w:ascii="FrankRuehl" w:hAnsi="FrankRuehl" w:hint="eastAsia"/>
          <w:b/>
          <w:bCs/>
          <w:rtl/>
        </w:rPr>
        <w:t>חומרתן</w:t>
      </w:r>
      <w:r w:rsidRPr="004B1F31">
        <w:rPr>
          <w:rFonts w:ascii="FrankRuehl" w:hAnsi="FrankRuehl"/>
          <w:b/>
          <w:bCs/>
          <w:rtl/>
        </w:rPr>
        <w:t xml:space="preserve"> </w:t>
      </w:r>
      <w:r w:rsidRPr="004B1F31">
        <w:rPr>
          <w:rFonts w:ascii="FrankRuehl" w:hAnsi="FrankRuehl" w:hint="eastAsia"/>
          <w:b/>
          <w:bCs/>
          <w:rtl/>
        </w:rPr>
        <w:t>של</w:t>
      </w:r>
      <w:r w:rsidRPr="004B1F31">
        <w:rPr>
          <w:rFonts w:ascii="FrankRuehl" w:hAnsi="FrankRuehl"/>
          <w:b/>
          <w:bCs/>
          <w:rtl/>
        </w:rPr>
        <w:t xml:space="preserve"> </w:t>
      </w:r>
      <w:r w:rsidRPr="004B1F31">
        <w:rPr>
          <w:rFonts w:ascii="FrankRuehl" w:hAnsi="FrankRuehl" w:hint="eastAsia"/>
          <w:b/>
          <w:bCs/>
          <w:rtl/>
        </w:rPr>
        <w:t>עבירות</w:t>
      </w:r>
      <w:r w:rsidRPr="004B1F31">
        <w:rPr>
          <w:rFonts w:ascii="FrankRuehl" w:hAnsi="FrankRuehl"/>
          <w:b/>
          <w:bCs/>
          <w:rtl/>
        </w:rPr>
        <w:t xml:space="preserve"> </w:t>
      </w:r>
      <w:r w:rsidRPr="004B1F31">
        <w:rPr>
          <w:rFonts w:ascii="FrankRuehl" w:hAnsi="FrankRuehl" w:hint="eastAsia"/>
          <w:b/>
          <w:bCs/>
          <w:rtl/>
        </w:rPr>
        <w:t>הפצת</w:t>
      </w:r>
      <w:r w:rsidRPr="004B1F31">
        <w:rPr>
          <w:rFonts w:ascii="FrankRuehl" w:hAnsi="FrankRuehl"/>
          <w:b/>
          <w:bCs/>
          <w:rtl/>
        </w:rPr>
        <w:t xml:space="preserve"> </w:t>
      </w:r>
      <w:r w:rsidRPr="004B1F31">
        <w:rPr>
          <w:rFonts w:ascii="FrankRuehl" w:hAnsi="FrankRuehl" w:hint="eastAsia"/>
          <w:b/>
          <w:bCs/>
          <w:rtl/>
        </w:rPr>
        <w:t>סמים</w:t>
      </w:r>
      <w:r w:rsidRPr="004B1F31">
        <w:rPr>
          <w:rFonts w:ascii="FrankRuehl" w:hAnsi="FrankRuehl"/>
          <w:b/>
          <w:bCs/>
          <w:rtl/>
        </w:rPr>
        <w:t xml:space="preserve"> </w:t>
      </w:r>
      <w:r w:rsidRPr="004B1F31">
        <w:rPr>
          <w:rFonts w:ascii="FrankRuehl" w:hAnsi="FrankRuehl" w:hint="eastAsia"/>
          <w:b/>
          <w:bCs/>
          <w:rtl/>
        </w:rPr>
        <w:t>והחשיבות</w:t>
      </w:r>
      <w:r w:rsidRPr="004B1F31">
        <w:rPr>
          <w:rFonts w:ascii="FrankRuehl" w:hAnsi="FrankRuehl"/>
          <w:b/>
          <w:bCs/>
          <w:rtl/>
        </w:rPr>
        <w:t xml:space="preserve"> </w:t>
      </w:r>
      <w:r w:rsidRPr="004B1F31">
        <w:rPr>
          <w:rFonts w:ascii="FrankRuehl" w:hAnsi="FrankRuehl" w:hint="eastAsia"/>
          <w:b/>
          <w:bCs/>
          <w:rtl/>
        </w:rPr>
        <w:t>בהרתעה</w:t>
      </w:r>
      <w:r w:rsidRPr="004B1F31">
        <w:rPr>
          <w:rFonts w:ascii="FrankRuehl" w:hAnsi="FrankRuehl"/>
          <w:b/>
          <w:bCs/>
          <w:rtl/>
        </w:rPr>
        <w:t xml:space="preserve"> </w:t>
      </w:r>
      <w:r w:rsidRPr="004B1F31">
        <w:rPr>
          <w:rFonts w:ascii="FrankRuehl" w:hAnsi="FrankRuehl" w:hint="eastAsia"/>
          <w:b/>
          <w:bCs/>
          <w:rtl/>
        </w:rPr>
        <w:t>אפקטיבית</w:t>
      </w:r>
      <w:r w:rsidRPr="004B1F31">
        <w:rPr>
          <w:rFonts w:ascii="FrankRuehl" w:hAnsi="FrankRuehl"/>
          <w:b/>
          <w:bCs/>
          <w:rtl/>
        </w:rPr>
        <w:t xml:space="preserve">: </w:t>
      </w:r>
    </w:p>
    <w:p w14:paraId="61C42148" w14:textId="77777777" w:rsidR="0007376E" w:rsidRPr="004B1F31" w:rsidRDefault="0007376E" w:rsidP="0007376E">
      <w:pPr>
        <w:ind w:left="1440" w:right="851"/>
        <w:jc w:val="both"/>
        <w:rPr>
          <w:rFonts w:ascii="FrankRuehl" w:hAnsi="FrankRuehl"/>
          <w:b/>
          <w:bCs/>
          <w:rtl/>
        </w:rPr>
      </w:pPr>
      <w:r w:rsidRPr="004B1F31">
        <w:rPr>
          <w:rFonts w:ascii="FrankRuehl" w:hAnsi="FrankRuehl"/>
          <w:b/>
          <w:bCs/>
          <w:rtl/>
        </w:rPr>
        <w:t>"</w:t>
      </w:r>
      <w:r w:rsidRPr="004B1F31">
        <w:rPr>
          <w:rFonts w:ascii="FrankRuehl" w:hAnsi="FrankRuehl" w:hint="eastAsia"/>
          <w:b/>
          <w:bCs/>
          <w:rtl/>
        </w:rPr>
        <w:t>חשיבות</w:t>
      </w:r>
      <w:r w:rsidRPr="004B1F31">
        <w:rPr>
          <w:rFonts w:ascii="FrankRuehl" w:hAnsi="FrankRuehl"/>
          <w:b/>
          <w:bCs/>
          <w:rtl/>
        </w:rPr>
        <w:t xml:space="preserve"> </w:t>
      </w:r>
      <w:r w:rsidRPr="004B1F31">
        <w:rPr>
          <w:rFonts w:ascii="FrankRuehl" w:hAnsi="FrankRuehl" w:hint="eastAsia"/>
          <w:b/>
          <w:bCs/>
          <w:rtl/>
        </w:rPr>
        <w:t>המלחמה</w:t>
      </w:r>
      <w:r w:rsidRPr="004B1F31">
        <w:rPr>
          <w:rFonts w:ascii="FrankRuehl" w:hAnsi="FrankRuehl"/>
          <w:b/>
          <w:bCs/>
          <w:rtl/>
        </w:rPr>
        <w:t xml:space="preserve"> </w:t>
      </w:r>
      <w:r w:rsidRPr="004B1F31">
        <w:rPr>
          <w:rFonts w:ascii="FrankRuehl" w:hAnsi="FrankRuehl" w:hint="eastAsia"/>
          <w:b/>
          <w:bCs/>
          <w:rtl/>
        </w:rPr>
        <w:t>בנגע</w:t>
      </w:r>
      <w:r w:rsidRPr="004B1F31">
        <w:rPr>
          <w:rFonts w:ascii="FrankRuehl" w:hAnsi="FrankRuehl"/>
          <w:b/>
          <w:bCs/>
          <w:rtl/>
        </w:rPr>
        <w:t xml:space="preserve"> </w:t>
      </w:r>
      <w:r w:rsidRPr="004B1F31">
        <w:rPr>
          <w:rFonts w:ascii="FrankRuehl" w:hAnsi="FrankRuehl" w:hint="eastAsia"/>
          <w:b/>
          <w:bCs/>
          <w:rtl/>
        </w:rPr>
        <w:t>הסמים</w:t>
      </w:r>
      <w:r w:rsidRPr="004B1F31">
        <w:rPr>
          <w:rFonts w:ascii="FrankRuehl" w:hAnsi="FrankRuehl"/>
          <w:b/>
          <w:bCs/>
          <w:rtl/>
        </w:rPr>
        <w:t xml:space="preserve"> </w:t>
      </w:r>
      <w:r w:rsidRPr="004B1F31">
        <w:rPr>
          <w:rFonts w:ascii="FrankRuehl" w:hAnsi="FrankRuehl" w:hint="eastAsia"/>
          <w:b/>
          <w:bCs/>
          <w:rtl/>
        </w:rPr>
        <w:t>ידועה</w:t>
      </w:r>
      <w:r w:rsidRPr="004B1F31">
        <w:rPr>
          <w:rFonts w:ascii="FrankRuehl" w:hAnsi="FrankRuehl"/>
          <w:b/>
          <w:bCs/>
          <w:rtl/>
        </w:rPr>
        <w:t xml:space="preserve"> </w:t>
      </w:r>
      <w:r w:rsidRPr="004B1F31">
        <w:rPr>
          <w:rFonts w:ascii="FrankRuehl" w:hAnsi="FrankRuehl" w:hint="eastAsia"/>
          <w:b/>
          <w:bCs/>
          <w:rtl/>
        </w:rPr>
        <w:t>לכל</w:t>
      </w:r>
      <w:r w:rsidRPr="004B1F31">
        <w:rPr>
          <w:rFonts w:ascii="FrankRuehl" w:hAnsi="FrankRuehl"/>
          <w:b/>
          <w:bCs/>
          <w:rtl/>
        </w:rPr>
        <w:t xml:space="preserve">, </w:t>
      </w:r>
      <w:r w:rsidRPr="004B1F31">
        <w:rPr>
          <w:rFonts w:ascii="FrankRuehl" w:hAnsi="FrankRuehl" w:hint="eastAsia"/>
          <w:b/>
          <w:bCs/>
          <w:rtl/>
        </w:rPr>
        <w:t>והעוסקים</w:t>
      </w:r>
      <w:r w:rsidRPr="004B1F31">
        <w:rPr>
          <w:rFonts w:ascii="FrankRuehl" w:hAnsi="FrankRuehl"/>
          <w:b/>
          <w:bCs/>
          <w:rtl/>
        </w:rPr>
        <w:t xml:space="preserve"> </w:t>
      </w:r>
      <w:r w:rsidRPr="004B1F31">
        <w:rPr>
          <w:rFonts w:ascii="FrankRuehl" w:hAnsi="FrankRuehl" w:hint="eastAsia"/>
          <w:b/>
          <w:bCs/>
          <w:rtl/>
        </w:rPr>
        <w:t>בסחר</w:t>
      </w:r>
      <w:r w:rsidRPr="004B1F31">
        <w:rPr>
          <w:rFonts w:ascii="FrankRuehl" w:hAnsi="FrankRuehl"/>
          <w:b/>
          <w:bCs/>
          <w:rtl/>
        </w:rPr>
        <w:t xml:space="preserve"> </w:t>
      </w:r>
      <w:r w:rsidRPr="004B1F31">
        <w:rPr>
          <w:rFonts w:ascii="FrankRuehl" w:hAnsi="FrankRuehl" w:hint="eastAsia"/>
          <w:b/>
          <w:bCs/>
          <w:rtl/>
        </w:rPr>
        <w:t>ובתיווך</w:t>
      </w:r>
      <w:r w:rsidRPr="004B1F31">
        <w:rPr>
          <w:rFonts w:ascii="FrankRuehl" w:hAnsi="FrankRuehl"/>
          <w:b/>
          <w:bCs/>
          <w:rtl/>
        </w:rPr>
        <w:t xml:space="preserve"> </w:t>
      </w:r>
      <w:r w:rsidRPr="004B1F31">
        <w:rPr>
          <w:rFonts w:ascii="FrankRuehl" w:hAnsi="FrankRuehl" w:hint="eastAsia"/>
          <w:b/>
          <w:bCs/>
          <w:rtl/>
        </w:rPr>
        <w:t>בסם</w:t>
      </w:r>
      <w:r w:rsidRPr="004B1F31">
        <w:rPr>
          <w:rFonts w:ascii="FrankRuehl" w:hAnsi="FrankRuehl"/>
          <w:b/>
          <w:bCs/>
          <w:rtl/>
        </w:rPr>
        <w:t xml:space="preserve"> </w:t>
      </w:r>
      <w:r w:rsidRPr="004B1F31">
        <w:rPr>
          <w:rFonts w:ascii="FrankRuehl" w:hAnsi="FrankRuehl" w:hint="eastAsia"/>
          <w:b/>
          <w:bCs/>
          <w:rtl/>
        </w:rPr>
        <w:t>יידעו</w:t>
      </w:r>
      <w:r w:rsidRPr="004B1F31">
        <w:rPr>
          <w:rFonts w:ascii="FrankRuehl" w:hAnsi="FrankRuehl"/>
          <w:b/>
          <w:bCs/>
          <w:rtl/>
        </w:rPr>
        <w:t xml:space="preserve"> </w:t>
      </w:r>
      <w:r w:rsidRPr="004B1F31">
        <w:rPr>
          <w:rFonts w:ascii="FrankRuehl" w:hAnsi="FrankRuehl" w:hint="eastAsia"/>
          <w:b/>
          <w:bCs/>
          <w:rtl/>
        </w:rPr>
        <w:t>כי</w:t>
      </w:r>
      <w:r w:rsidRPr="004B1F31">
        <w:rPr>
          <w:rFonts w:ascii="FrankRuehl" w:hAnsi="FrankRuehl"/>
          <w:b/>
          <w:bCs/>
          <w:rtl/>
        </w:rPr>
        <w:t xml:space="preserve"> '</w:t>
      </w:r>
      <w:r w:rsidRPr="004B1F31">
        <w:rPr>
          <w:rFonts w:ascii="FrankRuehl" w:hAnsi="FrankRuehl" w:hint="eastAsia"/>
          <w:b/>
          <w:bCs/>
          <w:rtl/>
        </w:rPr>
        <w:t>מלחמת</w:t>
      </w:r>
      <w:r w:rsidRPr="004B1F31">
        <w:rPr>
          <w:rFonts w:ascii="FrankRuehl" w:hAnsi="FrankRuehl"/>
          <w:b/>
          <w:bCs/>
          <w:rtl/>
        </w:rPr>
        <w:t xml:space="preserve"> </w:t>
      </w:r>
      <w:r w:rsidRPr="004B1F31">
        <w:rPr>
          <w:rFonts w:ascii="FrankRuehl" w:hAnsi="FrankRuehl" w:hint="eastAsia"/>
          <w:b/>
          <w:bCs/>
          <w:rtl/>
        </w:rPr>
        <w:t>החורמה</w:t>
      </w:r>
      <w:r w:rsidRPr="004B1F31">
        <w:rPr>
          <w:rFonts w:ascii="FrankRuehl" w:hAnsi="FrankRuehl"/>
          <w:b/>
          <w:bCs/>
          <w:rtl/>
        </w:rPr>
        <w:t xml:space="preserve"> </w:t>
      </w:r>
      <w:r w:rsidRPr="004B1F31">
        <w:rPr>
          <w:rFonts w:ascii="FrankRuehl" w:hAnsi="FrankRuehl" w:hint="eastAsia"/>
          <w:b/>
          <w:bCs/>
          <w:rtl/>
        </w:rPr>
        <w:t>בעברייני</w:t>
      </w:r>
      <w:r w:rsidRPr="004B1F31">
        <w:rPr>
          <w:rFonts w:ascii="FrankRuehl" w:hAnsi="FrankRuehl"/>
          <w:b/>
          <w:bCs/>
          <w:rtl/>
        </w:rPr>
        <w:t xml:space="preserve"> </w:t>
      </w:r>
      <w:r w:rsidRPr="004B1F31">
        <w:rPr>
          <w:rFonts w:ascii="FrankRuehl" w:hAnsi="FrankRuehl" w:hint="eastAsia"/>
          <w:b/>
          <w:bCs/>
          <w:rtl/>
        </w:rPr>
        <w:t>סמים</w:t>
      </w:r>
      <w:r w:rsidRPr="004B1F31">
        <w:rPr>
          <w:rFonts w:ascii="FrankRuehl" w:hAnsi="FrankRuehl"/>
          <w:b/>
          <w:bCs/>
          <w:rtl/>
        </w:rPr>
        <w:t xml:space="preserve"> </w:t>
      </w:r>
      <w:r w:rsidRPr="004B1F31">
        <w:rPr>
          <w:rFonts w:ascii="FrankRuehl" w:hAnsi="FrankRuehl" w:hint="eastAsia"/>
          <w:b/>
          <w:bCs/>
          <w:rtl/>
        </w:rPr>
        <w:t>נמשכת</w:t>
      </w:r>
      <w:r w:rsidRPr="004B1F31">
        <w:rPr>
          <w:rFonts w:ascii="FrankRuehl" w:hAnsi="FrankRuehl"/>
          <w:b/>
          <w:bCs/>
          <w:rtl/>
        </w:rPr>
        <w:t xml:space="preserve"> </w:t>
      </w:r>
      <w:r w:rsidRPr="004B1F31">
        <w:rPr>
          <w:rFonts w:ascii="FrankRuehl" w:hAnsi="FrankRuehl" w:hint="eastAsia"/>
          <w:b/>
          <w:bCs/>
          <w:rtl/>
        </w:rPr>
        <w:t>והולכת</w:t>
      </w:r>
      <w:r w:rsidRPr="004B1F31">
        <w:rPr>
          <w:rFonts w:ascii="FrankRuehl" w:hAnsi="FrankRuehl"/>
          <w:b/>
          <w:bCs/>
          <w:rtl/>
        </w:rPr>
        <w:t xml:space="preserve">. </w:t>
      </w:r>
      <w:r w:rsidRPr="004B1F31">
        <w:rPr>
          <w:rFonts w:ascii="FrankRuehl" w:hAnsi="FrankRuehl" w:hint="eastAsia"/>
          <w:b/>
          <w:bCs/>
          <w:rtl/>
        </w:rPr>
        <w:t>מלחמה</w:t>
      </w:r>
      <w:r w:rsidRPr="004B1F31">
        <w:rPr>
          <w:rFonts w:ascii="FrankRuehl" w:hAnsi="FrankRuehl"/>
          <w:b/>
          <w:bCs/>
          <w:rtl/>
        </w:rPr>
        <w:t xml:space="preserve"> </w:t>
      </w:r>
      <w:r w:rsidRPr="004B1F31">
        <w:rPr>
          <w:rFonts w:ascii="FrankRuehl" w:hAnsi="FrankRuehl" w:hint="eastAsia"/>
          <w:b/>
          <w:bCs/>
          <w:rtl/>
        </w:rPr>
        <w:t>קשה</w:t>
      </w:r>
      <w:r w:rsidRPr="004B1F31">
        <w:rPr>
          <w:rFonts w:ascii="FrankRuehl" w:hAnsi="FrankRuehl"/>
          <w:b/>
          <w:bCs/>
          <w:rtl/>
        </w:rPr>
        <w:t xml:space="preserve"> </w:t>
      </w:r>
      <w:r w:rsidRPr="004B1F31">
        <w:rPr>
          <w:rFonts w:ascii="FrankRuehl" w:hAnsi="FrankRuehl" w:hint="eastAsia"/>
          <w:b/>
          <w:bCs/>
          <w:rtl/>
        </w:rPr>
        <w:t>היא</w:t>
      </w:r>
      <w:r w:rsidRPr="004B1F31">
        <w:rPr>
          <w:rFonts w:ascii="FrankRuehl" w:hAnsi="FrankRuehl"/>
          <w:b/>
          <w:bCs/>
          <w:rtl/>
        </w:rPr>
        <w:t xml:space="preserve">, </w:t>
      </w:r>
      <w:r w:rsidRPr="004B1F31">
        <w:rPr>
          <w:rFonts w:ascii="FrankRuehl" w:hAnsi="FrankRuehl" w:hint="eastAsia"/>
          <w:b/>
          <w:bCs/>
          <w:rtl/>
        </w:rPr>
        <w:t>מלחמה</w:t>
      </w:r>
      <w:r w:rsidRPr="004B1F31">
        <w:rPr>
          <w:rFonts w:ascii="FrankRuehl" w:hAnsi="FrankRuehl"/>
          <w:b/>
          <w:bCs/>
          <w:rtl/>
        </w:rPr>
        <w:t xml:space="preserve"> </w:t>
      </w:r>
      <w:r w:rsidRPr="004B1F31">
        <w:rPr>
          <w:rFonts w:ascii="FrankRuehl" w:hAnsi="FrankRuehl" w:hint="eastAsia"/>
          <w:b/>
          <w:bCs/>
          <w:rtl/>
        </w:rPr>
        <w:t>ארוכה</w:t>
      </w:r>
      <w:r w:rsidRPr="004B1F31">
        <w:rPr>
          <w:rFonts w:ascii="FrankRuehl" w:hAnsi="FrankRuehl"/>
          <w:b/>
          <w:bCs/>
          <w:rtl/>
        </w:rPr>
        <w:t xml:space="preserve">, </w:t>
      </w:r>
      <w:r w:rsidRPr="004B1F31">
        <w:rPr>
          <w:rFonts w:ascii="FrankRuehl" w:hAnsi="FrankRuehl" w:hint="eastAsia"/>
          <w:b/>
          <w:bCs/>
          <w:rtl/>
        </w:rPr>
        <w:t>והיא</w:t>
      </w:r>
      <w:r w:rsidRPr="004B1F31">
        <w:rPr>
          <w:rFonts w:ascii="FrankRuehl" w:hAnsi="FrankRuehl"/>
          <w:b/>
          <w:bCs/>
          <w:rtl/>
        </w:rPr>
        <w:t xml:space="preserve"> </w:t>
      </w:r>
      <w:r w:rsidRPr="004B1F31">
        <w:rPr>
          <w:rFonts w:ascii="FrankRuehl" w:hAnsi="FrankRuehl" w:hint="eastAsia"/>
          <w:b/>
          <w:bCs/>
          <w:rtl/>
        </w:rPr>
        <w:t>כמלחמת</w:t>
      </w:r>
      <w:r w:rsidRPr="004B1F31">
        <w:rPr>
          <w:rFonts w:ascii="FrankRuehl" w:hAnsi="FrankRuehl"/>
          <w:b/>
          <w:bCs/>
          <w:rtl/>
        </w:rPr>
        <w:t xml:space="preserve"> </w:t>
      </w:r>
      <w:r w:rsidRPr="004B1F31">
        <w:rPr>
          <w:rFonts w:ascii="FrankRuehl" w:hAnsi="FrankRuehl" w:hint="eastAsia"/>
          <w:b/>
          <w:bCs/>
          <w:rtl/>
        </w:rPr>
        <w:t>ישראל</w:t>
      </w:r>
      <w:r w:rsidRPr="004B1F31">
        <w:rPr>
          <w:rFonts w:ascii="FrankRuehl" w:hAnsi="FrankRuehl"/>
          <w:b/>
          <w:bCs/>
          <w:rtl/>
        </w:rPr>
        <w:t xml:space="preserve"> </w:t>
      </w:r>
      <w:r w:rsidRPr="004B1F31">
        <w:rPr>
          <w:rFonts w:ascii="FrankRuehl" w:hAnsi="FrankRuehl" w:hint="eastAsia"/>
          <w:b/>
          <w:bCs/>
          <w:rtl/>
        </w:rPr>
        <w:t>בעמלק</w:t>
      </w:r>
      <w:r w:rsidRPr="004B1F31">
        <w:rPr>
          <w:rFonts w:ascii="FrankRuehl" w:hAnsi="FrankRuehl"/>
          <w:b/>
          <w:bCs/>
          <w:rtl/>
        </w:rPr>
        <w:t>' (</w:t>
      </w:r>
      <w:hyperlink r:id="rId28" w:history="1">
        <w:r w:rsidR="00351F0A" w:rsidRPr="00351F0A">
          <w:rPr>
            <w:rFonts w:ascii="FrankRuehl" w:hAnsi="FrankRuehl"/>
            <w:b/>
            <w:bCs/>
            <w:color w:val="0000FF"/>
            <w:u w:val="single"/>
            <w:rtl/>
          </w:rPr>
          <w:t>ע"פ 4998/95</w:t>
        </w:r>
      </w:hyperlink>
      <w:r w:rsidRPr="004B1F31">
        <w:rPr>
          <w:rFonts w:ascii="FrankRuehl" w:hAnsi="FrankRuehl"/>
          <w:b/>
          <w:bCs/>
          <w:rtl/>
        </w:rPr>
        <w:t xml:space="preserve"> </w:t>
      </w:r>
      <w:r w:rsidRPr="004B1F31">
        <w:rPr>
          <w:rFonts w:ascii="FrankRuehl" w:hAnsi="FrankRuehl" w:hint="eastAsia"/>
          <w:b/>
          <w:bCs/>
          <w:rtl/>
        </w:rPr>
        <w:t>מדינת</w:t>
      </w:r>
      <w:r w:rsidRPr="004B1F31">
        <w:rPr>
          <w:rFonts w:ascii="FrankRuehl" w:hAnsi="FrankRuehl"/>
          <w:b/>
          <w:bCs/>
          <w:rtl/>
        </w:rPr>
        <w:t xml:space="preserve"> </w:t>
      </w:r>
      <w:r w:rsidRPr="004B1F31">
        <w:rPr>
          <w:rFonts w:ascii="FrankRuehl" w:hAnsi="FrankRuehl" w:hint="eastAsia"/>
          <w:b/>
          <w:bCs/>
          <w:rtl/>
        </w:rPr>
        <w:t>ישראל</w:t>
      </w:r>
      <w:r w:rsidRPr="004B1F31">
        <w:rPr>
          <w:rFonts w:ascii="FrankRuehl" w:hAnsi="FrankRuehl"/>
          <w:b/>
          <w:bCs/>
          <w:rtl/>
        </w:rPr>
        <w:t xml:space="preserve"> </w:t>
      </w:r>
      <w:r w:rsidRPr="004B1F31">
        <w:rPr>
          <w:rFonts w:ascii="FrankRuehl" w:hAnsi="FrankRuehl" w:hint="eastAsia"/>
          <w:b/>
          <w:bCs/>
          <w:rtl/>
        </w:rPr>
        <w:t>נ</w:t>
      </w:r>
      <w:r w:rsidRPr="004B1F31">
        <w:rPr>
          <w:rFonts w:ascii="FrankRuehl" w:hAnsi="FrankRuehl"/>
          <w:b/>
          <w:bCs/>
          <w:rtl/>
        </w:rPr>
        <w:t xml:space="preserve">' </w:t>
      </w:r>
      <w:r w:rsidRPr="004B1F31">
        <w:rPr>
          <w:rFonts w:ascii="FrankRuehl" w:hAnsi="FrankRuehl" w:hint="eastAsia"/>
          <w:b/>
          <w:bCs/>
          <w:rtl/>
        </w:rPr>
        <w:t>אוקטביו</w:t>
      </w:r>
      <w:r w:rsidRPr="004B1F31">
        <w:rPr>
          <w:rFonts w:ascii="FrankRuehl" w:hAnsi="FrankRuehl"/>
          <w:b/>
          <w:bCs/>
          <w:rtl/>
        </w:rPr>
        <w:t xml:space="preserve">, </w:t>
      </w:r>
      <w:r w:rsidRPr="004B1F31">
        <w:rPr>
          <w:rFonts w:ascii="FrankRuehl" w:hAnsi="FrankRuehl" w:hint="eastAsia"/>
          <w:b/>
          <w:bCs/>
          <w:rtl/>
        </w:rPr>
        <w:t>פ</w:t>
      </w:r>
      <w:r w:rsidRPr="004B1F31">
        <w:rPr>
          <w:rFonts w:ascii="FrankRuehl" w:hAnsi="FrankRuehl"/>
          <w:b/>
          <w:bCs/>
          <w:rtl/>
        </w:rPr>
        <w:t>"</w:t>
      </w:r>
      <w:r w:rsidRPr="004B1F31">
        <w:rPr>
          <w:rFonts w:ascii="FrankRuehl" w:hAnsi="FrankRuehl" w:hint="eastAsia"/>
          <w:b/>
          <w:bCs/>
          <w:rtl/>
        </w:rPr>
        <w:t>ד</w:t>
      </w:r>
      <w:r w:rsidRPr="004B1F31">
        <w:rPr>
          <w:rFonts w:ascii="FrankRuehl" w:hAnsi="FrankRuehl"/>
          <w:b/>
          <w:bCs/>
          <w:rtl/>
        </w:rPr>
        <w:t xml:space="preserve"> </w:t>
      </w:r>
      <w:r w:rsidRPr="004B1F31">
        <w:rPr>
          <w:rFonts w:ascii="FrankRuehl" w:hAnsi="FrankRuehl" w:hint="eastAsia"/>
          <w:b/>
          <w:bCs/>
          <w:rtl/>
        </w:rPr>
        <w:t>נא</w:t>
      </w:r>
      <w:r w:rsidRPr="004B1F31">
        <w:rPr>
          <w:rFonts w:ascii="FrankRuehl" w:hAnsi="FrankRuehl"/>
          <w:b/>
          <w:bCs/>
          <w:rtl/>
        </w:rPr>
        <w:t xml:space="preserve">(3) 769, 787 </w:t>
      </w:r>
      <w:r w:rsidRPr="004B1F31">
        <w:rPr>
          <w:rFonts w:ascii="FrankRuehl" w:hAnsi="FrankRuehl" w:hint="eastAsia"/>
          <w:b/>
          <w:bCs/>
          <w:rtl/>
        </w:rPr>
        <w:t>השופט</w:t>
      </w:r>
      <w:r w:rsidRPr="004B1F31">
        <w:rPr>
          <w:rFonts w:ascii="FrankRuehl" w:hAnsi="FrankRuehl"/>
          <w:b/>
          <w:bCs/>
          <w:rtl/>
        </w:rPr>
        <w:t xml:space="preserve"> </w:t>
      </w:r>
      <w:r w:rsidRPr="004B1F31">
        <w:rPr>
          <w:rFonts w:ascii="FrankRuehl" w:hAnsi="FrankRuehl" w:hint="eastAsia"/>
          <w:b/>
          <w:bCs/>
          <w:rtl/>
        </w:rPr>
        <w:t>כתארו</w:t>
      </w:r>
      <w:r w:rsidRPr="004B1F31">
        <w:rPr>
          <w:rFonts w:ascii="FrankRuehl" w:hAnsi="FrankRuehl"/>
          <w:b/>
          <w:bCs/>
          <w:rtl/>
        </w:rPr>
        <w:t xml:space="preserve"> </w:t>
      </w:r>
      <w:r w:rsidRPr="004B1F31">
        <w:rPr>
          <w:rFonts w:ascii="FrankRuehl" w:hAnsi="FrankRuehl" w:hint="eastAsia"/>
          <w:b/>
          <w:bCs/>
          <w:rtl/>
        </w:rPr>
        <w:t>אז</w:t>
      </w:r>
      <w:r w:rsidRPr="004B1F31">
        <w:rPr>
          <w:rFonts w:ascii="FrankRuehl" w:hAnsi="FrankRuehl"/>
          <w:b/>
          <w:bCs/>
          <w:rtl/>
        </w:rPr>
        <w:t xml:space="preserve"> - </w:t>
      </w:r>
      <w:r w:rsidRPr="004B1F31">
        <w:rPr>
          <w:rFonts w:ascii="FrankRuehl" w:hAnsi="FrankRuehl" w:hint="eastAsia"/>
          <w:b/>
          <w:bCs/>
          <w:rtl/>
        </w:rPr>
        <w:t>מ</w:t>
      </w:r>
      <w:r w:rsidRPr="004B1F31">
        <w:rPr>
          <w:rFonts w:ascii="FrankRuehl" w:hAnsi="FrankRuehl"/>
          <w:b/>
          <w:bCs/>
          <w:rtl/>
        </w:rPr>
        <w:t xml:space="preserve">' </w:t>
      </w:r>
      <w:r w:rsidRPr="004B1F31">
        <w:rPr>
          <w:rFonts w:ascii="FrankRuehl" w:hAnsi="FrankRuehl" w:hint="eastAsia"/>
          <w:b/>
          <w:bCs/>
          <w:rtl/>
        </w:rPr>
        <w:t>חשין</w:t>
      </w:r>
      <w:r w:rsidRPr="004B1F31">
        <w:rPr>
          <w:rFonts w:ascii="FrankRuehl" w:hAnsi="FrankRuehl"/>
          <w:b/>
          <w:bCs/>
          <w:rtl/>
        </w:rPr>
        <w:t>)" (</w:t>
      </w:r>
      <w:hyperlink r:id="rId29" w:history="1">
        <w:r w:rsidR="00351F0A" w:rsidRPr="00351F0A">
          <w:rPr>
            <w:rFonts w:ascii="FrankRuehl" w:hAnsi="FrankRuehl"/>
            <w:b/>
            <w:bCs/>
            <w:color w:val="0000FF"/>
            <w:u w:val="single"/>
            <w:rtl/>
          </w:rPr>
          <w:t>רע"פ 1720/11</w:t>
        </w:r>
      </w:hyperlink>
      <w:r w:rsidRPr="004B1F31">
        <w:rPr>
          <w:rFonts w:ascii="FrankRuehl" w:hAnsi="FrankRuehl"/>
          <w:b/>
          <w:bCs/>
          <w:rtl/>
        </w:rPr>
        <w:t xml:space="preserve">  </w:t>
      </w:r>
      <w:r w:rsidRPr="004B1F31">
        <w:rPr>
          <w:rFonts w:ascii="FrankRuehl" w:hAnsi="FrankRuehl" w:hint="eastAsia"/>
          <w:b/>
          <w:bCs/>
          <w:rtl/>
        </w:rPr>
        <w:t>גליק</w:t>
      </w:r>
      <w:r w:rsidRPr="004B1F31">
        <w:rPr>
          <w:rFonts w:ascii="FrankRuehl" w:hAnsi="FrankRuehl"/>
          <w:b/>
          <w:bCs/>
          <w:rtl/>
        </w:rPr>
        <w:t xml:space="preserve"> </w:t>
      </w:r>
      <w:r w:rsidRPr="004B1F31">
        <w:rPr>
          <w:rFonts w:ascii="FrankRuehl" w:hAnsi="FrankRuehl" w:hint="eastAsia"/>
          <w:b/>
          <w:bCs/>
          <w:rtl/>
        </w:rPr>
        <w:t>נ</w:t>
      </w:r>
      <w:r w:rsidRPr="004B1F31">
        <w:rPr>
          <w:rFonts w:ascii="FrankRuehl" w:hAnsi="FrankRuehl"/>
          <w:b/>
          <w:bCs/>
          <w:rtl/>
        </w:rPr>
        <w:t xml:space="preserve">' </w:t>
      </w:r>
      <w:r w:rsidRPr="004B1F31">
        <w:rPr>
          <w:rFonts w:ascii="FrankRuehl" w:hAnsi="FrankRuehl" w:hint="eastAsia"/>
          <w:b/>
          <w:bCs/>
          <w:rtl/>
        </w:rPr>
        <w:t>מדינת</w:t>
      </w:r>
      <w:r w:rsidRPr="004B1F31">
        <w:rPr>
          <w:rFonts w:ascii="FrankRuehl" w:hAnsi="FrankRuehl"/>
          <w:b/>
          <w:bCs/>
          <w:rtl/>
        </w:rPr>
        <w:t xml:space="preserve"> </w:t>
      </w:r>
      <w:r w:rsidRPr="004B1F31">
        <w:rPr>
          <w:rFonts w:ascii="FrankRuehl" w:hAnsi="FrankRuehl" w:hint="eastAsia"/>
          <w:b/>
          <w:bCs/>
          <w:rtl/>
        </w:rPr>
        <w:t>ישראל</w:t>
      </w:r>
      <w:r w:rsidRPr="004B1F31">
        <w:rPr>
          <w:rFonts w:ascii="FrankRuehl" w:hAnsi="FrankRuehl"/>
          <w:b/>
          <w:bCs/>
          <w:rtl/>
        </w:rPr>
        <w:t xml:space="preserve"> (</w:t>
      </w:r>
      <w:r w:rsidRPr="004B1F31">
        <w:rPr>
          <w:rFonts w:ascii="FrankRuehl" w:hAnsi="FrankRuehl" w:hint="eastAsia"/>
          <w:b/>
          <w:bCs/>
          <w:rtl/>
        </w:rPr>
        <w:t>לא</w:t>
      </w:r>
      <w:r w:rsidRPr="004B1F31">
        <w:rPr>
          <w:rFonts w:ascii="FrankRuehl" w:hAnsi="FrankRuehl"/>
          <w:b/>
          <w:bCs/>
          <w:rtl/>
        </w:rPr>
        <w:t xml:space="preserve"> </w:t>
      </w:r>
      <w:r w:rsidRPr="004B1F31">
        <w:rPr>
          <w:rFonts w:ascii="FrankRuehl" w:hAnsi="FrankRuehl" w:hint="eastAsia"/>
          <w:b/>
          <w:bCs/>
          <w:rtl/>
        </w:rPr>
        <w:t>פורסם</w:t>
      </w:r>
      <w:r w:rsidRPr="004B1F31">
        <w:rPr>
          <w:rFonts w:ascii="FrankRuehl" w:hAnsi="FrankRuehl"/>
          <w:b/>
          <w:bCs/>
          <w:rtl/>
        </w:rPr>
        <w:t>) [</w:t>
      </w:r>
      <w:r w:rsidRPr="004B1F31">
        <w:rPr>
          <w:rFonts w:ascii="FrankRuehl" w:hAnsi="FrankRuehl" w:hint="eastAsia"/>
          <w:b/>
          <w:bCs/>
          <w:rtl/>
        </w:rPr>
        <w:t>פורסם</w:t>
      </w:r>
      <w:r w:rsidRPr="004B1F31">
        <w:rPr>
          <w:rFonts w:ascii="FrankRuehl" w:hAnsi="FrankRuehl"/>
          <w:b/>
          <w:bCs/>
          <w:rtl/>
        </w:rPr>
        <w:t xml:space="preserve"> </w:t>
      </w:r>
      <w:r w:rsidRPr="004B1F31">
        <w:rPr>
          <w:rFonts w:ascii="FrankRuehl" w:hAnsi="FrankRuehl" w:hint="eastAsia"/>
          <w:b/>
          <w:bCs/>
          <w:rtl/>
        </w:rPr>
        <w:t>במאגרים</w:t>
      </w:r>
      <w:r w:rsidRPr="004B1F31">
        <w:rPr>
          <w:rFonts w:ascii="FrankRuehl" w:hAnsi="FrankRuehl"/>
          <w:b/>
          <w:bCs/>
          <w:rtl/>
        </w:rPr>
        <w:t xml:space="preserve">] </w:t>
      </w:r>
      <w:r w:rsidRPr="004B1F31">
        <w:rPr>
          <w:rFonts w:ascii="FrankRuehl" w:hAnsi="FrankRuehl" w:hint="eastAsia"/>
          <w:b/>
          <w:bCs/>
          <w:rtl/>
        </w:rPr>
        <w:t>פסקה</w:t>
      </w:r>
      <w:r w:rsidRPr="004B1F31">
        <w:rPr>
          <w:rFonts w:ascii="FrankRuehl" w:hAnsi="FrankRuehl"/>
          <w:b/>
          <w:bCs/>
          <w:rtl/>
        </w:rPr>
        <w:t xml:space="preserve"> </w:t>
      </w:r>
      <w:r w:rsidRPr="004B1F31">
        <w:rPr>
          <w:rFonts w:ascii="FrankRuehl" w:hAnsi="FrankRuehl" w:hint="eastAsia"/>
          <w:b/>
          <w:bCs/>
          <w:rtl/>
        </w:rPr>
        <w:t>ז</w:t>
      </w:r>
      <w:r w:rsidRPr="004B1F31">
        <w:rPr>
          <w:rFonts w:ascii="FrankRuehl" w:hAnsi="FrankRuehl"/>
          <w:b/>
          <w:bCs/>
          <w:rtl/>
        </w:rPr>
        <w:t>')."</w:t>
      </w:r>
    </w:p>
    <w:p w14:paraId="3C3DB2E7" w14:textId="77777777" w:rsidR="0007376E" w:rsidRPr="004B1F31" w:rsidRDefault="0007376E" w:rsidP="0007376E">
      <w:pPr>
        <w:spacing w:after="200" w:line="360" w:lineRule="auto"/>
        <w:jc w:val="both"/>
        <w:rPr>
          <w:rFonts w:ascii="David" w:hAnsi="David" w:cs="Arial"/>
          <w:szCs w:val="22"/>
        </w:rPr>
      </w:pPr>
    </w:p>
    <w:p w14:paraId="26052967" w14:textId="77777777" w:rsidR="0007376E" w:rsidRPr="004B1F31" w:rsidRDefault="0007376E" w:rsidP="0007376E">
      <w:pPr>
        <w:numPr>
          <w:ilvl w:val="0"/>
          <w:numId w:val="1"/>
        </w:numPr>
        <w:snapToGrid w:val="0"/>
        <w:spacing w:after="200" w:line="360" w:lineRule="auto"/>
        <w:contextualSpacing/>
        <w:jc w:val="both"/>
        <w:rPr>
          <w:rFonts w:ascii="David" w:hAnsi="David"/>
          <w:b/>
          <w:bCs/>
          <w:lang w:eastAsia="he-IL"/>
        </w:rPr>
      </w:pPr>
      <w:r w:rsidRPr="004B1F31">
        <w:rPr>
          <w:rFonts w:ascii="David" w:hAnsi="David"/>
          <w:rtl/>
          <w:lang w:eastAsia="he-IL"/>
        </w:rPr>
        <w:t xml:space="preserve">עובדות כתב האישום מלמדות על נסיבות החזקת סם שלא לצריכה עצמית ולמטרת הפצה. זאת, בנוסף לעבירת הסחר שבוצעה. קשה לקבל את הטענה לגבי עבירת הסחר בסמים, שנסיבותיה דומות לאספקה לאור "אחוות משתמשים" שבין הנאשם לקונה: מדובר בנאשם </w:t>
      </w:r>
      <w:r>
        <w:rPr>
          <w:rFonts w:ascii="David" w:hAnsi="David" w:hint="cs"/>
          <w:rtl/>
          <w:lang w:eastAsia="he-IL"/>
        </w:rPr>
        <w:t>מבוגר ומנוסה ש</w:t>
      </w:r>
      <w:r w:rsidRPr="004B1F31">
        <w:rPr>
          <w:rFonts w:ascii="David" w:hAnsi="David"/>
          <w:rtl/>
          <w:lang w:eastAsia="he-IL"/>
        </w:rPr>
        <w:t>סיפק סם לקטין אותו הוא מכיר</w:t>
      </w:r>
      <w:r>
        <w:rPr>
          <w:rFonts w:ascii="David" w:hAnsi="David" w:hint="cs"/>
          <w:rtl/>
          <w:lang w:eastAsia="he-IL"/>
        </w:rPr>
        <w:t xml:space="preserve"> בהיכרות קודמת ושהיה מצוי באותה עת בהליכי טיפול ושיקום בשירות המבחן, מידע שהובא לידיעת בית המשפט על ידי הנאשם עצמו במהלך דיון ההוכחות</w:t>
      </w:r>
      <w:r w:rsidRPr="004B1F31">
        <w:rPr>
          <w:rFonts w:ascii="David" w:hAnsi="David"/>
          <w:rtl/>
          <w:lang w:eastAsia="he-IL"/>
        </w:rPr>
        <w:t>.</w:t>
      </w:r>
      <w:r>
        <w:rPr>
          <w:rFonts w:ascii="David" w:hAnsi="David" w:hint="cs"/>
          <w:rtl/>
          <w:lang w:eastAsia="he-IL"/>
        </w:rPr>
        <w:t xml:space="preserve"> עובדות אלו היו ידועות לנאשם בעת ביצוע העבירה ולא מדובר בעבירת סחר ברף חומרה נמוך.</w:t>
      </w:r>
    </w:p>
    <w:p w14:paraId="2F1213F5" w14:textId="77777777" w:rsidR="0007376E" w:rsidRPr="004B1F31" w:rsidRDefault="0007376E" w:rsidP="0007376E">
      <w:pPr>
        <w:snapToGrid w:val="0"/>
        <w:spacing w:after="200" w:line="360" w:lineRule="auto"/>
        <w:ind w:left="360"/>
        <w:contextualSpacing/>
        <w:jc w:val="both"/>
        <w:rPr>
          <w:rFonts w:ascii="David" w:hAnsi="David"/>
          <w:lang w:eastAsia="he-IL"/>
        </w:rPr>
      </w:pPr>
    </w:p>
    <w:p w14:paraId="6394790A" w14:textId="77777777" w:rsidR="0007376E" w:rsidRPr="004B1F31" w:rsidRDefault="0007376E" w:rsidP="0007376E">
      <w:pPr>
        <w:spacing w:after="200" w:line="360" w:lineRule="auto"/>
        <w:jc w:val="both"/>
        <w:rPr>
          <w:rFonts w:ascii="David" w:hAnsi="David"/>
          <w:sz w:val="28"/>
          <w:rtl/>
        </w:rPr>
      </w:pPr>
      <w:r w:rsidRPr="004B1F31">
        <w:rPr>
          <w:rFonts w:ascii="David" w:hAnsi="David"/>
          <w:b/>
          <w:bCs/>
          <w:sz w:val="28"/>
          <w:u w:val="single"/>
          <w:rtl/>
        </w:rPr>
        <w:t>מדיניות הענישה הנוהגת:</w:t>
      </w:r>
    </w:p>
    <w:p w14:paraId="51F46912" w14:textId="77777777" w:rsidR="0007376E" w:rsidRPr="004B1F31" w:rsidRDefault="0007376E" w:rsidP="0007376E">
      <w:pPr>
        <w:numPr>
          <w:ilvl w:val="0"/>
          <w:numId w:val="1"/>
        </w:numPr>
        <w:snapToGrid w:val="0"/>
        <w:spacing w:after="200" w:line="360" w:lineRule="auto"/>
        <w:contextualSpacing/>
        <w:jc w:val="both"/>
        <w:rPr>
          <w:rFonts w:ascii="David" w:hAnsi="David"/>
          <w:lang w:eastAsia="he-IL"/>
        </w:rPr>
      </w:pPr>
      <w:r w:rsidRPr="004B1F31">
        <w:rPr>
          <w:rFonts w:ascii="David" w:hAnsi="David"/>
          <w:rtl/>
          <w:lang w:eastAsia="he-IL"/>
        </w:rPr>
        <w:t xml:space="preserve">עיינתי באסמכתאות אליהן הפנו הצדדים, להלן פסיקה נוספת: </w:t>
      </w:r>
    </w:p>
    <w:p w14:paraId="286FBBB8" w14:textId="77777777" w:rsidR="0007376E" w:rsidRPr="004B1F31" w:rsidRDefault="0007376E" w:rsidP="0007376E">
      <w:pPr>
        <w:numPr>
          <w:ilvl w:val="0"/>
          <w:numId w:val="3"/>
        </w:numPr>
        <w:snapToGrid w:val="0"/>
        <w:spacing w:after="200" w:line="360" w:lineRule="auto"/>
        <w:ind w:right="567"/>
        <w:contextualSpacing/>
        <w:jc w:val="both"/>
        <w:rPr>
          <w:rFonts w:ascii="David" w:hAnsi="David"/>
          <w:rtl/>
          <w:lang w:eastAsia="he-IL"/>
        </w:rPr>
      </w:pPr>
      <w:r w:rsidRPr="004B1F31">
        <w:rPr>
          <w:rFonts w:ascii="David" w:hAnsi="David"/>
          <w:rtl/>
          <w:lang w:eastAsia="he-IL"/>
        </w:rPr>
        <w:t>ב</w:t>
      </w:r>
      <w:hyperlink r:id="rId30" w:history="1">
        <w:r w:rsidR="00351F0A" w:rsidRPr="00351F0A">
          <w:rPr>
            <w:rFonts w:ascii="David" w:hAnsi="David"/>
            <w:color w:val="0000FF"/>
            <w:u w:val="single"/>
            <w:rtl/>
            <w:lang w:eastAsia="he-IL"/>
          </w:rPr>
          <w:t>ת"פ 40089-10-13</w:t>
        </w:r>
      </w:hyperlink>
      <w:r w:rsidRPr="004B1F31">
        <w:rPr>
          <w:rFonts w:ascii="David" w:hAnsi="David"/>
          <w:rtl/>
          <w:lang w:eastAsia="he-IL"/>
        </w:rPr>
        <w:t xml:space="preserve"> </w:t>
      </w:r>
      <w:r w:rsidRPr="004B1F31">
        <w:rPr>
          <w:rFonts w:ascii="David" w:hAnsi="David"/>
          <w:b/>
          <w:bCs/>
          <w:rtl/>
          <w:lang w:eastAsia="he-IL"/>
        </w:rPr>
        <w:t xml:space="preserve">ביטון </w:t>
      </w:r>
      <w:r w:rsidRPr="004B1F31">
        <w:rPr>
          <w:rFonts w:ascii="David" w:hAnsi="David"/>
          <w:rtl/>
          <w:lang w:eastAsia="he-IL"/>
        </w:rPr>
        <w:t xml:space="preserve">(19.7.15) הורשע הנאשם ב-20 מקרי סחר בקנבוס בכמויות קטנות לשישה קונים שונים. נקבע, כי מתחם העונש ההולם למכירה </w:t>
      </w:r>
      <w:r w:rsidRPr="004B1F31">
        <w:rPr>
          <w:rFonts w:ascii="David" w:hAnsi="David"/>
          <w:b/>
          <w:bCs/>
          <w:rtl/>
          <w:lang w:eastAsia="he-IL"/>
        </w:rPr>
        <w:t xml:space="preserve">בודדת </w:t>
      </w:r>
      <w:r w:rsidRPr="004B1F31">
        <w:rPr>
          <w:rFonts w:ascii="David" w:hAnsi="David"/>
          <w:rtl/>
          <w:lang w:eastAsia="he-IL"/>
        </w:rPr>
        <w:t>הוא מאסר על תנאי ועד שונה חודשי מאסר בפועל. על הנאשם הוטלו 12 חודשי מאסר, לאחר שנלקחו בחשבון הודאתו, מאמצי שיקום ממושכים ומשמעותיים (הגם שלא הושלמו), נסיבות אישיות חריגות מוכחות, נזק מוכח לבני משפחתו כתוצאה מהעונש והיעדר עבר פלילי.</w:t>
      </w:r>
    </w:p>
    <w:p w14:paraId="61815610" w14:textId="77777777" w:rsidR="0007376E" w:rsidRPr="004B1F31" w:rsidRDefault="00351F0A" w:rsidP="0007376E">
      <w:pPr>
        <w:numPr>
          <w:ilvl w:val="0"/>
          <w:numId w:val="3"/>
        </w:numPr>
        <w:snapToGrid w:val="0"/>
        <w:spacing w:after="200" w:line="360" w:lineRule="auto"/>
        <w:ind w:right="567"/>
        <w:contextualSpacing/>
        <w:jc w:val="both"/>
        <w:rPr>
          <w:rFonts w:ascii="David" w:hAnsi="David"/>
          <w:rtl/>
          <w:lang w:eastAsia="he-IL"/>
        </w:rPr>
      </w:pPr>
      <w:hyperlink r:id="rId31" w:history="1">
        <w:r w:rsidRPr="00351F0A">
          <w:rPr>
            <w:rFonts w:ascii="David" w:hAnsi="David"/>
            <w:color w:val="0000FF"/>
            <w:u w:val="single"/>
            <w:rtl/>
            <w:lang w:eastAsia="he-IL"/>
          </w:rPr>
          <w:t>רע"פ 5712/16</w:t>
        </w:r>
      </w:hyperlink>
      <w:r w:rsidR="0007376E" w:rsidRPr="004B1F31">
        <w:rPr>
          <w:rFonts w:ascii="David" w:hAnsi="David"/>
          <w:rtl/>
          <w:lang w:eastAsia="he-IL"/>
        </w:rPr>
        <w:t xml:space="preserve"> </w:t>
      </w:r>
      <w:r w:rsidR="0007376E" w:rsidRPr="004B1F31">
        <w:rPr>
          <w:rFonts w:ascii="David" w:hAnsi="David"/>
          <w:b/>
          <w:bCs/>
          <w:rtl/>
          <w:lang w:eastAsia="he-IL"/>
        </w:rPr>
        <w:t xml:space="preserve">אייזנבאך </w:t>
      </w:r>
      <w:r w:rsidR="0007376E" w:rsidRPr="004B1F31">
        <w:rPr>
          <w:rFonts w:ascii="David" w:hAnsi="David"/>
          <w:rtl/>
          <w:lang w:eastAsia="he-IL"/>
        </w:rPr>
        <w:t xml:space="preserve">(17.8.16) שם אושר מתחם של 8-24 חודשי מאסר בפועל בגין ארבע עבירות סחר בחשיש בהיקף כולל של 1,000 ₪. </w:t>
      </w:r>
    </w:p>
    <w:p w14:paraId="39CF83F2" w14:textId="77777777" w:rsidR="0007376E" w:rsidRPr="004B1F31" w:rsidRDefault="0007376E" w:rsidP="0007376E">
      <w:pPr>
        <w:numPr>
          <w:ilvl w:val="0"/>
          <w:numId w:val="3"/>
        </w:numPr>
        <w:snapToGrid w:val="0"/>
        <w:spacing w:before="60" w:after="80" w:line="360" w:lineRule="auto"/>
        <w:ind w:right="567"/>
        <w:contextualSpacing/>
        <w:jc w:val="both"/>
        <w:rPr>
          <w:rtl/>
          <w:lang w:eastAsia="he-IL"/>
        </w:rPr>
      </w:pPr>
      <w:r w:rsidRPr="004B1F31">
        <w:rPr>
          <w:rtl/>
          <w:lang w:eastAsia="he-IL"/>
        </w:rPr>
        <w:t>ב</w:t>
      </w:r>
      <w:hyperlink r:id="rId32" w:history="1">
        <w:r w:rsidR="00351F0A" w:rsidRPr="00351F0A">
          <w:rPr>
            <w:color w:val="0000FF"/>
            <w:u w:val="single"/>
            <w:rtl/>
            <w:lang w:eastAsia="he-IL"/>
          </w:rPr>
          <w:t>רע"פ 6401/18</w:t>
        </w:r>
      </w:hyperlink>
      <w:r w:rsidRPr="004B1F31">
        <w:rPr>
          <w:rtl/>
          <w:lang w:eastAsia="he-IL"/>
        </w:rPr>
        <w:t xml:space="preserve"> </w:t>
      </w:r>
      <w:r w:rsidRPr="004B1F31">
        <w:rPr>
          <w:b/>
          <w:bCs/>
          <w:rtl/>
          <w:lang w:eastAsia="he-IL"/>
        </w:rPr>
        <w:t xml:space="preserve">ספיר נ' מדינת ישראל </w:t>
      </w:r>
      <w:r w:rsidRPr="004B1F31">
        <w:rPr>
          <w:rtl/>
          <w:lang w:eastAsia="he-IL"/>
        </w:rPr>
        <w:t xml:space="preserve">(17.9.2018) נדון עניינו של נאשם שהורשע בחמש עבירות סחר בסמים ועבירה של תיווך לסם בהיקפים של עד 10 גרם בכל מכירה. העבירות בוצעו תוך </w:t>
      </w:r>
      <w:r w:rsidRPr="004B1F31">
        <w:rPr>
          <w:rFonts w:ascii="David" w:hAnsi="David"/>
          <w:rtl/>
          <w:lang w:eastAsia="he-IL"/>
        </w:rPr>
        <w:t>שימוש</w:t>
      </w:r>
      <w:r w:rsidRPr="004B1F31">
        <w:rPr>
          <w:rtl/>
          <w:lang w:eastAsia="he-IL"/>
        </w:rPr>
        <w:t xml:space="preserve"> במערכת מסרונים. נקבע מתחם עונש כולל של 16 ל- 36 חודשי מאסר בפועל.</w:t>
      </w:r>
    </w:p>
    <w:p w14:paraId="6905B679" w14:textId="77777777" w:rsidR="0007376E" w:rsidRPr="004B1F31" w:rsidRDefault="0007376E" w:rsidP="0007376E">
      <w:pPr>
        <w:numPr>
          <w:ilvl w:val="0"/>
          <w:numId w:val="3"/>
        </w:numPr>
        <w:snapToGrid w:val="0"/>
        <w:spacing w:before="60" w:after="80" w:line="360" w:lineRule="auto"/>
        <w:ind w:right="567"/>
        <w:contextualSpacing/>
        <w:jc w:val="both"/>
        <w:rPr>
          <w:rFonts w:ascii="David" w:hAnsi="David"/>
          <w:rtl/>
          <w:lang w:eastAsia="he-IL"/>
        </w:rPr>
      </w:pPr>
      <w:r w:rsidRPr="004B1F31">
        <w:rPr>
          <w:rFonts w:ascii="David" w:hAnsi="David"/>
          <w:rtl/>
          <w:lang w:eastAsia="he-IL"/>
        </w:rPr>
        <w:t>ב</w:t>
      </w:r>
      <w:hyperlink r:id="rId33" w:history="1">
        <w:r w:rsidR="00351F0A" w:rsidRPr="00351F0A">
          <w:rPr>
            <w:rFonts w:ascii="David" w:hAnsi="David"/>
            <w:color w:val="0000FF"/>
            <w:u w:val="single"/>
            <w:rtl/>
            <w:lang w:eastAsia="he-IL"/>
          </w:rPr>
          <w:t>רע"פ 5698/17</w:t>
        </w:r>
      </w:hyperlink>
      <w:r w:rsidRPr="004B1F31">
        <w:rPr>
          <w:rFonts w:ascii="David" w:hAnsi="David"/>
          <w:rtl/>
          <w:lang w:eastAsia="he-IL"/>
        </w:rPr>
        <w:t xml:space="preserve"> </w:t>
      </w:r>
      <w:r w:rsidRPr="004B1F31">
        <w:rPr>
          <w:rFonts w:ascii="David" w:hAnsi="David"/>
          <w:b/>
          <w:bCs/>
          <w:rtl/>
          <w:lang w:eastAsia="he-IL"/>
        </w:rPr>
        <w:t>ליפצר נ' מדינת ישראל</w:t>
      </w:r>
      <w:r w:rsidRPr="004B1F31">
        <w:rPr>
          <w:rFonts w:ascii="David" w:hAnsi="David"/>
          <w:rtl/>
          <w:lang w:eastAsia="he-IL"/>
        </w:rPr>
        <w:t xml:space="preserve"> (4.9.2017) נדון עניינו של נאשם </w:t>
      </w:r>
      <w:r w:rsidRPr="004B1F31">
        <w:rPr>
          <w:rtl/>
          <w:lang w:eastAsia="he-IL"/>
        </w:rPr>
        <w:t>שהורשע</w:t>
      </w:r>
      <w:r w:rsidRPr="004B1F31">
        <w:rPr>
          <w:rFonts w:ascii="David" w:hAnsi="David"/>
          <w:rtl/>
          <w:lang w:eastAsia="he-IL"/>
        </w:rPr>
        <w:t xml:space="preserve"> במספר עבירות סחר במריחואנה. באותו מקרה נקבע, כי יש לקבוע מתחם עונש נפרד של 6-12 חודשי מאסר לכל עסקה ובסופו של דבר הוטל עונש כולל של 30 חודשי מאסר בפועל.</w:t>
      </w:r>
    </w:p>
    <w:p w14:paraId="1B363ED0" w14:textId="77777777" w:rsidR="0007376E" w:rsidRPr="004B1F31" w:rsidRDefault="0007376E" w:rsidP="0007376E">
      <w:pPr>
        <w:numPr>
          <w:ilvl w:val="0"/>
          <w:numId w:val="3"/>
        </w:numPr>
        <w:snapToGrid w:val="0"/>
        <w:spacing w:before="60" w:after="80" w:line="360" w:lineRule="auto"/>
        <w:ind w:right="567"/>
        <w:contextualSpacing/>
        <w:jc w:val="both"/>
        <w:rPr>
          <w:rFonts w:ascii="David" w:hAnsi="David"/>
          <w:rtl/>
          <w:lang w:eastAsia="he-IL"/>
        </w:rPr>
      </w:pPr>
      <w:r w:rsidRPr="004B1F31">
        <w:rPr>
          <w:rFonts w:ascii="David" w:hAnsi="David"/>
          <w:rtl/>
          <w:lang w:eastAsia="he-IL"/>
        </w:rPr>
        <w:t>ב</w:t>
      </w:r>
      <w:hyperlink r:id="rId34" w:history="1">
        <w:r w:rsidR="00351F0A" w:rsidRPr="00351F0A">
          <w:rPr>
            <w:rFonts w:ascii="David" w:hAnsi="David"/>
            <w:color w:val="0000FF"/>
            <w:u w:val="single"/>
            <w:rtl/>
            <w:lang w:eastAsia="he-IL"/>
          </w:rPr>
          <w:t>רע"פ 4687/15</w:t>
        </w:r>
      </w:hyperlink>
      <w:r w:rsidRPr="004B1F31">
        <w:rPr>
          <w:rFonts w:ascii="David" w:hAnsi="David"/>
          <w:rtl/>
          <w:lang w:eastAsia="he-IL"/>
        </w:rPr>
        <w:t xml:space="preserve"> </w:t>
      </w:r>
      <w:r w:rsidRPr="004B1F31">
        <w:rPr>
          <w:rFonts w:ascii="David" w:hAnsi="David"/>
          <w:b/>
          <w:bCs/>
          <w:rtl/>
          <w:lang w:eastAsia="he-IL"/>
        </w:rPr>
        <w:t xml:space="preserve">פלג נ' מדינת ישראל </w:t>
      </w:r>
      <w:r w:rsidRPr="004B1F31">
        <w:rPr>
          <w:rFonts w:ascii="David" w:hAnsi="David"/>
          <w:rtl/>
          <w:lang w:eastAsia="he-IL"/>
        </w:rPr>
        <w:t>(13.8.2015) עניינו של נאשם שהורשע בשורת עבירות סחר בקנאבוס, בכמות של מספר גרמים בכל מכירה. נקבע מתחם עונש של מספר חודשי מאסר ועד 15 חודשי מאסר בפועל לכל מכירת סם ובסך הכל הוטלו על הנאשם 24 חודשי מאסר בפועל.</w:t>
      </w:r>
    </w:p>
    <w:p w14:paraId="0B1478E6" w14:textId="77777777" w:rsidR="0007376E" w:rsidRPr="004B1F31" w:rsidRDefault="0007376E" w:rsidP="0007376E">
      <w:pPr>
        <w:numPr>
          <w:ilvl w:val="0"/>
          <w:numId w:val="3"/>
        </w:numPr>
        <w:snapToGrid w:val="0"/>
        <w:spacing w:before="60" w:after="80" w:line="360" w:lineRule="auto"/>
        <w:ind w:right="567"/>
        <w:contextualSpacing/>
        <w:jc w:val="both"/>
        <w:rPr>
          <w:rFonts w:ascii="David" w:hAnsi="David"/>
          <w:rtl/>
          <w:lang w:eastAsia="he-IL"/>
        </w:rPr>
      </w:pPr>
      <w:r w:rsidRPr="004B1F31">
        <w:rPr>
          <w:rFonts w:ascii="David" w:hAnsi="David"/>
          <w:rtl/>
          <w:lang w:eastAsia="he-IL"/>
        </w:rPr>
        <w:t>ב</w:t>
      </w:r>
      <w:hyperlink r:id="rId35" w:history="1">
        <w:r w:rsidR="00351F0A" w:rsidRPr="00351F0A">
          <w:rPr>
            <w:rFonts w:ascii="David" w:hAnsi="David"/>
            <w:color w:val="0000FF"/>
            <w:u w:val="single"/>
            <w:rtl/>
            <w:lang w:eastAsia="he-IL"/>
          </w:rPr>
          <w:t>ת"פ (ב"ש) 30905-10-18</w:t>
        </w:r>
      </w:hyperlink>
      <w:r w:rsidRPr="004B1F31">
        <w:rPr>
          <w:rFonts w:ascii="David" w:hAnsi="David"/>
          <w:rtl/>
          <w:lang w:eastAsia="he-IL"/>
        </w:rPr>
        <w:t xml:space="preserve"> </w:t>
      </w:r>
      <w:r w:rsidRPr="004B1F31">
        <w:rPr>
          <w:rFonts w:ascii="David" w:hAnsi="David"/>
          <w:b/>
          <w:bCs/>
          <w:rtl/>
          <w:lang w:eastAsia="he-IL"/>
        </w:rPr>
        <w:t>מדינת ישראל נ' אליה</w:t>
      </w:r>
      <w:r w:rsidRPr="004B1F31">
        <w:rPr>
          <w:rFonts w:ascii="David" w:hAnsi="David"/>
          <w:rtl/>
          <w:lang w:eastAsia="he-IL"/>
        </w:rPr>
        <w:t xml:space="preserve"> (12.2.2019) נדון עניינו של נאשם שהחזיק בסם לצורך מכירתו באמצעות יישומון הטלגראס, ובהזדמנות נוספת גם מכר 10 גרם סם קנאבוס בתמורה ל- 500 ₪ תוך שימוש ביישומון. נקבע מתחם עונש הולם כולל של 12 ל- 30 חודשי מאסר בפועל. </w:t>
      </w:r>
    </w:p>
    <w:p w14:paraId="2B6EC009" w14:textId="77777777" w:rsidR="0007376E" w:rsidRPr="004B1F31" w:rsidRDefault="0007376E" w:rsidP="0007376E">
      <w:pPr>
        <w:numPr>
          <w:ilvl w:val="0"/>
          <w:numId w:val="3"/>
        </w:numPr>
        <w:snapToGrid w:val="0"/>
        <w:spacing w:before="60" w:after="80" w:line="360" w:lineRule="auto"/>
        <w:ind w:right="567"/>
        <w:contextualSpacing/>
        <w:jc w:val="both"/>
        <w:rPr>
          <w:rFonts w:ascii="David" w:hAnsi="David"/>
          <w:rtl/>
          <w:lang w:eastAsia="he-IL"/>
        </w:rPr>
      </w:pPr>
      <w:r w:rsidRPr="004B1F31">
        <w:rPr>
          <w:rFonts w:ascii="David" w:hAnsi="David"/>
          <w:rtl/>
          <w:lang w:eastAsia="he-IL"/>
        </w:rPr>
        <w:t>ב</w:t>
      </w:r>
      <w:hyperlink r:id="rId36" w:history="1">
        <w:r w:rsidR="00351F0A" w:rsidRPr="00351F0A">
          <w:rPr>
            <w:rFonts w:ascii="David" w:hAnsi="David"/>
            <w:color w:val="0000FF"/>
            <w:u w:val="single"/>
            <w:rtl/>
            <w:lang w:eastAsia="he-IL"/>
          </w:rPr>
          <w:t>ת"פ (ב"ש) 49876-03-19</w:t>
        </w:r>
      </w:hyperlink>
      <w:r w:rsidRPr="004B1F31">
        <w:rPr>
          <w:rFonts w:ascii="David" w:hAnsi="David"/>
          <w:rtl/>
          <w:lang w:eastAsia="he-IL"/>
        </w:rPr>
        <w:t xml:space="preserve"> </w:t>
      </w:r>
      <w:r w:rsidRPr="004B1F31">
        <w:rPr>
          <w:rFonts w:ascii="David" w:hAnsi="David"/>
          <w:b/>
          <w:bCs/>
          <w:rtl/>
          <w:lang w:eastAsia="he-IL"/>
        </w:rPr>
        <w:t>מדינת ישראל נ' שבצוב</w:t>
      </w:r>
      <w:r w:rsidRPr="004B1F31">
        <w:rPr>
          <w:rFonts w:ascii="David" w:hAnsi="David"/>
          <w:rtl/>
          <w:lang w:eastAsia="he-IL"/>
        </w:rPr>
        <w:t xml:space="preserve"> (27.1.2020) נדון מקרה של מכירת סם תוך שימוש באפליקציה ייעודית לכך, נקבע מתחם עונש הולם בעבירה </w:t>
      </w:r>
      <w:r w:rsidRPr="004B1F31">
        <w:rPr>
          <w:rFonts w:ascii="David" w:hAnsi="David"/>
          <w:u w:val="single"/>
          <w:rtl/>
          <w:lang w:eastAsia="he-IL"/>
        </w:rPr>
        <w:t>יחידה</w:t>
      </w:r>
      <w:r w:rsidRPr="004B1F31">
        <w:rPr>
          <w:rFonts w:ascii="David" w:hAnsi="David"/>
          <w:rtl/>
          <w:lang w:eastAsia="he-IL"/>
        </w:rPr>
        <w:t xml:space="preserve"> של סחר בסם קנאבוס בהיקף קטן אשר התרחשה באמצעות אפליקציית טלגראס של 6 ועד 18 חודשי מאסר בפועל. באותו מקרה היה מדובר במי שעמד בראש רשת הפצה באמצעות טלגראס, אשר הפעיל תחתיו אחרים. בסה"כ הורשע אותו נאשם בשבע עסקאות של מכירת סם (בהיקפים נמוכים) ונקבע מתחם עונש הולם כולל שנע בין 18 ל- 30 חודשי מאסר בפועל וקנס ע"ס 12,000 ₪. </w:t>
      </w:r>
    </w:p>
    <w:p w14:paraId="52C9E0C0" w14:textId="77777777" w:rsidR="0007376E" w:rsidRPr="004B1F31" w:rsidRDefault="0007376E" w:rsidP="0007376E">
      <w:pPr>
        <w:snapToGrid w:val="0"/>
        <w:spacing w:after="80"/>
        <w:ind w:left="211"/>
        <w:contextualSpacing/>
        <w:rPr>
          <w:rFonts w:ascii="David" w:hAnsi="David"/>
          <w:b/>
          <w:bCs/>
          <w:highlight w:val="yellow"/>
          <w:rtl/>
          <w:lang w:eastAsia="he-IL"/>
        </w:rPr>
      </w:pPr>
    </w:p>
    <w:p w14:paraId="25C00A88" w14:textId="77777777" w:rsidR="0007376E" w:rsidRPr="004B1F31" w:rsidRDefault="0007376E" w:rsidP="0007376E">
      <w:pPr>
        <w:spacing w:after="80" w:line="360" w:lineRule="auto"/>
        <w:contextualSpacing/>
        <w:jc w:val="both"/>
        <w:rPr>
          <w:rFonts w:ascii="David" w:hAnsi="David"/>
          <w:b/>
          <w:bCs/>
          <w:rtl/>
        </w:rPr>
      </w:pPr>
    </w:p>
    <w:p w14:paraId="5360C2A5" w14:textId="77777777" w:rsidR="0007376E" w:rsidRPr="004B1F31" w:rsidRDefault="0007376E" w:rsidP="0007376E">
      <w:pPr>
        <w:spacing w:after="80" w:line="360" w:lineRule="auto"/>
        <w:ind w:left="360" w:firstLine="8"/>
        <w:contextualSpacing/>
        <w:jc w:val="both"/>
        <w:rPr>
          <w:rFonts w:ascii="David" w:hAnsi="David"/>
          <w:b/>
          <w:bCs/>
          <w:rtl/>
        </w:rPr>
      </w:pPr>
      <w:r w:rsidRPr="004B1F31">
        <w:rPr>
          <w:rFonts w:ascii="David" w:hAnsi="David"/>
          <w:b/>
          <w:bCs/>
          <w:rtl/>
        </w:rPr>
        <w:t>מכל האמור לעיל, בשים לב לכמות הסם בה מדובר, לעובדה שמדובר בעבירת סחר בודדת בכמות קטנה</w:t>
      </w:r>
      <w:r>
        <w:rPr>
          <w:rFonts w:ascii="David" w:hAnsi="David" w:hint="cs"/>
          <w:b/>
          <w:bCs/>
          <w:rtl/>
        </w:rPr>
        <w:t xml:space="preserve"> (לגבי מתחם העונש ההולם הוא 6-12 חודשי מאסר בפועל),</w:t>
      </w:r>
      <w:r w:rsidRPr="004B1F31">
        <w:rPr>
          <w:rFonts w:ascii="David" w:hAnsi="David"/>
          <w:b/>
          <w:bCs/>
          <w:rtl/>
        </w:rPr>
        <w:t xml:space="preserve"> מתחם העונש ההולם </w:t>
      </w:r>
      <w:r>
        <w:rPr>
          <w:rFonts w:ascii="David" w:hAnsi="David" w:hint="cs"/>
          <w:b/>
          <w:bCs/>
          <w:rtl/>
        </w:rPr>
        <w:t xml:space="preserve">הכולל בתיק זה </w:t>
      </w:r>
      <w:r w:rsidRPr="004B1F31">
        <w:rPr>
          <w:rFonts w:ascii="David" w:hAnsi="David"/>
          <w:b/>
          <w:bCs/>
          <w:rtl/>
        </w:rPr>
        <w:t>הוא 10-20 חודשי מאסר בפועל.</w:t>
      </w:r>
    </w:p>
    <w:p w14:paraId="42181978" w14:textId="77777777" w:rsidR="0007376E" w:rsidRPr="0007376E" w:rsidRDefault="0007376E" w:rsidP="0007376E">
      <w:pPr>
        <w:spacing w:after="80" w:line="360" w:lineRule="auto"/>
        <w:jc w:val="both"/>
        <w:rPr>
          <w:rFonts w:ascii="Calibri" w:hAnsi="Calibri"/>
          <w:sz w:val="28"/>
          <w:rtl/>
        </w:rPr>
      </w:pPr>
    </w:p>
    <w:p w14:paraId="3195EF28" w14:textId="77777777" w:rsidR="0007376E" w:rsidRPr="004B1F31" w:rsidRDefault="0007376E" w:rsidP="0007376E">
      <w:pPr>
        <w:numPr>
          <w:ilvl w:val="0"/>
          <w:numId w:val="1"/>
        </w:numPr>
        <w:snapToGrid w:val="0"/>
        <w:spacing w:after="80" w:line="360" w:lineRule="auto"/>
        <w:contextualSpacing/>
        <w:jc w:val="both"/>
        <w:rPr>
          <w:sz w:val="28"/>
          <w:rtl/>
          <w:lang w:eastAsia="he-IL"/>
        </w:rPr>
      </w:pPr>
      <w:r w:rsidRPr="004B1F31">
        <w:rPr>
          <w:sz w:val="28"/>
          <w:rtl/>
          <w:lang w:eastAsia="he-IL"/>
        </w:rPr>
        <w:t>אשר ל</w:t>
      </w:r>
      <w:r w:rsidRPr="004B1F31">
        <w:rPr>
          <w:b/>
          <w:bCs/>
          <w:sz w:val="28"/>
          <w:rtl/>
          <w:lang w:eastAsia="he-IL"/>
        </w:rPr>
        <w:t xml:space="preserve">מתחם הקנס </w:t>
      </w:r>
      <w:r w:rsidRPr="004B1F31">
        <w:rPr>
          <w:sz w:val="28"/>
          <w:rtl/>
          <w:lang w:eastAsia="he-IL"/>
        </w:rPr>
        <w:t>ההולם, משלא הוצגו אסמכתאות המאפשרות קביעת ממצא בנוגע למצב כלכלי חריג של הנאשם, ומאחר שמדובר בעבירות שבוצעו למטרת רווח כספי, ובשים לב להיקף המכירות יש לקבוע את מתחם הקנס ההולם בין 5,000 ₪ ל- 15,000 ₪.</w:t>
      </w:r>
    </w:p>
    <w:p w14:paraId="60048DD9" w14:textId="77777777" w:rsidR="0007376E" w:rsidRPr="0007376E" w:rsidRDefault="0007376E" w:rsidP="0007376E">
      <w:pPr>
        <w:spacing w:after="80" w:line="360" w:lineRule="auto"/>
        <w:jc w:val="both"/>
        <w:rPr>
          <w:rFonts w:ascii="Calibri" w:hAnsi="Calibri"/>
          <w:sz w:val="28"/>
          <w:rtl/>
        </w:rPr>
      </w:pPr>
    </w:p>
    <w:p w14:paraId="29C2A024" w14:textId="77777777" w:rsidR="0007376E" w:rsidRPr="0007376E" w:rsidRDefault="0007376E" w:rsidP="0007376E">
      <w:pPr>
        <w:spacing w:after="80" w:line="360" w:lineRule="auto"/>
        <w:jc w:val="both"/>
        <w:rPr>
          <w:rFonts w:ascii="Calibri" w:hAnsi="Calibri"/>
          <w:b/>
          <w:bCs/>
          <w:u w:val="single"/>
          <w:rtl/>
        </w:rPr>
      </w:pPr>
      <w:r w:rsidRPr="0007376E">
        <w:rPr>
          <w:rFonts w:ascii="Calibri" w:hAnsi="Calibri" w:hint="eastAsia"/>
          <w:b/>
          <w:bCs/>
          <w:u w:val="single"/>
          <w:rtl/>
        </w:rPr>
        <w:t>קביעת</w:t>
      </w:r>
      <w:r w:rsidRPr="0007376E">
        <w:rPr>
          <w:rFonts w:ascii="Calibri" w:hAnsi="Calibri"/>
          <w:b/>
          <w:bCs/>
          <w:u w:val="single"/>
          <w:rtl/>
        </w:rPr>
        <w:t xml:space="preserve"> </w:t>
      </w:r>
      <w:r w:rsidRPr="0007376E">
        <w:rPr>
          <w:rFonts w:ascii="Calibri" w:hAnsi="Calibri" w:hint="eastAsia"/>
          <w:b/>
          <w:bCs/>
          <w:u w:val="single"/>
          <w:rtl/>
        </w:rPr>
        <w:t>העונש</w:t>
      </w:r>
      <w:r w:rsidRPr="0007376E">
        <w:rPr>
          <w:rFonts w:ascii="Calibri" w:hAnsi="Calibri"/>
          <w:b/>
          <w:bCs/>
          <w:u w:val="single"/>
          <w:rtl/>
        </w:rPr>
        <w:t xml:space="preserve"> </w:t>
      </w:r>
      <w:r w:rsidRPr="0007376E">
        <w:rPr>
          <w:rFonts w:ascii="Calibri" w:hAnsi="Calibri" w:hint="eastAsia"/>
          <w:b/>
          <w:bCs/>
          <w:u w:val="single"/>
          <w:rtl/>
        </w:rPr>
        <w:t>המתאים</w:t>
      </w:r>
      <w:r w:rsidRPr="0007376E">
        <w:rPr>
          <w:rFonts w:ascii="Calibri" w:hAnsi="Calibri"/>
          <w:b/>
          <w:bCs/>
          <w:u w:val="single"/>
          <w:rtl/>
        </w:rPr>
        <w:t xml:space="preserve"> </w:t>
      </w:r>
      <w:r w:rsidRPr="0007376E">
        <w:rPr>
          <w:rFonts w:ascii="Calibri" w:hAnsi="Calibri" w:hint="eastAsia"/>
          <w:b/>
          <w:bCs/>
          <w:u w:val="single"/>
          <w:rtl/>
        </w:rPr>
        <w:t>בגדרי</w:t>
      </w:r>
      <w:r w:rsidRPr="0007376E">
        <w:rPr>
          <w:rFonts w:ascii="Calibri" w:hAnsi="Calibri"/>
          <w:b/>
          <w:bCs/>
          <w:u w:val="single"/>
          <w:rtl/>
        </w:rPr>
        <w:t xml:space="preserve"> </w:t>
      </w:r>
      <w:r w:rsidRPr="0007376E">
        <w:rPr>
          <w:rFonts w:ascii="Calibri" w:hAnsi="Calibri" w:hint="eastAsia"/>
          <w:b/>
          <w:bCs/>
          <w:u w:val="single"/>
          <w:rtl/>
        </w:rPr>
        <w:t>המתחם</w:t>
      </w:r>
    </w:p>
    <w:p w14:paraId="2A86448B" w14:textId="77777777" w:rsidR="0007376E" w:rsidRPr="0007376E" w:rsidRDefault="0007376E" w:rsidP="0007376E">
      <w:pPr>
        <w:spacing w:after="80" w:line="360" w:lineRule="auto"/>
        <w:jc w:val="both"/>
        <w:rPr>
          <w:rFonts w:ascii="Calibri" w:hAnsi="Calibri"/>
          <w:b/>
          <w:bCs/>
          <w:u w:val="single"/>
          <w:rtl/>
        </w:rPr>
      </w:pPr>
    </w:p>
    <w:p w14:paraId="7C005C90" w14:textId="77777777" w:rsidR="0007376E" w:rsidRPr="004B1F31" w:rsidRDefault="0007376E" w:rsidP="0007376E">
      <w:pPr>
        <w:numPr>
          <w:ilvl w:val="0"/>
          <w:numId w:val="1"/>
        </w:numPr>
        <w:snapToGrid w:val="0"/>
        <w:spacing w:after="80" w:line="360" w:lineRule="auto"/>
        <w:contextualSpacing/>
        <w:jc w:val="both"/>
        <w:rPr>
          <w:rtl/>
          <w:lang w:eastAsia="he-IL"/>
        </w:rPr>
      </w:pPr>
      <w:r w:rsidRPr="004B1F31">
        <w:rPr>
          <w:rtl/>
          <w:lang w:eastAsia="he-IL"/>
        </w:rPr>
        <w:t xml:space="preserve">בגזירת העונש המתאים לנאשם, בגדרי מתחם העונש ההולם, יתחשב בית המשפט בשיקולים כלליים ובשיקולים פרטניים, שאינם קשורים בנסיבות ביצוע העבירה. </w:t>
      </w:r>
    </w:p>
    <w:p w14:paraId="34EBF8E0" w14:textId="77777777" w:rsidR="0007376E" w:rsidRPr="004B1F31" w:rsidRDefault="0007376E" w:rsidP="0007376E">
      <w:pPr>
        <w:snapToGrid w:val="0"/>
        <w:spacing w:after="80" w:line="360" w:lineRule="auto"/>
        <w:ind w:left="360"/>
        <w:contextualSpacing/>
        <w:jc w:val="both"/>
        <w:rPr>
          <w:rtl/>
          <w:lang w:eastAsia="he-IL"/>
        </w:rPr>
      </w:pPr>
    </w:p>
    <w:p w14:paraId="5BB766E4" w14:textId="77777777" w:rsidR="0007376E" w:rsidRPr="004B1F31" w:rsidRDefault="0007376E" w:rsidP="0007376E">
      <w:pPr>
        <w:snapToGrid w:val="0"/>
        <w:spacing w:after="80" w:line="360" w:lineRule="auto"/>
        <w:ind w:left="360"/>
        <w:contextualSpacing/>
        <w:jc w:val="both"/>
        <w:rPr>
          <w:rtl/>
          <w:lang w:eastAsia="he-IL"/>
        </w:rPr>
      </w:pPr>
      <w:r w:rsidRPr="004B1F31">
        <w:rPr>
          <w:rtl/>
          <w:lang w:eastAsia="he-IL"/>
        </w:rPr>
        <w:t>לחובת הנאשם לקחתי בחשבון את עברו הפלילי של הנאשם, הכולל 43 הרשעות קודמות הן מתחום הסמים והן מתחומים נוספים. הנאשם ריצה מספר לא מבוטל של תקופות מאסר בעברו וכנגדו מאסר מותנה חב הפעלה.</w:t>
      </w:r>
    </w:p>
    <w:p w14:paraId="25F3178A" w14:textId="77777777" w:rsidR="0007376E" w:rsidRPr="004B1F31" w:rsidRDefault="0007376E" w:rsidP="0007376E">
      <w:pPr>
        <w:snapToGrid w:val="0"/>
        <w:spacing w:after="80" w:line="360" w:lineRule="auto"/>
        <w:ind w:left="360"/>
        <w:contextualSpacing/>
        <w:jc w:val="both"/>
        <w:rPr>
          <w:rtl/>
          <w:lang w:eastAsia="he-IL"/>
        </w:rPr>
      </w:pPr>
    </w:p>
    <w:p w14:paraId="79DAD362" w14:textId="77777777" w:rsidR="0007376E" w:rsidRPr="004B1F31" w:rsidRDefault="0007376E" w:rsidP="0007376E">
      <w:pPr>
        <w:snapToGrid w:val="0"/>
        <w:spacing w:after="80" w:line="360" w:lineRule="auto"/>
        <w:ind w:left="360"/>
        <w:contextualSpacing/>
        <w:jc w:val="both"/>
        <w:rPr>
          <w:rtl/>
          <w:lang w:eastAsia="he-IL"/>
        </w:rPr>
      </w:pPr>
      <w:r w:rsidRPr="004B1F31">
        <w:rPr>
          <w:rtl/>
          <w:lang w:eastAsia="he-IL"/>
        </w:rPr>
        <w:t>הנאשם לא ביקש כי יינתן תסקיר בעניינו ולא ביקש להשתלב בהליך טיפולי. לפיכך, לא ניתן לשקול לזכותו בהליך זה שיקולי שיקום, גם לא בתוך המתחם.</w:t>
      </w:r>
    </w:p>
    <w:p w14:paraId="5AEC5707" w14:textId="77777777" w:rsidR="0007376E" w:rsidRPr="004B1F31" w:rsidRDefault="0007376E" w:rsidP="0007376E">
      <w:pPr>
        <w:snapToGrid w:val="0"/>
        <w:spacing w:after="80" w:line="360" w:lineRule="auto"/>
        <w:ind w:left="360"/>
        <w:contextualSpacing/>
        <w:jc w:val="both"/>
        <w:rPr>
          <w:rtl/>
          <w:lang w:eastAsia="he-IL"/>
        </w:rPr>
      </w:pPr>
    </w:p>
    <w:p w14:paraId="37D38E45" w14:textId="77777777" w:rsidR="0007376E" w:rsidRPr="004B1F31" w:rsidRDefault="0007376E" w:rsidP="0007376E">
      <w:pPr>
        <w:snapToGrid w:val="0"/>
        <w:spacing w:after="80" w:line="360" w:lineRule="auto"/>
        <w:ind w:left="360"/>
        <w:contextualSpacing/>
        <w:jc w:val="both"/>
        <w:rPr>
          <w:rtl/>
          <w:lang w:eastAsia="he-IL"/>
        </w:rPr>
      </w:pPr>
      <w:r w:rsidRPr="004B1F31">
        <w:rPr>
          <w:rtl/>
          <w:lang w:eastAsia="he-IL"/>
        </w:rPr>
        <w:t>הנאשם לא נטל אחריות על מעשיו ולא ניתן לזקוף לזכותו חיסכון בזמן שיפוטי או הבעת חרטה כנה.</w:t>
      </w:r>
    </w:p>
    <w:p w14:paraId="4A05C807" w14:textId="77777777" w:rsidR="0007376E" w:rsidRPr="004B1F31" w:rsidRDefault="0007376E" w:rsidP="0007376E">
      <w:pPr>
        <w:snapToGrid w:val="0"/>
        <w:spacing w:after="80" w:line="360" w:lineRule="auto"/>
        <w:ind w:left="360"/>
        <w:contextualSpacing/>
        <w:jc w:val="both"/>
        <w:rPr>
          <w:rtl/>
          <w:lang w:eastAsia="he-IL"/>
        </w:rPr>
      </w:pPr>
      <w:r w:rsidRPr="004B1F31">
        <w:rPr>
          <w:rtl/>
          <w:lang w:eastAsia="he-IL"/>
        </w:rPr>
        <w:t>בהתחשב בכל אלה, יש להטיל על הנאשם עונש בשליש העליון של המתחם.</w:t>
      </w:r>
    </w:p>
    <w:p w14:paraId="5AD7A203" w14:textId="77777777" w:rsidR="0007376E" w:rsidRPr="004B1F31" w:rsidRDefault="0007376E" w:rsidP="0007376E">
      <w:pPr>
        <w:snapToGrid w:val="0"/>
        <w:spacing w:after="80" w:line="360" w:lineRule="auto"/>
        <w:ind w:left="360"/>
        <w:contextualSpacing/>
        <w:jc w:val="both"/>
        <w:rPr>
          <w:rtl/>
          <w:lang w:eastAsia="he-IL"/>
        </w:rPr>
      </w:pPr>
    </w:p>
    <w:p w14:paraId="1D6F3564" w14:textId="77777777" w:rsidR="0007376E" w:rsidRPr="004B1F31" w:rsidRDefault="0007376E" w:rsidP="0007376E">
      <w:pPr>
        <w:snapToGrid w:val="0"/>
        <w:spacing w:after="80" w:line="360" w:lineRule="auto"/>
        <w:ind w:left="360"/>
        <w:contextualSpacing/>
        <w:jc w:val="both"/>
        <w:rPr>
          <w:b/>
          <w:bCs/>
          <w:u w:val="single"/>
          <w:rtl/>
          <w:lang w:eastAsia="he-IL"/>
        </w:rPr>
      </w:pPr>
      <w:r w:rsidRPr="004B1F31">
        <w:rPr>
          <w:b/>
          <w:bCs/>
          <w:u w:val="single"/>
          <w:rtl/>
          <w:lang w:eastAsia="he-IL"/>
        </w:rPr>
        <w:t>הפעלת עונש המאסר המותנה:</w:t>
      </w:r>
    </w:p>
    <w:p w14:paraId="4E60112C" w14:textId="77777777" w:rsidR="0007376E" w:rsidRPr="004B1F31" w:rsidRDefault="0007376E" w:rsidP="0007376E">
      <w:pPr>
        <w:snapToGrid w:val="0"/>
        <w:spacing w:after="80" w:line="360" w:lineRule="auto"/>
        <w:ind w:left="360"/>
        <w:contextualSpacing/>
        <w:jc w:val="both"/>
        <w:rPr>
          <w:b/>
          <w:bCs/>
          <w:u w:val="single"/>
          <w:rtl/>
          <w:lang w:eastAsia="he-IL"/>
        </w:rPr>
      </w:pPr>
    </w:p>
    <w:p w14:paraId="567FA8A3" w14:textId="77777777" w:rsidR="0007376E" w:rsidRPr="004B1F31" w:rsidRDefault="0007376E" w:rsidP="0007376E">
      <w:pPr>
        <w:numPr>
          <w:ilvl w:val="0"/>
          <w:numId w:val="1"/>
        </w:numPr>
        <w:snapToGrid w:val="0"/>
        <w:spacing w:line="360" w:lineRule="auto"/>
        <w:contextualSpacing/>
        <w:jc w:val="both"/>
        <w:rPr>
          <w:lang w:eastAsia="he-IL"/>
        </w:rPr>
      </w:pPr>
      <w:r w:rsidRPr="004B1F31">
        <w:rPr>
          <w:rtl/>
          <w:lang w:eastAsia="he-IL"/>
        </w:rPr>
        <w:t>אין מחלוקת, כי הקביעה בדבר חפיפה או צבירת עונשי המאסר נתונה לשיקול דעת בית המשפט. בע"פ 38597/17 שמואל אביעד נ' מדינת ישראל (10.2.20) וב</w:t>
      </w:r>
      <w:hyperlink r:id="rId37" w:history="1">
        <w:r w:rsidR="00351F0A" w:rsidRPr="00351F0A">
          <w:rPr>
            <w:color w:val="0000FF"/>
            <w:u w:val="single"/>
            <w:rtl/>
            <w:lang w:eastAsia="he-IL"/>
          </w:rPr>
          <w:t>ע"פ 7907/14</w:t>
        </w:r>
      </w:hyperlink>
      <w:r w:rsidRPr="004B1F31">
        <w:rPr>
          <w:rtl/>
          <w:lang w:eastAsia="he-IL"/>
        </w:rPr>
        <w:t xml:space="preserve"> ואזנה נ' מדינת ישראל (22.2.15) התווה בית המשפט העליון מספר שיקולים לצורך הכרעה בין חפיפה, או צבירה של עונשים, וביניהם: אופי המעשים, חומרת העבירות ונסיבות ביצוען (כאשר ככל שאלה חמורים יותר, כך גוברת הנטייה להטיל ענישה מצטברת); קיומה, או העדרה של זיקה בין העבירות (כאשר ככל שקיימת זיקה הדוקה יותר, כך קטנה הנטייה להטיל ענישה מצטברת) ושיקולי גמול והרתעה.  בעניין </w:t>
      </w:r>
      <w:r w:rsidRPr="004B1F31">
        <w:rPr>
          <w:b/>
          <w:bCs/>
          <w:rtl/>
          <w:lang w:eastAsia="he-IL"/>
        </w:rPr>
        <w:t xml:space="preserve">ואזנה </w:t>
      </w:r>
      <w:r w:rsidRPr="004B1F31">
        <w:rPr>
          <w:rtl/>
          <w:lang w:eastAsia="he-IL"/>
        </w:rPr>
        <w:t>התייחס בית המשפט גם לתיקון 113 ולעקרון ההלימה אשר נקבע בו כעיקרון עיקרי מנחה.</w:t>
      </w:r>
    </w:p>
    <w:p w14:paraId="7A756561" w14:textId="77777777" w:rsidR="0007376E" w:rsidRPr="004B1F31" w:rsidRDefault="0007376E" w:rsidP="0007376E">
      <w:pPr>
        <w:snapToGrid w:val="0"/>
        <w:spacing w:after="80"/>
        <w:ind w:left="720"/>
        <w:contextualSpacing/>
        <w:rPr>
          <w:rtl/>
          <w:lang w:eastAsia="he-IL"/>
        </w:rPr>
      </w:pPr>
    </w:p>
    <w:p w14:paraId="04BF3739" w14:textId="77777777" w:rsidR="0007376E" w:rsidRPr="004B1F31" w:rsidRDefault="0007376E" w:rsidP="0007376E">
      <w:pPr>
        <w:numPr>
          <w:ilvl w:val="0"/>
          <w:numId w:val="1"/>
        </w:numPr>
        <w:snapToGrid w:val="0"/>
        <w:spacing w:line="360" w:lineRule="auto"/>
        <w:contextualSpacing/>
        <w:jc w:val="both"/>
        <w:rPr>
          <w:lang w:eastAsia="he-IL"/>
        </w:rPr>
      </w:pPr>
      <w:r w:rsidRPr="004B1F31">
        <w:rPr>
          <w:rtl/>
          <w:lang w:eastAsia="he-IL"/>
        </w:rPr>
        <w:t xml:space="preserve">אכן, כטענת הסנגור, העבירות בהן הורשע הנאשם בתיק זה חמורות פחות מאלה בהן הורשע בפסק הדין נושא התנאי, וזאת בשל סוג הסם המדובר. עם זאת, פרט לסוג הסם מדובר בעבירות חוזרות בנסיבות דומות מאד, לרבות אופן </w:t>
      </w:r>
      <w:r>
        <w:rPr>
          <w:rFonts w:hint="cs"/>
          <w:rtl/>
          <w:lang w:eastAsia="he-IL"/>
        </w:rPr>
        <w:t xml:space="preserve">ומקום </w:t>
      </w:r>
      <w:r w:rsidRPr="004B1F31">
        <w:rPr>
          <w:rtl/>
          <w:lang w:eastAsia="he-IL"/>
        </w:rPr>
        <w:t>הביצוע. הנאשם ביצע את העבירות, בעת שעונש מאסר מותנה תלוי ועומד לחובתו וכאשר לחובתו עבר מכביד מאד בעבירות סמים. במקרה זה קיימים שיקולים משמעותיים של גמול ושל הרתעה וניכר, כי בעת גזירת עונשו של הנאשם בבית המשפט המחוזי, שיקול זה הוא אשר הנחה אותו בהטלת מאסר מותנה ארוך, שנועד להרתיעו. משלא הורתע הנאשם והמשיך לבצע עבירות סמים חמורות, מאותו הסוג ובאותו האופן, ביודעו כי תלוי ועומד לחובתו מאסר מותנה ארוך, הפעלתו במצטבר לכל עונש היא מחוייבת המציאות.</w:t>
      </w:r>
    </w:p>
    <w:p w14:paraId="36B63849" w14:textId="77777777" w:rsidR="0007376E" w:rsidRPr="004B1F31" w:rsidRDefault="0007376E" w:rsidP="0007376E">
      <w:pPr>
        <w:snapToGrid w:val="0"/>
        <w:spacing w:after="80"/>
        <w:ind w:left="720"/>
        <w:contextualSpacing/>
        <w:rPr>
          <w:rtl/>
          <w:lang w:eastAsia="he-IL"/>
        </w:rPr>
      </w:pPr>
    </w:p>
    <w:p w14:paraId="079A134D" w14:textId="77777777" w:rsidR="0007376E" w:rsidRPr="004B1F31" w:rsidRDefault="0007376E" w:rsidP="0007376E">
      <w:pPr>
        <w:snapToGrid w:val="0"/>
        <w:spacing w:after="80" w:line="360" w:lineRule="auto"/>
        <w:ind w:left="360"/>
        <w:contextualSpacing/>
        <w:jc w:val="both"/>
        <w:rPr>
          <w:rtl/>
          <w:lang w:eastAsia="he-IL"/>
        </w:rPr>
      </w:pPr>
    </w:p>
    <w:p w14:paraId="3CE32F17" w14:textId="77777777" w:rsidR="0007376E" w:rsidRPr="004B1F31" w:rsidRDefault="0007376E" w:rsidP="0007376E">
      <w:pPr>
        <w:snapToGrid w:val="0"/>
        <w:spacing w:after="80" w:line="360" w:lineRule="auto"/>
        <w:ind w:left="360"/>
        <w:contextualSpacing/>
        <w:jc w:val="both"/>
        <w:rPr>
          <w:b/>
          <w:bCs/>
          <w:u w:val="single"/>
          <w:rtl/>
          <w:lang w:eastAsia="he-IL"/>
        </w:rPr>
      </w:pPr>
      <w:r w:rsidRPr="004B1F31">
        <w:rPr>
          <w:b/>
          <w:bCs/>
          <w:u w:val="single"/>
          <w:rtl/>
          <w:lang w:eastAsia="he-IL"/>
        </w:rPr>
        <w:t xml:space="preserve">זימון המומחית והטלת הוצאות על פי </w:t>
      </w:r>
      <w:hyperlink r:id="rId38" w:history="1">
        <w:r w:rsidR="00DF69E1" w:rsidRPr="00DF69E1">
          <w:rPr>
            <w:rStyle w:val="Hyperlink"/>
            <w:b/>
            <w:bCs/>
            <w:rtl/>
            <w:lang w:eastAsia="he-IL"/>
          </w:rPr>
          <w:t>סעיף 26</w:t>
        </w:r>
      </w:hyperlink>
      <w:r w:rsidRPr="004B1F31">
        <w:rPr>
          <w:b/>
          <w:bCs/>
          <w:u w:val="single"/>
          <w:rtl/>
          <w:lang w:eastAsia="he-IL"/>
        </w:rPr>
        <w:t xml:space="preserve"> ל</w:t>
      </w:r>
      <w:hyperlink r:id="rId39" w:history="1">
        <w:r w:rsidR="00351F0A" w:rsidRPr="00351F0A">
          <w:rPr>
            <w:b/>
            <w:bCs/>
            <w:color w:val="0000FF"/>
            <w:u w:val="single"/>
            <w:rtl/>
            <w:lang w:eastAsia="he-IL"/>
          </w:rPr>
          <w:t>פקודת הראיות</w:t>
        </w:r>
      </w:hyperlink>
      <w:r w:rsidRPr="004B1F31">
        <w:rPr>
          <w:b/>
          <w:bCs/>
          <w:u w:val="single"/>
          <w:rtl/>
          <w:lang w:eastAsia="he-IL"/>
        </w:rPr>
        <w:t>:</w:t>
      </w:r>
    </w:p>
    <w:p w14:paraId="72924F15" w14:textId="77777777" w:rsidR="0007376E" w:rsidRPr="004B1F31" w:rsidRDefault="0007376E" w:rsidP="0007376E">
      <w:pPr>
        <w:snapToGrid w:val="0"/>
        <w:spacing w:after="80" w:line="360" w:lineRule="auto"/>
        <w:ind w:left="360"/>
        <w:contextualSpacing/>
        <w:jc w:val="both"/>
        <w:rPr>
          <w:b/>
          <w:bCs/>
          <w:u w:val="single"/>
          <w:rtl/>
          <w:lang w:eastAsia="he-IL"/>
        </w:rPr>
      </w:pPr>
    </w:p>
    <w:p w14:paraId="71F0CEA3" w14:textId="77777777" w:rsidR="0007376E" w:rsidRPr="004B1F31" w:rsidRDefault="0007376E" w:rsidP="0007376E">
      <w:pPr>
        <w:numPr>
          <w:ilvl w:val="0"/>
          <w:numId w:val="1"/>
        </w:numPr>
        <w:snapToGrid w:val="0"/>
        <w:spacing w:line="360" w:lineRule="auto"/>
        <w:contextualSpacing/>
        <w:jc w:val="both"/>
        <w:rPr>
          <w:lang w:eastAsia="he-IL"/>
        </w:rPr>
      </w:pPr>
      <w:r w:rsidRPr="004B1F31">
        <w:rPr>
          <w:rtl/>
          <w:lang w:eastAsia="he-IL"/>
        </w:rPr>
        <w:t>חקירת עדים מהווה זכות בסיסית וכלי חשוב במעלה לבעלי דין וכן לבית המשפט עליו מוטלת החובה והאחריות לבירור האמת על פי הדין.  בית המשפט המחוזי בבאר-שבע התייחס לסוגיה זו ממש עת הכריע בתיק קודם של נאשם זה, שגם בו נתבקשה הטלת הוצאות לאחר זימון וחקירה של עד מומחה (ראו תע/4):</w:t>
      </w:r>
    </w:p>
    <w:p w14:paraId="3E3446B7" w14:textId="77777777" w:rsidR="0007376E" w:rsidRPr="004B1F31" w:rsidRDefault="0007376E" w:rsidP="0007376E">
      <w:pPr>
        <w:snapToGrid w:val="0"/>
        <w:spacing w:after="200" w:line="360" w:lineRule="auto"/>
        <w:ind w:left="935" w:right="709"/>
        <w:contextualSpacing/>
        <w:jc w:val="both"/>
        <w:rPr>
          <w:rFonts w:ascii="David" w:hAnsi="David"/>
          <w:b/>
          <w:bCs/>
          <w:rtl/>
          <w:lang w:eastAsia="he-IL"/>
        </w:rPr>
      </w:pPr>
    </w:p>
    <w:p w14:paraId="7689ABED" w14:textId="77777777" w:rsidR="0007376E" w:rsidRPr="004B1F31" w:rsidRDefault="0007376E" w:rsidP="0007376E">
      <w:pPr>
        <w:snapToGrid w:val="0"/>
        <w:spacing w:after="200" w:line="360" w:lineRule="auto"/>
        <w:ind w:left="935" w:right="709"/>
        <w:contextualSpacing/>
        <w:jc w:val="both"/>
        <w:rPr>
          <w:rFonts w:ascii="David" w:hAnsi="David"/>
          <w:b/>
          <w:bCs/>
          <w:lang w:eastAsia="he-IL"/>
        </w:rPr>
      </w:pPr>
      <w:r w:rsidRPr="004B1F31">
        <w:rPr>
          <w:rFonts w:ascii="David" w:hAnsi="David"/>
          <w:b/>
          <w:bCs/>
          <w:rtl/>
          <w:lang w:eastAsia="he-IL"/>
        </w:rPr>
        <w:t>"זכותו של צד במשפט פלילי לחקירה נגדית של עדי הצד השני, ובפרט זכותו של נאשם לחקירה נגדית של עדי התביעה, הינה זכות בסיסית, המהווה רכיב משמעותי בזכות למשפט הוגן והיא מאבני היסוד של שיטתנו המשפטית, שאין עליה עוררין. זכות זו מעוגנת בסעיף 174 ל</w:t>
      </w:r>
      <w:hyperlink r:id="rId40" w:history="1">
        <w:r w:rsidR="00351F0A" w:rsidRPr="00351F0A">
          <w:rPr>
            <w:rFonts w:ascii="David" w:hAnsi="David"/>
            <w:b/>
            <w:bCs/>
            <w:color w:val="0000FF"/>
            <w:u w:val="single"/>
            <w:rtl/>
            <w:lang w:eastAsia="he-IL"/>
          </w:rPr>
          <w:t>חוק סדר הדין הפלילי</w:t>
        </w:r>
      </w:hyperlink>
      <w:r w:rsidRPr="004B1F31">
        <w:rPr>
          <w:rFonts w:ascii="David" w:hAnsi="David"/>
          <w:b/>
          <w:bCs/>
          <w:rtl/>
          <w:lang w:eastAsia="he-IL"/>
        </w:rPr>
        <w:t xml:space="preserve"> [נוסח משולב], התשמ"ב-1982, הקובע "עד נחקר תחילה בידי בעל הדין שביקש את שמיעת עדותו; אחריו רשאי בעל הדין שכנגד לחקור את העד חקירה שכנגד...".</w:t>
      </w:r>
    </w:p>
    <w:p w14:paraId="1A958DF3" w14:textId="77777777" w:rsidR="0007376E" w:rsidRPr="004B1F31" w:rsidRDefault="0007376E" w:rsidP="0007376E">
      <w:pPr>
        <w:spacing w:after="200" w:line="360" w:lineRule="auto"/>
        <w:ind w:left="935" w:right="709"/>
        <w:jc w:val="both"/>
        <w:rPr>
          <w:rFonts w:ascii="David" w:hAnsi="David"/>
          <w:b/>
          <w:bCs/>
          <w:rtl/>
        </w:rPr>
      </w:pPr>
      <w:r w:rsidRPr="004B1F31">
        <w:rPr>
          <w:rFonts w:ascii="David" w:hAnsi="David"/>
          <w:b/>
          <w:bCs/>
          <w:rtl/>
        </w:rPr>
        <w:t xml:space="preserve">זכות זו מתייחסת גם לחקירת מומחים שחוות דעתם בכתב הוגשה לבית המשפט. </w:t>
      </w:r>
      <w:hyperlink r:id="rId41" w:history="1">
        <w:r w:rsidR="00351F0A" w:rsidRPr="00351F0A">
          <w:rPr>
            <w:rFonts w:ascii="David" w:hAnsi="David"/>
            <w:b/>
            <w:bCs/>
            <w:color w:val="0000FF"/>
            <w:u w:val="single"/>
            <w:rtl/>
          </w:rPr>
          <w:t>פקודת הראיות</w:t>
        </w:r>
      </w:hyperlink>
      <w:r w:rsidRPr="004B1F31">
        <w:rPr>
          <w:rFonts w:ascii="David" w:hAnsi="David"/>
          <w:b/>
          <w:bCs/>
          <w:rtl/>
        </w:rPr>
        <w:t xml:space="preserve"> [נוסח חדש], התשל"א-1971 קובעת בסעיף 26, בין היתר, כי לבקשת בעל דין, בית המשפט יורה על חקירת מומחה שחוות דעתו בכתב הוגשה לבית המשפט. כאשר צד למשפט מבקש לחקור מומחה על חוות דעתו כאמור, אין לבית המשפט שיקול דעת למנוע זאת והוא חייב להיעתר לבקשה. אולם אם "נתברר לבית המשפט שבקשתו של בעל דין לחקור מומחה או רופא או עובד הציבור בבית המשפט באה לשם קנטור או מתוך קלות דעת, רשאי הוא להטיל על המבקש את הוצאות החקירה" (סעיף 26(ב) ל</w:t>
      </w:r>
      <w:hyperlink r:id="rId42" w:history="1">
        <w:r w:rsidR="00351F0A" w:rsidRPr="00351F0A">
          <w:rPr>
            <w:rFonts w:ascii="David" w:hAnsi="David"/>
            <w:b/>
            <w:bCs/>
            <w:color w:val="0000FF"/>
            <w:u w:val="single"/>
            <w:rtl/>
          </w:rPr>
          <w:t>פקודת הראיות</w:t>
        </w:r>
      </w:hyperlink>
      <w:r w:rsidRPr="004B1F31">
        <w:rPr>
          <w:rFonts w:ascii="David" w:hAnsi="David"/>
          <w:b/>
          <w:bCs/>
          <w:rtl/>
        </w:rPr>
        <w:t xml:space="preserve">). </w:t>
      </w:r>
    </w:p>
    <w:p w14:paraId="767357A6" w14:textId="77777777" w:rsidR="0007376E" w:rsidRPr="004B1F31" w:rsidRDefault="0007376E" w:rsidP="0007376E">
      <w:pPr>
        <w:snapToGrid w:val="0"/>
        <w:spacing w:after="200" w:line="360" w:lineRule="auto"/>
        <w:ind w:left="935" w:right="709"/>
        <w:contextualSpacing/>
        <w:jc w:val="both"/>
        <w:rPr>
          <w:rFonts w:ascii="David" w:hAnsi="David"/>
          <w:b/>
          <w:bCs/>
          <w:rtl/>
          <w:lang w:eastAsia="he-IL"/>
        </w:rPr>
      </w:pPr>
      <w:r w:rsidRPr="004B1F31">
        <w:rPr>
          <w:rFonts w:ascii="David" w:hAnsi="David"/>
          <w:b/>
          <w:bCs/>
          <w:rtl/>
          <w:lang w:eastAsia="he-IL"/>
        </w:rPr>
        <w:t>הסדר זה בא לאפשר לצד למצות את זכותו לברר כל טענה העלולה לפגוע באינטרס שלו ומנגד, למנוע שימוש לא ראוי בזכות לחקירה נגדית, הגורם להשחתת זמנם של המומחים ועובדי המדינה לריק [...]</w:t>
      </w:r>
    </w:p>
    <w:p w14:paraId="41F67A3C" w14:textId="77777777" w:rsidR="0007376E" w:rsidRPr="004B1F31" w:rsidRDefault="0007376E" w:rsidP="0007376E">
      <w:pPr>
        <w:spacing w:after="200" w:line="360" w:lineRule="auto"/>
        <w:ind w:left="935" w:right="709"/>
        <w:jc w:val="both"/>
        <w:rPr>
          <w:rFonts w:ascii="David" w:hAnsi="David"/>
          <w:b/>
          <w:bCs/>
          <w:u w:val="single"/>
        </w:rPr>
      </w:pPr>
      <w:r w:rsidRPr="004B1F31">
        <w:rPr>
          <w:rFonts w:ascii="David" w:hAnsi="David"/>
          <w:b/>
          <w:bCs/>
          <w:rtl/>
        </w:rPr>
        <w:t>[...] מומחה מהמעבדה המוזמן לעדות בבית המשפט על חוות הדעת שהכין, בכלל, ובפרט כשבית המשפט נמצא בעיר אחרת, נאלץ להיעדר מעבודתו חלק ניכר מהיום אם לא כולו.</w:t>
      </w:r>
    </w:p>
    <w:p w14:paraId="27BC1E40" w14:textId="77777777" w:rsidR="0007376E" w:rsidRPr="004B1F31" w:rsidRDefault="0007376E" w:rsidP="0007376E">
      <w:pPr>
        <w:spacing w:after="200" w:line="360" w:lineRule="auto"/>
        <w:ind w:left="935" w:right="709"/>
        <w:jc w:val="both"/>
        <w:rPr>
          <w:rFonts w:ascii="David" w:hAnsi="David"/>
          <w:b/>
          <w:bCs/>
          <w:rtl/>
        </w:rPr>
      </w:pPr>
      <w:r w:rsidRPr="004B1F31">
        <w:rPr>
          <w:rFonts w:ascii="David" w:hAnsi="David"/>
          <w:b/>
          <w:bCs/>
          <w:rtl/>
        </w:rPr>
        <w:t>ישנם מקרים שהשאלות שבמחלוקת מחייבות חקירה משמעותית של המומחה, פנים אל פנים, ואז אין מנוס מזימון המומחה לחקירה בבית המשפט. אולם, לא אחת, השאלות הדרושות בירור פשוטות, המומחה יכול להתייחס אליהן בכתב – בהתאם לשאלות שיופנו אליו – וניתן לחסוך את זמנו של המומחה (ושל בית המשפט)".</w:t>
      </w:r>
    </w:p>
    <w:p w14:paraId="76E1378B" w14:textId="77777777" w:rsidR="0007376E" w:rsidRPr="004B1F31" w:rsidRDefault="0007376E" w:rsidP="0007376E">
      <w:pPr>
        <w:numPr>
          <w:ilvl w:val="0"/>
          <w:numId w:val="1"/>
        </w:numPr>
        <w:snapToGrid w:val="0"/>
        <w:spacing w:line="360" w:lineRule="auto"/>
        <w:contextualSpacing/>
        <w:jc w:val="both"/>
        <w:rPr>
          <w:lang w:eastAsia="he-IL"/>
        </w:rPr>
      </w:pPr>
      <w:r w:rsidRPr="004B1F31">
        <w:rPr>
          <w:rFonts w:ascii="David" w:hAnsi="David"/>
          <w:rtl/>
          <w:lang w:eastAsia="he-IL"/>
        </w:rPr>
        <w:t xml:space="preserve">במהלך ניהול ההוכחות העידה מומחית מעבדת טביעת אצבע, </w:t>
      </w:r>
      <w:r w:rsidRPr="004B1F31">
        <w:rPr>
          <w:rFonts w:ascii="David" w:hAnsi="David"/>
          <w:b/>
          <w:bCs/>
          <w:rtl/>
          <w:lang w:eastAsia="he-IL"/>
        </w:rPr>
        <w:t>גב' פלג שירוני</w:t>
      </w:r>
      <w:r w:rsidRPr="004B1F31">
        <w:rPr>
          <w:rFonts w:ascii="David" w:hAnsi="David"/>
          <w:rtl/>
          <w:lang w:eastAsia="he-IL"/>
        </w:rPr>
        <w:t>, לאחר שזימונה נתבקש על ידי ההגנה.</w:t>
      </w:r>
    </w:p>
    <w:p w14:paraId="391CB579" w14:textId="77777777" w:rsidR="0007376E" w:rsidRPr="004B1F31" w:rsidRDefault="0007376E" w:rsidP="0007376E">
      <w:pPr>
        <w:snapToGrid w:val="0"/>
        <w:spacing w:line="360" w:lineRule="auto"/>
        <w:ind w:left="360"/>
        <w:contextualSpacing/>
        <w:jc w:val="both"/>
        <w:rPr>
          <w:rtl/>
          <w:lang w:eastAsia="he-IL"/>
        </w:rPr>
      </w:pPr>
      <w:r w:rsidRPr="004B1F31">
        <w:rPr>
          <w:rtl/>
          <w:lang w:eastAsia="he-IL"/>
        </w:rPr>
        <w:t xml:space="preserve">העדה נחקרה בחקירה ממושכת ובסופו של דבר, כעולה מפרוטוקול הדיון, בית המשפט קצב פרק זמן לסיום החקירה הנגדית.  החלטה זו של בית המשפט נבעה, </w:t>
      </w:r>
      <w:r w:rsidRPr="004B1F31">
        <w:rPr>
          <w:b/>
          <w:bCs/>
          <w:u w:val="single"/>
          <w:rtl/>
          <w:lang w:eastAsia="he-IL"/>
        </w:rPr>
        <w:t>גם</w:t>
      </w:r>
      <w:r w:rsidRPr="004B1F31">
        <w:rPr>
          <w:rtl/>
          <w:lang w:eastAsia="he-IL"/>
        </w:rPr>
        <w:t xml:space="preserve"> מאי הלימה של ממש בין תכנית המשפט כפי שנקבעה מראש, במסגרת דיון לפי </w:t>
      </w:r>
      <w:hyperlink r:id="rId43" w:history="1">
        <w:r w:rsidR="00DF69E1" w:rsidRPr="00DF69E1">
          <w:rPr>
            <w:rStyle w:val="Hyperlink"/>
            <w:rtl/>
            <w:lang w:eastAsia="he-IL"/>
          </w:rPr>
          <w:t>סעיף 144</w:t>
        </w:r>
      </w:hyperlink>
      <w:r w:rsidRPr="004B1F31">
        <w:rPr>
          <w:rtl/>
          <w:lang w:eastAsia="he-IL"/>
        </w:rPr>
        <w:t xml:space="preserve"> ל</w:t>
      </w:r>
      <w:hyperlink r:id="rId44" w:history="1">
        <w:r w:rsidR="00351F0A" w:rsidRPr="00351F0A">
          <w:rPr>
            <w:color w:val="0000FF"/>
            <w:u w:val="single"/>
            <w:rtl/>
            <w:lang w:eastAsia="he-IL"/>
          </w:rPr>
          <w:t>חסד"פ</w:t>
        </w:r>
      </w:hyperlink>
      <w:r w:rsidRPr="004B1F31">
        <w:rPr>
          <w:rtl/>
          <w:lang w:eastAsia="he-IL"/>
        </w:rPr>
        <w:t xml:space="preserve"> והעדר בקשה מוקדמת להקצאת זמן שיפוטי נוסף נוכח החקירה הנגדית הממושכת הצפויה. אך זו אינה הסיבה העיקרית: </w:t>
      </w:r>
    </w:p>
    <w:p w14:paraId="1D6AC50A" w14:textId="77777777" w:rsidR="0007376E" w:rsidRPr="004B1F31" w:rsidRDefault="0007376E" w:rsidP="0007376E">
      <w:pPr>
        <w:snapToGrid w:val="0"/>
        <w:spacing w:line="360" w:lineRule="auto"/>
        <w:ind w:left="360"/>
        <w:contextualSpacing/>
        <w:jc w:val="both"/>
        <w:rPr>
          <w:rtl/>
          <w:lang w:eastAsia="he-IL"/>
        </w:rPr>
      </w:pPr>
      <w:r w:rsidRPr="004B1F31">
        <w:rPr>
          <w:rtl/>
          <w:lang w:eastAsia="he-IL"/>
        </w:rPr>
        <w:t xml:space="preserve">לו התרשם בית המשפט כי החקירה הנגדית </w:t>
      </w:r>
      <w:r w:rsidRPr="004B1F31">
        <w:rPr>
          <w:b/>
          <w:bCs/>
          <w:rtl/>
          <w:lang w:eastAsia="he-IL"/>
        </w:rPr>
        <w:t>כפי שנערכה</w:t>
      </w:r>
      <w:r w:rsidRPr="004B1F31">
        <w:rPr>
          <w:rtl/>
          <w:lang w:eastAsia="he-IL"/>
        </w:rPr>
        <w:t xml:space="preserve"> נחוצה באופן ענייני, מעוררת שאלות הטעונות בירור </w:t>
      </w:r>
      <w:r w:rsidRPr="004B1F31">
        <w:rPr>
          <w:b/>
          <w:bCs/>
          <w:rtl/>
          <w:lang w:eastAsia="he-IL"/>
        </w:rPr>
        <w:t xml:space="preserve">באופן אמיתי בתיק זה </w:t>
      </w:r>
      <w:r w:rsidRPr="004B1F31">
        <w:rPr>
          <w:rtl/>
          <w:lang w:eastAsia="he-IL"/>
        </w:rPr>
        <w:t xml:space="preserve">ונעשית בדרך הממצה אינטרס לגיטימי של הנאשם בהגנתו, באופן המתיישב עם חובת בית המשפט להקצות את </w:t>
      </w:r>
      <w:r>
        <w:rPr>
          <w:rtl/>
          <w:lang w:eastAsia="he-IL"/>
        </w:rPr>
        <w:t>משאבי הציבור, לרבות זמנם של עדי</w:t>
      </w:r>
      <w:r>
        <w:rPr>
          <w:rFonts w:hint="cs"/>
          <w:rtl/>
          <w:lang w:eastAsia="he-IL"/>
        </w:rPr>
        <w:t>ם</w:t>
      </w:r>
      <w:r w:rsidRPr="004B1F31">
        <w:rPr>
          <w:rtl/>
          <w:lang w:eastAsia="he-IL"/>
        </w:rPr>
        <w:t xml:space="preserve"> עובדי ציבור, באופן </w:t>
      </w:r>
      <w:r w:rsidRPr="004B1F31">
        <w:rPr>
          <w:b/>
          <w:bCs/>
          <w:rtl/>
          <w:lang w:eastAsia="he-IL"/>
        </w:rPr>
        <w:t>ענייני ויעיל</w:t>
      </w:r>
      <w:r w:rsidRPr="004B1F31">
        <w:rPr>
          <w:rtl/>
          <w:lang w:eastAsia="he-IL"/>
        </w:rPr>
        <w:t xml:space="preserve">, לא היתה ניתנת החלטה המגבילה את החקירה הנגדית ובית המשפט לא היה מקבל החלטה שמשמעותה פגיעה בהגנת הנאשם הלגיטימית. גם אם היו לדבר משמעויות ניהוליות נכבדות, מיצוי הגנת הנאשם </w:t>
      </w:r>
      <w:r w:rsidRPr="004B1F31">
        <w:rPr>
          <w:b/>
          <w:bCs/>
          <w:rtl/>
          <w:lang w:eastAsia="he-IL"/>
        </w:rPr>
        <w:t xml:space="preserve">האמיתית </w:t>
      </w:r>
      <w:r w:rsidRPr="004B1F31">
        <w:rPr>
          <w:rtl/>
          <w:lang w:eastAsia="he-IL"/>
        </w:rPr>
        <w:t>היתה מתאפשרת.</w:t>
      </w:r>
    </w:p>
    <w:p w14:paraId="2415E18F" w14:textId="77777777" w:rsidR="0007376E" w:rsidRPr="004B1F31" w:rsidRDefault="0007376E" w:rsidP="0007376E">
      <w:pPr>
        <w:snapToGrid w:val="0"/>
        <w:spacing w:line="360" w:lineRule="auto"/>
        <w:ind w:left="360"/>
        <w:contextualSpacing/>
        <w:jc w:val="both"/>
        <w:rPr>
          <w:rtl/>
          <w:lang w:eastAsia="he-IL"/>
        </w:rPr>
      </w:pPr>
      <w:r w:rsidRPr="004B1F31">
        <w:rPr>
          <w:rtl/>
          <w:lang w:eastAsia="he-IL"/>
        </w:rPr>
        <w:t xml:space="preserve">בעניין זה, כבר בעת החקירה הנגדית ההתרשמות היתה, כי מתקיים מעין "דיאלוג" בין ב"כ הנאשם ובין המומחית שהמוקד שלו מצוי מחוץ ליריעת המחלוקת </w:t>
      </w:r>
      <w:r w:rsidRPr="004B1F31">
        <w:rPr>
          <w:b/>
          <w:bCs/>
          <w:rtl/>
          <w:lang w:eastAsia="he-IL"/>
        </w:rPr>
        <w:t>בתיק הזה</w:t>
      </w:r>
      <w:r w:rsidRPr="004B1F31">
        <w:rPr>
          <w:rtl/>
          <w:lang w:eastAsia="he-IL"/>
        </w:rPr>
        <w:t xml:space="preserve">, קשור במחלוקת החורגת מעניינו של </w:t>
      </w:r>
      <w:r w:rsidRPr="004B1F31">
        <w:rPr>
          <w:b/>
          <w:bCs/>
          <w:rtl/>
          <w:lang w:eastAsia="he-IL"/>
        </w:rPr>
        <w:t xml:space="preserve">נאשם זה </w:t>
      </w:r>
      <w:r w:rsidRPr="004B1F31">
        <w:rPr>
          <w:rtl/>
          <w:lang w:eastAsia="he-IL"/>
        </w:rPr>
        <w:t>ומהווה הרחבת היריעה לצרכים אחרים, שאינם מתחייבים בנסיבות מקרה זה.  הדברים קיבלו ביטוי גם במהלך החקירה הנגדית ונרשמו גם הערות ב"כ המאשימה והתנגדויות לשאלות בלתי-רלוונטיות. כן נרשמה התראה מוקדמת לגבי האפשרות כי המאשימה תעתור להוצאות.</w:t>
      </w:r>
    </w:p>
    <w:p w14:paraId="767AE504" w14:textId="77777777" w:rsidR="0007376E" w:rsidRPr="004B1F31" w:rsidRDefault="0007376E" w:rsidP="0007376E">
      <w:pPr>
        <w:spacing w:after="160" w:line="360" w:lineRule="auto"/>
        <w:ind w:left="360"/>
        <w:contextualSpacing/>
        <w:jc w:val="both"/>
        <w:rPr>
          <w:rFonts w:ascii="David" w:hAnsi="David"/>
          <w:lang w:eastAsia="he-IL"/>
        </w:rPr>
      </w:pPr>
      <w:r w:rsidRPr="004B1F31">
        <w:rPr>
          <w:rFonts w:ascii="David" w:hAnsi="David"/>
          <w:rtl/>
          <w:lang w:eastAsia="he-IL"/>
        </w:rPr>
        <w:t xml:space="preserve">כאמור, בסופו של דבר, ההגנה לא חלקה על חוות הדעת, לפיה אותרה טביעת אצבע של הנאשם על אחת השקיות שנמצאו בתוך הסבך וכפי שנקבע גם בהכרעת הדין, המחלוקת לגבי </w:t>
      </w:r>
      <w:r w:rsidRPr="004B1F31">
        <w:rPr>
          <w:rFonts w:ascii="David" w:hAnsi="David"/>
          <w:b/>
          <w:bCs/>
          <w:rtl/>
          <w:lang w:eastAsia="he-IL"/>
        </w:rPr>
        <w:t xml:space="preserve">מיקום </w:t>
      </w:r>
      <w:r w:rsidRPr="004B1F31">
        <w:rPr>
          <w:rFonts w:ascii="David" w:hAnsi="David"/>
          <w:rtl/>
          <w:lang w:eastAsia="he-IL"/>
        </w:rPr>
        <w:t>טביעת האצבע (להבדיל מעצם קיומה), לא נתבררה כלל בעדות המומחית והיא לא נשאלה שאלות בנוגע לכך.</w:t>
      </w:r>
    </w:p>
    <w:p w14:paraId="63B0C1E3" w14:textId="77777777" w:rsidR="0007376E" w:rsidRPr="004B1F31" w:rsidRDefault="0007376E" w:rsidP="0007376E">
      <w:pPr>
        <w:numPr>
          <w:ilvl w:val="0"/>
          <w:numId w:val="1"/>
        </w:numPr>
        <w:snapToGrid w:val="0"/>
        <w:spacing w:line="360" w:lineRule="auto"/>
        <w:contextualSpacing/>
        <w:jc w:val="both"/>
        <w:rPr>
          <w:lang w:eastAsia="he-IL"/>
        </w:rPr>
      </w:pPr>
      <w:r w:rsidRPr="004B1F31">
        <w:rPr>
          <w:rtl/>
          <w:lang w:eastAsia="he-IL"/>
        </w:rPr>
        <w:t>ב"כ המאשימה, טען כי מדובר בהתנהגות חוזרת של הנאשם, גם בתיקים קודמים, הפנה לתע/4 ועתר להטיל על הנאשם הוצאות משפט.  מאידך, ב"כ הנאשם טען כי החקירה הייתה נחוצה לסוגיה שבמחלוקת וכי הטלת הוצאות תרתיע את ההגנה מלזמן עדים מומחים.</w:t>
      </w:r>
    </w:p>
    <w:p w14:paraId="0F0B0FFD" w14:textId="77777777" w:rsidR="0007376E" w:rsidRPr="004B1F31" w:rsidRDefault="0007376E" w:rsidP="0007376E">
      <w:pPr>
        <w:numPr>
          <w:ilvl w:val="0"/>
          <w:numId w:val="1"/>
        </w:numPr>
        <w:snapToGrid w:val="0"/>
        <w:spacing w:line="360" w:lineRule="auto"/>
        <w:contextualSpacing/>
        <w:jc w:val="both"/>
        <w:rPr>
          <w:lang w:eastAsia="he-IL"/>
        </w:rPr>
      </w:pPr>
      <w:r w:rsidRPr="004B1F31">
        <w:rPr>
          <w:rFonts w:ascii="David" w:hAnsi="David"/>
          <w:rtl/>
          <w:lang w:eastAsia="he-IL"/>
        </w:rPr>
        <w:t>בנסיבות אשר תוארו לעיל, ובפרט נוכח דבריו הקודמים של בית המשפט המחוזי בעניינו של נאשם זה ממש, לא מצאתי כי קיים פסול בעתירת המאשימה להטלת הוצאות במקרה זה. בסופו של יום, למעשה לפנ</w:t>
      </w:r>
      <w:r>
        <w:rPr>
          <w:rFonts w:ascii="David" w:hAnsi="David"/>
          <w:rtl/>
          <w:lang w:eastAsia="he-IL"/>
        </w:rPr>
        <w:t xml:space="preserve">ים משורת הדין, מצאתי שלא להטיל </w:t>
      </w:r>
      <w:r w:rsidRPr="004B1F31">
        <w:rPr>
          <w:rFonts w:ascii="David" w:hAnsi="David"/>
          <w:rtl/>
          <w:lang w:eastAsia="he-IL"/>
        </w:rPr>
        <w:t xml:space="preserve">הוצאות על הנאשם בשל הקשר, גם אם קלוש, בין מענה הנאשם לכתב האישום ובין זימון העדה לעדות, וכן בשל חילופי הייצוג מטעמו של הנאשם שנערכו לאחר שהתקיים הדיון לפי </w:t>
      </w:r>
      <w:hyperlink r:id="rId45" w:history="1">
        <w:r w:rsidR="00DF69E1" w:rsidRPr="00DF69E1">
          <w:rPr>
            <w:rStyle w:val="Hyperlink"/>
            <w:rFonts w:ascii="David" w:hAnsi="David"/>
            <w:rtl/>
            <w:lang w:eastAsia="he-IL"/>
          </w:rPr>
          <w:t>סעיף 144</w:t>
        </w:r>
      </w:hyperlink>
      <w:r w:rsidRPr="004B1F31">
        <w:rPr>
          <w:rFonts w:ascii="David" w:hAnsi="David"/>
          <w:rtl/>
          <w:lang w:eastAsia="he-IL"/>
        </w:rPr>
        <w:t xml:space="preserve"> ל</w:t>
      </w:r>
      <w:hyperlink r:id="rId46" w:history="1">
        <w:r w:rsidR="00351F0A" w:rsidRPr="00351F0A">
          <w:rPr>
            <w:rFonts w:ascii="David" w:hAnsi="David"/>
            <w:color w:val="0000FF"/>
            <w:u w:val="single"/>
            <w:rtl/>
            <w:lang w:eastAsia="he-IL"/>
          </w:rPr>
          <w:t>חסד"פ</w:t>
        </w:r>
      </w:hyperlink>
      <w:r w:rsidRPr="004B1F31">
        <w:rPr>
          <w:rFonts w:ascii="David" w:hAnsi="David"/>
          <w:rtl/>
          <w:lang w:eastAsia="he-IL"/>
        </w:rPr>
        <w:t xml:space="preserve"> והתיק כבר נקבע להוכחות</w:t>
      </w:r>
      <w:r>
        <w:rPr>
          <w:rFonts w:ascii="David" w:hAnsi="David" w:hint="cs"/>
          <w:rtl/>
          <w:lang w:eastAsia="he-IL"/>
        </w:rPr>
        <w:t>, כך שיריעת המחלוקת האמיתית לא בוררה בפניי בדיון מקדים וזאת בשל חילופי הייצוג</w:t>
      </w:r>
      <w:r w:rsidRPr="004B1F31">
        <w:rPr>
          <w:rFonts w:ascii="David" w:hAnsi="David"/>
          <w:rtl/>
          <w:lang w:eastAsia="he-IL"/>
        </w:rPr>
        <w:t xml:space="preserve">. יודגש, כי הנאשם טען כל העת, כי הסמים שנמצאו בסבך אינם שייכים לו, וגם אם לא שלל אפשרות כי נגע בשקיות (מבחוץ) שלל מגע מכוון. לכן לא ניתן לקבוע במפגיע, כי מדובר במחלוקת סרק.  </w:t>
      </w:r>
    </w:p>
    <w:p w14:paraId="36710D51" w14:textId="77777777" w:rsidR="0007376E" w:rsidRPr="004B1F31" w:rsidRDefault="0007376E" w:rsidP="0007376E">
      <w:pPr>
        <w:numPr>
          <w:ilvl w:val="0"/>
          <w:numId w:val="1"/>
        </w:numPr>
        <w:snapToGrid w:val="0"/>
        <w:spacing w:line="360" w:lineRule="auto"/>
        <w:contextualSpacing/>
        <w:jc w:val="both"/>
        <w:rPr>
          <w:lang w:eastAsia="he-IL"/>
        </w:rPr>
      </w:pPr>
      <w:r w:rsidRPr="004B1F31">
        <w:rPr>
          <w:rFonts w:ascii="David" w:hAnsi="David"/>
          <w:rtl/>
          <w:lang w:eastAsia="he-IL"/>
        </w:rPr>
        <w:t xml:space="preserve">אני מוצאת לנכון להעיר, נוכח טיעון ההגנה, כי לא היה מקום להציג את עתירת המאשימה להטלת הוצאות כעניין אישי שבין בעלי הדין: לא מדובר בעניין אישי של התובע ומקובלת עליי לחלוטין הצהרת ב"כ המאשימה, כי מדובר בעניין מערכתי ובהנחיית גורמים מוסמכים ביחידת התביעות. אף לא מדובר בעניין אישי של הסניגור ואופן ניהול ההליך על ידו. מדובר בבקשה עניינית, נתמכת בנסיבות המקרה, וקשורה באופן שבו </w:t>
      </w:r>
      <w:r w:rsidRPr="004B1F31">
        <w:rPr>
          <w:rFonts w:ascii="David" w:hAnsi="David"/>
          <w:b/>
          <w:bCs/>
          <w:rtl/>
          <w:lang w:eastAsia="he-IL"/>
        </w:rPr>
        <w:t>הנאשם</w:t>
      </w:r>
      <w:r w:rsidRPr="004B1F31">
        <w:rPr>
          <w:rFonts w:ascii="David" w:hAnsi="David"/>
          <w:rtl/>
          <w:lang w:eastAsia="he-IL"/>
        </w:rPr>
        <w:t xml:space="preserve"> בחר לנהל את הגנתו, כאמור, אף לא בפעם הראשונה.</w:t>
      </w:r>
    </w:p>
    <w:p w14:paraId="2A189CF1" w14:textId="77777777" w:rsidR="0007376E" w:rsidRPr="004B1F31" w:rsidRDefault="0007376E" w:rsidP="0007376E">
      <w:pPr>
        <w:numPr>
          <w:ilvl w:val="0"/>
          <w:numId w:val="1"/>
        </w:numPr>
        <w:snapToGrid w:val="0"/>
        <w:spacing w:line="360" w:lineRule="auto"/>
        <w:contextualSpacing/>
        <w:jc w:val="both"/>
        <w:rPr>
          <w:rFonts w:ascii="David" w:hAnsi="David"/>
          <w:b/>
          <w:bCs/>
          <w:u w:val="single"/>
          <w:lang w:eastAsia="he-IL"/>
        </w:rPr>
      </w:pPr>
      <w:r w:rsidRPr="004B1F31">
        <w:rPr>
          <w:rtl/>
          <w:lang w:eastAsia="he-IL"/>
        </w:rPr>
        <w:t>נוכח כל האמור לעיל, ולא בקלות, החלטתי שלא להטיל על הנאשם הוצאות.</w:t>
      </w:r>
    </w:p>
    <w:p w14:paraId="0D498C17" w14:textId="77777777" w:rsidR="0007376E" w:rsidRPr="004B1F31" w:rsidRDefault="0007376E" w:rsidP="0007376E">
      <w:pPr>
        <w:spacing w:line="360" w:lineRule="auto"/>
        <w:jc w:val="both"/>
        <w:rPr>
          <w:rFonts w:ascii="David" w:hAnsi="David" w:cs="Arial"/>
          <w:b/>
          <w:bCs/>
          <w:szCs w:val="22"/>
          <w:u w:val="single"/>
          <w:rtl/>
        </w:rPr>
      </w:pPr>
    </w:p>
    <w:p w14:paraId="59900D38" w14:textId="77777777" w:rsidR="0007376E" w:rsidRPr="004B1F31" w:rsidRDefault="0007376E" w:rsidP="0007376E">
      <w:pPr>
        <w:spacing w:line="360" w:lineRule="auto"/>
        <w:jc w:val="both"/>
        <w:rPr>
          <w:rFonts w:ascii="David" w:hAnsi="David"/>
          <w:b/>
          <w:bCs/>
          <w:u w:val="single"/>
          <w:rtl/>
        </w:rPr>
      </w:pPr>
      <w:r w:rsidRPr="004B1F31">
        <w:rPr>
          <w:rFonts w:ascii="David" w:hAnsi="David"/>
          <w:b/>
          <w:bCs/>
          <w:u w:val="single"/>
          <w:rtl/>
        </w:rPr>
        <w:t>סוף דבר:</w:t>
      </w:r>
    </w:p>
    <w:p w14:paraId="06580666" w14:textId="77777777" w:rsidR="0007376E" w:rsidRPr="004B1F31" w:rsidRDefault="0007376E" w:rsidP="0007376E">
      <w:pPr>
        <w:spacing w:line="360" w:lineRule="auto"/>
        <w:jc w:val="both"/>
        <w:rPr>
          <w:rFonts w:ascii="David" w:hAnsi="David"/>
          <w:b/>
          <w:bCs/>
          <w:u w:val="single"/>
          <w:rtl/>
        </w:rPr>
      </w:pPr>
    </w:p>
    <w:p w14:paraId="79FA1D7D" w14:textId="77777777" w:rsidR="0007376E" w:rsidRPr="004B1F31" w:rsidRDefault="0007376E" w:rsidP="0007376E">
      <w:pPr>
        <w:numPr>
          <w:ilvl w:val="0"/>
          <w:numId w:val="1"/>
        </w:numPr>
        <w:snapToGrid w:val="0"/>
        <w:spacing w:after="80" w:line="360" w:lineRule="auto"/>
        <w:contextualSpacing/>
        <w:jc w:val="both"/>
        <w:rPr>
          <w:lang w:eastAsia="he-IL"/>
        </w:rPr>
      </w:pPr>
      <w:r w:rsidRPr="004B1F31">
        <w:rPr>
          <w:rtl/>
          <w:lang w:eastAsia="he-IL"/>
        </w:rPr>
        <w:t>לאחר ששקלתי את מכלול השיקולים כמפורט לעיל אני מטילה על הנאשם את העונשים הבאים:</w:t>
      </w:r>
    </w:p>
    <w:p w14:paraId="0B4A4B96" w14:textId="77777777" w:rsidR="0007376E" w:rsidRPr="004B1F31" w:rsidRDefault="0007376E" w:rsidP="0007376E">
      <w:pPr>
        <w:numPr>
          <w:ilvl w:val="0"/>
          <w:numId w:val="2"/>
        </w:numPr>
        <w:spacing w:after="80" w:line="360" w:lineRule="auto"/>
        <w:contextualSpacing/>
        <w:jc w:val="both"/>
        <w:rPr>
          <w:rFonts w:ascii="Arial" w:hAnsi="Arial"/>
        </w:rPr>
      </w:pPr>
      <w:r w:rsidRPr="004B1F31">
        <w:rPr>
          <w:rFonts w:ascii="Arial" w:hAnsi="Arial"/>
          <w:rtl/>
        </w:rPr>
        <w:t>15 חודשי מאסר בפועל, בניכוי ימי מעצרו בתיק זה.</w:t>
      </w:r>
    </w:p>
    <w:p w14:paraId="3C4260AE" w14:textId="77777777" w:rsidR="0007376E" w:rsidRPr="004B1F31" w:rsidRDefault="0007376E" w:rsidP="0007376E">
      <w:pPr>
        <w:numPr>
          <w:ilvl w:val="0"/>
          <w:numId w:val="2"/>
        </w:numPr>
        <w:spacing w:after="80" w:line="360" w:lineRule="auto"/>
        <w:contextualSpacing/>
        <w:jc w:val="both"/>
        <w:rPr>
          <w:rFonts w:ascii="Arial" w:hAnsi="Arial"/>
        </w:rPr>
      </w:pPr>
      <w:r w:rsidRPr="004B1F31">
        <w:rPr>
          <w:rFonts w:ascii="Arial" w:hAnsi="Arial"/>
          <w:rtl/>
        </w:rPr>
        <w:t>הפעלת המאסר המותנה מ</w:t>
      </w:r>
      <w:hyperlink r:id="rId47" w:history="1">
        <w:r w:rsidR="00351F0A" w:rsidRPr="00351F0A">
          <w:rPr>
            <w:rFonts w:ascii="Arial" w:hAnsi="Arial"/>
            <w:color w:val="0000FF"/>
            <w:u w:val="single"/>
            <w:rtl/>
          </w:rPr>
          <w:t>ת"פ 8633-04-15</w:t>
        </w:r>
      </w:hyperlink>
      <w:r w:rsidRPr="004B1F31">
        <w:rPr>
          <w:rFonts w:ascii="Arial" w:hAnsi="Arial"/>
          <w:rtl/>
        </w:rPr>
        <w:t xml:space="preserve"> </w:t>
      </w:r>
      <w:r>
        <w:rPr>
          <w:rFonts w:ascii="Arial" w:hAnsi="Arial" w:hint="cs"/>
          <w:rtl/>
        </w:rPr>
        <w:t xml:space="preserve">של בית המשפט המחוזי בבאר שבע </w:t>
      </w:r>
      <w:r w:rsidRPr="004B1F31">
        <w:rPr>
          <w:rFonts w:ascii="Arial" w:hAnsi="Arial"/>
          <w:rtl/>
        </w:rPr>
        <w:t xml:space="preserve">בן 18 חודשי מאסר, במצטבר לעונש המאסר בתיק זה, </w:t>
      </w:r>
      <w:r w:rsidRPr="004B1F31">
        <w:rPr>
          <w:rFonts w:ascii="Arial" w:hAnsi="Arial"/>
          <w:b/>
          <w:bCs/>
          <w:rtl/>
        </w:rPr>
        <w:t>סה"כ ירצה הנאשם  33 חודשי מאסר בפועל.</w:t>
      </w:r>
      <w:r w:rsidRPr="004B1F31">
        <w:rPr>
          <w:rFonts w:ascii="Arial" w:hAnsi="Arial"/>
          <w:rtl/>
        </w:rPr>
        <w:t xml:space="preserve"> </w:t>
      </w:r>
    </w:p>
    <w:p w14:paraId="5983CCF9" w14:textId="77777777" w:rsidR="0007376E" w:rsidRPr="004B1F31" w:rsidRDefault="0007376E" w:rsidP="0007376E">
      <w:pPr>
        <w:numPr>
          <w:ilvl w:val="0"/>
          <w:numId w:val="2"/>
        </w:numPr>
        <w:spacing w:after="80" w:line="360" w:lineRule="auto"/>
        <w:contextualSpacing/>
        <w:jc w:val="both"/>
        <w:rPr>
          <w:rFonts w:ascii="Arial" w:hAnsi="Arial"/>
        </w:rPr>
      </w:pPr>
      <w:r w:rsidRPr="004B1F31">
        <w:rPr>
          <w:rFonts w:ascii="Arial" w:hAnsi="Arial"/>
          <w:rtl/>
        </w:rPr>
        <w:t>8 חודשי מאסר על תנאי למשך 3 שנים מיום שחרורו, שלא יעבור עבירת סמים מסוג פשע.</w:t>
      </w:r>
    </w:p>
    <w:p w14:paraId="305B5D86" w14:textId="77777777" w:rsidR="0007376E" w:rsidRPr="004B1F31" w:rsidRDefault="0007376E" w:rsidP="0007376E">
      <w:pPr>
        <w:numPr>
          <w:ilvl w:val="0"/>
          <w:numId w:val="2"/>
        </w:numPr>
        <w:spacing w:after="80" w:line="360" w:lineRule="auto"/>
        <w:contextualSpacing/>
        <w:jc w:val="both"/>
        <w:rPr>
          <w:rFonts w:ascii="Arial" w:hAnsi="Arial"/>
        </w:rPr>
      </w:pPr>
      <w:r w:rsidRPr="004B1F31">
        <w:rPr>
          <w:rFonts w:ascii="Arial" w:hAnsi="Arial"/>
          <w:rtl/>
        </w:rPr>
        <w:t>קנס בסך 7,500 ₪ או 30 ימי מאסר תמורתו. הקנס ישולם ב-10 תשלומים חודשיים שווים ורצופים החל מיום 1.8.22.</w:t>
      </w:r>
      <w:r>
        <w:rPr>
          <w:rFonts w:ascii="Arial" w:hAnsi="Arial" w:hint="cs"/>
          <w:rtl/>
        </w:rPr>
        <w:t xml:space="preserve"> </w:t>
      </w:r>
    </w:p>
    <w:p w14:paraId="3C1FBB31" w14:textId="77777777" w:rsidR="0007376E" w:rsidRPr="0007376E" w:rsidRDefault="0007376E" w:rsidP="0007376E">
      <w:pPr>
        <w:spacing w:after="80" w:line="360" w:lineRule="auto"/>
        <w:jc w:val="both"/>
        <w:rPr>
          <w:rFonts w:ascii="Calibri" w:hAnsi="Calibri"/>
          <w:rtl/>
        </w:rPr>
      </w:pPr>
    </w:p>
    <w:p w14:paraId="285D14A7" w14:textId="77777777" w:rsidR="0007376E" w:rsidRPr="0007376E" w:rsidRDefault="00351F0A" w:rsidP="0007376E">
      <w:pPr>
        <w:spacing w:after="80" w:line="360" w:lineRule="auto"/>
        <w:jc w:val="both"/>
        <w:rPr>
          <w:rFonts w:ascii="Calibri" w:hAnsi="Calibri"/>
          <w:b/>
          <w:bCs/>
          <w:rtl/>
        </w:rPr>
      </w:pPr>
      <w:r w:rsidRPr="00351F0A">
        <w:rPr>
          <w:rFonts w:ascii="Calibri" w:hAnsi="Calibri"/>
          <w:b/>
          <w:bCs/>
          <w:color w:val="FFFFFF"/>
          <w:sz w:val="2"/>
          <w:szCs w:val="2"/>
          <w:rtl/>
        </w:rPr>
        <w:t>5129371</w:t>
      </w:r>
      <w:r w:rsidR="0007376E" w:rsidRPr="0007376E">
        <w:rPr>
          <w:rFonts w:ascii="Calibri" w:hAnsi="Calibri" w:hint="eastAsia"/>
          <w:b/>
          <w:bCs/>
          <w:rtl/>
        </w:rPr>
        <w:t>ניתן</w:t>
      </w:r>
      <w:r w:rsidR="0007376E" w:rsidRPr="0007376E">
        <w:rPr>
          <w:rFonts w:ascii="Calibri" w:hAnsi="Calibri"/>
          <w:b/>
          <w:bCs/>
          <w:rtl/>
        </w:rPr>
        <w:t xml:space="preserve"> </w:t>
      </w:r>
      <w:r w:rsidR="0007376E" w:rsidRPr="0007376E">
        <w:rPr>
          <w:rFonts w:ascii="Calibri" w:hAnsi="Calibri" w:hint="eastAsia"/>
          <w:b/>
          <w:bCs/>
          <w:rtl/>
        </w:rPr>
        <w:t>בזאת</w:t>
      </w:r>
      <w:r w:rsidR="0007376E" w:rsidRPr="0007376E">
        <w:rPr>
          <w:rFonts w:ascii="Calibri" w:hAnsi="Calibri"/>
          <w:b/>
          <w:bCs/>
          <w:rtl/>
        </w:rPr>
        <w:t xml:space="preserve"> </w:t>
      </w:r>
      <w:r w:rsidR="0007376E" w:rsidRPr="0007376E">
        <w:rPr>
          <w:rFonts w:ascii="Calibri" w:hAnsi="Calibri" w:hint="eastAsia"/>
          <w:b/>
          <w:bCs/>
          <w:rtl/>
        </w:rPr>
        <w:t>צו</w:t>
      </w:r>
      <w:r w:rsidR="0007376E" w:rsidRPr="0007376E">
        <w:rPr>
          <w:rFonts w:ascii="Calibri" w:hAnsi="Calibri"/>
          <w:b/>
          <w:bCs/>
          <w:rtl/>
        </w:rPr>
        <w:t xml:space="preserve"> </w:t>
      </w:r>
      <w:r w:rsidR="0007376E" w:rsidRPr="0007376E">
        <w:rPr>
          <w:rFonts w:ascii="Calibri" w:hAnsi="Calibri" w:hint="eastAsia"/>
          <w:b/>
          <w:bCs/>
          <w:rtl/>
        </w:rPr>
        <w:t>להשמדת</w:t>
      </w:r>
      <w:r w:rsidR="0007376E" w:rsidRPr="0007376E">
        <w:rPr>
          <w:rFonts w:ascii="Calibri" w:hAnsi="Calibri"/>
          <w:b/>
          <w:bCs/>
          <w:rtl/>
        </w:rPr>
        <w:t xml:space="preserve"> </w:t>
      </w:r>
      <w:r w:rsidR="0007376E" w:rsidRPr="0007376E">
        <w:rPr>
          <w:rFonts w:ascii="Calibri" w:hAnsi="Calibri" w:hint="cs"/>
          <w:b/>
          <w:bCs/>
          <w:rtl/>
        </w:rPr>
        <w:t>המוצגים</w:t>
      </w:r>
      <w:r w:rsidR="0007376E" w:rsidRPr="0007376E">
        <w:rPr>
          <w:rFonts w:ascii="Calibri" w:hAnsi="Calibri"/>
          <w:b/>
          <w:bCs/>
          <w:rtl/>
        </w:rPr>
        <w:t xml:space="preserve"> – </w:t>
      </w:r>
      <w:r w:rsidR="0007376E" w:rsidRPr="0007376E">
        <w:rPr>
          <w:rFonts w:ascii="Calibri" w:hAnsi="Calibri" w:hint="eastAsia"/>
          <w:b/>
          <w:bCs/>
          <w:rtl/>
        </w:rPr>
        <w:t>סמים</w:t>
      </w:r>
      <w:r w:rsidR="0007376E" w:rsidRPr="0007376E">
        <w:rPr>
          <w:rFonts w:ascii="Calibri" w:hAnsi="Calibri" w:hint="cs"/>
          <w:b/>
          <w:bCs/>
          <w:rtl/>
        </w:rPr>
        <w:t>, פנס, משקלים, ניילון</w:t>
      </w:r>
      <w:r w:rsidR="0007376E" w:rsidRPr="0007376E">
        <w:rPr>
          <w:rFonts w:ascii="Calibri" w:hAnsi="Calibri"/>
          <w:b/>
          <w:bCs/>
          <w:rtl/>
        </w:rPr>
        <w:t xml:space="preserve"> </w:t>
      </w:r>
      <w:r w:rsidR="0007376E" w:rsidRPr="0007376E">
        <w:rPr>
          <w:rFonts w:ascii="Calibri" w:hAnsi="Calibri" w:hint="eastAsia"/>
          <w:b/>
          <w:bCs/>
          <w:rtl/>
        </w:rPr>
        <w:t>בחלוף</w:t>
      </w:r>
      <w:r w:rsidR="0007376E" w:rsidRPr="0007376E">
        <w:rPr>
          <w:rFonts w:ascii="Calibri" w:hAnsi="Calibri"/>
          <w:b/>
          <w:bCs/>
          <w:rtl/>
        </w:rPr>
        <w:t xml:space="preserve"> </w:t>
      </w:r>
      <w:r w:rsidR="0007376E" w:rsidRPr="0007376E">
        <w:rPr>
          <w:rFonts w:ascii="Calibri" w:hAnsi="Calibri" w:hint="eastAsia"/>
          <w:b/>
          <w:bCs/>
          <w:rtl/>
        </w:rPr>
        <w:t>תקופת</w:t>
      </w:r>
      <w:r w:rsidR="0007376E" w:rsidRPr="0007376E">
        <w:rPr>
          <w:rFonts w:ascii="Calibri" w:hAnsi="Calibri"/>
          <w:b/>
          <w:bCs/>
          <w:rtl/>
        </w:rPr>
        <w:t xml:space="preserve"> </w:t>
      </w:r>
      <w:r w:rsidR="0007376E" w:rsidRPr="0007376E">
        <w:rPr>
          <w:rFonts w:ascii="Calibri" w:hAnsi="Calibri" w:hint="eastAsia"/>
          <w:b/>
          <w:bCs/>
          <w:rtl/>
        </w:rPr>
        <w:t>הערעור</w:t>
      </w:r>
      <w:r w:rsidR="0007376E" w:rsidRPr="0007376E">
        <w:rPr>
          <w:rFonts w:ascii="Calibri" w:hAnsi="Calibri"/>
          <w:b/>
          <w:bCs/>
          <w:rtl/>
        </w:rPr>
        <w:t>.</w:t>
      </w:r>
    </w:p>
    <w:p w14:paraId="15EE19F2" w14:textId="77777777" w:rsidR="0007376E" w:rsidRPr="0007376E" w:rsidRDefault="00351F0A" w:rsidP="0007376E">
      <w:pPr>
        <w:spacing w:after="80" w:line="360" w:lineRule="auto"/>
        <w:jc w:val="both"/>
        <w:rPr>
          <w:rFonts w:ascii="Calibri" w:hAnsi="Calibri"/>
          <w:b/>
          <w:bCs/>
        </w:rPr>
      </w:pPr>
      <w:r w:rsidRPr="00351F0A">
        <w:rPr>
          <w:rFonts w:ascii="Calibri" w:hAnsi="Calibri"/>
          <w:b/>
          <w:bCs/>
          <w:color w:val="FFFFFF"/>
          <w:sz w:val="2"/>
          <w:szCs w:val="2"/>
          <w:rtl/>
        </w:rPr>
        <w:t>54678313</w:t>
      </w:r>
      <w:r w:rsidR="0007376E" w:rsidRPr="0007376E">
        <w:rPr>
          <w:rFonts w:ascii="Calibri" w:hAnsi="Calibri" w:hint="eastAsia"/>
          <w:b/>
          <w:bCs/>
          <w:rtl/>
        </w:rPr>
        <w:t>זכות</w:t>
      </w:r>
      <w:r w:rsidR="0007376E" w:rsidRPr="0007376E">
        <w:rPr>
          <w:rFonts w:ascii="Calibri" w:hAnsi="Calibri"/>
          <w:b/>
          <w:bCs/>
          <w:rtl/>
        </w:rPr>
        <w:t xml:space="preserve"> </w:t>
      </w:r>
      <w:r w:rsidR="0007376E" w:rsidRPr="0007376E">
        <w:rPr>
          <w:rFonts w:ascii="Calibri" w:hAnsi="Calibri" w:hint="eastAsia"/>
          <w:b/>
          <w:bCs/>
          <w:rtl/>
        </w:rPr>
        <w:t>ערעור</w:t>
      </w:r>
      <w:r w:rsidR="0007376E" w:rsidRPr="0007376E">
        <w:rPr>
          <w:rFonts w:ascii="Calibri" w:hAnsi="Calibri"/>
          <w:b/>
          <w:bCs/>
          <w:rtl/>
        </w:rPr>
        <w:t xml:space="preserve"> </w:t>
      </w:r>
      <w:r w:rsidR="0007376E" w:rsidRPr="0007376E">
        <w:rPr>
          <w:rFonts w:ascii="Calibri" w:hAnsi="Calibri" w:hint="eastAsia"/>
          <w:b/>
          <w:bCs/>
          <w:rtl/>
        </w:rPr>
        <w:t>כחוק</w:t>
      </w:r>
      <w:r w:rsidR="0007376E" w:rsidRPr="0007376E">
        <w:rPr>
          <w:rFonts w:ascii="Calibri" w:hAnsi="Calibri"/>
          <w:b/>
          <w:bCs/>
          <w:rtl/>
        </w:rPr>
        <w:t>.</w:t>
      </w:r>
    </w:p>
    <w:p w14:paraId="6A661322" w14:textId="77777777" w:rsidR="0007376E" w:rsidRPr="002B7D23" w:rsidRDefault="0007376E" w:rsidP="0007376E">
      <w:pPr>
        <w:rPr>
          <w:rFonts w:ascii="David" w:hAnsi="David"/>
          <w:sz w:val="26"/>
          <w:szCs w:val="26"/>
          <w:rtl/>
        </w:rPr>
      </w:pPr>
    </w:p>
    <w:p w14:paraId="68F8DE5C" w14:textId="77777777" w:rsidR="0007376E" w:rsidRPr="002B7D23" w:rsidRDefault="00351F0A" w:rsidP="0007376E">
      <w:pPr>
        <w:rPr>
          <w:rFonts w:ascii="David" w:hAnsi="David"/>
          <w:sz w:val="26"/>
          <w:szCs w:val="26"/>
          <w:rtl/>
        </w:rPr>
      </w:pPr>
      <w:bookmarkStart w:id="8" w:name="Nitan"/>
      <w:r>
        <w:rPr>
          <w:rFonts w:ascii="David" w:hAnsi="David"/>
          <w:b/>
          <w:bCs/>
          <w:sz w:val="26"/>
          <w:szCs w:val="26"/>
          <w:rtl/>
        </w:rPr>
        <w:t xml:space="preserve">ניתן היום,  כ"ג תשרי תשפ"ב, 29 ספטמבר 2021, במעמד הצדדים. </w:t>
      </w:r>
      <w:bookmarkEnd w:id="8"/>
    </w:p>
    <w:p w14:paraId="2E77558D" w14:textId="77777777" w:rsidR="0007376E" w:rsidRPr="002B7D23" w:rsidRDefault="0007376E" w:rsidP="00351F0A">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3319CBCE" w14:textId="77777777" w:rsidR="0007376E" w:rsidRPr="002B7D23" w:rsidRDefault="0007376E" w:rsidP="0007376E">
      <w:pPr>
        <w:jc w:val="center"/>
        <w:rPr>
          <w:rFonts w:ascii="David" w:hAnsi="David"/>
          <w:sz w:val="26"/>
          <w:szCs w:val="26"/>
          <w:rtl/>
        </w:rPr>
      </w:pPr>
    </w:p>
    <w:p w14:paraId="7FAC5F8B" w14:textId="77777777" w:rsidR="009A026A" w:rsidRPr="00351F0A" w:rsidRDefault="009A026A" w:rsidP="00351F0A">
      <w:pPr>
        <w:keepNext/>
        <w:rPr>
          <w:rFonts w:ascii="David" w:hAnsi="David"/>
          <w:color w:val="000000"/>
          <w:sz w:val="22"/>
          <w:szCs w:val="22"/>
          <w:rtl/>
        </w:rPr>
      </w:pPr>
    </w:p>
    <w:p w14:paraId="12DA632A" w14:textId="77777777" w:rsidR="00351F0A" w:rsidRPr="00351F0A" w:rsidRDefault="00351F0A" w:rsidP="00351F0A">
      <w:pPr>
        <w:keepNext/>
        <w:rPr>
          <w:rFonts w:ascii="David" w:hAnsi="David"/>
          <w:color w:val="000000"/>
          <w:sz w:val="22"/>
          <w:szCs w:val="22"/>
          <w:rtl/>
        </w:rPr>
      </w:pPr>
      <w:r w:rsidRPr="00351F0A">
        <w:rPr>
          <w:rFonts w:ascii="David" w:hAnsi="David"/>
          <w:color w:val="000000"/>
          <w:sz w:val="22"/>
          <w:szCs w:val="22"/>
          <w:rtl/>
        </w:rPr>
        <w:t>ענת חולתא 54678313</w:t>
      </w:r>
    </w:p>
    <w:p w14:paraId="5F1B0BE9" w14:textId="77777777" w:rsidR="00351F0A" w:rsidRDefault="00351F0A" w:rsidP="00351F0A">
      <w:r w:rsidRPr="00351F0A">
        <w:rPr>
          <w:color w:val="000000"/>
          <w:rtl/>
        </w:rPr>
        <w:t>נוסח מסמך זה כפוף לשינויי ניסוח ועריכה</w:t>
      </w:r>
    </w:p>
    <w:p w14:paraId="2BA4D8B1" w14:textId="77777777" w:rsidR="00351F0A" w:rsidRDefault="00351F0A" w:rsidP="00351F0A">
      <w:pPr>
        <w:rPr>
          <w:rtl/>
        </w:rPr>
      </w:pPr>
    </w:p>
    <w:p w14:paraId="6E19B91E" w14:textId="77777777" w:rsidR="00351F0A" w:rsidRDefault="00351F0A" w:rsidP="00351F0A">
      <w:pPr>
        <w:jc w:val="center"/>
        <w:rPr>
          <w:color w:val="0000FF"/>
          <w:u w:val="single"/>
        </w:rPr>
      </w:pPr>
      <w:hyperlink r:id="rId48" w:history="1">
        <w:r>
          <w:rPr>
            <w:color w:val="0000FF"/>
            <w:u w:val="single"/>
            <w:rtl/>
          </w:rPr>
          <w:t>בעניין עריכה ושינויים במסמכי פסיקה, חקיקה ועוד באתר נבו – הקש כאן</w:t>
        </w:r>
      </w:hyperlink>
    </w:p>
    <w:p w14:paraId="6BDFA44A" w14:textId="77777777" w:rsidR="00351F0A" w:rsidRPr="00351F0A" w:rsidRDefault="00351F0A" w:rsidP="00351F0A">
      <w:pPr>
        <w:jc w:val="center"/>
        <w:rPr>
          <w:color w:val="0000FF"/>
          <w:u w:val="single"/>
        </w:rPr>
      </w:pPr>
    </w:p>
    <w:sectPr w:rsidR="00351F0A" w:rsidRPr="00351F0A" w:rsidSect="00351F0A">
      <w:headerReference w:type="even" r:id="rId49"/>
      <w:headerReference w:type="default" r:id="rId50"/>
      <w:footerReference w:type="even" r:id="rId51"/>
      <w:footerReference w:type="default" r:id="rId5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5585C4" w14:textId="77777777" w:rsidR="00A92C92" w:rsidRDefault="00A92C92" w:rsidP="00914BDC">
      <w:r>
        <w:separator/>
      </w:r>
    </w:p>
  </w:endnote>
  <w:endnote w:type="continuationSeparator" w:id="0">
    <w:p w14:paraId="77A4947E" w14:textId="77777777" w:rsidR="00A92C92" w:rsidRDefault="00A92C92" w:rsidP="00914B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211CE" w14:textId="77777777" w:rsidR="00351F0A" w:rsidRDefault="00351F0A" w:rsidP="00351F0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AD1DF88" w14:textId="77777777" w:rsidR="001F1F42" w:rsidRPr="00351F0A" w:rsidRDefault="00351F0A" w:rsidP="00351F0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B7AFAB" w14:textId="77777777" w:rsidR="00351F0A" w:rsidRDefault="00351F0A" w:rsidP="00351F0A">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F7AB8">
      <w:rPr>
        <w:rFonts w:ascii="FrankRuehl" w:hAnsi="FrankRuehl" w:cs="FrankRuehl"/>
        <w:noProof/>
        <w:rtl/>
      </w:rPr>
      <w:t>1</w:t>
    </w:r>
    <w:r>
      <w:rPr>
        <w:rFonts w:ascii="FrankRuehl" w:hAnsi="FrankRuehl" w:cs="FrankRuehl"/>
        <w:rtl/>
      </w:rPr>
      <w:fldChar w:fldCharType="end"/>
    </w:r>
  </w:p>
  <w:p w14:paraId="22DB2F6E" w14:textId="77777777" w:rsidR="001F1F42" w:rsidRPr="00351F0A" w:rsidRDefault="00351F0A" w:rsidP="00351F0A">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38BD339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CCE06F" w14:textId="77777777" w:rsidR="00A92C92" w:rsidRDefault="00A92C92" w:rsidP="00914BDC">
      <w:r>
        <w:separator/>
      </w:r>
    </w:p>
  </w:footnote>
  <w:footnote w:type="continuationSeparator" w:id="0">
    <w:p w14:paraId="2B6494D4" w14:textId="77777777" w:rsidR="00A92C92" w:rsidRDefault="00A92C92" w:rsidP="00914B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E30E01" w14:textId="77777777" w:rsidR="00351F0A" w:rsidRPr="00351F0A" w:rsidRDefault="00351F0A" w:rsidP="00351F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20931-12-20</w:t>
    </w:r>
    <w:r>
      <w:rPr>
        <w:rFonts w:ascii="David" w:hAnsi="David"/>
        <w:color w:val="000000"/>
        <w:sz w:val="22"/>
        <w:szCs w:val="22"/>
        <w:rtl/>
      </w:rPr>
      <w:tab/>
      <w:t xml:space="preserve"> מדינת ישראל-תביעות נגב נ' פנחס דהן -ויעוד חזותי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E9336" w14:textId="77777777" w:rsidR="00351F0A" w:rsidRPr="00351F0A" w:rsidRDefault="00351F0A" w:rsidP="00351F0A">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(ב"ש) 20931-12-20</w:t>
    </w:r>
    <w:r>
      <w:rPr>
        <w:rFonts w:ascii="David" w:hAnsi="David"/>
        <w:color w:val="000000"/>
        <w:sz w:val="22"/>
        <w:szCs w:val="22"/>
        <w:rtl/>
      </w:rPr>
      <w:tab/>
      <w:t xml:space="preserve"> מדינת ישראל-תביעות נגב נ' פנחס דהן -ויעוד חזותי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A2768B"/>
    <w:multiLevelType w:val="hybridMultilevel"/>
    <w:tmpl w:val="FFECB426"/>
    <w:lvl w:ilvl="0" w:tplc="04090013">
      <w:start w:val="1"/>
      <w:numFmt w:val="hebrew1"/>
      <w:lvlText w:val="%1."/>
      <w:lvlJc w:val="center"/>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3C704CBC"/>
    <w:multiLevelType w:val="hybridMultilevel"/>
    <w:tmpl w:val="1996F08A"/>
    <w:lvl w:ilvl="0" w:tplc="04090013">
      <w:start w:val="1"/>
      <w:numFmt w:val="hebrew1"/>
      <w:lvlText w:val="%1."/>
      <w:lvlJc w:val="center"/>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62047AD2"/>
    <w:multiLevelType w:val="hybridMultilevel"/>
    <w:tmpl w:val="27A446BC"/>
    <w:lvl w:ilvl="0" w:tplc="1C262962">
      <w:start w:val="1"/>
      <w:numFmt w:val="decimal"/>
      <w:lvlText w:val="%1."/>
      <w:lvlJc w:val="left"/>
      <w:pPr>
        <w:ind w:left="360" w:hanging="360"/>
      </w:pPr>
      <w:rPr>
        <w:rFonts w:cs="David"/>
        <w:b w:val="0"/>
        <w:bCs w:val="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16cid:durableId="1468205526">
    <w:abstractNumId w:val="2"/>
  </w:num>
  <w:num w:numId="2" w16cid:durableId="222833435">
    <w:abstractNumId w:val="0"/>
  </w:num>
  <w:num w:numId="3" w16cid:durableId="17051371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7376E"/>
    <w:rsid w:val="0007376E"/>
    <w:rsid w:val="001B5A3B"/>
    <w:rsid w:val="001F1F42"/>
    <w:rsid w:val="00351F0A"/>
    <w:rsid w:val="008C4106"/>
    <w:rsid w:val="00914BDC"/>
    <w:rsid w:val="009A026A"/>
    <w:rsid w:val="009F7AB8"/>
    <w:rsid w:val="00A92C92"/>
    <w:rsid w:val="00AD0BD6"/>
    <w:rsid w:val="00AE2F93"/>
    <w:rsid w:val="00C107C9"/>
    <w:rsid w:val="00D07D26"/>
    <w:rsid w:val="00DF69E1"/>
    <w:rsid w:val="00ED24F6"/>
    <w:rsid w:val="00F37B9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340AD14"/>
  <w15:chartTrackingRefBased/>
  <w15:docId w15:val="{31EF24A5-D077-45C6-B2D5-1A32557E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7376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7376E"/>
    <w:pPr>
      <w:tabs>
        <w:tab w:val="center" w:pos="4153"/>
        <w:tab w:val="right" w:pos="8306"/>
      </w:tabs>
    </w:pPr>
  </w:style>
  <w:style w:type="character" w:customStyle="1" w:styleId="a4">
    <w:name w:val="כותרת עליונה תו"/>
    <w:link w:val="a3"/>
    <w:rsid w:val="0007376E"/>
    <w:rPr>
      <w:rFonts w:ascii="Times New Roman" w:eastAsia="Times New Roman" w:hAnsi="Times New Roman" w:cs="David"/>
      <w:sz w:val="24"/>
      <w:szCs w:val="24"/>
    </w:rPr>
  </w:style>
  <w:style w:type="paragraph" w:styleId="a5">
    <w:name w:val="footer"/>
    <w:basedOn w:val="a"/>
    <w:link w:val="a6"/>
    <w:rsid w:val="0007376E"/>
    <w:pPr>
      <w:tabs>
        <w:tab w:val="center" w:pos="4153"/>
        <w:tab w:val="right" w:pos="8306"/>
      </w:tabs>
    </w:pPr>
  </w:style>
  <w:style w:type="character" w:customStyle="1" w:styleId="a6">
    <w:name w:val="כותרת תחתונה תו"/>
    <w:link w:val="a5"/>
    <w:rsid w:val="0007376E"/>
    <w:rPr>
      <w:rFonts w:ascii="Times New Roman" w:eastAsia="Times New Roman" w:hAnsi="Times New Roman" w:cs="David"/>
      <w:sz w:val="24"/>
      <w:szCs w:val="24"/>
    </w:rPr>
  </w:style>
  <w:style w:type="table" w:styleId="a7">
    <w:name w:val="Table Grid"/>
    <w:basedOn w:val="a1"/>
    <w:rsid w:val="0007376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7376E"/>
  </w:style>
  <w:style w:type="character" w:styleId="Hyperlink">
    <w:name w:val="Hyperlink"/>
    <w:rsid w:val="00351F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98569/26" TargetMode="External"/><Relationship Id="rId18" Type="http://schemas.openxmlformats.org/officeDocument/2006/relationships/hyperlink" Target="http://www.nevo.co.il/law/4216/19a" TargetMode="External"/><Relationship Id="rId26" Type="http://schemas.openxmlformats.org/officeDocument/2006/relationships/hyperlink" Target="http://www.nevo.co.il/case/5738608" TargetMode="External"/><Relationship Id="rId39" Type="http://schemas.openxmlformats.org/officeDocument/2006/relationships/hyperlink" Target="http://www.nevo.co.il/law/98569" TargetMode="External"/><Relationship Id="rId21" Type="http://schemas.openxmlformats.org/officeDocument/2006/relationships/hyperlink" Target="http://www.nevo.co.il/case/20159069" TargetMode="External"/><Relationship Id="rId34" Type="http://schemas.openxmlformats.org/officeDocument/2006/relationships/hyperlink" Target="http://www.nevo.co.il/case/20420496" TargetMode="External"/><Relationship Id="rId42" Type="http://schemas.openxmlformats.org/officeDocument/2006/relationships/hyperlink" Target="http://www.nevo.co.il/law/98569" TargetMode="External"/><Relationship Id="rId47" Type="http://schemas.openxmlformats.org/officeDocument/2006/relationships/hyperlink" Target="http://www.nevo.co.il/case/20159069" TargetMode="External"/><Relationship Id="rId50"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4903/144" TargetMode="External"/><Relationship Id="rId29" Type="http://schemas.openxmlformats.org/officeDocument/2006/relationships/hyperlink" Target="http://www.nevo.co.il/case/5787128" TargetMode="External"/><Relationship Id="rId11" Type="http://schemas.openxmlformats.org/officeDocument/2006/relationships/hyperlink" Target="http://www.nevo.co.il/law/4216/19a" TargetMode="External"/><Relationship Id="rId24" Type="http://schemas.openxmlformats.org/officeDocument/2006/relationships/hyperlink" Target="http://www.nevo.co.il/case/512451" TargetMode="External"/><Relationship Id="rId32" Type="http://schemas.openxmlformats.org/officeDocument/2006/relationships/hyperlink" Target="http://www.nevo.co.il/case/24975541" TargetMode="External"/><Relationship Id="rId37" Type="http://schemas.openxmlformats.org/officeDocument/2006/relationships/hyperlink" Target="http://www.nevo.co.il/case/18654248" TargetMode="External"/><Relationship Id="rId40" Type="http://schemas.openxmlformats.org/officeDocument/2006/relationships/hyperlink" Target="http://www.nevo.co.il/law/74903" TargetMode="External"/><Relationship Id="rId45" Type="http://schemas.openxmlformats.org/officeDocument/2006/relationships/hyperlink" Target="http://www.nevo.co.il/law/74903/144"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nevo.co.il/law/4216/13" TargetMode="External"/><Relationship Id="rId19" Type="http://schemas.openxmlformats.org/officeDocument/2006/relationships/hyperlink" Target="http://www.nevo.co.il/law/4216" TargetMode="External"/><Relationship Id="rId31" Type="http://schemas.openxmlformats.org/officeDocument/2006/relationships/hyperlink" Target="http://www.nevo.co.il/case/21477472" TargetMode="External"/><Relationship Id="rId44" Type="http://schemas.openxmlformats.org/officeDocument/2006/relationships/hyperlink" Target="http://www.nevo.co.il/law/74903"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74903" TargetMode="External"/><Relationship Id="rId22" Type="http://schemas.openxmlformats.org/officeDocument/2006/relationships/hyperlink" Target="http://www.nevo.co.il/law/98569/26" TargetMode="External"/><Relationship Id="rId27" Type="http://schemas.openxmlformats.org/officeDocument/2006/relationships/hyperlink" Target="http://www.nevo.co.il/case/5580841" TargetMode="External"/><Relationship Id="rId30" Type="http://schemas.openxmlformats.org/officeDocument/2006/relationships/hyperlink" Target="http://www.nevo.co.il/case/8449528" TargetMode="External"/><Relationship Id="rId35" Type="http://schemas.openxmlformats.org/officeDocument/2006/relationships/hyperlink" Target="http://www.nevo.co.il/case/25049544" TargetMode="External"/><Relationship Id="rId43" Type="http://schemas.openxmlformats.org/officeDocument/2006/relationships/hyperlink" Target="http://www.nevo.co.il/law/74903/144" TargetMode="External"/><Relationship Id="rId48" Type="http://schemas.openxmlformats.org/officeDocument/2006/relationships/hyperlink" Target="http://www.nevo.co.il/advertisements/nevo-100.doc" TargetMode="External"/><Relationship Id="rId8" Type="http://schemas.openxmlformats.org/officeDocument/2006/relationships/hyperlink" Target="http://www.nevo.co.il/law/4216/7.a."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http://www.nevo.co.il/law/98569" TargetMode="External"/><Relationship Id="rId17" Type="http://schemas.openxmlformats.org/officeDocument/2006/relationships/hyperlink" Target="http://www.nevo.co.il/law/4216/13" TargetMode="External"/><Relationship Id="rId25" Type="http://schemas.openxmlformats.org/officeDocument/2006/relationships/hyperlink" Target="http://www.nevo.co.il/law/74903/53" TargetMode="External"/><Relationship Id="rId33" Type="http://schemas.openxmlformats.org/officeDocument/2006/relationships/hyperlink" Target="http://www.nevo.co.il/case/22830934" TargetMode="External"/><Relationship Id="rId38" Type="http://schemas.openxmlformats.org/officeDocument/2006/relationships/hyperlink" Target="http://www.nevo.co.il/law/98569/26" TargetMode="External"/><Relationship Id="rId46" Type="http://schemas.openxmlformats.org/officeDocument/2006/relationships/hyperlink" Target="http://www.nevo.co.il/law/74903" TargetMode="External"/><Relationship Id="rId20" Type="http://schemas.openxmlformats.org/officeDocument/2006/relationships/hyperlink" Target="http://www.nevo.co.il/law/4216/7.a.;7.c" TargetMode="External"/><Relationship Id="rId41" Type="http://schemas.openxmlformats.org/officeDocument/2006/relationships/hyperlink" Target="http://www.nevo.co.il/law/98569"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4903/53" TargetMode="External"/><Relationship Id="rId23" Type="http://schemas.openxmlformats.org/officeDocument/2006/relationships/hyperlink" Target="http://www.nevo.co.il/law/98569" TargetMode="External"/><Relationship Id="rId28" Type="http://schemas.openxmlformats.org/officeDocument/2006/relationships/hyperlink" Target="http://www.nevo.co.il/case/5988308" TargetMode="External"/><Relationship Id="rId36" Type="http://schemas.openxmlformats.org/officeDocument/2006/relationships/hyperlink" Target="http://www.nevo.co.il/case/25559115" TargetMode="External"/><Relationship Id="rId4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3312</Words>
  <Characters>16564</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19837</CharactersWithSpaces>
  <SharedDoc>false</SharedDoc>
  <HLinks>
    <vt:vector size="252" baseType="variant">
      <vt:variant>
        <vt:i4>393283</vt:i4>
      </vt:variant>
      <vt:variant>
        <vt:i4>123</vt:i4>
      </vt:variant>
      <vt:variant>
        <vt:i4>0</vt:i4>
      </vt:variant>
      <vt:variant>
        <vt:i4>5</vt:i4>
      </vt:variant>
      <vt:variant>
        <vt:lpwstr>http://www.nevo.co.il/advertisements/nevo-100.doc</vt:lpwstr>
      </vt:variant>
      <vt:variant>
        <vt:lpwstr/>
      </vt:variant>
      <vt:variant>
        <vt:i4>3932273</vt:i4>
      </vt:variant>
      <vt:variant>
        <vt:i4>120</vt:i4>
      </vt:variant>
      <vt:variant>
        <vt:i4>0</vt:i4>
      </vt:variant>
      <vt:variant>
        <vt:i4>5</vt:i4>
      </vt:variant>
      <vt:variant>
        <vt:lpwstr>http://www.nevo.co.il/case/20159069</vt:lpwstr>
      </vt:variant>
      <vt:variant>
        <vt:lpwstr/>
      </vt:variant>
      <vt:variant>
        <vt:i4>8257646</vt:i4>
      </vt:variant>
      <vt:variant>
        <vt:i4>117</vt:i4>
      </vt:variant>
      <vt:variant>
        <vt:i4>0</vt:i4>
      </vt:variant>
      <vt:variant>
        <vt:i4>5</vt:i4>
      </vt:variant>
      <vt:variant>
        <vt:lpwstr>http://www.nevo.co.il/law/74903</vt:lpwstr>
      </vt:variant>
      <vt:variant>
        <vt:lpwstr/>
      </vt:variant>
      <vt:variant>
        <vt:i4>6619244</vt:i4>
      </vt:variant>
      <vt:variant>
        <vt:i4>114</vt:i4>
      </vt:variant>
      <vt:variant>
        <vt:i4>0</vt:i4>
      </vt:variant>
      <vt:variant>
        <vt:i4>5</vt:i4>
      </vt:variant>
      <vt:variant>
        <vt:lpwstr>http://www.nevo.co.il/law/74903/144</vt:lpwstr>
      </vt:variant>
      <vt:variant>
        <vt:lpwstr/>
      </vt:variant>
      <vt:variant>
        <vt:i4>8257646</vt:i4>
      </vt:variant>
      <vt:variant>
        <vt:i4>111</vt:i4>
      </vt:variant>
      <vt:variant>
        <vt:i4>0</vt:i4>
      </vt:variant>
      <vt:variant>
        <vt:i4>5</vt:i4>
      </vt:variant>
      <vt:variant>
        <vt:lpwstr>http://www.nevo.co.il/law/74903</vt:lpwstr>
      </vt:variant>
      <vt:variant>
        <vt:lpwstr/>
      </vt:variant>
      <vt:variant>
        <vt:i4>6619244</vt:i4>
      </vt:variant>
      <vt:variant>
        <vt:i4>108</vt:i4>
      </vt:variant>
      <vt:variant>
        <vt:i4>0</vt:i4>
      </vt:variant>
      <vt:variant>
        <vt:i4>5</vt:i4>
      </vt:variant>
      <vt:variant>
        <vt:lpwstr>http://www.nevo.co.il/law/74903/144</vt:lpwstr>
      </vt:variant>
      <vt:variant>
        <vt:lpwstr/>
      </vt:variant>
      <vt:variant>
        <vt:i4>7602284</vt:i4>
      </vt:variant>
      <vt:variant>
        <vt:i4>105</vt:i4>
      </vt:variant>
      <vt:variant>
        <vt:i4>0</vt:i4>
      </vt:variant>
      <vt:variant>
        <vt:i4>5</vt:i4>
      </vt:variant>
      <vt:variant>
        <vt:lpwstr>http://www.nevo.co.il/law/98569</vt:lpwstr>
      </vt:variant>
      <vt:variant>
        <vt:lpwstr/>
      </vt:variant>
      <vt:variant>
        <vt:i4>7602284</vt:i4>
      </vt:variant>
      <vt:variant>
        <vt:i4>102</vt:i4>
      </vt:variant>
      <vt:variant>
        <vt:i4>0</vt:i4>
      </vt:variant>
      <vt:variant>
        <vt:i4>5</vt:i4>
      </vt:variant>
      <vt:variant>
        <vt:lpwstr>http://www.nevo.co.il/law/98569</vt:lpwstr>
      </vt:variant>
      <vt:variant>
        <vt:lpwstr/>
      </vt:variant>
      <vt:variant>
        <vt:i4>8257646</vt:i4>
      </vt:variant>
      <vt:variant>
        <vt:i4>99</vt:i4>
      </vt:variant>
      <vt:variant>
        <vt:i4>0</vt:i4>
      </vt:variant>
      <vt:variant>
        <vt:i4>5</vt:i4>
      </vt:variant>
      <vt:variant>
        <vt:lpwstr>http://www.nevo.co.il/law/74903</vt:lpwstr>
      </vt:variant>
      <vt:variant>
        <vt:lpwstr/>
      </vt:variant>
      <vt:variant>
        <vt:i4>7602284</vt:i4>
      </vt:variant>
      <vt:variant>
        <vt:i4>96</vt:i4>
      </vt:variant>
      <vt:variant>
        <vt:i4>0</vt:i4>
      </vt:variant>
      <vt:variant>
        <vt:i4>5</vt:i4>
      </vt:variant>
      <vt:variant>
        <vt:lpwstr>http://www.nevo.co.il/law/98569</vt:lpwstr>
      </vt:variant>
      <vt:variant>
        <vt:lpwstr/>
      </vt:variant>
      <vt:variant>
        <vt:i4>7143527</vt:i4>
      </vt:variant>
      <vt:variant>
        <vt:i4>93</vt:i4>
      </vt:variant>
      <vt:variant>
        <vt:i4>0</vt:i4>
      </vt:variant>
      <vt:variant>
        <vt:i4>5</vt:i4>
      </vt:variant>
      <vt:variant>
        <vt:lpwstr>http://www.nevo.co.il/law/98569/26</vt:lpwstr>
      </vt:variant>
      <vt:variant>
        <vt:lpwstr/>
      </vt:variant>
      <vt:variant>
        <vt:i4>3604603</vt:i4>
      </vt:variant>
      <vt:variant>
        <vt:i4>90</vt:i4>
      </vt:variant>
      <vt:variant>
        <vt:i4>0</vt:i4>
      </vt:variant>
      <vt:variant>
        <vt:i4>5</vt:i4>
      </vt:variant>
      <vt:variant>
        <vt:lpwstr>http://www.nevo.co.il/case/18654248</vt:lpwstr>
      </vt:variant>
      <vt:variant>
        <vt:lpwstr/>
      </vt:variant>
      <vt:variant>
        <vt:i4>4128885</vt:i4>
      </vt:variant>
      <vt:variant>
        <vt:i4>87</vt:i4>
      </vt:variant>
      <vt:variant>
        <vt:i4>0</vt:i4>
      </vt:variant>
      <vt:variant>
        <vt:i4>5</vt:i4>
      </vt:variant>
      <vt:variant>
        <vt:lpwstr>http://www.nevo.co.il/case/25559115</vt:lpwstr>
      </vt:variant>
      <vt:variant>
        <vt:lpwstr/>
      </vt:variant>
      <vt:variant>
        <vt:i4>4128880</vt:i4>
      </vt:variant>
      <vt:variant>
        <vt:i4>84</vt:i4>
      </vt:variant>
      <vt:variant>
        <vt:i4>0</vt:i4>
      </vt:variant>
      <vt:variant>
        <vt:i4>5</vt:i4>
      </vt:variant>
      <vt:variant>
        <vt:lpwstr>http://www.nevo.co.il/case/25049544</vt:lpwstr>
      </vt:variant>
      <vt:variant>
        <vt:lpwstr/>
      </vt:variant>
      <vt:variant>
        <vt:i4>4128882</vt:i4>
      </vt:variant>
      <vt:variant>
        <vt:i4>81</vt:i4>
      </vt:variant>
      <vt:variant>
        <vt:i4>0</vt:i4>
      </vt:variant>
      <vt:variant>
        <vt:i4>5</vt:i4>
      </vt:variant>
      <vt:variant>
        <vt:lpwstr>http://www.nevo.co.il/case/20420496</vt:lpwstr>
      </vt:variant>
      <vt:variant>
        <vt:lpwstr/>
      </vt:variant>
      <vt:variant>
        <vt:i4>3735676</vt:i4>
      </vt:variant>
      <vt:variant>
        <vt:i4>78</vt:i4>
      </vt:variant>
      <vt:variant>
        <vt:i4>0</vt:i4>
      </vt:variant>
      <vt:variant>
        <vt:i4>5</vt:i4>
      </vt:variant>
      <vt:variant>
        <vt:lpwstr>http://www.nevo.co.il/case/22830934</vt:lpwstr>
      </vt:variant>
      <vt:variant>
        <vt:lpwstr/>
      </vt:variant>
      <vt:variant>
        <vt:i4>3801202</vt:i4>
      </vt:variant>
      <vt:variant>
        <vt:i4>75</vt:i4>
      </vt:variant>
      <vt:variant>
        <vt:i4>0</vt:i4>
      </vt:variant>
      <vt:variant>
        <vt:i4>5</vt:i4>
      </vt:variant>
      <vt:variant>
        <vt:lpwstr>http://www.nevo.co.il/case/24975541</vt:lpwstr>
      </vt:variant>
      <vt:variant>
        <vt:lpwstr/>
      </vt:variant>
      <vt:variant>
        <vt:i4>3539062</vt:i4>
      </vt:variant>
      <vt:variant>
        <vt:i4>72</vt:i4>
      </vt:variant>
      <vt:variant>
        <vt:i4>0</vt:i4>
      </vt:variant>
      <vt:variant>
        <vt:i4>5</vt:i4>
      </vt:variant>
      <vt:variant>
        <vt:lpwstr>http://www.nevo.co.il/case/21477472</vt:lpwstr>
      </vt:variant>
      <vt:variant>
        <vt:lpwstr/>
      </vt:variant>
      <vt:variant>
        <vt:i4>3211387</vt:i4>
      </vt:variant>
      <vt:variant>
        <vt:i4>69</vt:i4>
      </vt:variant>
      <vt:variant>
        <vt:i4>0</vt:i4>
      </vt:variant>
      <vt:variant>
        <vt:i4>5</vt:i4>
      </vt:variant>
      <vt:variant>
        <vt:lpwstr>http://www.nevo.co.il/case/8449528</vt:lpwstr>
      </vt:variant>
      <vt:variant>
        <vt:lpwstr/>
      </vt:variant>
      <vt:variant>
        <vt:i4>3407990</vt:i4>
      </vt:variant>
      <vt:variant>
        <vt:i4>66</vt:i4>
      </vt:variant>
      <vt:variant>
        <vt:i4>0</vt:i4>
      </vt:variant>
      <vt:variant>
        <vt:i4>5</vt:i4>
      </vt:variant>
      <vt:variant>
        <vt:lpwstr>http://www.nevo.co.il/case/5787128</vt:lpwstr>
      </vt:variant>
      <vt:variant>
        <vt:lpwstr/>
      </vt:variant>
      <vt:variant>
        <vt:i4>3539061</vt:i4>
      </vt:variant>
      <vt:variant>
        <vt:i4>63</vt:i4>
      </vt:variant>
      <vt:variant>
        <vt:i4>0</vt:i4>
      </vt:variant>
      <vt:variant>
        <vt:i4>5</vt:i4>
      </vt:variant>
      <vt:variant>
        <vt:lpwstr>http://www.nevo.co.il/case/5988308</vt:lpwstr>
      </vt:variant>
      <vt:variant>
        <vt:lpwstr/>
      </vt:variant>
      <vt:variant>
        <vt:i4>3407989</vt:i4>
      </vt:variant>
      <vt:variant>
        <vt:i4>60</vt:i4>
      </vt:variant>
      <vt:variant>
        <vt:i4>0</vt:i4>
      </vt:variant>
      <vt:variant>
        <vt:i4>5</vt:i4>
      </vt:variant>
      <vt:variant>
        <vt:lpwstr>http://www.nevo.co.il/case/5580841</vt:lpwstr>
      </vt:variant>
      <vt:variant>
        <vt:lpwstr/>
      </vt:variant>
      <vt:variant>
        <vt:i4>3670139</vt:i4>
      </vt:variant>
      <vt:variant>
        <vt:i4>57</vt:i4>
      </vt:variant>
      <vt:variant>
        <vt:i4>0</vt:i4>
      </vt:variant>
      <vt:variant>
        <vt:i4>5</vt:i4>
      </vt:variant>
      <vt:variant>
        <vt:lpwstr>http://www.nevo.co.il/case/5738608</vt:lpwstr>
      </vt:variant>
      <vt:variant>
        <vt:lpwstr/>
      </vt:variant>
      <vt:variant>
        <vt:i4>6422632</vt:i4>
      </vt:variant>
      <vt:variant>
        <vt:i4>54</vt:i4>
      </vt:variant>
      <vt:variant>
        <vt:i4>0</vt:i4>
      </vt:variant>
      <vt:variant>
        <vt:i4>5</vt:i4>
      </vt:variant>
      <vt:variant>
        <vt:lpwstr>http://www.nevo.co.il/law/74903/53</vt:lpwstr>
      </vt:variant>
      <vt:variant>
        <vt:lpwstr/>
      </vt:variant>
      <vt:variant>
        <vt:i4>131137</vt:i4>
      </vt:variant>
      <vt:variant>
        <vt:i4>51</vt:i4>
      </vt:variant>
      <vt:variant>
        <vt:i4>0</vt:i4>
      </vt:variant>
      <vt:variant>
        <vt:i4>5</vt:i4>
      </vt:variant>
      <vt:variant>
        <vt:lpwstr>http://www.nevo.co.il/case/512451</vt:lpwstr>
      </vt:variant>
      <vt:variant>
        <vt:lpwstr/>
      </vt:variant>
      <vt:variant>
        <vt:i4>7602284</vt:i4>
      </vt:variant>
      <vt:variant>
        <vt:i4>48</vt:i4>
      </vt:variant>
      <vt:variant>
        <vt:i4>0</vt:i4>
      </vt:variant>
      <vt:variant>
        <vt:i4>5</vt:i4>
      </vt:variant>
      <vt:variant>
        <vt:lpwstr>http://www.nevo.co.il/law/98569</vt:lpwstr>
      </vt:variant>
      <vt:variant>
        <vt:lpwstr/>
      </vt:variant>
      <vt:variant>
        <vt:i4>7143527</vt:i4>
      </vt:variant>
      <vt:variant>
        <vt:i4>45</vt:i4>
      </vt:variant>
      <vt:variant>
        <vt:i4>0</vt:i4>
      </vt:variant>
      <vt:variant>
        <vt:i4>5</vt:i4>
      </vt:variant>
      <vt:variant>
        <vt:lpwstr>http://www.nevo.co.il/law/98569/26</vt:lpwstr>
      </vt:variant>
      <vt:variant>
        <vt:lpwstr/>
      </vt:variant>
      <vt:variant>
        <vt:i4>3932273</vt:i4>
      </vt:variant>
      <vt:variant>
        <vt:i4>42</vt:i4>
      </vt:variant>
      <vt:variant>
        <vt:i4>0</vt:i4>
      </vt:variant>
      <vt:variant>
        <vt:i4>5</vt:i4>
      </vt:variant>
      <vt:variant>
        <vt:lpwstr>http://www.nevo.co.il/case/20159069</vt:lpwstr>
      </vt:variant>
      <vt:variant>
        <vt:lpwstr/>
      </vt:variant>
      <vt:variant>
        <vt:i4>3997821</vt:i4>
      </vt:variant>
      <vt:variant>
        <vt:i4>39</vt:i4>
      </vt:variant>
      <vt:variant>
        <vt:i4>0</vt:i4>
      </vt:variant>
      <vt:variant>
        <vt:i4>5</vt:i4>
      </vt:variant>
      <vt:variant>
        <vt:lpwstr>http://www.nevo.co.il/law/4216/7.a.;7.c</vt:lpwstr>
      </vt:variant>
      <vt:variant>
        <vt:lpwstr/>
      </vt:variant>
      <vt:variant>
        <vt:i4>8257637</vt:i4>
      </vt:variant>
      <vt:variant>
        <vt:i4>36</vt:i4>
      </vt:variant>
      <vt:variant>
        <vt:i4>0</vt:i4>
      </vt:variant>
      <vt:variant>
        <vt:i4>5</vt:i4>
      </vt:variant>
      <vt:variant>
        <vt:lpwstr>http://www.nevo.co.il/law/4216</vt:lpwstr>
      </vt:variant>
      <vt:variant>
        <vt:lpwstr/>
      </vt:variant>
      <vt:variant>
        <vt:i4>3014771</vt:i4>
      </vt:variant>
      <vt:variant>
        <vt:i4>33</vt:i4>
      </vt:variant>
      <vt:variant>
        <vt:i4>0</vt:i4>
      </vt:variant>
      <vt:variant>
        <vt:i4>5</vt:i4>
      </vt:variant>
      <vt:variant>
        <vt:lpwstr>http://www.nevo.co.il/law/4216/19a</vt:lpwstr>
      </vt:variant>
      <vt:variant>
        <vt:lpwstr/>
      </vt:variant>
      <vt:variant>
        <vt:i4>5177418</vt:i4>
      </vt:variant>
      <vt:variant>
        <vt:i4>30</vt:i4>
      </vt:variant>
      <vt:variant>
        <vt:i4>0</vt:i4>
      </vt:variant>
      <vt:variant>
        <vt:i4>5</vt:i4>
      </vt:variant>
      <vt:variant>
        <vt:lpwstr>http://www.nevo.co.il/law/4216/13</vt:lpwstr>
      </vt:variant>
      <vt:variant>
        <vt:lpwstr/>
      </vt:variant>
      <vt:variant>
        <vt:i4>6619244</vt:i4>
      </vt:variant>
      <vt:variant>
        <vt:i4>27</vt:i4>
      </vt:variant>
      <vt:variant>
        <vt:i4>0</vt:i4>
      </vt:variant>
      <vt:variant>
        <vt:i4>5</vt:i4>
      </vt:variant>
      <vt:variant>
        <vt:lpwstr>http://www.nevo.co.il/law/74903/144</vt:lpwstr>
      </vt:variant>
      <vt:variant>
        <vt:lpwstr/>
      </vt:variant>
      <vt:variant>
        <vt:i4>6422632</vt:i4>
      </vt:variant>
      <vt:variant>
        <vt:i4>24</vt:i4>
      </vt:variant>
      <vt:variant>
        <vt:i4>0</vt:i4>
      </vt:variant>
      <vt:variant>
        <vt:i4>5</vt:i4>
      </vt:variant>
      <vt:variant>
        <vt:lpwstr>http://www.nevo.co.il/law/74903/53</vt:lpwstr>
      </vt:variant>
      <vt:variant>
        <vt:lpwstr/>
      </vt:variant>
      <vt:variant>
        <vt:i4>8257646</vt:i4>
      </vt:variant>
      <vt:variant>
        <vt:i4>21</vt:i4>
      </vt:variant>
      <vt:variant>
        <vt:i4>0</vt:i4>
      </vt:variant>
      <vt:variant>
        <vt:i4>5</vt:i4>
      </vt:variant>
      <vt:variant>
        <vt:lpwstr>http://www.nevo.co.il/law/74903</vt:lpwstr>
      </vt:variant>
      <vt:variant>
        <vt:lpwstr/>
      </vt:variant>
      <vt:variant>
        <vt:i4>7143527</vt:i4>
      </vt:variant>
      <vt:variant>
        <vt:i4>18</vt:i4>
      </vt:variant>
      <vt:variant>
        <vt:i4>0</vt:i4>
      </vt:variant>
      <vt:variant>
        <vt:i4>5</vt:i4>
      </vt:variant>
      <vt:variant>
        <vt:lpwstr>http://www.nevo.co.il/law/98569/26</vt:lpwstr>
      </vt:variant>
      <vt:variant>
        <vt:lpwstr/>
      </vt:variant>
      <vt:variant>
        <vt:i4>7602284</vt:i4>
      </vt:variant>
      <vt:variant>
        <vt:i4>15</vt:i4>
      </vt:variant>
      <vt:variant>
        <vt:i4>0</vt:i4>
      </vt:variant>
      <vt:variant>
        <vt:i4>5</vt:i4>
      </vt:variant>
      <vt:variant>
        <vt:lpwstr>http://www.nevo.co.il/law/98569</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2025-04-23T00:50:00Z</dcterms:created>
  <dcterms:modified xsi:type="dcterms:W3CDTF">2025-04-23T00:50:00Z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20931</vt:lpwstr>
  </property>
  <property fmtid="{D5CDD505-2E9C-101B-9397-08002B2CF9AE}" pid="6" name="NEWPARTB">
    <vt:lpwstr>12</vt:lpwstr>
  </property>
  <property fmtid="{D5CDD505-2E9C-101B-9397-08002B2CF9AE}" pid="7" name="NEWPARTC">
    <vt:lpwstr>20</vt:lpwstr>
  </property>
  <property fmtid="{D5CDD505-2E9C-101B-9397-08002B2CF9AE}" pid="8" name="APPELLANT">
    <vt:lpwstr>מדינת ישראל-תביעות נגב</vt:lpwstr>
  </property>
  <property fmtid="{D5CDD505-2E9C-101B-9397-08002B2CF9AE}" pid="9" name="APPELLEE">
    <vt:lpwstr>פנחס דהן -ויעוד חזותי</vt:lpwstr>
  </property>
  <property fmtid="{D5CDD505-2E9C-101B-9397-08002B2CF9AE}" pid="10" name="LAWYER">
    <vt:lpwstr>לי גורמן;עלי אבו לבן</vt:lpwstr>
  </property>
  <property fmtid="{D5CDD505-2E9C-101B-9397-08002B2CF9AE}" pid="11" name="JUDGE">
    <vt:lpwstr>ענת חולתא</vt:lpwstr>
  </property>
  <property fmtid="{D5CDD505-2E9C-101B-9397-08002B2CF9AE}" pid="12" name="CITY">
    <vt:lpwstr>ב"ש</vt:lpwstr>
  </property>
  <property fmtid="{D5CDD505-2E9C-101B-9397-08002B2CF9AE}" pid="13" name="DATE">
    <vt:lpwstr>20210929</vt:lpwstr>
  </property>
  <property fmtid="{D5CDD505-2E9C-101B-9397-08002B2CF9AE}" pid="14" name="TYPE_N_DATE">
    <vt:lpwstr>38020210929</vt:lpwstr>
  </property>
  <property fmtid="{D5CDD505-2E9C-101B-9397-08002B2CF9AE}" pid="15" name="WORDNUMPAGES">
    <vt:lpwstr>10</vt:lpwstr>
  </property>
  <property fmtid="{D5CDD505-2E9C-101B-9397-08002B2CF9AE}" pid="16" name="TYPE_ABS_DATE">
    <vt:lpwstr>380020210929</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20159069:2;512451;5738608;5580841;5988308;5787128;8449528;21477472;24975541;22830934;20420496;25049544;25559115;18654248</vt:lpwstr>
  </property>
  <property fmtid="{D5CDD505-2E9C-101B-9397-08002B2CF9AE}" pid="36" name="LAWLISTTMP1">
    <vt:lpwstr>4216/013;019a;007.a;007.c</vt:lpwstr>
  </property>
  <property fmtid="{D5CDD505-2E9C-101B-9397-08002B2CF9AE}" pid="37" name="LAWLISTTMP2">
    <vt:lpwstr>98569/026:2</vt:lpwstr>
  </property>
  <property fmtid="{D5CDD505-2E9C-101B-9397-08002B2CF9AE}" pid="38" name="LAWLISTTMP3">
    <vt:lpwstr>74903/053;144:2</vt:lpwstr>
  </property>
</Properties>
</file>