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618B7" w:rsidRPr="00D903D2" w14:paraId="479999DC" w14:textId="77777777" w:rsidTr="00330B55">
        <w:trPr>
          <w:trHeight w:hRule="exact" w:val="418"/>
          <w:jc w:val="center"/>
        </w:trPr>
        <w:tc>
          <w:tcPr>
            <w:tcW w:w="8721" w:type="dxa"/>
            <w:gridSpan w:val="2"/>
          </w:tcPr>
          <w:p w14:paraId="06536014" w14:textId="77777777" w:rsidR="003618B7" w:rsidRPr="00D903D2" w:rsidRDefault="003618B7" w:rsidP="00635202">
            <w:pPr>
              <w:pStyle w:val="a4"/>
              <w:jc w:val="center"/>
              <w:rPr>
                <w:rFonts w:ascii="Tahoma" w:hAnsi="Tahoma" w:cs="Tahoma"/>
                <w:color w:val="000080"/>
                <w:rtl/>
              </w:rPr>
            </w:pPr>
            <w:bookmarkStart w:id="0" w:name="LastJudge"/>
            <w:r w:rsidRPr="00D903D2">
              <w:rPr>
                <w:rFonts w:ascii="Tahoma" w:hAnsi="Tahoma" w:cs="Tahoma"/>
                <w:b/>
                <w:bCs/>
                <w:color w:val="000080"/>
                <w:rtl/>
              </w:rPr>
              <w:t>בית משפט השלום בראשון לציון</w:t>
            </w:r>
          </w:p>
        </w:tc>
      </w:tr>
      <w:tr w:rsidR="003618B7" w:rsidRPr="00D903D2" w14:paraId="4FB2CD12" w14:textId="77777777" w:rsidTr="00330B55">
        <w:trPr>
          <w:trHeight w:val="337"/>
          <w:jc w:val="center"/>
        </w:trPr>
        <w:tc>
          <w:tcPr>
            <w:tcW w:w="5054" w:type="dxa"/>
          </w:tcPr>
          <w:p w14:paraId="6AB073E7" w14:textId="77777777" w:rsidR="003618B7" w:rsidRPr="00D903D2" w:rsidRDefault="003618B7" w:rsidP="00635202">
            <w:pPr>
              <w:rPr>
                <w:rFonts w:cs="FrankRuehl"/>
                <w:sz w:val="28"/>
                <w:szCs w:val="28"/>
                <w:rtl/>
              </w:rPr>
            </w:pPr>
            <w:r w:rsidRPr="00D903D2">
              <w:rPr>
                <w:rFonts w:cs="FrankRuehl"/>
                <w:sz w:val="28"/>
                <w:szCs w:val="28"/>
                <w:rtl/>
              </w:rPr>
              <w:t>ת"פ</w:t>
            </w:r>
            <w:r w:rsidRPr="00D903D2">
              <w:rPr>
                <w:rFonts w:cs="FrankRuehl" w:hint="cs"/>
                <w:sz w:val="28"/>
                <w:szCs w:val="28"/>
                <w:rtl/>
              </w:rPr>
              <w:t xml:space="preserve"> </w:t>
            </w:r>
            <w:r w:rsidRPr="00D903D2">
              <w:rPr>
                <w:rFonts w:cs="FrankRuehl"/>
                <w:sz w:val="28"/>
                <w:szCs w:val="28"/>
                <w:rtl/>
              </w:rPr>
              <w:t>24379-12-20</w:t>
            </w:r>
            <w:r w:rsidRPr="00D903D2">
              <w:rPr>
                <w:rFonts w:cs="FrankRuehl" w:hint="cs"/>
                <w:sz w:val="28"/>
                <w:szCs w:val="28"/>
                <w:rtl/>
              </w:rPr>
              <w:t xml:space="preserve"> </w:t>
            </w:r>
            <w:r w:rsidRPr="00D903D2">
              <w:rPr>
                <w:rFonts w:cs="FrankRuehl"/>
                <w:sz w:val="28"/>
                <w:szCs w:val="28"/>
                <w:rtl/>
              </w:rPr>
              <w:t>מדינת ישראל נ' פדל</w:t>
            </w:r>
          </w:p>
          <w:p w14:paraId="0E5B63DA" w14:textId="77777777" w:rsidR="003618B7" w:rsidRPr="00D903D2" w:rsidRDefault="003618B7" w:rsidP="00635202">
            <w:pPr>
              <w:pStyle w:val="a4"/>
              <w:rPr>
                <w:rFonts w:cs="FrankRuehl"/>
                <w:sz w:val="28"/>
                <w:szCs w:val="28"/>
                <w:rtl/>
              </w:rPr>
            </w:pPr>
          </w:p>
        </w:tc>
        <w:tc>
          <w:tcPr>
            <w:tcW w:w="3667" w:type="dxa"/>
          </w:tcPr>
          <w:p w14:paraId="63124A21" w14:textId="77777777" w:rsidR="003618B7" w:rsidRPr="00D903D2" w:rsidRDefault="003618B7" w:rsidP="00635202">
            <w:pPr>
              <w:pStyle w:val="a4"/>
              <w:jc w:val="right"/>
              <w:rPr>
                <w:rFonts w:cs="FrankRuehl"/>
                <w:sz w:val="28"/>
                <w:szCs w:val="28"/>
                <w:rtl/>
              </w:rPr>
            </w:pPr>
          </w:p>
        </w:tc>
      </w:tr>
    </w:tbl>
    <w:p w14:paraId="197219C3" w14:textId="77777777" w:rsidR="003618B7" w:rsidRPr="00D903D2" w:rsidRDefault="003618B7" w:rsidP="003618B7">
      <w:pPr>
        <w:pStyle w:val="a4"/>
        <w:rPr>
          <w:rtl/>
        </w:rPr>
      </w:pPr>
      <w:r w:rsidRPr="00D903D2">
        <w:rPr>
          <w:rFonts w:hint="cs"/>
          <w:rtl/>
        </w:rPr>
        <w:t xml:space="preserve"> </w:t>
      </w:r>
    </w:p>
    <w:p w14:paraId="495308BC" w14:textId="77777777" w:rsidR="003618B7" w:rsidRPr="00D903D2" w:rsidRDefault="003618B7" w:rsidP="003618B7">
      <w:pPr>
        <w:rPr>
          <w:rtl/>
        </w:rPr>
      </w:pPr>
    </w:p>
    <w:p w14:paraId="1182E54C" w14:textId="77777777" w:rsidR="003618B7" w:rsidRPr="00D903D2" w:rsidRDefault="003618B7" w:rsidP="003618B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618B7" w:rsidRPr="00D903D2" w14:paraId="1A1B4873" w14:textId="77777777" w:rsidTr="003618B7">
        <w:trPr>
          <w:trHeight w:val="295"/>
          <w:jc w:val="center"/>
        </w:trPr>
        <w:tc>
          <w:tcPr>
            <w:tcW w:w="923" w:type="dxa"/>
            <w:tcBorders>
              <w:top w:val="nil"/>
              <w:left w:val="nil"/>
              <w:bottom w:val="nil"/>
              <w:right w:val="nil"/>
            </w:tcBorders>
            <w:shd w:val="clear" w:color="auto" w:fill="auto"/>
          </w:tcPr>
          <w:p w14:paraId="65A355A5" w14:textId="77777777" w:rsidR="003618B7" w:rsidRPr="00D903D2" w:rsidRDefault="003618B7" w:rsidP="003618B7">
            <w:pPr>
              <w:jc w:val="both"/>
              <w:rPr>
                <w:rFonts w:ascii="David" w:hAnsi="David"/>
                <w:sz w:val="26"/>
                <w:szCs w:val="26"/>
              </w:rPr>
            </w:pPr>
            <w:r w:rsidRPr="00D903D2">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6198E42" w14:textId="77777777" w:rsidR="003618B7" w:rsidRPr="00D903D2" w:rsidRDefault="003618B7" w:rsidP="00635202">
            <w:pPr>
              <w:rPr>
                <w:rFonts w:ascii="David" w:hAnsi="David"/>
                <w:b/>
                <w:bCs/>
                <w:sz w:val="26"/>
                <w:szCs w:val="26"/>
                <w:rtl/>
              </w:rPr>
            </w:pPr>
            <w:r w:rsidRPr="00D903D2">
              <w:rPr>
                <w:rFonts w:ascii="David" w:hAnsi="David"/>
                <w:b/>
                <w:bCs/>
                <w:sz w:val="26"/>
                <w:szCs w:val="26"/>
                <w:rtl/>
              </w:rPr>
              <w:t>כבוד השופט  טל ענר</w:t>
            </w:r>
          </w:p>
          <w:p w14:paraId="5D73425B" w14:textId="77777777" w:rsidR="003618B7" w:rsidRPr="00D903D2" w:rsidRDefault="003618B7" w:rsidP="00635202">
            <w:pPr>
              <w:rPr>
                <w:rFonts w:ascii="David" w:hAnsi="David"/>
                <w:sz w:val="26"/>
                <w:szCs w:val="26"/>
                <w:rtl/>
              </w:rPr>
            </w:pPr>
          </w:p>
          <w:p w14:paraId="29C588BB" w14:textId="77777777" w:rsidR="003618B7" w:rsidRPr="00D903D2" w:rsidRDefault="003618B7" w:rsidP="003618B7">
            <w:pPr>
              <w:jc w:val="both"/>
              <w:rPr>
                <w:rFonts w:ascii="David" w:hAnsi="David"/>
                <w:sz w:val="26"/>
                <w:szCs w:val="26"/>
              </w:rPr>
            </w:pPr>
          </w:p>
        </w:tc>
      </w:tr>
      <w:tr w:rsidR="003618B7" w:rsidRPr="00D903D2" w14:paraId="4866ABF9" w14:textId="77777777" w:rsidTr="003618B7">
        <w:trPr>
          <w:trHeight w:val="355"/>
          <w:jc w:val="center"/>
        </w:trPr>
        <w:tc>
          <w:tcPr>
            <w:tcW w:w="923" w:type="dxa"/>
            <w:tcBorders>
              <w:top w:val="nil"/>
              <w:left w:val="nil"/>
              <w:bottom w:val="nil"/>
              <w:right w:val="nil"/>
            </w:tcBorders>
            <w:shd w:val="clear" w:color="auto" w:fill="auto"/>
          </w:tcPr>
          <w:p w14:paraId="23B72771" w14:textId="77777777" w:rsidR="003618B7" w:rsidRPr="00D903D2" w:rsidRDefault="003618B7" w:rsidP="003618B7">
            <w:pPr>
              <w:jc w:val="both"/>
              <w:rPr>
                <w:rFonts w:ascii="David" w:hAnsi="David"/>
                <w:sz w:val="26"/>
                <w:szCs w:val="26"/>
              </w:rPr>
            </w:pPr>
            <w:bookmarkStart w:id="1" w:name="FirstAppellant"/>
            <w:r w:rsidRPr="00D903D2">
              <w:rPr>
                <w:rFonts w:ascii="David" w:hAnsi="David"/>
                <w:sz w:val="26"/>
                <w:szCs w:val="26"/>
                <w:rtl/>
              </w:rPr>
              <w:t>בעניין:</w:t>
            </w:r>
          </w:p>
        </w:tc>
        <w:tc>
          <w:tcPr>
            <w:tcW w:w="3219" w:type="dxa"/>
            <w:tcBorders>
              <w:top w:val="nil"/>
              <w:left w:val="nil"/>
              <w:bottom w:val="nil"/>
              <w:right w:val="nil"/>
            </w:tcBorders>
            <w:shd w:val="clear" w:color="auto" w:fill="auto"/>
          </w:tcPr>
          <w:p w14:paraId="4470CE5A" w14:textId="77777777" w:rsidR="003618B7" w:rsidRPr="00D903D2" w:rsidRDefault="003618B7" w:rsidP="003618B7">
            <w:pPr>
              <w:suppressLineNumbers/>
            </w:pPr>
            <w:r w:rsidRPr="00D903D2">
              <w:rPr>
                <w:rFonts w:ascii="Arial" w:hAnsi="Arial" w:hint="cs"/>
                <w:b/>
                <w:bCs/>
                <w:sz w:val="26"/>
                <w:szCs w:val="26"/>
                <w:rtl/>
              </w:rPr>
              <w:t>ה</w:t>
            </w:r>
            <w:r w:rsidRPr="00D903D2">
              <w:rPr>
                <w:rFonts w:ascii="Arial" w:hAnsi="Arial"/>
                <w:b/>
                <w:bCs/>
                <w:sz w:val="26"/>
                <w:szCs w:val="26"/>
                <w:rtl/>
              </w:rPr>
              <w:t>מאשימה</w:t>
            </w:r>
          </w:p>
          <w:p w14:paraId="36A9244B" w14:textId="77777777" w:rsidR="003618B7" w:rsidRPr="00D903D2" w:rsidRDefault="003618B7" w:rsidP="00635202">
            <w:pPr>
              <w:rPr>
                <w:rFonts w:ascii="David" w:hAnsi="David"/>
                <w:sz w:val="26"/>
                <w:szCs w:val="26"/>
              </w:rPr>
            </w:pPr>
          </w:p>
        </w:tc>
        <w:tc>
          <w:tcPr>
            <w:tcW w:w="4678" w:type="dxa"/>
            <w:tcBorders>
              <w:top w:val="nil"/>
              <w:left w:val="nil"/>
              <w:bottom w:val="nil"/>
              <w:right w:val="nil"/>
            </w:tcBorders>
            <w:shd w:val="clear" w:color="auto" w:fill="auto"/>
            <w:vAlign w:val="center"/>
          </w:tcPr>
          <w:p w14:paraId="11E223AC" w14:textId="77777777" w:rsidR="003618B7" w:rsidRPr="00D903D2" w:rsidRDefault="003618B7" w:rsidP="003618B7">
            <w:pPr>
              <w:suppressLineNumbers/>
            </w:pPr>
            <w:r w:rsidRPr="00D903D2">
              <w:rPr>
                <w:rFonts w:ascii="Arial" w:hAnsi="Arial"/>
                <w:b/>
                <w:bCs/>
                <w:sz w:val="26"/>
                <w:szCs w:val="26"/>
                <w:rtl/>
              </w:rPr>
              <w:t>מדינת ישראל</w:t>
            </w:r>
          </w:p>
          <w:p w14:paraId="2B7F2978" w14:textId="77777777" w:rsidR="003618B7" w:rsidRPr="00D903D2" w:rsidRDefault="003618B7" w:rsidP="00635202">
            <w:pPr>
              <w:rPr>
                <w:rFonts w:ascii="David" w:hAnsi="David"/>
                <w:sz w:val="26"/>
                <w:szCs w:val="26"/>
              </w:rPr>
            </w:pPr>
          </w:p>
        </w:tc>
      </w:tr>
      <w:bookmarkEnd w:id="1"/>
      <w:tr w:rsidR="003618B7" w:rsidRPr="00D903D2" w14:paraId="26B9A0D3" w14:textId="77777777" w:rsidTr="003618B7">
        <w:trPr>
          <w:trHeight w:val="355"/>
          <w:jc w:val="center"/>
        </w:trPr>
        <w:tc>
          <w:tcPr>
            <w:tcW w:w="923" w:type="dxa"/>
            <w:tcBorders>
              <w:top w:val="nil"/>
              <w:left w:val="nil"/>
              <w:bottom w:val="nil"/>
              <w:right w:val="nil"/>
            </w:tcBorders>
            <w:shd w:val="clear" w:color="auto" w:fill="auto"/>
          </w:tcPr>
          <w:p w14:paraId="25E03EF5" w14:textId="77777777" w:rsidR="003618B7" w:rsidRPr="00D903D2" w:rsidRDefault="003618B7" w:rsidP="003618B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6DC0C21" w14:textId="77777777" w:rsidR="003618B7" w:rsidRPr="00D903D2" w:rsidRDefault="003618B7" w:rsidP="003618B7">
            <w:pPr>
              <w:jc w:val="center"/>
              <w:rPr>
                <w:rFonts w:ascii="David" w:hAnsi="David"/>
                <w:b/>
                <w:bCs/>
                <w:sz w:val="26"/>
                <w:szCs w:val="26"/>
                <w:rtl/>
              </w:rPr>
            </w:pPr>
          </w:p>
          <w:p w14:paraId="62CA20A2" w14:textId="77777777" w:rsidR="003618B7" w:rsidRPr="00D903D2" w:rsidRDefault="003618B7" w:rsidP="003618B7">
            <w:pPr>
              <w:jc w:val="center"/>
              <w:rPr>
                <w:rFonts w:ascii="David" w:hAnsi="David"/>
                <w:b/>
                <w:bCs/>
                <w:sz w:val="26"/>
                <w:szCs w:val="26"/>
                <w:rtl/>
              </w:rPr>
            </w:pPr>
            <w:r w:rsidRPr="00D903D2">
              <w:rPr>
                <w:rFonts w:ascii="David" w:hAnsi="David"/>
                <w:b/>
                <w:bCs/>
                <w:sz w:val="26"/>
                <w:szCs w:val="26"/>
                <w:rtl/>
              </w:rPr>
              <w:t>נגד</w:t>
            </w:r>
          </w:p>
          <w:p w14:paraId="7F52CE19" w14:textId="77777777" w:rsidR="003618B7" w:rsidRPr="00D903D2" w:rsidRDefault="003618B7" w:rsidP="003618B7">
            <w:pPr>
              <w:jc w:val="both"/>
              <w:rPr>
                <w:rFonts w:ascii="David" w:hAnsi="David"/>
                <w:sz w:val="26"/>
                <w:szCs w:val="26"/>
              </w:rPr>
            </w:pPr>
          </w:p>
        </w:tc>
      </w:tr>
      <w:tr w:rsidR="003618B7" w:rsidRPr="00D903D2" w14:paraId="0E956D54" w14:textId="77777777" w:rsidTr="003618B7">
        <w:trPr>
          <w:trHeight w:val="355"/>
          <w:jc w:val="center"/>
        </w:trPr>
        <w:tc>
          <w:tcPr>
            <w:tcW w:w="923" w:type="dxa"/>
            <w:tcBorders>
              <w:top w:val="nil"/>
              <w:left w:val="nil"/>
              <w:bottom w:val="nil"/>
              <w:right w:val="nil"/>
            </w:tcBorders>
            <w:shd w:val="clear" w:color="auto" w:fill="auto"/>
          </w:tcPr>
          <w:p w14:paraId="3A5B8F5A" w14:textId="77777777" w:rsidR="003618B7" w:rsidRPr="00D903D2" w:rsidRDefault="003618B7" w:rsidP="00635202">
            <w:pPr>
              <w:rPr>
                <w:rFonts w:ascii="David" w:hAnsi="David"/>
                <w:sz w:val="26"/>
                <w:szCs w:val="26"/>
                <w:rtl/>
              </w:rPr>
            </w:pPr>
          </w:p>
        </w:tc>
        <w:tc>
          <w:tcPr>
            <w:tcW w:w="3219" w:type="dxa"/>
            <w:tcBorders>
              <w:top w:val="nil"/>
              <w:left w:val="nil"/>
              <w:bottom w:val="nil"/>
              <w:right w:val="nil"/>
            </w:tcBorders>
            <w:shd w:val="clear" w:color="auto" w:fill="auto"/>
          </w:tcPr>
          <w:p w14:paraId="65973B39" w14:textId="77777777" w:rsidR="003618B7" w:rsidRPr="00D903D2" w:rsidRDefault="003618B7" w:rsidP="00635202">
            <w:pPr>
              <w:rPr>
                <w:rFonts w:ascii="Arial" w:hAnsi="Arial"/>
                <w:b/>
                <w:bCs/>
                <w:sz w:val="26"/>
                <w:szCs w:val="26"/>
                <w:rtl/>
              </w:rPr>
            </w:pPr>
            <w:r w:rsidRPr="00D903D2">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5C7D724" w14:textId="77777777" w:rsidR="003618B7" w:rsidRPr="00D903D2" w:rsidRDefault="003618B7" w:rsidP="003618B7">
            <w:pPr>
              <w:suppressLineNumbers/>
              <w:rPr>
                <w:rFonts w:ascii="David" w:hAnsi="David"/>
                <w:sz w:val="26"/>
                <w:szCs w:val="26"/>
              </w:rPr>
            </w:pPr>
            <w:r w:rsidRPr="00D903D2">
              <w:rPr>
                <w:rFonts w:ascii="Arial" w:hAnsi="Arial"/>
                <w:b/>
                <w:bCs/>
                <w:sz w:val="26"/>
                <w:szCs w:val="26"/>
                <w:rtl/>
              </w:rPr>
              <w:t>ליאל פדל</w:t>
            </w:r>
          </w:p>
        </w:tc>
      </w:tr>
      <w:tr w:rsidR="003618B7" w:rsidRPr="00D903D2" w14:paraId="15A2C988" w14:textId="77777777" w:rsidTr="003618B7">
        <w:trPr>
          <w:trHeight w:val="355"/>
          <w:jc w:val="center"/>
        </w:trPr>
        <w:tc>
          <w:tcPr>
            <w:tcW w:w="923" w:type="dxa"/>
            <w:tcBorders>
              <w:top w:val="nil"/>
              <w:left w:val="nil"/>
              <w:bottom w:val="nil"/>
              <w:right w:val="nil"/>
            </w:tcBorders>
            <w:shd w:val="clear" w:color="auto" w:fill="auto"/>
          </w:tcPr>
          <w:p w14:paraId="158FDCB3" w14:textId="77777777" w:rsidR="003618B7" w:rsidRPr="00D903D2" w:rsidRDefault="003618B7" w:rsidP="003618B7">
            <w:pPr>
              <w:jc w:val="both"/>
              <w:rPr>
                <w:rFonts w:ascii="David" w:hAnsi="David"/>
                <w:sz w:val="26"/>
                <w:szCs w:val="26"/>
                <w:rtl/>
              </w:rPr>
            </w:pPr>
          </w:p>
        </w:tc>
        <w:tc>
          <w:tcPr>
            <w:tcW w:w="3219" w:type="dxa"/>
            <w:tcBorders>
              <w:top w:val="nil"/>
              <w:left w:val="nil"/>
              <w:bottom w:val="nil"/>
              <w:right w:val="nil"/>
            </w:tcBorders>
            <w:shd w:val="clear" w:color="auto" w:fill="auto"/>
          </w:tcPr>
          <w:p w14:paraId="4B1286CF" w14:textId="77777777" w:rsidR="003618B7" w:rsidRPr="00D903D2" w:rsidRDefault="003618B7" w:rsidP="003618B7">
            <w:pPr>
              <w:jc w:val="both"/>
              <w:rPr>
                <w:rFonts w:ascii="David" w:hAnsi="David"/>
                <w:sz w:val="26"/>
                <w:szCs w:val="26"/>
                <w:rtl/>
              </w:rPr>
            </w:pPr>
          </w:p>
        </w:tc>
        <w:tc>
          <w:tcPr>
            <w:tcW w:w="4678" w:type="dxa"/>
            <w:tcBorders>
              <w:top w:val="nil"/>
              <w:left w:val="nil"/>
              <w:bottom w:val="nil"/>
              <w:right w:val="nil"/>
            </w:tcBorders>
            <w:shd w:val="clear" w:color="auto" w:fill="auto"/>
          </w:tcPr>
          <w:p w14:paraId="20CA8D7D" w14:textId="77777777" w:rsidR="003618B7" w:rsidRPr="00D903D2" w:rsidRDefault="003618B7" w:rsidP="003618B7">
            <w:pPr>
              <w:jc w:val="right"/>
              <w:rPr>
                <w:rFonts w:ascii="David" w:hAnsi="David"/>
                <w:sz w:val="26"/>
                <w:szCs w:val="26"/>
              </w:rPr>
            </w:pPr>
          </w:p>
        </w:tc>
      </w:tr>
    </w:tbl>
    <w:p w14:paraId="211A2712" w14:textId="77777777" w:rsidR="003618B7" w:rsidRPr="00D903D2" w:rsidRDefault="003618B7" w:rsidP="003618B7">
      <w:pPr>
        <w:rPr>
          <w:sz w:val="26"/>
          <w:szCs w:val="26"/>
          <w:rtl/>
        </w:rPr>
      </w:pPr>
    </w:p>
    <w:p w14:paraId="0359AE04" w14:textId="77777777" w:rsidR="00D903D2" w:rsidRPr="00D903D2" w:rsidRDefault="00D903D2" w:rsidP="00D903D2">
      <w:pPr>
        <w:spacing w:before="120" w:after="120" w:line="240" w:lineRule="exact"/>
        <w:ind w:left="283" w:hanging="283"/>
        <w:jc w:val="both"/>
        <w:rPr>
          <w:rFonts w:ascii="FrankRuehl" w:hAnsi="FrankRuehl" w:cs="FrankRuehl"/>
          <w:rtl/>
        </w:rPr>
      </w:pPr>
    </w:p>
    <w:p w14:paraId="22758614" w14:textId="77777777" w:rsidR="00D903D2" w:rsidRPr="00D903D2" w:rsidRDefault="00D903D2" w:rsidP="00D903D2">
      <w:pPr>
        <w:rPr>
          <w:sz w:val="26"/>
          <w:szCs w:val="26"/>
          <w:rtl/>
        </w:rPr>
      </w:pPr>
    </w:p>
    <w:p w14:paraId="11A570B4" w14:textId="77777777" w:rsidR="00330B55" w:rsidRPr="00330B55" w:rsidRDefault="00330B55" w:rsidP="00330B55">
      <w:pPr>
        <w:spacing w:before="120" w:after="120" w:line="240" w:lineRule="exact"/>
        <w:ind w:left="283" w:hanging="283"/>
        <w:jc w:val="both"/>
        <w:rPr>
          <w:rFonts w:ascii="FrankRuehl" w:hAnsi="FrankRuehl" w:cs="FrankRuehl"/>
          <w:rtl/>
        </w:rPr>
      </w:pPr>
    </w:p>
    <w:p w14:paraId="12E16F27" w14:textId="77777777" w:rsidR="00B52BD4" w:rsidRPr="00B52BD4" w:rsidRDefault="00B52BD4" w:rsidP="00B52BD4">
      <w:pPr>
        <w:spacing w:before="120" w:after="120" w:line="240" w:lineRule="exact"/>
        <w:ind w:left="283" w:hanging="283"/>
        <w:jc w:val="both"/>
        <w:rPr>
          <w:rFonts w:ascii="FrankRuehl" w:hAnsi="FrankRuehl" w:cs="FrankRuehl"/>
          <w:rtl/>
        </w:rPr>
      </w:pPr>
    </w:p>
    <w:p w14:paraId="6D71E2C3" w14:textId="77777777" w:rsidR="005E60C1" w:rsidRDefault="005E60C1" w:rsidP="005E60C1">
      <w:pPr>
        <w:rPr>
          <w:sz w:val="26"/>
          <w:szCs w:val="26"/>
          <w:rtl/>
        </w:rPr>
      </w:pPr>
      <w:bookmarkStart w:id="2" w:name="LawTable"/>
      <w:bookmarkEnd w:id="2"/>
    </w:p>
    <w:p w14:paraId="45154A80" w14:textId="77777777" w:rsidR="005E60C1" w:rsidRPr="005E60C1" w:rsidRDefault="005E60C1" w:rsidP="005E60C1">
      <w:pPr>
        <w:spacing w:before="120" w:after="120" w:line="240" w:lineRule="exact"/>
        <w:ind w:left="283" w:hanging="283"/>
        <w:jc w:val="both"/>
        <w:rPr>
          <w:rFonts w:ascii="FrankRuehl" w:hAnsi="FrankRuehl" w:cs="FrankRuehl"/>
          <w:rtl/>
        </w:rPr>
      </w:pPr>
    </w:p>
    <w:p w14:paraId="5CD7ED7C" w14:textId="77777777" w:rsidR="005E60C1" w:rsidRPr="005E60C1" w:rsidRDefault="005E60C1" w:rsidP="005E60C1">
      <w:pPr>
        <w:spacing w:before="120" w:after="120" w:line="240" w:lineRule="exact"/>
        <w:ind w:left="283" w:hanging="283"/>
        <w:jc w:val="both"/>
        <w:rPr>
          <w:rFonts w:ascii="FrankRuehl" w:hAnsi="FrankRuehl" w:cs="FrankRuehl"/>
          <w:rtl/>
        </w:rPr>
      </w:pPr>
    </w:p>
    <w:p w14:paraId="62BE97D8" w14:textId="77777777" w:rsidR="005E60C1" w:rsidRPr="005E60C1" w:rsidRDefault="005E60C1" w:rsidP="005E60C1">
      <w:pPr>
        <w:spacing w:before="120" w:after="120" w:line="240" w:lineRule="exact"/>
        <w:ind w:left="283" w:hanging="283"/>
        <w:jc w:val="both"/>
        <w:rPr>
          <w:rFonts w:ascii="FrankRuehl" w:hAnsi="FrankRuehl" w:cs="FrankRuehl"/>
          <w:rtl/>
        </w:rPr>
      </w:pPr>
      <w:r w:rsidRPr="005E60C1">
        <w:rPr>
          <w:rFonts w:ascii="FrankRuehl" w:hAnsi="FrankRuehl" w:cs="FrankRuehl"/>
          <w:rtl/>
        </w:rPr>
        <w:t xml:space="preserve">חקיקה שאוזכרה: </w:t>
      </w:r>
    </w:p>
    <w:p w14:paraId="44D42597" w14:textId="77777777" w:rsidR="005E60C1" w:rsidRPr="005E60C1" w:rsidRDefault="005E60C1" w:rsidP="005E60C1">
      <w:pPr>
        <w:spacing w:before="120" w:after="120" w:line="240" w:lineRule="exact"/>
        <w:ind w:left="283" w:hanging="283"/>
        <w:jc w:val="both"/>
        <w:rPr>
          <w:rFonts w:ascii="FrankRuehl" w:hAnsi="FrankRuehl" w:cs="FrankRuehl"/>
          <w:rtl/>
        </w:rPr>
      </w:pPr>
      <w:hyperlink r:id="rId7" w:history="1">
        <w:r w:rsidRPr="005E60C1">
          <w:rPr>
            <w:rFonts w:ascii="FrankRuehl" w:hAnsi="FrankRuehl" w:cs="FrankRuehl"/>
            <w:color w:val="0000FF"/>
            <w:rtl/>
          </w:rPr>
          <w:t>חוק העונשין, תשל"ז-1977</w:t>
        </w:r>
      </w:hyperlink>
      <w:r w:rsidRPr="005E60C1">
        <w:rPr>
          <w:rFonts w:ascii="FrankRuehl" w:hAnsi="FrankRuehl" w:cs="FrankRuehl"/>
          <w:rtl/>
        </w:rPr>
        <w:t xml:space="preserve">: סע'  </w:t>
      </w:r>
      <w:hyperlink r:id="rId8" w:history="1">
        <w:r w:rsidRPr="005E60C1">
          <w:rPr>
            <w:rFonts w:ascii="FrankRuehl" w:hAnsi="FrankRuehl" w:cs="FrankRuehl"/>
            <w:color w:val="0000FF"/>
            <w:rtl/>
          </w:rPr>
          <w:t>40ד</w:t>
        </w:r>
      </w:hyperlink>
      <w:r w:rsidRPr="005E60C1">
        <w:rPr>
          <w:rFonts w:ascii="FrankRuehl" w:hAnsi="FrankRuehl" w:cs="FrankRuehl"/>
          <w:rtl/>
        </w:rPr>
        <w:t xml:space="preserve">, </w:t>
      </w:r>
      <w:hyperlink r:id="rId9" w:history="1">
        <w:r w:rsidRPr="005E60C1">
          <w:rPr>
            <w:rFonts w:ascii="FrankRuehl" w:hAnsi="FrankRuehl" w:cs="FrankRuehl"/>
            <w:color w:val="0000FF"/>
            <w:rtl/>
          </w:rPr>
          <w:t>40ד(א)</w:t>
        </w:r>
      </w:hyperlink>
    </w:p>
    <w:p w14:paraId="19B2EFD1" w14:textId="77777777" w:rsidR="005E60C1" w:rsidRPr="005E60C1" w:rsidRDefault="005E60C1" w:rsidP="005E60C1">
      <w:pPr>
        <w:spacing w:before="120" w:after="120" w:line="240" w:lineRule="exact"/>
        <w:ind w:left="283" w:hanging="283"/>
        <w:jc w:val="both"/>
        <w:rPr>
          <w:rFonts w:ascii="FrankRuehl" w:hAnsi="FrankRuehl" w:cs="FrankRuehl"/>
          <w:rtl/>
        </w:rPr>
      </w:pPr>
      <w:hyperlink r:id="rId10" w:history="1">
        <w:r w:rsidRPr="005E60C1">
          <w:rPr>
            <w:rFonts w:ascii="FrankRuehl" w:hAnsi="FrankRuehl" w:cs="FrankRuehl"/>
            <w:color w:val="0000FF"/>
            <w:rtl/>
          </w:rPr>
          <w:t>פקודת הסמים המסוכנים [נוסח חדש], תשל"ג-1973</w:t>
        </w:r>
      </w:hyperlink>
      <w:r w:rsidRPr="005E60C1">
        <w:rPr>
          <w:rFonts w:ascii="FrankRuehl" w:hAnsi="FrankRuehl" w:cs="FrankRuehl"/>
          <w:rtl/>
        </w:rPr>
        <w:t xml:space="preserve">: סע'  </w:t>
      </w:r>
      <w:hyperlink r:id="rId11" w:history="1">
        <w:r w:rsidRPr="005E60C1">
          <w:rPr>
            <w:rFonts w:ascii="FrankRuehl" w:hAnsi="FrankRuehl" w:cs="FrankRuehl"/>
            <w:color w:val="0000FF"/>
            <w:rtl/>
          </w:rPr>
          <w:t>1</w:t>
        </w:r>
      </w:hyperlink>
      <w:r w:rsidRPr="005E60C1">
        <w:rPr>
          <w:rFonts w:ascii="FrankRuehl" w:hAnsi="FrankRuehl" w:cs="FrankRuehl"/>
          <w:rtl/>
        </w:rPr>
        <w:t xml:space="preserve">, </w:t>
      </w:r>
      <w:hyperlink r:id="rId12" w:history="1">
        <w:r w:rsidRPr="005E60C1">
          <w:rPr>
            <w:rFonts w:ascii="FrankRuehl" w:hAnsi="FrankRuehl" w:cs="FrankRuehl"/>
            <w:color w:val="0000FF"/>
            <w:rtl/>
          </w:rPr>
          <w:t>36א(ב)</w:t>
        </w:r>
      </w:hyperlink>
    </w:p>
    <w:p w14:paraId="00A6F63A" w14:textId="77777777" w:rsidR="005E60C1" w:rsidRPr="005E60C1" w:rsidRDefault="005E60C1" w:rsidP="005E60C1">
      <w:pPr>
        <w:rPr>
          <w:sz w:val="26"/>
          <w:szCs w:val="26"/>
          <w:rtl/>
        </w:rPr>
      </w:pPr>
      <w:bookmarkStart w:id="3" w:name="LawTable_End"/>
      <w:bookmarkEnd w:id="3"/>
    </w:p>
    <w:p w14:paraId="2040C59F" w14:textId="77777777" w:rsidR="003618B7" w:rsidRPr="00B52BD4" w:rsidRDefault="003618B7" w:rsidP="00B52BD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618B7" w14:paraId="01C47CD7" w14:textId="77777777" w:rsidTr="003618B7">
        <w:trPr>
          <w:trHeight w:val="355"/>
          <w:jc w:val="center"/>
        </w:trPr>
        <w:tc>
          <w:tcPr>
            <w:tcW w:w="8820" w:type="dxa"/>
            <w:tcBorders>
              <w:top w:val="nil"/>
              <w:left w:val="nil"/>
              <w:bottom w:val="nil"/>
              <w:right w:val="nil"/>
            </w:tcBorders>
            <w:shd w:val="clear" w:color="auto" w:fill="auto"/>
          </w:tcPr>
          <w:p w14:paraId="6FEA213A" w14:textId="77777777" w:rsidR="00D903D2" w:rsidRPr="00D903D2" w:rsidRDefault="00D903D2" w:rsidP="00D903D2">
            <w:pPr>
              <w:jc w:val="center"/>
              <w:rPr>
                <w:rFonts w:ascii="David" w:hAnsi="David"/>
                <w:b/>
                <w:bCs/>
                <w:sz w:val="32"/>
                <w:szCs w:val="32"/>
                <w:u w:val="single"/>
                <w:rtl/>
              </w:rPr>
            </w:pPr>
            <w:bookmarkStart w:id="4" w:name="PsakDin" w:colFirst="0" w:colLast="0"/>
            <w:bookmarkEnd w:id="0"/>
            <w:r w:rsidRPr="00D903D2">
              <w:rPr>
                <w:rFonts w:ascii="David" w:hAnsi="David"/>
                <w:b/>
                <w:bCs/>
                <w:sz w:val="32"/>
                <w:szCs w:val="32"/>
                <w:u w:val="single"/>
                <w:rtl/>
              </w:rPr>
              <w:t>גזר דין</w:t>
            </w:r>
          </w:p>
          <w:p w14:paraId="0409A9D2" w14:textId="77777777" w:rsidR="003618B7" w:rsidRPr="00D903D2" w:rsidRDefault="003618B7" w:rsidP="00D903D2">
            <w:pPr>
              <w:jc w:val="center"/>
              <w:rPr>
                <w:rFonts w:ascii="David" w:hAnsi="David"/>
                <w:bCs/>
                <w:sz w:val="32"/>
                <w:szCs w:val="32"/>
                <w:u w:val="single"/>
                <w:rtl/>
              </w:rPr>
            </w:pPr>
          </w:p>
        </w:tc>
      </w:tr>
      <w:bookmarkEnd w:id="4"/>
    </w:tbl>
    <w:p w14:paraId="69F5E346" w14:textId="77777777" w:rsidR="003618B7" w:rsidRPr="000F2247" w:rsidRDefault="003618B7" w:rsidP="003618B7">
      <w:pPr>
        <w:rPr>
          <w:rFonts w:ascii="Arial" w:hAnsi="Arial"/>
          <w:b/>
          <w:bCs/>
          <w:sz w:val="26"/>
          <w:szCs w:val="26"/>
          <w:rtl/>
        </w:rPr>
      </w:pPr>
    </w:p>
    <w:p w14:paraId="191CE3DA" w14:textId="77777777" w:rsidR="003618B7" w:rsidRDefault="003618B7" w:rsidP="003618B7">
      <w:pPr>
        <w:pStyle w:val="a"/>
        <w:numPr>
          <w:ilvl w:val="0"/>
          <w:numId w:val="0"/>
        </w:numPr>
        <w:tabs>
          <w:tab w:val="left" w:pos="720"/>
        </w:tabs>
        <w:ind w:left="720" w:hanging="720"/>
        <w:jc w:val="both"/>
        <w:rPr>
          <w:b/>
          <w:bCs/>
          <w:u w:val="double"/>
          <w:rtl/>
        </w:rPr>
      </w:pPr>
    </w:p>
    <w:p w14:paraId="045DF080" w14:textId="77777777" w:rsidR="003618B7" w:rsidRPr="00D5148C" w:rsidRDefault="003618B7" w:rsidP="003618B7">
      <w:pPr>
        <w:pStyle w:val="a"/>
        <w:numPr>
          <w:ilvl w:val="0"/>
          <w:numId w:val="0"/>
        </w:numPr>
        <w:tabs>
          <w:tab w:val="left" w:pos="720"/>
        </w:tabs>
        <w:ind w:left="720" w:hanging="720"/>
        <w:jc w:val="both"/>
        <w:rPr>
          <w:b/>
          <w:bCs/>
          <w:u w:val="single"/>
          <w:rtl/>
        </w:rPr>
      </w:pPr>
      <w:r w:rsidRPr="00D5148C">
        <w:rPr>
          <w:rFonts w:hint="cs"/>
          <w:b/>
          <w:bCs/>
          <w:u w:val="single"/>
          <w:rtl/>
        </w:rPr>
        <w:t>רקע עובדתי</w:t>
      </w:r>
    </w:p>
    <w:p w14:paraId="22E00ADC" w14:textId="77777777" w:rsidR="003618B7" w:rsidRDefault="003618B7" w:rsidP="003618B7">
      <w:pPr>
        <w:pStyle w:val="a"/>
        <w:numPr>
          <w:ilvl w:val="0"/>
          <w:numId w:val="2"/>
        </w:numPr>
        <w:tabs>
          <w:tab w:val="left" w:pos="720"/>
        </w:tabs>
        <w:jc w:val="both"/>
      </w:pPr>
      <w:bookmarkStart w:id="5" w:name="ABSTRACT_START"/>
      <w:bookmarkEnd w:id="5"/>
      <w:r>
        <w:rPr>
          <w:rFonts w:hint="cs"/>
          <w:rtl/>
        </w:rPr>
        <w:t>הנאשם, ליאל פדל, הורשע על פי הודאתו ביום 15.3.2021 בעבירה של החזקת סמים שלא לצריכה עצמית. על פי עובדות כתב האישום עסקינן בהחזקת סם מסוכן מסוג קנביס במשקל כולל של כשישה קילוגרם.</w:t>
      </w:r>
    </w:p>
    <w:p w14:paraId="080D61C8" w14:textId="77777777" w:rsidR="003618B7" w:rsidRPr="00D5148C" w:rsidRDefault="003618B7" w:rsidP="003618B7">
      <w:pPr>
        <w:pStyle w:val="a"/>
        <w:numPr>
          <w:ilvl w:val="0"/>
          <w:numId w:val="0"/>
        </w:numPr>
        <w:tabs>
          <w:tab w:val="left" w:pos="720"/>
        </w:tabs>
        <w:ind w:left="360"/>
        <w:jc w:val="both"/>
      </w:pPr>
      <w:bookmarkStart w:id="6" w:name="ABSTRACT_END"/>
      <w:bookmarkEnd w:id="6"/>
    </w:p>
    <w:p w14:paraId="046CF08E" w14:textId="77777777" w:rsidR="003618B7" w:rsidRDefault="003618B7" w:rsidP="003618B7">
      <w:pPr>
        <w:pStyle w:val="a"/>
        <w:numPr>
          <w:ilvl w:val="0"/>
          <w:numId w:val="2"/>
        </w:numPr>
        <w:tabs>
          <w:tab w:val="left" w:pos="720"/>
        </w:tabs>
        <w:jc w:val="both"/>
      </w:pPr>
      <w:r>
        <w:rPr>
          <w:rFonts w:hint="cs"/>
          <w:rtl/>
        </w:rPr>
        <w:lastRenderedPageBreak/>
        <w:t>במסגרת הסכמה דיונית הופנה הנאשם לשירות המבחן. תסקיר ראשון בעניינו הוגש ביום 27.12.21. התסקיר מגולל את תולדות חיי הנאשם ואת הקשיים הרבים שחווה ולא אפרטם מטעמי צנעת הפרט (ר' פרק "רקע אישי ומשפחתי").  שירות המבחן התרשם כי מדובר בצעיר בעל רקע התמכרותי, המתנהל באופן אימפולסיבי ומתקשה להציב לעצמו גבולות או להיענות לגבולות חיצוניים. התסקיר עמד על קשיי הנאשם לשתף פעולה עם שירות המבחן, על קבלת האחריות החלקית והגישה המצמצמת לעבירות והעריך כי קיים סיכון להמשך שימוש בסמים והתנהגות "פורצת גבולות". לאור כל זאת לא בא שירות המבחן בהמלצה שיקומית והמליץ על ענישה "קונקרטית ומוחשית".</w:t>
      </w:r>
    </w:p>
    <w:p w14:paraId="62552238" w14:textId="77777777" w:rsidR="003618B7" w:rsidRDefault="003618B7" w:rsidP="003618B7">
      <w:pPr>
        <w:pStyle w:val="aa"/>
        <w:rPr>
          <w:rtl/>
        </w:rPr>
      </w:pPr>
    </w:p>
    <w:p w14:paraId="770EA5BE" w14:textId="77777777" w:rsidR="003618B7" w:rsidRDefault="003618B7" w:rsidP="003618B7">
      <w:pPr>
        <w:pStyle w:val="a"/>
        <w:numPr>
          <w:ilvl w:val="0"/>
          <w:numId w:val="2"/>
        </w:numPr>
        <w:tabs>
          <w:tab w:val="left" w:pos="720"/>
        </w:tabs>
        <w:jc w:val="both"/>
      </w:pPr>
      <w:r>
        <w:rPr>
          <w:rFonts w:hint="cs"/>
          <w:rtl/>
        </w:rPr>
        <w:t xml:space="preserve">ביום 14.3.2022 נשמעו טיעוני הצדדים לעונש. </w:t>
      </w:r>
    </w:p>
    <w:p w14:paraId="07F95D58" w14:textId="77777777" w:rsidR="003618B7" w:rsidRDefault="003618B7" w:rsidP="003618B7">
      <w:pPr>
        <w:pStyle w:val="aa"/>
        <w:rPr>
          <w:rtl/>
        </w:rPr>
      </w:pPr>
    </w:p>
    <w:p w14:paraId="047E9B11" w14:textId="77777777" w:rsidR="003618B7" w:rsidRDefault="003618B7" w:rsidP="003618B7">
      <w:pPr>
        <w:pStyle w:val="a"/>
        <w:numPr>
          <w:ilvl w:val="0"/>
          <w:numId w:val="2"/>
        </w:numPr>
        <w:tabs>
          <w:tab w:val="left" w:pos="720"/>
        </w:tabs>
        <w:jc w:val="both"/>
      </w:pPr>
      <w:r>
        <w:rPr>
          <w:rFonts w:hint="cs"/>
          <w:rtl/>
        </w:rPr>
        <w:t xml:space="preserve">התביעה עמדה על כמות הסם הגדולה ועתרה לקבוע מתחם של 12-24 חודשי מאסר. התביעה הפנתה לתסקיר השלילי. לעניין גזירת הדין בתוך המתחם הפנתה התביעה לעברו הפלילי של הנאשם הכולל הרשעה קודמת אחת בגין החזקת אגרופן וכן את ההודאה ונטילת האחריות, ועתרה להשית עליו 15 חודשי מאסר, לצד רכיבי ענישה נלווים. </w:t>
      </w:r>
    </w:p>
    <w:p w14:paraId="080F8118" w14:textId="77777777" w:rsidR="003618B7" w:rsidRDefault="003618B7" w:rsidP="003618B7">
      <w:pPr>
        <w:pStyle w:val="aa"/>
        <w:rPr>
          <w:rtl/>
        </w:rPr>
      </w:pPr>
    </w:p>
    <w:p w14:paraId="55D825BF" w14:textId="77777777" w:rsidR="003618B7" w:rsidRDefault="003618B7" w:rsidP="003618B7">
      <w:pPr>
        <w:pStyle w:val="a"/>
        <w:numPr>
          <w:ilvl w:val="0"/>
          <w:numId w:val="2"/>
        </w:numPr>
        <w:tabs>
          <w:tab w:val="left" w:pos="720"/>
        </w:tabs>
        <w:jc w:val="both"/>
      </w:pPr>
      <w:r>
        <w:rPr>
          <w:rFonts w:hint="cs"/>
          <w:rtl/>
        </w:rPr>
        <w:t>ההגנה הפנתה להודאת הנאשם וקבלת האחריות, וחסכון זמן שיפוטי. הסניגור תיאר בפרוטרוט את מצוקות חייו הרבות של הנאשם. ההגנה סברה כי מתחם העונש ההולם נע בין 4 חודשי עבודות שירות ל-10 חודשי מאסר בפועל, ועתרה להסתפק בענישה בדמות מאסר לריצוי בעבודות שירות.</w:t>
      </w:r>
    </w:p>
    <w:p w14:paraId="602CFAC9" w14:textId="77777777" w:rsidR="003618B7" w:rsidRDefault="003618B7" w:rsidP="003618B7">
      <w:pPr>
        <w:pStyle w:val="aa"/>
        <w:rPr>
          <w:rtl/>
        </w:rPr>
      </w:pPr>
    </w:p>
    <w:p w14:paraId="389DC829" w14:textId="77777777" w:rsidR="003618B7" w:rsidRDefault="003618B7" w:rsidP="003618B7">
      <w:pPr>
        <w:pStyle w:val="a"/>
        <w:numPr>
          <w:ilvl w:val="0"/>
          <w:numId w:val="2"/>
        </w:numPr>
        <w:tabs>
          <w:tab w:val="left" w:pos="720"/>
        </w:tabs>
        <w:jc w:val="both"/>
      </w:pPr>
      <w:r>
        <w:rPr>
          <w:rFonts w:hint="cs"/>
          <w:rtl/>
        </w:rPr>
        <w:t>הנאשם בדברו האחרון הביע חרטה והתחנן שתינתן לו הזדמנות להשתלב בכל הליך טיפולי ולהימנע משליחתו למאסר.</w:t>
      </w:r>
    </w:p>
    <w:p w14:paraId="1814B041" w14:textId="77777777" w:rsidR="003618B7" w:rsidRDefault="003618B7" w:rsidP="003618B7">
      <w:pPr>
        <w:pStyle w:val="aa"/>
        <w:rPr>
          <w:rtl/>
        </w:rPr>
      </w:pPr>
    </w:p>
    <w:p w14:paraId="6CBA5B8B" w14:textId="77777777" w:rsidR="003618B7" w:rsidRDefault="003618B7" w:rsidP="003618B7">
      <w:pPr>
        <w:pStyle w:val="a"/>
        <w:numPr>
          <w:ilvl w:val="0"/>
          <w:numId w:val="2"/>
        </w:numPr>
        <w:tabs>
          <w:tab w:val="left" w:pos="720"/>
        </w:tabs>
        <w:jc w:val="both"/>
      </w:pPr>
      <w:r>
        <w:rPr>
          <w:rFonts w:hint="cs"/>
          <w:rtl/>
        </w:rPr>
        <w:t>בתום הדיון, לאור דברי הנאשם על נכונותו להשתלב בטיפול חרף האמור בתסקיר, החליט המותב הקודם שדן בתיק (כבוד השופט מיכלס), להפנות את הנאשם פעם נוספת לשירות המבחן לצורך הכנת תסקיר משלים.</w:t>
      </w:r>
    </w:p>
    <w:p w14:paraId="4456CA99" w14:textId="77777777" w:rsidR="003618B7" w:rsidRDefault="003618B7" w:rsidP="003618B7">
      <w:pPr>
        <w:pStyle w:val="aa"/>
        <w:rPr>
          <w:rtl/>
        </w:rPr>
      </w:pPr>
    </w:p>
    <w:p w14:paraId="50A72706" w14:textId="77777777" w:rsidR="003618B7" w:rsidRDefault="003618B7" w:rsidP="003618B7">
      <w:pPr>
        <w:pStyle w:val="a"/>
        <w:numPr>
          <w:ilvl w:val="0"/>
          <w:numId w:val="2"/>
        </w:numPr>
        <w:tabs>
          <w:tab w:val="left" w:pos="720"/>
        </w:tabs>
        <w:jc w:val="both"/>
      </w:pPr>
      <w:r>
        <w:rPr>
          <w:rFonts w:hint="cs"/>
          <w:rtl/>
        </w:rPr>
        <w:t>התסקירים המשלימים שהוגשו מלמדים על תפנית בגישתו של הנאשם, וכפועל יוצא מכך חל שינוי בהמלצות שירות המבחן. בתסקיר מיום 2.5.2022 דיווח שירות המבחן כי הנאשם מצוי בראשיתו של תהליך הכרה והתבוננות באשר לקשייו ומהלך חייו, משתף פעולה עם השירות ומבטא מוטיבציה כנה להשתלב בטיפול ולשנות את אורחות חייו.</w:t>
      </w:r>
    </w:p>
    <w:p w14:paraId="3790EA0C" w14:textId="77777777" w:rsidR="003618B7" w:rsidRDefault="003618B7" w:rsidP="003618B7">
      <w:pPr>
        <w:pStyle w:val="aa"/>
        <w:rPr>
          <w:rtl/>
        </w:rPr>
      </w:pPr>
    </w:p>
    <w:p w14:paraId="4D6F922B" w14:textId="77777777" w:rsidR="003618B7" w:rsidRDefault="003618B7" w:rsidP="003618B7">
      <w:pPr>
        <w:pStyle w:val="a"/>
        <w:numPr>
          <w:ilvl w:val="0"/>
          <w:numId w:val="2"/>
        </w:numPr>
        <w:tabs>
          <w:tab w:val="left" w:pos="720"/>
        </w:tabs>
        <w:jc w:val="both"/>
      </w:pPr>
      <w:r>
        <w:rPr>
          <w:rFonts w:hint="cs"/>
          <w:rtl/>
        </w:rPr>
        <w:t>בתסקיר מיום 14.7.2022 דווח כי סמוך להגשת התסקיר שובץ הנאשם בקבוצה טיפולית. עם זאת, הנאשם לווה על ידי השירות פרטנית, ומהמפגשים עימו עלתה מוכנות לערוך התבוננות בדפוסיו הבעייתיים ולרכוש כלים להתמודדות במצבי משבר. בדיקות שתן שנערכו לנאשם העידו על שימוש בקנביס (הנאשם מחזיק ברישיון להשתמש בקנביס), ובאחת הבדיקות נמצאו שרידי קוקאין (שהנאשם הכחיש שימוש בו). חרף כך שירות המבחן קבע כי הנאשם - בעיתוי הנוכחי - מתאמץ לנהל אורח חיים תקין ויציב, ומשתף פעולה עם התכנית הטיפולית. לאור שיתוף פעולה זה המליץ שירות המבחן להעמיד את הנאשם במבחן ולהטיל עליו צו של"צ. שירות המבחן ציין כי שקל האם להמליץ על עונש לריצוי בעבודות שירות, אך החליט שלא להמליץ על כך, בשל החשש שהדבר עלול לפגוע בהליך הטיפולי.</w:t>
      </w:r>
    </w:p>
    <w:p w14:paraId="4C476438" w14:textId="77777777" w:rsidR="003618B7" w:rsidRDefault="003618B7" w:rsidP="003618B7">
      <w:pPr>
        <w:pStyle w:val="aa"/>
        <w:rPr>
          <w:rtl/>
        </w:rPr>
      </w:pPr>
    </w:p>
    <w:p w14:paraId="69DCA80F" w14:textId="77777777" w:rsidR="003618B7" w:rsidRDefault="003618B7" w:rsidP="003618B7">
      <w:pPr>
        <w:pStyle w:val="a"/>
        <w:numPr>
          <w:ilvl w:val="0"/>
          <w:numId w:val="2"/>
        </w:numPr>
        <w:tabs>
          <w:tab w:val="left" w:pos="720"/>
        </w:tabs>
        <w:jc w:val="both"/>
      </w:pPr>
      <w:r>
        <w:rPr>
          <w:rFonts w:hint="cs"/>
          <w:rtl/>
        </w:rPr>
        <w:t>בשלב זה הוחלף המותב הדן בתיק. בדיון בפניי ביום 18.7.2022 ביקש הנאשם לצרף תיק נוסף, וכך היה – הנאשם הודה והורשע בעבירות של תקיפה סתם (בת זוג) ואיומים (</w:t>
      </w:r>
      <w:hyperlink r:id="rId13" w:history="1">
        <w:r w:rsidR="00D903D2" w:rsidRPr="00D903D2">
          <w:rPr>
            <w:color w:val="0000FF"/>
            <w:u w:val="single"/>
            <w:rtl/>
          </w:rPr>
          <w:t>ת"פ 52618-10-21</w:t>
        </w:r>
      </w:hyperlink>
      <w:r>
        <w:rPr>
          <w:rFonts w:hint="cs"/>
          <w:rtl/>
        </w:rPr>
        <w:t>).</w:t>
      </w:r>
    </w:p>
    <w:p w14:paraId="512840FB" w14:textId="77777777" w:rsidR="003618B7" w:rsidRDefault="003618B7" w:rsidP="003618B7">
      <w:pPr>
        <w:pStyle w:val="aa"/>
        <w:rPr>
          <w:rtl/>
        </w:rPr>
      </w:pPr>
    </w:p>
    <w:p w14:paraId="1051CEDA" w14:textId="77777777" w:rsidR="003618B7" w:rsidRDefault="003618B7" w:rsidP="003618B7">
      <w:pPr>
        <w:pStyle w:val="a"/>
        <w:numPr>
          <w:ilvl w:val="0"/>
          <w:numId w:val="2"/>
        </w:numPr>
        <w:tabs>
          <w:tab w:val="left" w:pos="720"/>
        </w:tabs>
        <w:jc w:val="both"/>
      </w:pPr>
      <w:r>
        <w:rPr>
          <w:rFonts w:hint="cs"/>
          <w:rtl/>
        </w:rPr>
        <w:t xml:space="preserve">התביעה השלימה את טיעוניה לעונש וביקשה לגזור על הנאשם בגין התיק שצורף חודש מאסר, לריצוי בחופף לעונש העיקרי לו עתרה (15 חודשי מאסר בפועל, כאמור לעיל). בהתייחסה לתסקיר המשלים הסתייגה התביעה מהמלצות השירות, בין השאר בשל התרשמותה כי ההליך הטיפולי נמצא אך בראשיתו וכי אין הלימה בין ההמלצות לחומרת העבירות וכן בשל מציאת שרידי קוקאין בבדיקת השתן. הסניגור עתר לאמץ את המלצות התסקיר ולהימנע מעונש מאסר בפועל. </w:t>
      </w:r>
    </w:p>
    <w:p w14:paraId="2D7949BA" w14:textId="77777777" w:rsidR="003618B7" w:rsidRDefault="003618B7" w:rsidP="003618B7">
      <w:pPr>
        <w:pStyle w:val="aa"/>
        <w:rPr>
          <w:rtl/>
        </w:rPr>
      </w:pPr>
    </w:p>
    <w:p w14:paraId="210E37D1" w14:textId="77777777" w:rsidR="003618B7" w:rsidRDefault="003618B7" w:rsidP="003618B7">
      <w:pPr>
        <w:pStyle w:val="a"/>
        <w:numPr>
          <w:ilvl w:val="0"/>
          <w:numId w:val="2"/>
        </w:numPr>
        <w:tabs>
          <w:tab w:val="left" w:pos="720"/>
        </w:tabs>
        <w:jc w:val="both"/>
      </w:pPr>
      <w:r>
        <w:rPr>
          <w:rFonts w:hint="cs"/>
          <w:rtl/>
        </w:rPr>
        <w:t>ביום 13.2.2023 התקבלה חוות דעת הממונה על עבודות שירות, לפיה הנאשם כשיר לריצוי עבודות שירות, במגבלות.</w:t>
      </w:r>
    </w:p>
    <w:p w14:paraId="39801F33" w14:textId="77777777" w:rsidR="003618B7" w:rsidRDefault="003618B7" w:rsidP="003618B7">
      <w:pPr>
        <w:pStyle w:val="aa"/>
        <w:rPr>
          <w:rtl/>
        </w:rPr>
      </w:pPr>
    </w:p>
    <w:p w14:paraId="0339ABF1" w14:textId="77777777" w:rsidR="003618B7" w:rsidRPr="00D5148C" w:rsidRDefault="003618B7" w:rsidP="003618B7">
      <w:pPr>
        <w:pStyle w:val="a"/>
        <w:numPr>
          <w:ilvl w:val="0"/>
          <w:numId w:val="0"/>
        </w:numPr>
        <w:tabs>
          <w:tab w:val="left" w:pos="720"/>
        </w:tabs>
        <w:ind w:left="720" w:hanging="720"/>
        <w:jc w:val="both"/>
        <w:rPr>
          <w:b/>
          <w:bCs/>
        </w:rPr>
      </w:pPr>
      <w:r>
        <w:rPr>
          <w:rFonts w:hint="cs"/>
          <w:b/>
          <w:bCs/>
          <w:u w:val="single"/>
          <w:rtl/>
        </w:rPr>
        <w:t>מתחם העונש ההולם</w:t>
      </w:r>
    </w:p>
    <w:p w14:paraId="5685E9CE" w14:textId="77777777" w:rsidR="003618B7" w:rsidRDefault="003618B7" w:rsidP="003618B7">
      <w:pPr>
        <w:pStyle w:val="aa"/>
        <w:rPr>
          <w:rtl/>
        </w:rPr>
      </w:pPr>
    </w:p>
    <w:p w14:paraId="6A6778F3" w14:textId="77777777" w:rsidR="003618B7" w:rsidRDefault="003618B7" w:rsidP="003618B7">
      <w:pPr>
        <w:pStyle w:val="a"/>
        <w:numPr>
          <w:ilvl w:val="0"/>
          <w:numId w:val="2"/>
        </w:numPr>
        <w:tabs>
          <w:tab w:val="left" w:pos="720"/>
        </w:tabs>
        <w:jc w:val="both"/>
      </w:pPr>
      <w:r>
        <w:rPr>
          <w:rFonts w:hint="cs"/>
          <w:rtl/>
        </w:rPr>
        <w:t>בהתאם להוראות החוק, מתחם העונש יעוצב בהתאם לעיקרון המנחה – הלימה, תוך התחשבות</w:t>
      </w:r>
      <w:r w:rsidR="00D903D2">
        <w:rPr>
          <w:rFonts w:hint="cs"/>
          <w:rtl/>
        </w:rPr>
        <w:t xml:space="preserve"> </w:t>
      </w:r>
      <w:r>
        <w:rPr>
          <w:rStyle w:val="default"/>
          <w:rFonts w:hint="cs"/>
          <w:rtl/>
        </w:rPr>
        <w:t>בערכים החברתיים שנפגעו מביצוע העבירה, במידת הפגיעה בו, במדיניות הענישה הנהוגה ובנסיבות הקשורות בביצוע העבירה</w:t>
      </w:r>
      <w:r>
        <w:rPr>
          <w:rStyle w:val="default"/>
        </w:rPr>
        <w:t>.</w:t>
      </w:r>
    </w:p>
    <w:p w14:paraId="1E97EF73" w14:textId="77777777" w:rsidR="003618B7" w:rsidRPr="00465788" w:rsidRDefault="003618B7" w:rsidP="003618B7">
      <w:pPr>
        <w:pStyle w:val="a"/>
        <w:numPr>
          <w:ilvl w:val="0"/>
          <w:numId w:val="0"/>
        </w:numPr>
        <w:tabs>
          <w:tab w:val="left" w:pos="720"/>
        </w:tabs>
        <w:ind w:left="360"/>
        <w:jc w:val="both"/>
      </w:pPr>
    </w:p>
    <w:p w14:paraId="45C9DB34" w14:textId="77777777" w:rsidR="003618B7" w:rsidRDefault="003618B7" w:rsidP="003618B7">
      <w:pPr>
        <w:pStyle w:val="a"/>
        <w:numPr>
          <w:ilvl w:val="0"/>
          <w:numId w:val="2"/>
        </w:numPr>
        <w:tabs>
          <w:tab w:val="left" w:pos="720"/>
        </w:tabs>
        <w:jc w:val="both"/>
      </w:pPr>
      <w:r w:rsidRPr="00465788">
        <w:rPr>
          <w:rFonts w:hint="cs"/>
          <w:b/>
          <w:bCs/>
          <w:rtl/>
        </w:rPr>
        <w:t>הערכים המוגנים בהם פגע הנאשם</w:t>
      </w:r>
      <w:r>
        <w:rPr>
          <w:rFonts w:hint="cs"/>
          <w:rtl/>
        </w:rPr>
        <w:t>, הם שמירה על בריאות הציבור, וההגנה מפני נגע הסמים והפצתם. מידת הפגיעה בערכים המוגנים בענייננו היא משמעותית, בהינתן הכמות הכוללת של הסמים בהם החזיק הנאשם – כשישה קילוגרם, ובשים לב לאופן שבו נתפסו הסמים (מחולקים לאריזות, במקומות שונים בבית, כשבסמוך נמצאו ארבע משקלים אלקטרוניים). נסיבות המלמדות שהנאשם היה שקוע ומעורב במעגל הפצת הסם. מאידך יש לציין כי מדובר בסמים מסוג קנבוס, וכפי שנפסק מפי כבוד השופט גרוסקופף ב</w:t>
      </w:r>
      <w:hyperlink r:id="rId14" w:history="1">
        <w:r w:rsidR="00D903D2" w:rsidRPr="00D903D2">
          <w:rPr>
            <w:color w:val="0000FF"/>
            <w:u w:val="single"/>
            <w:rtl/>
          </w:rPr>
          <w:t>בש"פ 8640/20</w:t>
        </w:r>
      </w:hyperlink>
      <w:r>
        <w:rPr>
          <w:rFonts w:hint="cs"/>
          <w:rtl/>
        </w:rPr>
        <w:t xml:space="preserve"> </w:t>
      </w:r>
      <w:r w:rsidRPr="00465788">
        <w:rPr>
          <w:rFonts w:hint="cs"/>
          <w:b/>
          <w:bCs/>
          <w:rtl/>
        </w:rPr>
        <w:t>אבו קרינאת נ' מדינת ישראל</w:t>
      </w:r>
      <w:r>
        <w:rPr>
          <w:rFonts w:hint="cs"/>
          <w:rtl/>
        </w:rPr>
        <w:t xml:space="preserve"> (23.12.2020) "לא ניתן להתעלם מכך שהיחס החברתי והמשפטי לשימוש בקנאביס, ואף לייצורו, מצוי בתהליכי שינוי".</w:t>
      </w:r>
    </w:p>
    <w:p w14:paraId="6BEB3E38" w14:textId="77777777" w:rsidR="003618B7" w:rsidRPr="00D5148C" w:rsidRDefault="003618B7" w:rsidP="003618B7">
      <w:pPr>
        <w:pStyle w:val="aa"/>
        <w:rPr>
          <w:b/>
          <w:bCs/>
          <w:rtl/>
        </w:rPr>
      </w:pPr>
    </w:p>
    <w:p w14:paraId="3ABECC80" w14:textId="77777777" w:rsidR="003618B7" w:rsidRDefault="003618B7" w:rsidP="003618B7">
      <w:pPr>
        <w:pStyle w:val="a"/>
        <w:numPr>
          <w:ilvl w:val="0"/>
          <w:numId w:val="2"/>
        </w:numPr>
        <w:tabs>
          <w:tab w:val="left" w:pos="720"/>
        </w:tabs>
        <w:jc w:val="both"/>
        <w:rPr>
          <w:rtl/>
        </w:rPr>
      </w:pPr>
      <w:r w:rsidRPr="00465788">
        <w:rPr>
          <w:rFonts w:hint="cs"/>
          <w:b/>
          <w:bCs/>
          <w:rtl/>
        </w:rPr>
        <w:t>מדיניות הענישה הנהוגה</w:t>
      </w:r>
      <w:r>
        <w:rPr>
          <w:rFonts w:hint="cs"/>
          <w:rtl/>
        </w:rPr>
        <w:t>: מתחמי הענישה הנהוגים בעבירות של החזקת קנביס שלא לצריכה עצמית, בכמויות של מספר קילוגרמים כוללים מאסרים בפועל, כשהרף התחתון של המתחם עשוי לכלול מאסר שניתן לרצותו בעבודות שירות. להלן מספר דוגמאות בלי ממצות לכך:</w:t>
      </w:r>
    </w:p>
    <w:p w14:paraId="44B8228A" w14:textId="77777777" w:rsidR="003618B7" w:rsidRDefault="003618B7" w:rsidP="003618B7">
      <w:pPr>
        <w:pStyle w:val="aa"/>
      </w:pPr>
    </w:p>
    <w:p w14:paraId="6711F261" w14:textId="77777777" w:rsidR="003618B7" w:rsidRDefault="00D903D2" w:rsidP="003618B7">
      <w:pPr>
        <w:pStyle w:val="a"/>
        <w:numPr>
          <w:ilvl w:val="1"/>
          <w:numId w:val="2"/>
        </w:numPr>
        <w:tabs>
          <w:tab w:val="left" w:pos="720"/>
        </w:tabs>
        <w:spacing w:after="0"/>
        <w:jc w:val="both"/>
        <w:rPr>
          <w:rtl/>
        </w:rPr>
      </w:pPr>
      <w:hyperlink r:id="rId15" w:history="1">
        <w:r w:rsidRPr="00D903D2">
          <w:rPr>
            <w:color w:val="0000FF"/>
            <w:u w:val="single"/>
            <w:rtl/>
          </w:rPr>
          <w:t>ת"פ (שלום תל אביב) 16649-03-19</w:t>
        </w:r>
      </w:hyperlink>
      <w:r w:rsidR="003618B7">
        <w:rPr>
          <w:rFonts w:hint="cs"/>
          <w:rtl/>
        </w:rPr>
        <w:t xml:space="preserve"> </w:t>
      </w:r>
      <w:r w:rsidR="003618B7">
        <w:rPr>
          <w:rFonts w:hint="cs"/>
          <w:b/>
          <w:bCs/>
          <w:rtl/>
        </w:rPr>
        <w:t>מדינת ישראל נ' בריגה</w:t>
      </w:r>
      <w:r w:rsidR="003618B7">
        <w:rPr>
          <w:rFonts w:hint="cs"/>
          <w:rtl/>
        </w:rPr>
        <w:t xml:space="preserve"> (4.10.21), הנאשם הורשע בהחזקת סמים שלא לצריכה עצמית – קנביס במשקל כולל של למעלה משמונה ק"ג, מחולק למספר אריזות. בית המשפט קבע </w:t>
      </w:r>
      <w:r w:rsidR="003618B7">
        <w:rPr>
          <w:rFonts w:hint="cs"/>
          <w:u w:val="single"/>
          <w:rtl/>
        </w:rPr>
        <w:t>מתחם ענישה של שמונה חודשי מאסר שניתן לרצות בעבודות שירות, ועד 18 חודשי מאסר בפועל</w:t>
      </w:r>
      <w:r w:rsidR="003618B7">
        <w:rPr>
          <w:rFonts w:hint="cs"/>
          <w:rtl/>
        </w:rPr>
        <w:t>, ודן את הנאשם לעונש מאסר ברף התחתון של המתחם.</w:t>
      </w:r>
    </w:p>
    <w:p w14:paraId="368C62CF" w14:textId="77777777" w:rsidR="003618B7" w:rsidRDefault="003618B7" w:rsidP="003618B7">
      <w:pPr>
        <w:pStyle w:val="a"/>
        <w:numPr>
          <w:ilvl w:val="0"/>
          <w:numId w:val="0"/>
        </w:numPr>
        <w:tabs>
          <w:tab w:val="left" w:pos="720"/>
        </w:tabs>
        <w:spacing w:after="0"/>
        <w:ind w:left="1080"/>
        <w:jc w:val="both"/>
      </w:pPr>
    </w:p>
    <w:p w14:paraId="42B7646F" w14:textId="77777777" w:rsidR="003618B7" w:rsidRDefault="00D903D2" w:rsidP="003618B7">
      <w:pPr>
        <w:pStyle w:val="a"/>
        <w:numPr>
          <w:ilvl w:val="1"/>
          <w:numId w:val="2"/>
        </w:numPr>
        <w:tabs>
          <w:tab w:val="left" w:pos="720"/>
        </w:tabs>
        <w:spacing w:after="0"/>
        <w:jc w:val="both"/>
      </w:pPr>
      <w:hyperlink r:id="rId16" w:history="1">
        <w:r w:rsidRPr="00D903D2">
          <w:rPr>
            <w:color w:val="0000FF"/>
            <w:u w:val="single"/>
            <w:rtl/>
          </w:rPr>
          <w:t>ת"פ (שלום חדרה) 39191-02-21</w:t>
        </w:r>
      </w:hyperlink>
      <w:r w:rsidR="003618B7">
        <w:rPr>
          <w:rFonts w:hint="cs"/>
          <w:rtl/>
        </w:rPr>
        <w:t xml:space="preserve"> </w:t>
      </w:r>
      <w:r w:rsidR="003618B7">
        <w:rPr>
          <w:rFonts w:hint="cs"/>
          <w:b/>
          <w:bCs/>
          <w:rtl/>
        </w:rPr>
        <w:t>מדינת ישראל נ' רגילאת</w:t>
      </w:r>
      <w:r w:rsidR="003618B7">
        <w:rPr>
          <w:rFonts w:hint="cs"/>
          <w:rtl/>
        </w:rPr>
        <w:t xml:space="preserve"> (11.11.2021), הנאשמים הורשעו בהחזקת קנביס שלא לצריכה עצמית בכמות מצטברת של למעלה משמונה ק"ג, בתוך רכב, </w:t>
      </w:r>
      <w:r w:rsidR="003618B7">
        <w:rPr>
          <w:rFonts w:hint="cs"/>
          <w:u w:val="single"/>
          <w:rtl/>
        </w:rPr>
        <w:t>ונקבע מתחם ענישה של 6 עד 18 חודשי מאסר</w:t>
      </w:r>
      <w:r w:rsidR="003618B7">
        <w:rPr>
          <w:rFonts w:hint="cs"/>
          <w:rtl/>
        </w:rPr>
        <w:t xml:space="preserve">. </w:t>
      </w:r>
    </w:p>
    <w:p w14:paraId="1094C9DF" w14:textId="77777777" w:rsidR="003618B7" w:rsidRDefault="003618B7" w:rsidP="003618B7">
      <w:pPr>
        <w:pStyle w:val="aa"/>
      </w:pPr>
    </w:p>
    <w:p w14:paraId="371137CB" w14:textId="77777777" w:rsidR="003618B7" w:rsidRDefault="00D903D2" w:rsidP="003618B7">
      <w:pPr>
        <w:pStyle w:val="a"/>
        <w:numPr>
          <w:ilvl w:val="1"/>
          <w:numId w:val="2"/>
        </w:numPr>
        <w:tabs>
          <w:tab w:val="left" w:pos="720"/>
        </w:tabs>
        <w:spacing w:after="0"/>
        <w:jc w:val="both"/>
        <w:rPr>
          <w:rtl/>
        </w:rPr>
      </w:pPr>
      <w:hyperlink r:id="rId17" w:history="1">
        <w:r w:rsidRPr="00D903D2">
          <w:rPr>
            <w:color w:val="0000FF"/>
            <w:u w:val="single"/>
            <w:rtl/>
          </w:rPr>
          <w:t>ת"פ (שלום נתניה) 31236-09-14</w:t>
        </w:r>
      </w:hyperlink>
      <w:r>
        <w:rPr>
          <w:rFonts w:hint="cs"/>
          <w:rtl/>
        </w:rPr>
        <w:t xml:space="preserve"> </w:t>
      </w:r>
      <w:r w:rsidR="003618B7">
        <w:rPr>
          <w:rFonts w:hint="cs"/>
          <w:b/>
          <w:bCs/>
          <w:rtl/>
        </w:rPr>
        <w:t>מדינת ישראל נ' רקיבי</w:t>
      </w:r>
      <w:r w:rsidR="003618B7">
        <w:rPr>
          <w:rFonts w:hint="cs"/>
          <w:rtl/>
        </w:rPr>
        <w:t xml:space="preserve">, הנאשם הורשע בהחזקה של כ-2.3 ק"ג חשיש ונקבע </w:t>
      </w:r>
      <w:r w:rsidR="003618B7">
        <w:rPr>
          <w:rFonts w:hint="cs"/>
          <w:u w:val="single"/>
          <w:rtl/>
        </w:rPr>
        <w:t>מתחם ענישה מ-6 ועד 15 חודשי מאסר בפועל</w:t>
      </w:r>
      <w:r w:rsidR="003618B7">
        <w:rPr>
          <w:rFonts w:hint="cs"/>
          <w:rtl/>
        </w:rPr>
        <w:t xml:space="preserve"> ונגזרו 8 חודשי מאסר, עונש שאושר בערכאות הערעור לרבות בית המשפט העליון (</w:t>
      </w:r>
      <w:hyperlink r:id="rId18" w:history="1">
        <w:r w:rsidRPr="00D903D2">
          <w:rPr>
            <w:color w:val="0000FF"/>
            <w:u w:val="single"/>
            <w:rtl/>
          </w:rPr>
          <w:t>רע"פ 1830/16</w:t>
        </w:r>
      </w:hyperlink>
      <w:r w:rsidR="003618B7">
        <w:rPr>
          <w:rFonts w:hint="cs"/>
          <w:rtl/>
        </w:rPr>
        <w:t>).</w:t>
      </w:r>
    </w:p>
    <w:p w14:paraId="2A964109" w14:textId="77777777" w:rsidR="003618B7" w:rsidRDefault="003618B7" w:rsidP="003618B7">
      <w:pPr>
        <w:pStyle w:val="aa"/>
      </w:pPr>
    </w:p>
    <w:p w14:paraId="6149CB63" w14:textId="77777777" w:rsidR="003618B7" w:rsidRDefault="00D903D2" w:rsidP="003618B7">
      <w:pPr>
        <w:pStyle w:val="a"/>
        <w:numPr>
          <w:ilvl w:val="1"/>
          <w:numId w:val="2"/>
        </w:numPr>
        <w:tabs>
          <w:tab w:val="left" w:pos="720"/>
        </w:tabs>
        <w:spacing w:after="0"/>
        <w:jc w:val="both"/>
        <w:rPr>
          <w:rtl/>
        </w:rPr>
      </w:pPr>
      <w:hyperlink r:id="rId19" w:history="1">
        <w:r w:rsidRPr="00D903D2">
          <w:rPr>
            <w:color w:val="0000FF"/>
            <w:u w:val="single"/>
            <w:rtl/>
          </w:rPr>
          <w:t>ת"פ (שלום תל אביב יפו) 1062-06-18</w:t>
        </w:r>
      </w:hyperlink>
      <w:r>
        <w:rPr>
          <w:rFonts w:hint="cs"/>
          <w:rtl/>
        </w:rPr>
        <w:t xml:space="preserve"> </w:t>
      </w:r>
      <w:r w:rsidR="003618B7">
        <w:rPr>
          <w:rFonts w:hint="cs"/>
          <w:rtl/>
        </w:rPr>
        <w:t xml:space="preserve"> </w:t>
      </w:r>
      <w:r w:rsidR="003618B7">
        <w:rPr>
          <w:rFonts w:hint="cs"/>
          <w:b/>
          <w:bCs/>
          <w:rtl/>
        </w:rPr>
        <w:t>מדינת ישראל נ' קוטלובסקי</w:t>
      </w:r>
      <w:r w:rsidR="003618B7">
        <w:rPr>
          <w:rFonts w:hint="cs"/>
          <w:rtl/>
        </w:rPr>
        <w:t xml:space="preserve"> (23.12.2019), הנאשמת הורשעה בהחזקת 1.5 ק"ג קנביס שלא לצריכתה העצמית, נקבע מתחם ענישה שנע בין מאסר שיכול וירוצה בדרך של עבודות שירות ועד ל-12 חודשי מאסר בפועל, ונגזרו חודשיים עבודות שירות.</w:t>
      </w:r>
    </w:p>
    <w:p w14:paraId="670C7BFD" w14:textId="77777777" w:rsidR="003618B7" w:rsidRDefault="003618B7" w:rsidP="003618B7">
      <w:pPr>
        <w:pStyle w:val="aa"/>
      </w:pPr>
    </w:p>
    <w:p w14:paraId="64FD8FBF" w14:textId="77777777" w:rsidR="003618B7" w:rsidRDefault="003618B7" w:rsidP="003618B7">
      <w:pPr>
        <w:pStyle w:val="a"/>
        <w:numPr>
          <w:ilvl w:val="1"/>
          <w:numId w:val="2"/>
        </w:numPr>
        <w:tabs>
          <w:tab w:val="left" w:pos="720"/>
        </w:tabs>
        <w:spacing w:after="0"/>
        <w:jc w:val="both"/>
        <w:rPr>
          <w:rtl/>
        </w:rPr>
      </w:pPr>
      <w:r>
        <w:rPr>
          <w:rFonts w:hint="cs"/>
          <w:rtl/>
        </w:rPr>
        <w:t xml:space="preserve">מנגד, </w:t>
      </w:r>
      <w:hyperlink r:id="rId20" w:history="1">
        <w:r w:rsidR="00D903D2" w:rsidRPr="00D903D2">
          <w:rPr>
            <w:color w:val="0000FF"/>
            <w:u w:val="single"/>
            <w:rtl/>
          </w:rPr>
          <w:t>ת"פ (שלום ראשון לציון) 53253-08-19</w:t>
        </w:r>
      </w:hyperlink>
      <w:r>
        <w:rPr>
          <w:rFonts w:hint="cs"/>
          <w:rtl/>
        </w:rPr>
        <w:t xml:space="preserve"> </w:t>
      </w:r>
      <w:r>
        <w:rPr>
          <w:rFonts w:hint="cs"/>
          <w:b/>
          <w:bCs/>
          <w:rtl/>
        </w:rPr>
        <w:t>מדינת ישראל נ' אל סנע</w:t>
      </w:r>
      <w:r>
        <w:rPr>
          <w:rFonts w:hint="cs"/>
          <w:rtl/>
        </w:rPr>
        <w:t xml:space="preserve"> (14.12.2020), נקבע בגין החזקה של כ-11 ק"ג קנביס </w:t>
      </w:r>
      <w:r>
        <w:rPr>
          <w:rFonts w:hint="cs"/>
          <w:u w:val="single"/>
          <w:rtl/>
        </w:rPr>
        <w:t>מתחם ענישה של 10 עד 24 חודשי מאסר</w:t>
      </w:r>
      <w:r>
        <w:rPr>
          <w:rFonts w:hint="cs"/>
          <w:rtl/>
        </w:rPr>
        <w:t xml:space="preserve">, אולם יש לציין כי באותו מקרה נתפסו הסמים ברכב, על רקע עסקת סמים שתואמה בין שוטר סמוי, כשהנאשם הגיע ברכבו למקום בו אמורה הייתה להתבצע עסקת הסם. </w:t>
      </w:r>
    </w:p>
    <w:p w14:paraId="6E806F5F" w14:textId="77777777" w:rsidR="003618B7" w:rsidRDefault="003618B7" w:rsidP="003618B7">
      <w:pPr>
        <w:pStyle w:val="aa"/>
        <w:rPr>
          <w:highlight w:val="yellow"/>
        </w:rPr>
      </w:pPr>
    </w:p>
    <w:p w14:paraId="503D794F" w14:textId="77777777" w:rsidR="003618B7" w:rsidRDefault="003618B7" w:rsidP="003618B7">
      <w:pPr>
        <w:pStyle w:val="a"/>
        <w:numPr>
          <w:ilvl w:val="0"/>
          <w:numId w:val="2"/>
        </w:numPr>
        <w:tabs>
          <w:tab w:val="left" w:pos="720"/>
        </w:tabs>
        <w:jc w:val="both"/>
      </w:pPr>
      <w:r>
        <w:rPr>
          <w:rFonts w:hint="cs"/>
          <w:rtl/>
        </w:rPr>
        <w:t xml:space="preserve">לאור האמור, בשים לב לכמות הסם וסוגו, ולנסיבות תפיסת הסם - </w:t>
      </w:r>
      <w:r>
        <w:rPr>
          <w:rFonts w:hint="cs"/>
          <w:u w:val="single"/>
          <w:rtl/>
        </w:rPr>
        <w:t>מתחם העונש ההולם בגין החזקת הסמים שלא לצריכה עצמית נע בין שבעה חודשי מאסר (שניתן לרצות בעבודות שירות) לבין עשרים חודשי מאסר בפועל</w:t>
      </w:r>
      <w:r>
        <w:rPr>
          <w:rFonts w:hint="cs"/>
          <w:rtl/>
        </w:rPr>
        <w:t xml:space="preserve">.  </w:t>
      </w:r>
    </w:p>
    <w:p w14:paraId="6163B7D2" w14:textId="77777777" w:rsidR="003618B7" w:rsidRDefault="003618B7" w:rsidP="003618B7">
      <w:pPr>
        <w:pStyle w:val="a"/>
        <w:numPr>
          <w:ilvl w:val="0"/>
          <w:numId w:val="0"/>
        </w:numPr>
        <w:tabs>
          <w:tab w:val="left" w:pos="720"/>
        </w:tabs>
        <w:ind w:left="360"/>
        <w:jc w:val="both"/>
      </w:pPr>
    </w:p>
    <w:p w14:paraId="498FD140" w14:textId="77777777" w:rsidR="003618B7" w:rsidRDefault="003618B7" w:rsidP="003618B7">
      <w:pPr>
        <w:pStyle w:val="a"/>
        <w:numPr>
          <w:ilvl w:val="0"/>
          <w:numId w:val="2"/>
        </w:numPr>
        <w:tabs>
          <w:tab w:val="left" w:pos="720"/>
        </w:tabs>
        <w:jc w:val="both"/>
      </w:pPr>
      <w:r>
        <w:rPr>
          <w:rFonts w:hint="cs"/>
          <w:rtl/>
        </w:rPr>
        <w:t xml:space="preserve">בתיק האלמ"ב שצורף, פגע הנאשם בגופה ובשלוות נפשה של בת זוגו, בכך שהכה בידה ואיים עליה. באישום זה מידת הפגיעה בערכים המוגנים אינה ברף גבוה. בהתאם לרמת הענישה המקובלת בתיקי אלימות במשפחה ברף חומרה דומה, </w:t>
      </w:r>
      <w:r w:rsidRPr="00465788">
        <w:rPr>
          <w:rFonts w:hint="cs"/>
          <w:u w:val="single"/>
          <w:rtl/>
        </w:rPr>
        <w:t>מתחם הענישה בתיק הצירוף נע בין מאסר מותנה לבין מספר חודשי מאסר</w:t>
      </w:r>
      <w:r>
        <w:rPr>
          <w:rFonts w:hint="cs"/>
          <w:rtl/>
        </w:rPr>
        <w:t>.</w:t>
      </w:r>
    </w:p>
    <w:p w14:paraId="2D5B558C" w14:textId="77777777" w:rsidR="003618B7" w:rsidRDefault="003618B7" w:rsidP="003618B7">
      <w:pPr>
        <w:pStyle w:val="aa"/>
        <w:rPr>
          <w:rtl/>
        </w:rPr>
      </w:pPr>
    </w:p>
    <w:p w14:paraId="23EDB8C6" w14:textId="77777777" w:rsidR="003618B7" w:rsidRPr="00D5148C" w:rsidRDefault="003618B7" w:rsidP="003618B7">
      <w:pPr>
        <w:pStyle w:val="a"/>
        <w:numPr>
          <w:ilvl w:val="0"/>
          <w:numId w:val="0"/>
        </w:numPr>
        <w:tabs>
          <w:tab w:val="left" w:pos="720"/>
        </w:tabs>
        <w:ind w:left="720" w:hanging="720"/>
        <w:jc w:val="both"/>
        <w:rPr>
          <w:b/>
          <w:bCs/>
          <w:u w:val="single"/>
        </w:rPr>
      </w:pPr>
      <w:r w:rsidRPr="00D5148C">
        <w:rPr>
          <w:rFonts w:hint="cs"/>
          <w:b/>
          <w:bCs/>
          <w:u w:val="single"/>
          <w:rtl/>
        </w:rPr>
        <w:t>גזירת הדין ומשקלם של שיקולי השיקום</w:t>
      </w:r>
    </w:p>
    <w:p w14:paraId="71D64065" w14:textId="77777777" w:rsidR="003618B7" w:rsidRDefault="003618B7" w:rsidP="003618B7">
      <w:pPr>
        <w:pStyle w:val="aa"/>
        <w:rPr>
          <w:rtl/>
        </w:rPr>
      </w:pPr>
    </w:p>
    <w:p w14:paraId="437152EF" w14:textId="77777777" w:rsidR="003618B7" w:rsidRDefault="00330B55" w:rsidP="003618B7">
      <w:pPr>
        <w:pStyle w:val="a"/>
        <w:numPr>
          <w:ilvl w:val="0"/>
          <w:numId w:val="2"/>
        </w:numPr>
        <w:tabs>
          <w:tab w:val="left" w:pos="720"/>
        </w:tabs>
        <w:jc w:val="both"/>
        <w:rPr>
          <w:rtl/>
        </w:rPr>
      </w:pPr>
      <w:hyperlink r:id="rId21" w:history="1">
        <w:r w:rsidRPr="00330B55">
          <w:rPr>
            <w:rStyle w:val="Hyperlink"/>
            <w:rFonts w:hint="eastAsia"/>
            <w:rtl/>
          </w:rPr>
          <w:t>סעיף</w:t>
        </w:r>
        <w:r w:rsidRPr="00330B55">
          <w:rPr>
            <w:rStyle w:val="Hyperlink"/>
            <w:rtl/>
          </w:rPr>
          <w:t xml:space="preserve"> 40ד(א)</w:t>
        </w:r>
      </w:hyperlink>
      <w:r w:rsidR="00D903D2">
        <w:rPr>
          <w:rFonts w:hint="cs"/>
          <w:rtl/>
        </w:rPr>
        <w:t xml:space="preserve"> </w:t>
      </w:r>
      <w:r w:rsidR="003618B7">
        <w:rPr>
          <w:rFonts w:hint="cs"/>
          <w:rtl/>
        </w:rPr>
        <w:t>ל</w:t>
      </w:r>
      <w:hyperlink r:id="rId22" w:history="1">
        <w:r w:rsidR="00D903D2" w:rsidRPr="00D903D2">
          <w:rPr>
            <w:color w:val="0000FF"/>
            <w:u w:val="single"/>
            <w:rtl/>
          </w:rPr>
          <w:t>חוק העונשין</w:t>
        </w:r>
      </w:hyperlink>
      <w:r w:rsidR="00D903D2">
        <w:rPr>
          <w:rFonts w:hint="cs"/>
          <w:rtl/>
        </w:rPr>
        <w:t xml:space="preserve"> </w:t>
      </w:r>
      <w:r w:rsidR="003618B7">
        <w:rPr>
          <w:rFonts w:hint="cs"/>
          <w:rtl/>
        </w:rPr>
        <w:t xml:space="preserve">מאפשר לבית המשפט לחרוג ממתחם הענישה אם </w:t>
      </w:r>
      <w:r w:rsidR="003618B7" w:rsidRPr="00465788">
        <w:rPr>
          <w:rFonts w:hint="cs"/>
          <w:b/>
          <w:bCs/>
          <w:rtl/>
        </w:rPr>
        <w:t>"מצא כי הנאשם השתקם או כי יש סיכוי של ממש שישתקם</w:t>
      </w:r>
      <w:r w:rsidR="003618B7" w:rsidRPr="00465788">
        <w:rPr>
          <w:b/>
          <w:bCs/>
        </w:rPr>
        <w:t>"</w:t>
      </w:r>
      <w:r w:rsidR="003618B7">
        <w:rPr>
          <w:rFonts w:hint="cs"/>
          <w:rtl/>
        </w:rPr>
        <w:t>. ברם, כפי שעולה מהוראות החוק, לא בכל מקרה שבו תהליך טיפולי מתקדם בכיוון חיובי, יש להפעיל את הסמכות הקבועה</w:t>
      </w:r>
      <w:r w:rsidR="00D903D2">
        <w:rPr>
          <w:rFonts w:hint="cs"/>
          <w:rtl/>
        </w:rPr>
        <w:t xml:space="preserve"> </w:t>
      </w:r>
      <w:hyperlink r:id="rId23" w:history="1">
        <w:r w:rsidRPr="00330B55">
          <w:rPr>
            <w:rStyle w:val="Hyperlink"/>
            <w:rFonts w:hint="eastAsia"/>
            <w:rtl/>
          </w:rPr>
          <w:t>בסעיף</w:t>
        </w:r>
        <w:r w:rsidRPr="00330B55">
          <w:rPr>
            <w:rStyle w:val="Hyperlink"/>
            <w:rtl/>
          </w:rPr>
          <w:t xml:space="preserve"> 40ד</w:t>
        </w:r>
      </w:hyperlink>
      <w:r w:rsidR="00D903D2">
        <w:t xml:space="preserve"> </w:t>
      </w:r>
      <w:r w:rsidR="003618B7">
        <w:rPr>
          <w:rFonts w:hint="cs"/>
          <w:rtl/>
        </w:rPr>
        <w:t>ל</w:t>
      </w:r>
      <w:hyperlink r:id="rId24" w:history="1">
        <w:r w:rsidR="00D903D2" w:rsidRPr="00D903D2">
          <w:rPr>
            <w:color w:val="0000FF"/>
            <w:u w:val="single"/>
            <w:rtl/>
          </w:rPr>
          <w:t>חוק העונשין</w:t>
        </w:r>
      </w:hyperlink>
      <w:r w:rsidR="003618B7">
        <w:t>,</w:t>
      </w:r>
      <w:r w:rsidR="003618B7">
        <w:rPr>
          <w:rFonts w:hint="cs"/>
          <w:rtl/>
        </w:rPr>
        <w:t xml:space="preserve"> אחרת הופך החריג לכלל (ר' </w:t>
      </w:r>
      <w:hyperlink r:id="rId25" w:history="1">
        <w:r w:rsidR="00D903D2" w:rsidRPr="00D903D2">
          <w:rPr>
            <w:color w:val="0000FF"/>
            <w:u w:val="single"/>
            <w:rtl/>
          </w:rPr>
          <w:t>ע"פ 7757/21</w:t>
        </w:r>
      </w:hyperlink>
      <w:r w:rsidR="003618B7">
        <w:rPr>
          <w:rFonts w:hint="cs"/>
          <w:rtl/>
        </w:rPr>
        <w:t xml:space="preserve"> </w:t>
      </w:r>
      <w:r w:rsidR="003618B7" w:rsidRPr="00465788">
        <w:rPr>
          <w:rFonts w:hint="cs"/>
          <w:b/>
          <w:bCs/>
          <w:rtl/>
        </w:rPr>
        <w:t>מרזוקי נ' מדינת ישראל</w:t>
      </w:r>
      <w:r w:rsidR="003618B7">
        <w:rPr>
          <w:rFonts w:hint="cs"/>
          <w:rtl/>
        </w:rPr>
        <w:t>, 24.4.2022).</w:t>
      </w:r>
    </w:p>
    <w:p w14:paraId="6D87788F" w14:textId="77777777" w:rsidR="003618B7" w:rsidRDefault="003618B7" w:rsidP="003618B7">
      <w:pPr>
        <w:pStyle w:val="aa"/>
        <w:rPr>
          <w:rFonts w:ascii="David" w:hAnsi="David" w:cs="David"/>
          <w:sz w:val="24"/>
          <w:szCs w:val="24"/>
        </w:rPr>
      </w:pPr>
    </w:p>
    <w:p w14:paraId="0128E8B5" w14:textId="77777777" w:rsidR="003618B7" w:rsidRDefault="003618B7" w:rsidP="003618B7">
      <w:pPr>
        <w:pStyle w:val="a"/>
        <w:numPr>
          <w:ilvl w:val="0"/>
          <w:numId w:val="2"/>
        </w:numPr>
        <w:tabs>
          <w:tab w:val="left" w:pos="720"/>
        </w:tabs>
        <w:spacing w:after="0"/>
        <w:jc w:val="both"/>
      </w:pPr>
      <w:r>
        <w:rPr>
          <w:rFonts w:hint="cs"/>
          <w:rtl/>
        </w:rPr>
        <w:t>שירות המבחן המליץ לגזור על הנאשם ענישה שיקומית בדמות צו מבחן ושל"צ. בענייננו, סבורני שלא ניתן לאמץ את המלצת שירות המבחן כלשונה. אמנם שירות המבחן הוא גורם מקצועי ואובייקטיבי ולהמלצותיו משקל נכבד, והתסקירים מצביעים על מגמת שינוי חיובית בנאשם, שיתוף פעולה עם ההליך הטיפולי ותפקוד נורמטיבי בעבודה ובניסיונו להסדיר חובותיו, אך חומרת העבירות ובפרט כמות הסם בה החזיק הנאשם ונסיבות ההחזקה, מחייבת לכלול בין רכיבי הענישה רכיב גמולי משמעותי.</w:t>
      </w:r>
    </w:p>
    <w:p w14:paraId="19742AD1" w14:textId="77777777" w:rsidR="003618B7" w:rsidRPr="00465788" w:rsidRDefault="003618B7" w:rsidP="003618B7">
      <w:pPr>
        <w:pStyle w:val="aa"/>
        <w:rPr>
          <w:rtl/>
        </w:rPr>
      </w:pPr>
    </w:p>
    <w:p w14:paraId="189B5D36" w14:textId="77777777" w:rsidR="003618B7" w:rsidRDefault="003618B7" w:rsidP="003618B7">
      <w:pPr>
        <w:pStyle w:val="a"/>
        <w:numPr>
          <w:ilvl w:val="0"/>
          <w:numId w:val="2"/>
        </w:numPr>
        <w:tabs>
          <w:tab w:val="left" w:pos="720"/>
        </w:tabs>
        <w:spacing w:after="0"/>
        <w:jc w:val="both"/>
      </w:pPr>
      <w:r>
        <w:rPr>
          <w:rFonts w:hint="cs"/>
          <w:rtl/>
        </w:rPr>
        <w:t>על כן, יינתן משקל משמעותי לשיקולי השיקום, לכברת הדרך המשמעותית שעשה הנאשם לשינוי באורחות חייו ולהמלצת שירות המבחן, אך הדבר ייעשה בגדרי מתחם הענישה. כך שהעונש ייגזר ברף התחתון של המתחמים שקבעתי ויכלול רכיב משמעותי של מאסר בפועל לריצוי בדרך של עבודות שירות. שיקולים נוספים התומכים בגזירת הדין ברף התחתון של המתחם הם גילו הצעיר של הנאשם, עברו הכולל הרשעה אחת שאינה ממין העניין, וחלוף למעלה משנתיים מעת ביצוע העבירות.</w:t>
      </w:r>
    </w:p>
    <w:p w14:paraId="1B5391F6" w14:textId="77777777" w:rsidR="003618B7" w:rsidRDefault="003618B7" w:rsidP="003618B7">
      <w:pPr>
        <w:pStyle w:val="aa"/>
        <w:rPr>
          <w:rtl/>
        </w:rPr>
      </w:pPr>
    </w:p>
    <w:p w14:paraId="70134213" w14:textId="77777777" w:rsidR="003618B7" w:rsidRPr="00D5148C" w:rsidRDefault="003618B7" w:rsidP="003618B7">
      <w:pPr>
        <w:pStyle w:val="a"/>
        <w:numPr>
          <w:ilvl w:val="0"/>
          <w:numId w:val="0"/>
        </w:numPr>
        <w:tabs>
          <w:tab w:val="left" w:pos="720"/>
        </w:tabs>
        <w:spacing w:after="0"/>
        <w:ind w:left="720" w:hanging="720"/>
        <w:jc w:val="both"/>
        <w:rPr>
          <w:b/>
          <w:bCs/>
        </w:rPr>
      </w:pPr>
      <w:r w:rsidRPr="00D5148C">
        <w:rPr>
          <w:rFonts w:hint="cs"/>
          <w:b/>
          <w:bCs/>
          <w:u w:val="single"/>
          <w:rtl/>
        </w:rPr>
        <w:t>חילוט ורכיבי ענישה כלכליים</w:t>
      </w:r>
    </w:p>
    <w:p w14:paraId="2DDAC1D6" w14:textId="77777777" w:rsidR="003618B7" w:rsidRDefault="003618B7" w:rsidP="003618B7">
      <w:pPr>
        <w:pStyle w:val="aa"/>
        <w:rPr>
          <w:rtl/>
        </w:rPr>
      </w:pPr>
    </w:p>
    <w:p w14:paraId="3C4AF267" w14:textId="77777777" w:rsidR="003618B7" w:rsidRDefault="003618B7" w:rsidP="003618B7">
      <w:pPr>
        <w:pStyle w:val="a"/>
        <w:numPr>
          <w:ilvl w:val="0"/>
          <w:numId w:val="2"/>
        </w:numPr>
        <w:tabs>
          <w:tab w:val="left" w:pos="720"/>
        </w:tabs>
        <w:spacing w:after="0"/>
        <w:jc w:val="both"/>
      </w:pPr>
      <w:r>
        <w:rPr>
          <w:rFonts w:hint="cs"/>
          <w:rtl/>
        </w:rPr>
        <w:t xml:space="preserve">באשר לעתירת המאשימה להכרזה על הנאשם כסוחר סמים ולחילוט: אמנם הנאשם הורשע בעבירת החזקה שלא לצריכה עצמית, הנחשבת כ"עבירה של עסקת סמים" בהתאם להגדרה </w:t>
      </w:r>
      <w:hyperlink r:id="rId26" w:history="1">
        <w:r w:rsidR="00330B55" w:rsidRPr="00330B55">
          <w:rPr>
            <w:rStyle w:val="Hyperlink"/>
            <w:rFonts w:hint="eastAsia"/>
            <w:rtl/>
          </w:rPr>
          <w:t>בסעיף</w:t>
        </w:r>
        <w:r w:rsidR="00330B55" w:rsidRPr="00330B55">
          <w:rPr>
            <w:rStyle w:val="Hyperlink"/>
            <w:rtl/>
          </w:rPr>
          <w:t xml:space="preserve"> 1</w:t>
        </w:r>
      </w:hyperlink>
      <w:r>
        <w:rPr>
          <w:rFonts w:hint="cs"/>
          <w:rtl/>
        </w:rPr>
        <w:t xml:space="preserve"> לפקודת הסמים. עם זאת, מעובדות כתב האישום בהן הודה הנאשם לא עולה כי הנאשם הפיק רווח מן העבירה, כנדרש </w:t>
      </w:r>
      <w:hyperlink r:id="rId27" w:history="1">
        <w:r w:rsidR="00330B55" w:rsidRPr="00330B55">
          <w:rPr>
            <w:rStyle w:val="Hyperlink"/>
            <w:rFonts w:hint="eastAsia"/>
            <w:rtl/>
          </w:rPr>
          <w:t>בסעיף</w:t>
        </w:r>
        <w:r w:rsidR="00330B55" w:rsidRPr="00330B55">
          <w:rPr>
            <w:rStyle w:val="Hyperlink"/>
            <w:rtl/>
          </w:rPr>
          <w:t xml:space="preserve"> 36א(ב)</w:t>
        </w:r>
      </w:hyperlink>
      <w:r>
        <w:rPr>
          <w:rFonts w:hint="cs"/>
          <w:rtl/>
        </w:rPr>
        <w:t xml:space="preserve"> לפקודה ועל כן אין להכריז עליו כעל סוחר סמים ולחלט את הכסף (המועט) שנתפס ברשותו. לצד זאת יינתן משקל לפן הכלכלי של עבירת הסמים בהטלת קנס, תוך התחשבות במצבו הכלכלי הקשה של הנאשם, כמתחייב.</w:t>
      </w:r>
    </w:p>
    <w:p w14:paraId="22423415" w14:textId="77777777" w:rsidR="003618B7" w:rsidRDefault="003618B7" w:rsidP="003618B7">
      <w:pPr>
        <w:pStyle w:val="a"/>
        <w:numPr>
          <w:ilvl w:val="0"/>
          <w:numId w:val="0"/>
        </w:numPr>
        <w:tabs>
          <w:tab w:val="left" w:pos="720"/>
        </w:tabs>
        <w:spacing w:after="0"/>
        <w:ind w:left="360"/>
        <w:jc w:val="both"/>
      </w:pPr>
    </w:p>
    <w:p w14:paraId="60D4DB39" w14:textId="77777777" w:rsidR="003618B7" w:rsidRDefault="003618B7" w:rsidP="003618B7">
      <w:pPr>
        <w:pStyle w:val="a"/>
        <w:numPr>
          <w:ilvl w:val="0"/>
          <w:numId w:val="0"/>
        </w:numPr>
        <w:tabs>
          <w:tab w:val="left" w:pos="720"/>
        </w:tabs>
        <w:spacing w:after="0"/>
        <w:ind w:left="720" w:hanging="720"/>
        <w:jc w:val="both"/>
        <w:rPr>
          <w:rtl/>
        </w:rPr>
      </w:pPr>
    </w:p>
    <w:p w14:paraId="60EB127D" w14:textId="77777777" w:rsidR="003618B7" w:rsidRDefault="003618B7" w:rsidP="003618B7">
      <w:pPr>
        <w:pStyle w:val="a"/>
        <w:numPr>
          <w:ilvl w:val="0"/>
          <w:numId w:val="0"/>
        </w:numPr>
        <w:tabs>
          <w:tab w:val="left" w:pos="720"/>
        </w:tabs>
        <w:spacing w:after="0"/>
        <w:ind w:left="720" w:hanging="720"/>
        <w:jc w:val="both"/>
        <w:rPr>
          <w:rtl/>
        </w:rPr>
      </w:pPr>
    </w:p>
    <w:p w14:paraId="35313E1F" w14:textId="77777777" w:rsidR="003618B7" w:rsidRPr="00465788" w:rsidRDefault="003618B7" w:rsidP="003618B7">
      <w:pPr>
        <w:pStyle w:val="a"/>
        <w:numPr>
          <w:ilvl w:val="0"/>
          <w:numId w:val="0"/>
        </w:numPr>
        <w:tabs>
          <w:tab w:val="left" w:pos="720"/>
        </w:tabs>
        <w:spacing w:after="0"/>
        <w:ind w:left="720" w:hanging="720"/>
        <w:jc w:val="both"/>
        <w:rPr>
          <w:rtl/>
        </w:rPr>
      </w:pPr>
      <w:r w:rsidRPr="00465788">
        <w:rPr>
          <w:rFonts w:hint="cs"/>
          <w:b/>
          <w:bCs/>
          <w:u w:val="single"/>
          <w:rtl/>
        </w:rPr>
        <w:t>לאור האמור לעיל אני דן את הנאשם לעונשים הבאים</w:t>
      </w:r>
      <w:r w:rsidRPr="00465788">
        <w:rPr>
          <w:rFonts w:hint="cs"/>
          <w:rtl/>
        </w:rPr>
        <w:t>:</w:t>
      </w:r>
    </w:p>
    <w:p w14:paraId="3D28F6A4" w14:textId="77777777" w:rsidR="003618B7" w:rsidRPr="00465788" w:rsidRDefault="003618B7" w:rsidP="003618B7">
      <w:pPr>
        <w:pStyle w:val="aa"/>
        <w:rPr>
          <w:sz w:val="24"/>
          <w:szCs w:val="24"/>
        </w:rPr>
      </w:pPr>
    </w:p>
    <w:p w14:paraId="678AC113" w14:textId="77777777" w:rsidR="003618B7" w:rsidRPr="00465788" w:rsidRDefault="003618B7" w:rsidP="003618B7">
      <w:pPr>
        <w:pStyle w:val="aa"/>
        <w:numPr>
          <w:ilvl w:val="0"/>
          <w:numId w:val="3"/>
        </w:numPr>
        <w:spacing w:after="0" w:line="360" w:lineRule="auto"/>
        <w:jc w:val="both"/>
        <w:rPr>
          <w:rFonts w:ascii="David" w:hAnsi="David" w:cs="David"/>
          <w:sz w:val="24"/>
          <w:szCs w:val="24"/>
          <w:rtl/>
        </w:rPr>
      </w:pPr>
      <w:r w:rsidRPr="00465788">
        <w:rPr>
          <w:rFonts w:ascii="David" w:hAnsi="David" w:cs="David"/>
          <w:b/>
          <w:bCs/>
          <w:sz w:val="24"/>
          <w:szCs w:val="24"/>
          <w:rtl/>
        </w:rPr>
        <w:t>שבעה חודשי מאסר בפועל</w:t>
      </w:r>
      <w:r w:rsidRPr="00465788">
        <w:rPr>
          <w:rFonts w:ascii="David" w:hAnsi="David" w:cs="David"/>
          <w:sz w:val="24"/>
          <w:szCs w:val="24"/>
          <w:rtl/>
        </w:rPr>
        <w:t>.</w:t>
      </w:r>
    </w:p>
    <w:p w14:paraId="511DEB64" w14:textId="77777777" w:rsidR="003618B7" w:rsidRPr="00465788" w:rsidRDefault="003618B7" w:rsidP="003618B7">
      <w:pPr>
        <w:pStyle w:val="aa"/>
        <w:spacing w:after="0" w:line="360" w:lineRule="auto"/>
        <w:ind w:left="360"/>
        <w:jc w:val="both"/>
        <w:rPr>
          <w:rFonts w:ascii="David" w:hAnsi="David" w:cs="David"/>
          <w:sz w:val="24"/>
          <w:szCs w:val="24"/>
          <w:rtl/>
        </w:rPr>
      </w:pPr>
      <w:r w:rsidRPr="00D5148C">
        <w:rPr>
          <w:rFonts w:ascii="David" w:hAnsi="David" w:cs="David"/>
          <w:b/>
          <w:bCs/>
          <w:sz w:val="24"/>
          <w:szCs w:val="24"/>
          <w:rtl/>
        </w:rPr>
        <w:t>המאסר ירוצה בדרך של עבודות שירות במפעל "המשקם" בחולון</w:t>
      </w:r>
      <w:r w:rsidRPr="00465788">
        <w:rPr>
          <w:rFonts w:ascii="David" w:hAnsi="David" w:cs="David"/>
          <w:sz w:val="24"/>
          <w:szCs w:val="24"/>
          <w:rtl/>
        </w:rPr>
        <w:t>, בהתאם לחוות דעת הממונה על עבודות שירות מיום 13.2.023. הנאשם יתייצב ביום 10.5.2023 בשעה 8:00 במשרדי הממונה במפקדת מחוז מרכז של שב"ס.</w:t>
      </w:r>
    </w:p>
    <w:p w14:paraId="03DC2DFA" w14:textId="77777777" w:rsidR="003618B7" w:rsidRPr="00465788" w:rsidRDefault="003618B7" w:rsidP="003618B7">
      <w:pPr>
        <w:pStyle w:val="aa"/>
        <w:spacing w:line="360" w:lineRule="auto"/>
        <w:ind w:left="360"/>
        <w:jc w:val="both"/>
        <w:rPr>
          <w:rFonts w:ascii="David" w:hAnsi="David" w:cs="David"/>
          <w:sz w:val="24"/>
          <w:szCs w:val="24"/>
        </w:rPr>
      </w:pPr>
    </w:p>
    <w:p w14:paraId="30DC90B6" w14:textId="77777777" w:rsidR="003618B7" w:rsidRPr="00465788" w:rsidRDefault="003618B7" w:rsidP="003618B7">
      <w:pPr>
        <w:pStyle w:val="aa"/>
        <w:spacing w:line="360" w:lineRule="auto"/>
        <w:ind w:left="360"/>
        <w:jc w:val="both"/>
        <w:rPr>
          <w:rFonts w:ascii="David" w:hAnsi="David" w:cs="David"/>
          <w:sz w:val="24"/>
          <w:szCs w:val="24"/>
        </w:rPr>
      </w:pPr>
      <w:r w:rsidRPr="00465788">
        <w:rPr>
          <w:rFonts w:ascii="David" w:hAnsi="David" w:cs="David"/>
          <w:sz w:val="24"/>
          <w:szCs w:val="24"/>
          <w:rtl/>
        </w:rPr>
        <w:t>הנאשם מוזהר כי עליו לעמוד בתנאי ההעסקה ובדרישות הממונה, וכי כל חריגה מהכללים עלולה להביא להפסקת עבודות השירות וריצוי יתרת עונש המאסר מאחורי סורג ובריח.</w:t>
      </w:r>
    </w:p>
    <w:p w14:paraId="18A85522" w14:textId="77777777" w:rsidR="003618B7" w:rsidRPr="00465788" w:rsidRDefault="003618B7" w:rsidP="003618B7">
      <w:pPr>
        <w:pStyle w:val="aa"/>
        <w:spacing w:line="360" w:lineRule="auto"/>
        <w:ind w:left="360"/>
        <w:jc w:val="both"/>
        <w:rPr>
          <w:rFonts w:ascii="David" w:hAnsi="David" w:cs="David"/>
          <w:sz w:val="24"/>
          <w:szCs w:val="24"/>
        </w:rPr>
      </w:pPr>
    </w:p>
    <w:p w14:paraId="0CD6C9FA" w14:textId="77777777" w:rsidR="003618B7" w:rsidRPr="00465788" w:rsidRDefault="003618B7" w:rsidP="003618B7">
      <w:pPr>
        <w:pStyle w:val="aa"/>
        <w:numPr>
          <w:ilvl w:val="0"/>
          <w:numId w:val="3"/>
        </w:numPr>
        <w:spacing w:after="0" w:line="360" w:lineRule="auto"/>
        <w:jc w:val="both"/>
        <w:rPr>
          <w:rFonts w:ascii="David" w:hAnsi="David" w:cs="David"/>
          <w:sz w:val="24"/>
          <w:szCs w:val="24"/>
        </w:rPr>
      </w:pPr>
      <w:r w:rsidRPr="00465788">
        <w:rPr>
          <w:rFonts w:ascii="David" w:hAnsi="David" w:cs="David"/>
          <w:b/>
          <w:bCs/>
          <w:sz w:val="24"/>
          <w:szCs w:val="24"/>
          <w:rtl/>
        </w:rPr>
        <w:t>6 חודשי מאסר על תנאי</w:t>
      </w:r>
      <w:r w:rsidRPr="00465788">
        <w:rPr>
          <w:rFonts w:ascii="David" w:hAnsi="David" w:cs="David"/>
          <w:sz w:val="24"/>
          <w:szCs w:val="24"/>
          <w:rtl/>
        </w:rPr>
        <w:t>, שלא יעבור תוך 3 שנים מהיום עבירת סמים מסוג פשע.</w:t>
      </w:r>
    </w:p>
    <w:p w14:paraId="270F4062" w14:textId="77777777" w:rsidR="003618B7" w:rsidRPr="00465788" w:rsidRDefault="003618B7" w:rsidP="003618B7">
      <w:pPr>
        <w:pStyle w:val="aa"/>
        <w:spacing w:after="0" w:line="360" w:lineRule="auto"/>
        <w:ind w:left="360"/>
        <w:jc w:val="both"/>
        <w:rPr>
          <w:rFonts w:ascii="David" w:hAnsi="David" w:cs="David"/>
          <w:sz w:val="24"/>
          <w:szCs w:val="24"/>
        </w:rPr>
      </w:pPr>
    </w:p>
    <w:p w14:paraId="0F25AACC" w14:textId="77777777" w:rsidR="003618B7" w:rsidRPr="00465788" w:rsidRDefault="003618B7" w:rsidP="003618B7">
      <w:pPr>
        <w:pStyle w:val="aa"/>
        <w:numPr>
          <w:ilvl w:val="0"/>
          <w:numId w:val="3"/>
        </w:numPr>
        <w:spacing w:after="0" w:line="360" w:lineRule="auto"/>
        <w:jc w:val="both"/>
        <w:rPr>
          <w:rFonts w:ascii="David" w:hAnsi="David" w:cs="David"/>
          <w:sz w:val="24"/>
          <w:szCs w:val="24"/>
        </w:rPr>
      </w:pPr>
      <w:r w:rsidRPr="00465788">
        <w:rPr>
          <w:rFonts w:ascii="David" w:hAnsi="David" w:cs="David"/>
          <w:b/>
          <w:bCs/>
          <w:sz w:val="24"/>
          <w:szCs w:val="24"/>
          <w:rtl/>
        </w:rPr>
        <w:t>4 חודשי מאסר על תנאי</w:t>
      </w:r>
      <w:r w:rsidRPr="00465788">
        <w:rPr>
          <w:rFonts w:ascii="David" w:hAnsi="David" w:cs="David"/>
          <w:sz w:val="24"/>
          <w:szCs w:val="24"/>
          <w:rtl/>
        </w:rPr>
        <w:t>, שלא יעבור תוך 3 שנים מהיום עבירת אלימות, לרבות איומים.</w:t>
      </w:r>
    </w:p>
    <w:p w14:paraId="33161A9E" w14:textId="77777777" w:rsidR="003618B7" w:rsidRPr="00465788" w:rsidRDefault="003618B7" w:rsidP="003618B7">
      <w:pPr>
        <w:pStyle w:val="aa"/>
        <w:spacing w:line="360" w:lineRule="auto"/>
        <w:ind w:left="360"/>
        <w:jc w:val="both"/>
        <w:rPr>
          <w:rFonts w:ascii="David" w:hAnsi="David" w:cs="David"/>
          <w:sz w:val="24"/>
          <w:szCs w:val="24"/>
          <w:rtl/>
        </w:rPr>
      </w:pPr>
    </w:p>
    <w:p w14:paraId="7207F650" w14:textId="77777777" w:rsidR="003618B7" w:rsidRPr="00465788" w:rsidRDefault="003618B7" w:rsidP="003618B7">
      <w:pPr>
        <w:pStyle w:val="aa"/>
        <w:numPr>
          <w:ilvl w:val="0"/>
          <w:numId w:val="3"/>
        </w:numPr>
        <w:spacing w:after="0" w:line="360" w:lineRule="auto"/>
        <w:jc w:val="both"/>
        <w:rPr>
          <w:rFonts w:ascii="David" w:hAnsi="David" w:cs="David"/>
          <w:sz w:val="24"/>
          <w:szCs w:val="24"/>
          <w:rtl/>
        </w:rPr>
      </w:pPr>
      <w:r w:rsidRPr="00D5148C">
        <w:rPr>
          <w:rFonts w:ascii="David" w:hAnsi="David" w:cs="David"/>
          <w:b/>
          <w:bCs/>
          <w:sz w:val="24"/>
          <w:szCs w:val="24"/>
          <w:rtl/>
        </w:rPr>
        <w:t>קנס בסך 5,000 ₪</w:t>
      </w:r>
      <w:r w:rsidRPr="00465788">
        <w:rPr>
          <w:rFonts w:ascii="David" w:hAnsi="David" w:cs="David"/>
          <w:sz w:val="24"/>
          <w:szCs w:val="24"/>
          <w:rtl/>
        </w:rPr>
        <w:t xml:space="preserve"> או 6</w:t>
      </w:r>
      <w:r>
        <w:rPr>
          <w:rFonts w:ascii="David" w:hAnsi="David" w:cs="David"/>
          <w:sz w:val="24"/>
          <w:szCs w:val="24"/>
          <w:rtl/>
        </w:rPr>
        <w:t>0 ימי מאסר תמורתו. הקנס ישולם</w:t>
      </w:r>
      <w:r>
        <w:rPr>
          <w:rFonts w:ascii="David" w:hAnsi="David" w:cs="David" w:hint="cs"/>
          <w:sz w:val="24"/>
          <w:szCs w:val="24"/>
          <w:rtl/>
        </w:rPr>
        <w:t xml:space="preserve"> ב-20</w:t>
      </w:r>
      <w:r w:rsidRPr="00465788">
        <w:rPr>
          <w:rFonts w:ascii="David" w:hAnsi="David" w:cs="David"/>
          <w:sz w:val="24"/>
          <w:szCs w:val="24"/>
          <w:rtl/>
        </w:rPr>
        <w:t xml:space="preserve"> תשלומים חודשיים שווים ורצופים, החל מיום 1.4.2023 ובכל 1 בחודש שלאחריו. לא ישולם איזה מהתשלומים במועדו, תעמוד יתרת הקנס לפירעון מידי. </w:t>
      </w:r>
    </w:p>
    <w:p w14:paraId="36814FE0" w14:textId="77777777" w:rsidR="003618B7" w:rsidRPr="00465788" w:rsidRDefault="003618B7" w:rsidP="003618B7">
      <w:pPr>
        <w:pStyle w:val="aa"/>
        <w:spacing w:line="360" w:lineRule="auto"/>
        <w:ind w:left="360"/>
        <w:jc w:val="both"/>
        <w:rPr>
          <w:rFonts w:ascii="David" w:hAnsi="David" w:cs="David"/>
          <w:sz w:val="24"/>
          <w:szCs w:val="24"/>
        </w:rPr>
      </w:pPr>
    </w:p>
    <w:p w14:paraId="19E2251C" w14:textId="77777777" w:rsidR="003618B7" w:rsidRPr="00465788" w:rsidRDefault="003618B7" w:rsidP="003618B7">
      <w:pPr>
        <w:pStyle w:val="aa"/>
        <w:numPr>
          <w:ilvl w:val="0"/>
          <w:numId w:val="3"/>
        </w:numPr>
        <w:spacing w:after="0" w:line="360" w:lineRule="auto"/>
        <w:jc w:val="both"/>
        <w:rPr>
          <w:rFonts w:ascii="David" w:hAnsi="David" w:cs="David"/>
          <w:sz w:val="24"/>
          <w:szCs w:val="24"/>
        </w:rPr>
      </w:pPr>
      <w:r w:rsidRPr="00D5148C">
        <w:rPr>
          <w:rFonts w:ascii="David" w:hAnsi="David" w:cs="David"/>
          <w:b/>
          <w:bCs/>
          <w:sz w:val="24"/>
          <w:szCs w:val="24"/>
          <w:rtl/>
        </w:rPr>
        <w:t>צו מבחן למשך 18 חודשים</w:t>
      </w:r>
      <w:r w:rsidRPr="00465788">
        <w:rPr>
          <w:rFonts w:ascii="David" w:hAnsi="David" w:cs="David"/>
          <w:sz w:val="24"/>
          <w:szCs w:val="24"/>
          <w:rtl/>
        </w:rPr>
        <w:t xml:space="preserve">. הוסברה לנאשם משמעותו של צו המבחן ואפשרות הפקעתו והטלת עונש במקומו. </w:t>
      </w:r>
      <w:r w:rsidRPr="00D5148C">
        <w:rPr>
          <w:rFonts w:ascii="David" w:hAnsi="David" w:cs="David"/>
          <w:b/>
          <w:bCs/>
          <w:sz w:val="24"/>
          <w:szCs w:val="24"/>
          <w:u w:val="single"/>
          <w:rtl/>
        </w:rPr>
        <w:t>שירות המבחן יתאים את התוכנית הטיפולית למסגרת השעות של עבודות השירות</w:t>
      </w:r>
      <w:r w:rsidRPr="00465788">
        <w:rPr>
          <w:rFonts w:ascii="David" w:hAnsi="David" w:cs="David"/>
          <w:sz w:val="24"/>
          <w:szCs w:val="24"/>
          <w:rtl/>
        </w:rPr>
        <w:t>.</w:t>
      </w:r>
    </w:p>
    <w:p w14:paraId="13B669C2" w14:textId="77777777" w:rsidR="003618B7" w:rsidRPr="00465788" w:rsidRDefault="003618B7" w:rsidP="003618B7">
      <w:pPr>
        <w:spacing w:line="360" w:lineRule="auto"/>
        <w:jc w:val="both"/>
        <w:rPr>
          <w:rFonts w:ascii="David" w:hAnsi="David"/>
          <w:b/>
          <w:bCs/>
          <w:u w:val="single"/>
          <w:rtl/>
        </w:rPr>
      </w:pPr>
    </w:p>
    <w:p w14:paraId="5803EEFF" w14:textId="77777777" w:rsidR="003618B7" w:rsidRDefault="003618B7" w:rsidP="003618B7">
      <w:pPr>
        <w:spacing w:line="360" w:lineRule="auto"/>
        <w:jc w:val="both"/>
        <w:rPr>
          <w:rFonts w:ascii="David" w:hAnsi="David"/>
          <w:rtl/>
        </w:rPr>
      </w:pPr>
      <w:r w:rsidRPr="00465788">
        <w:rPr>
          <w:rFonts w:ascii="David" w:hAnsi="David"/>
          <w:rtl/>
        </w:rPr>
        <w:t>צו כללי לטיפול מוצגים, על פי כל דין.</w:t>
      </w:r>
      <w:r>
        <w:rPr>
          <w:rFonts w:ascii="David" w:hAnsi="David" w:hint="cs"/>
          <w:rtl/>
        </w:rPr>
        <w:t xml:space="preserve"> </w:t>
      </w:r>
      <w:r w:rsidRPr="00465788">
        <w:rPr>
          <w:rFonts w:ascii="David" w:hAnsi="David"/>
          <w:rtl/>
        </w:rPr>
        <w:t>מורה על חילוט המשקלים הדיגיטליים שנתפסו.</w:t>
      </w:r>
    </w:p>
    <w:p w14:paraId="29F49D55" w14:textId="77777777" w:rsidR="003618B7" w:rsidRPr="00465788" w:rsidRDefault="003618B7" w:rsidP="003618B7">
      <w:pPr>
        <w:spacing w:line="360" w:lineRule="auto"/>
        <w:jc w:val="both"/>
        <w:rPr>
          <w:rFonts w:ascii="David" w:hAnsi="David"/>
          <w:b/>
          <w:bCs/>
          <w:u w:val="single"/>
        </w:rPr>
      </w:pPr>
      <w:r w:rsidRPr="00465788">
        <w:rPr>
          <w:rFonts w:ascii="David" w:hAnsi="David"/>
          <w:b/>
          <w:bCs/>
          <w:u w:val="single"/>
          <w:rtl/>
        </w:rPr>
        <w:t>זכות ערעור לבית המשפט המחוזי תוך 45 ימים מהיום.</w:t>
      </w:r>
    </w:p>
    <w:p w14:paraId="2844808D" w14:textId="77777777" w:rsidR="003618B7" w:rsidRPr="00465788" w:rsidRDefault="00D903D2" w:rsidP="003618B7">
      <w:pPr>
        <w:spacing w:line="360" w:lineRule="auto"/>
        <w:jc w:val="both"/>
        <w:rPr>
          <w:rFonts w:ascii="David" w:hAnsi="David"/>
          <w:b/>
          <w:bCs/>
          <w:u w:val="single"/>
          <w:rtl/>
        </w:rPr>
      </w:pPr>
      <w:r w:rsidRPr="00D903D2">
        <w:rPr>
          <w:rFonts w:ascii="David" w:hAnsi="David"/>
          <w:b/>
          <w:bCs/>
          <w:color w:val="FFFFFF"/>
          <w:sz w:val="2"/>
          <w:szCs w:val="2"/>
          <w:u w:val="single"/>
          <w:rtl/>
        </w:rPr>
        <w:t>5129371</w:t>
      </w:r>
      <w:r w:rsidR="003618B7" w:rsidRPr="00465788">
        <w:rPr>
          <w:rFonts w:ascii="David" w:hAnsi="David"/>
          <w:b/>
          <w:bCs/>
          <w:u w:val="single"/>
          <w:rtl/>
        </w:rPr>
        <w:t xml:space="preserve">המזכירות תעביר עותק מגזר הדין לשירות המבחן ולממונה על עבודות שירות. </w:t>
      </w:r>
    </w:p>
    <w:p w14:paraId="67045D50" w14:textId="77777777" w:rsidR="003618B7" w:rsidRPr="00D903D2" w:rsidRDefault="00D903D2" w:rsidP="003618B7">
      <w:pPr>
        <w:rPr>
          <w:rFonts w:ascii="Arial" w:hAnsi="Arial"/>
          <w:b/>
          <w:bCs/>
          <w:color w:val="FFFFFF"/>
          <w:sz w:val="2"/>
          <w:szCs w:val="2"/>
          <w:rtl/>
        </w:rPr>
      </w:pPr>
      <w:r w:rsidRPr="00D903D2">
        <w:rPr>
          <w:rFonts w:ascii="Arial" w:hAnsi="Arial"/>
          <w:b/>
          <w:bCs/>
          <w:color w:val="FFFFFF"/>
          <w:sz w:val="2"/>
          <w:szCs w:val="2"/>
          <w:rtl/>
        </w:rPr>
        <w:t>54678313</w:t>
      </w:r>
    </w:p>
    <w:p w14:paraId="2D7CB9D4" w14:textId="77777777" w:rsidR="003618B7" w:rsidRPr="00465788" w:rsidRDefault="003618B7" w:rsidP="003618B7">
      <w:pPr>
        <w:rPr>
          <w:rFonts w:ascii="Arial" w:hAnsi="Arial"/>
          <w:b/>
          <w:bCs/>
          <w:rtl/>
        </w:rPr>
      </w:pPr>
    </w:p>
    <w:p w14:paraId="24F1C5D8" w14:textId="77777777" w:rsidR="003618B7" w:rsidRPr="00465788" w:rsidRDefault="00D903D2" w:rsidP="003618B7">
      <w:pPr>
        <w:spacing w:line="360" w:lineRule="auto"/>
        <w:jc w:val="both"/>
        <w:rPr>
          <w:rFonts w:ascii="Arial" w:hAnsi="Arial"/>
          <w:b/>
          <w:bCs/>
          <w:rtl/>
        </w:rPr>
      </w:pPr>
      <w:bookmarkStart w:id="7" w:name="Nitan"/>
      <w:r>
        <w:rPr>
          <w:rFonts w:ascii="Arial" w:hAnsi="Arial"/>
          <w:b/>
          <w:bCs/>
          <w:rtl/>
        </w:rPr>
        <w:t xml:space="preserve">ניתן היום, כ"ט שבט תשפ"ג, 20 פברואר 2023, במעמד הצדדים. </w:t>
      </w:r>
      <w:bookmarkEnd w:id="7"/>
      <w:r w:rsidR="003618B7" w:rsidRPr="00465788">
        <w:rPr>
          <w:rFonts w:ascii="Arial" w:hAnsi="Arial"/>
          <w:b/>
          <w:bCs/>
          <w:rtl/>
        </w:rPr>
        <w:tab/>
      </w:r>
      <w:r w:rsidR="003618B7" w:rsidRPr="00465788">
        <w:rPr>
          <w:rFonts w:ascii="Arial" w:hAnsi="Arial"/>
          <w:b/>
          <w:bCs/>
          <w:rtl/>
        </w:rPr>
        <w:tab/>
      </w:r>
      <w:r w:rsidR="003618B7" w:rsidRPr="00465788">
        <w:rPr>
          <w:rFonts w:ascii="Arial" w:hAnsi="Arial"/>
          <w:b/>
          <w:bCs/>
          <w:rtl/>
        </w:rPr>
        <w:tab/>
      </w:r>
      <w:r w:rsidR="003618B7" w:rsidRPr="00465788">
        <w:rPr>
          <w:rFonts w:ascii="Arial" w:hAnsi="Arial"/>
          <w:b/>
          <w:bCs/>
          <w:rtl/>
        </w:rPr>
        <w:tab/>
      </w:r>
      <w:r w:rsidR="003618B7" w:rsidRPr="00465788">
        <w:rPr>
          <w:rFonts w:ascii="Arial" w:hAnsi="Arial"/>
          <w:b/>
          <w:bCs/>
          <w:rtl/>
        </w:rPr>
        <w:tab/>
      </w:r>
      <w:r w:rsidR="003618B7" w:rsidRPr="00465788">
        <w:rPr>
          <w:rFonts w:ascii="Arial" w:hAnsi="Arial"/>
          <w:b/>
          <w:bCs/>
          <w:rtl/>
        </w:rPr>
        <w:tab/>
      </w:r>
      <w:r w:rsidR="003618B7" w:rsidRPr="00465788">
        <w:rPr>
          <w:rFonts w:ascii="Arial" w:hAnsi="Arial"/>
          <w:b/>
          <w:bCs/>
          <w:rtl/>
        </w:rPr>
        <w:tab/>
      </w:r>
      <w:r w:rsidR="003618B7" w:rsidRPr="00465788">
        <w:rPr>
          <w:rFonts w:ascii="Arial" w:hAnsi="Arial" w:hint="cs"/>
          <w:b/>
          <w:bCs/>
          <w:rtl/>
        </w:rPr>
        <w:t xml:space="preserve">     </w:t>
      </w:r>
      <w:r w:rsidR="003618B7">
        <w:rPr>
          <w:rFonts w:ascii="Arial" w:hAnsi="Arial" w:hint="cs"/>
          <w:b/>
          <w:bCs/>
          <w:sz w:val="26"/>
          <w:szCs w:val="26"/>
          <w:rtl/>
        </w:rPr>
        <w:t xml:space="preserve">    </w:t>
      </w:r>
    </w:p>
    <w:p w14:paraId="6A3FC26A" w14:textId="77777777" w:rsidR="003618B7" w:rsidRPr="00465788" w:rsidRDefault="003618B7" w:rsidP="00D903D2">
      <w:pPr>
        <w:jc w:val="center"/>
      </w:pPr>
      <w:r w:rsidRPr="00465788">
        <w:rPr>
          <w:rFonts w:ascii="Arial" w:hAnsi="Arial"/>
          <w:b/>
          <w:bCs/>
          <w:rtl/>
        </w:rPr>
        <w:t xml:space="preserve">   </w:t>
      </w:r>
      <w:r w:rsidRPr="00465788">
        <w:rPr>
          <w:rFonts w:ascii="Arial" w:hAnsi="Arial"/>
          <w:b/>
          <w:bCs/>
          <w:rtl/>
        </w:rPr>
        <w:tab/>
      </w:r>
      <w:r w:rsidRPr="00465788">
        <w:rPr>
          <w:rFonts w:ascii="Arial" w:hAnsi="Arial"/>
          <w:b/>
          <w:bCs/>
          <w:rtl/>
        </w:rPr>
        <w:tab/>
      </w:r>
      <w:r w:rsidRPr="00465788">
        <w:rPr>
          <w:rFonts w:ascii="Arial" w:hAnsi="Arial"/>
          <w:b/>
          <w:bCs/>
          <w:rtl/>
        </w:rPr>
        <w:tab/>
      </w:r>
      <w:r w:rsidRPr="00465788">
        <w:rPr>
          <w:rFonts w:ascii="Arial" w:hAnsi="Arial"/>
          <w:b/>
          <w:bCs/>
          <w:rtl/>
        </w:rPr>
        <w:tab/>
      </w:r>
      <w:r w:rsidRPr="00465788">
        <w:rPr>
          <w:rFonts w:ascii="Arial" w:hAnsi="Arial"/>
          <w:b/>
          <w:bCs/>
          <w:rtl/>
        </w:rPr>
        <w:tab/>
      </w:r>
    </w:p>
    <w:p w14:paraId="2B123945" w14:textId="77777777" w:rsidR="003618B7" w:rsidRPr="00465788" w:rsidRDefault="003618B7" w:rsidP="003618B7">
      <w:pPr>
        <w:jc w:val="center"/>
        <w:rPr>
          <w:rFonts w:ascii="Arial" w:hAnsi="Arial"/>
          <w:b/>
          <w:bCs/>
          <w:rtl/>
        </w:rPr>
      </w:pPr>
    </w:p>
    <w:p w14:paraId="752BE0F5" w14:textId="77777777" w:rsidR="00922DDC" w:rsidRPr="00D903D2" w:rsidRDefault="00922DDC" w:rsidP="00D903D2">
      <w:pPr>
        <w:keepNext/>
        <w:rPr>
          <w:rFonts w:ascii="David" w:hAnsi="David"/>
          <w:color w:val="000000"/>
          <w:sz w:val="22"/>
          <w:szCs w:val="22"/>
          <w:rtl/>
        </w:rPr>
      </w:pPr>
    </w:p>
    <w:p w14:paraId="2F620F7D" w14:textId="77777777" w:rsidR="00D903D2" w:rsidRPr="00D903D2" w:rsidRDefault="00D903D2" w:rsidP="00D903D2">
      <w:pPr>
        <w:keepNext/>
        <w:rPr>
          <w:rFonts w:ascii="David" w:hAnsi="David"/>
          <w:color w:val="000000"/>
          <w:sz w:val="22"/>
          <w:szCs w:val="22"/>
          <w:rtl/>
        </w:rPr>
      </w:pPr>
      <w:r w:rsidRPr="00D903D2">
        <w:rPr>
          <w:rFonts w:ascii="David" w:hAnsi="David"/>
          <w:color w:val="000000"/>
          <w:sz w:val="22"/>
          <w:szCs w:val="22"/>
          <w:rtl/>
        </w:rPr>
        <w:t>טל ענר 54678313</w:t>
      </w:r>
    </w:p>
    <w:p w14:paraId="5FF90B3F" w14:textId="77777777" w:rsidR="00D903D2" w:rsidRDefault="00D903D2" w:rsidP="00D903D2">
      <w:r w:rsidRPr="00D903D2">
        <w:rPr>
          <w:color w:val="000000"/>
          <w:rtl/>
        </w:rPr>
        <w:t>נוסח מסמך זה כפוף לשינויי ניסוח ועריכה</w:t>
      </w:r>
    </w:p>
    <w:p w14:paraId="70314BBF" w14:textId="77777777" w:rsidR="00D903D2" w:rsidRDefault="00D903D2" w:rsidP="00D903D2">
      <w:pPr>
        <w:rPr>
          <w:rtl/>
        </w:rPr>
      </w:pPr>
    </w:p>
    <w:p w14:paraId="2E33D2C0" w14:textId="77777777" w:rsidR="00D903D2" w:rsidRDefault="00D903D2" w:rsidP="00D903D2">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1528ED0A" w14:textId="77777777" w:rsidR="00D903D2" w:rsidRPr="00D903D2" w:rsidRDefault="00D903D2" w:rsidP="00D903D2">
      <w:pPr>
        <w:jc w:val="center"/>
        <w:rPr>
          <w:color w:val="0000FF"/>
          <w:u w:val="single"/>
        </w:rPr>
      </w:pPr>
    </w:p>
    <w:sectPr w:rsidR="00D903D2" w:rsidRPr="00D903D2" w:rsidSect="00D903D2">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A0F19" w14:textId="77777777" w:rsidR="00F407AE" w:rsidRDefault="00F407AE" w:rsidP="00ED2BDF">
      <w:r>
        <w:separator/>
      </w:r>
    </w:p>
  </w:endnote>
  <w:endnote w:type="continuationSeparator" w:id="0">
    <w:p w14:paraId="210D5F17" w14:textId="77777777" w:rsidR="00F407AE" w:rsidRDefault="00F407AE" w:rsidP="00ED2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2D8AF" w14:textId="77777777" w:rsidR="00D903D2" w:rsidRDefault="00D903D2" w:rsidP="00D903D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4F97ED" w14:textId="77777777" w:rsidR="00635202" w:rsidRPr="00D903D2" w:rsidRDefault="00D903D2" w:rsidP="00D903D2">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11896" w14:textId="77777777" w:rsidR="00D903D2" w:rsidRDefault="00D903D2" w:rsidP="00D903D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12BF">
      <w:rPr>
        <w:rFonts w:ascii="FrankRuehl" w:hAnsi="FrankRuehl" w:cs="FrankRuehl"/>
        <w:noProof/>
        <w:rtl/>
      </w:rPr>
      <w:t>1</w:t>
    </w:r>
    <w:r>
      <w:rPr>
        <w:rFonts w:ascii="FrankRuehl" w:hAnsi="FrankRuehl" w:cs="FrankRuehl"/>
        <w:rtl/>
      </w:rPr>
      <w:fldChar w:fldCharType="end"/>
    </w:r>
  </w:p>
  <w:p w14:paraId="1358EA51" w14:textId="77777777" w:rsidR="00635202" w:rsidRPr="00D903D2" w:rsidRDefault="00D903D2" w:rsidP="00D903D2">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545A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87667" w14:textId="77777777" w:rsidR="00F407AE" w:rsidRDefault="00F407AE" w:rsidP="00ED2BDF">
      <w:r>
        <w:separator/>
      </w:r>
    </w:p>
  </w:footnote>
  <w:footnote w:type="continuationSeparator" w:id="0">
    <w:p w14:paraId="33FD76F3" w14:textId="77777777" w:rsidR="00F407AE" w:rsidRDefault="00F407AE" w:rsidP="00ED2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76D0E" w14:textId="77777777" w:rsidR="00D903D2" w:rsidRPr="00D903D2" w:rsidRDefault="00D903D2" w:rsidP="00D903D2">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24379-12-20</w:t>
    </w:r>
    <w:r>
      <w:rPr>
        <w:rFonts w:ascii="David" w:hAnsi="David"/>
        <w:color w:val="000000"/>
        <w:sz w:val="22"/>
        <w:szCs w:val="22"/>
        <w:rtl/>
      </w:rPr>
      <w:tab/>
      <w:t xml:space="preserve"> מדינת ישראל נ' ליאל פדל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2978E" w14:textId="77777777" w:rsidR="00D903D2" w:rsidRPr="00D903D2" w:rsidRDefault="00D903D2" w:rsidP="00D903D2">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24379-12-20</w:t>
    </w:r>
    <w:r>
      <w:rPr>
        <w:rFonts w:ascii="David" w:hAnsi="David"/>
        <w:color w:val="000000"/>
        <w:sz w:val="22"/>
        <w:szCs w:val="22"/>
        <w:rtl/>
      </w:rPr>
      <w:tab/>
      <w:t xml:space="preserve"> מדינת ישראל נ' ליאל פדל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5FA22BDC"/>
    <w:lvl w:ilvl="0" w:tplc="018491C6">
      <w:start w:val="1"/>
      <w:numFmt w:val="decimal"/>
      <w:pStyle w:val="a"/>
      <w:lvlText w:val="%1."/>
      <w:lvlJc w:val="left"/>
      <w:pPr>
        <w:tabs>
          <w:tab w:val="num" w:pos="720"/>
        </w:tabs>
        <w:ind w:left="720" w:hanging="720"/>
      </w:pPr>
      <w:rPr>
        <w:rFonts w:ascii="Times New Roman" w:eastAsia="Times New Roman" w:hAnsi="Times New Roman" w:cs="David"/>
      </w:rPr>
    </w:lvl>
    <w:lvl w:ilvl="1" w:tplc="DB562B38">
      <w:start w:val="1"/>
      <w:numFmt w:val="hebrew1"/>
      <w:lvlText w:val="%2."/>
      <w:lvlJc w:val="left"/>
      <w:pPr>
        <w:tabs>
          <w:tab w:val="num" w:pos="1494"/>
        </w:tabs>
        <w:ind w:left="1494"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3D00B1E"/>
    <w:multiLevelType w:val="hybridMultilevel"/>
    <w:tmpl w:val="90A0DF1A"/>
    <w:lvl w:ilvl="0" w:tplc="93A00712">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7700F9C"/>
    <w:multiLevelType w:val="hybridMultilevel"/>
    <w:tmpl w:val="8AC054EA"/>
    <w:lvl w:ilvl="0" w:tplc="0148801A">
      <w:start w:val="1"/>
      <w:numFmt w:val="decimal"/>
      <w:lvlText w:val="%1."/>
      <w:lvlJc w:val="left"/>
      <w:pPr>
        <w:ind w:left="360" w:hanging="360"/>
      </w:pPr>
      <w:rPr>
        <w:b w:val="0"/>
        <w:bCs w:val="0"/>
        <w:lang w:val="en-US"/>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054552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6384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7163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18B7"/>
    <w:rsid w:val="000A572C"/>
    <w:rsid w:val="001B68CB"/>
    <w:rsid w:val="00330B55"/>
    <w:rsid w:val="003618B7"/>
    <w:rsid w:val="003C2E07"/>
    <w:rsid w:val="005E60C1"/>
    <w:rsid w:val="00635202"/>
    <w:rsid w:val="00922DDC"/>
    <w:rsid w:val="009A4E4C"/>
    <w:rsid w:val="00A879B6"/>
    <w:rsid w:val="00B52BD4"/>
    <w:rsid w:val="00C65570"/>
    <w:rsid w:val="00CB305A"/>
    <w:rsid w:val="00D903D2"/>
    <w:rsid w:val="00E312BF"/>
    <w:rsid w:val="00ED2BDF"/>
    <w:rsid w:val="00F407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46242C"/>
  <w15:chartTrackingRefBased/>
  <w15:docId w15:val="{5C8EDEDA-6A4B-4701-8F46-28D3923F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618B7"/>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3618B7"/>
    <w:pPr>
      <w:tabs>
        <w:tab w:val="center" w:pos="4153"/>
        <w:tab w:val="right" w:pos="8306"/>
      </w:tabs>
    </w:pPr>
  </w:style>
  <w:style w:type="character" w:customStyle="1" w:styleId="a5">
    <w:name w:val="כותרת עליונה תו"/>
    <w:link w:val="a4"/>
    <w:rsid w:val="003618B7"/>
    <w:rPr>
      <w:rFonts w:ascii="Times New Roman" w:eastAsia="Times New Roman" w:hAnsi="Times New Roman" w:cs="David"/>
      <w:sz w:val="24"/>
      <w:szCs w:val="24"/>
    </w:rPr>
  </w:style>
  <w:style w:type="paragraph" w:styleId="a6">
    <w:name w:val="footer"/>
    <w:basedOn w:val="a0"/>
    <w:link w:val="a7"/>
    <w:rsid w:val="003618B7"/>
    <w:pPr>
      <w:tabs>
        <w:tab w:val="center" w:pos="4153"/>
        <w:tab w:val="right" w:pos="8306"/>
      </w:tabs>
    </w:pPr>
  </w:style>
  <w:style w:type="character" w:customStyle="1" w:styleId="a7">
    <w:name w:val="כותרת תחתונה תו"/>
    <w:link w:val="a6"/>
    <w:rsid w:val="003618B7"/>
    <w:rPr>
      <w:rFonts w:ascii="Times New Roman" w:eastAsia="Times New Roman" w:hAnsi="Times New Roman" w:cs="David"/>
      <w:sz w:val="24"/>
      <w:szCs w:val="24"/>
    </w:rPr>
  </w:style>
  <w:style w:type="table" w:styleId="a8">
    <w:name w:val="Table Grid"/>
    <w:basedOn w:val="a2"/>
    <w:rsid w:val="003618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3618B7"/>
  </w:style>
  <w:style w:type="paragraph" w:styleId="aa">
    <w:name w:val="List Paragraph"/>
    <w:basedOn w:val="a0"/>
    <w:qFormat/>
    <w:rsid w:val="003618B7"/>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3618B7"/>
    <w:pPr>
      <w:numPr>
        <w:numId w:val="1"/>
      </w:numPr>
      <w:spacing w:after="120" w:line="360" w:lineRule="auto"/>
    </w:pPr>
    <w:rPr>
      <w:rFonts w:ascii="David" w:hAnsi="David"/>
      <w:color w:val="000000"/>
    </w:rPr>
  </w:style>
  <w:style w:type="character" w:customStyle="1" w:styleId="default">
    <w:name w:val="default"/>
    <w:rsid w:val="003618B7"/>
  </w:style>
  <w:style w:type="character" w:styleId="Hyperlink">
    <w:name w:val="Hyperlink"/>
    <w:rsid w:val="00D903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991513" TargetMode="External"/><Relationship Id="rId18" Type="http://schemas.openxmlformats.org/officeDocument/2006/relationships/hyperlink" Target="http://www.nevo.co.il/case/21017469" TargetMode="External"/><Relationship Id="rId26" Type="http://schemas.openxmlformats.org/officeDocument/2006/relationships/hyperlink" Target="http://www.nevo.co.il/law/4216/1" TargetMode="External"/><Relationship Id="rId3" Type="http://schemas.openxmlformats.org/officeDocument/2006/relationships/settings" Target="settings.xml"/><Relationship Id="rId21" Type="http://schemas.openxmlformats.org/officeDocument/2006/relationships/hyperlink" Target="http://www.nevo.co.il/law/70301/40d.a"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4216/36a.b" TargetMode="External"/><Relationship Id="rId17" Type="http://schemas.openxmlformats.org/officeDocument/2006/relationships/hyperlink" Target="http://www.nevo.co.il/case/18028196" TargetMode="External"/><Relationship Id="rId25" Type="http://schemas.openxmlformats.org/officeDocument/2006/relationships/hyperlink" Target="http://www.nevo.co.il/case/2809239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7411835" TargetMode="External"/><Relationship Id="rId20" Type="http://schemas.openxmlformats.org/officeDocument/2006/relationships/hyperlink" Target="http://www.nevo.co.il/case/2598693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 TargetMode="External"/><Relationship Id="rId24" Type="http://schemas.openxmlformats.org/officeDocument/2006/relationships/hyperlink" Target="http://www.nevo.co.il/law/7030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518440" TargetMode="External"/><Relationship Id="rId23" Type="http://schemas.openxmlformats.org/officeDocument/2006/relationships/hyperlink" Target="http://www.nevo.co.il/law/70301/40d"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hyperlink" Target="http://www.nevo.co.il/case/24266644"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case/27229615"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36a.b" TargetMode="External"/><Relationship Id="rId30" Type="http://schemas.openxmlformats.org/officeDocument/2006/relationships/header" Target="header2.xml"/><Relationship Id="rId8" Type="http://schemas.openxmlformats.org/officeDocument/2006/relationships/hyperlink" Target="http://www.nevo.co.il/law/70301/40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1747</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10466</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5111890</vt:i4>
      </vt:variant>
      <vt:variant>
        <vt:i4>60</vt:i4>
      </vt:variant>
      <vt:variant>
        <vt:i4>0</vt:i4>
      </vt:variant>
      <vt:variant>
        <vt:i4>5</vt:i4>
      </vt:variant>
      <vt:variant>
        <vt:lpwstr>http://www.nevo.co.il/law/4216/36a.b</vt:lpwstr>
      </vt:variant>
      <vt:variant>
        <vt:lpwstr/>
      </vt:variant>
      <vt:variant>
        <vt:i4>5177418</vt:i4>
      </vt:variant>
      <vt:variant>
        <vt:i4>57</vt:i4>
      </vt:variant>
      <vt:variant>
        <vt:i4>0</vt:i4>
      </vt:variant>
      <vt:variant>
        <vt:i4>5</vt:i4>
      </vt:variant>
      <vt:variant>
        <vt:lpwstr>http://www.nevo.co.il/law/4216/1</vt:lpwstr>
      </vt:variant>
      <vt:variant>
        <vt:lpwstr/>
      </vt:variant>
      <vt:variant>
        <vt:i4>3735670</vt:i4>
      </vt:variant>
      <vt:variant>
        <vt:i4>54</vt:i4>
      </vt:variant>
      <vt:variant>
        <vt:i4>0</vt:i4>
      </vt:variant>
      <vt:variant>
        <vt:i4>5</vt:i4>
      </vt:variant>
      <vt:variant>
        <vt:lpwstr>http://www.nevo.co.il/case/28092391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4915205</vt:i4>
      </vt:variant>
      <vt:variant>
        <vt:i4>42</vt:i4>
      </vt:variant>
      <vt:variant>
        <vt:i4>0</vt:i4>
      </vt:variant>
      <vt:variant>
        <vt:i4>5</vt:i4>
      </vt:variant>
      <vt:variant>
        <vt:lpwstr>http://www.nevo.co.il/law/70301/40d.a</vt:lpwstr>
      </vt:variant>
      <vt:variant>
        <vt:lpwstr/>
      </vt:variant>
      <vt:variant>
        <vt:i4>4063344</vt:i4>
      </vt:variant>
      <vt:variant>
        <vt:i4>39</vt:i4>
      </vt:variant>
      <vt:variant>
        <vt:i4>0</vt:i4>
      </vt:variant>
      <vt:variant>
        <vt:i4>5</vt:i4>
      </vt:variant>
      <vt:variant>
        <vt:lpwstr>http://www.nevo.co.il/case/25986938</vt:lpwstr>
      </vt:variant>
      <vt:variant>
        <vt:lpwstr/>
      </vt:variant>
      <vt:variant>
        <vt:i4>3276912</vt:i4>
      </vt:variant>
      <vt:variant>
        <vt:i4>36</vt:i4>
      </vt:variant>
      <vt:variant>
        <vt:i4>0</vt:i4>
      </vt:variant>
      <vt:variant>
        <vt:i4>5</vt:i4>
      </vt:variant>
      <vt:variant>
        <vt:lpwstr>http://www.nevo.co.il/case/24266644</vt:lpwstr>
      </vt:variant>
      <vt:variant>
        <vt:lpwstr/>
      </vt:variant>
      <vt:variant>
        <vt:i4>3342448</vt:i4>
      </vt:variant>
      <vt:variant>
        <vt:i4>33</vt:i4>
      </vt:variant>
      <vt:variant>
        <vt:i4>0</vt:i4>
      </vt:variant>
      <vt:variant>
        <vt:i4>5</vt:i4>
      </vt:variant>
      <vt:variant>
        <vt:lpwstr>http://www.nevo.co.il/case/21017469</vt:lpwstr>
      </vt:variant>
      <vt:variant>
        <vt:lpwstr/>
      </vt:variant>
      <vt:variant>
        <vt:i4>3145855</vt:i4>
      </vt:variant>
      <vt:variant>
        <vt:i4>30</vt:i4>
      </vt:variant>
      <vt:variant>
        <vt:i4>0</vt:i4>
      </vt:variant>
      <vt:variant>
        <vt:i4>5</vt:i4>
      </vt:variant>
      <vt:variant>
        <vt:lpwstr>http://www.nevo.co.il/case/18028196</vt:lpwstr>
      </vt:variant>
      <vt:variant>
        <vt:lpwstr/>
      </vt:variant>
      <vt:variant>
        <vt:i4>3407994</vt:i4>
      </vt:variant>
      <vt:variant>
        <vt:i4>27</vt:i4>
      </vt:variant>
      <vt:variant>
        <vt:i4>0</vt:i4>
      </vt:variant>
      <vt:variant>
        <vt:i4>5</vt:i4>
      </vt:variant>
      <vt:variant>
        <vt:lpwstr>http://www.nevo.co.il/case/27411835</vt:lpwstr>
      </vt:variant>
      <vt:variant>
        <vt:lpwstr/>
      </vt:variant>
      <vt:variant>
        <vt:i4>3866740</vt:i4>
      </vt:variant>
      <vt:variant>
        <vt:i4>24</vt:i4>
      </vt:variant>
      <vt:variant>
        <vt:i4>0</vt:i4>
      </vt:variant>
      <vt:variant>
        <vt:i4>5</vt:i4>
      </vt:variant>
      <vt:variant>
        <vt:lpwstr>http://www.nevo.co.il/case/25518440</vt:lpwstr>
      </vt:variant>
      <vt:variant>
        <vt:lpwstr/>
      </vt:variant>
      <vt:variant>
        <vt:i4>3670135</vt:i4>
      </vt:variant>
      <vt:variant>
        <vt:i4>21</vt:i4>
      </vt:variant>
      <vt:variant>
        <vt:i4>0</vt:i4>
      </vt:variant>
      <vt:variant>
        <vt:i4>5</vt:i4>
      </vt:variant>
      <vt:variant>
        <vt:lpwstr>http://www.nevo.co.il/case/27229615</vt:lpwstr>
      </vt:variant>
      <vt:variant>
        <vt:lpwstr/>
      </vt:variant>
      <vt:variant>
        <vt:i4>3866751</vt:i4>
      </vt:variant>
      <vt:variant>
        <vt:i4>18</vt:i4>
      </vt:variant>
      <vt:variant>
        <vt:i4>0</vt:i4>
      </vt:variant>
      <vt:variant>
        <vt:i4>5</vt:i4>
      </vt:variant>
      <vt:variant>
        <vt:lpwstr>http://www.nevo.co.il/case/27991513</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5177418</vt:i4>
      </vt:variant>
      <vt:variant>
        <vt:i4>12</vt:i4>
      </vt:variant>
      <vt:variant>
        <vt:i4>0</vt:i4>
      </vt:variant>
      <vt:variant>
        <vt:i4>5</vt:i4>
      </vt:variant>
      <vt:variant>
        <vt:lpwstr>http://www.nevo.co.il/law/4216/1</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2025-04-23T00:50:00Z</dcterms:created>
  <dcterms:modified xsi:type="dcterms:W3CDTF">2025-04-23T00:50:00Z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24379</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ליאל פדל</vt:lpwstr>
  </property>
  <property fmtid="{D5CDD505-2E9C-101B-9397-08002B2CF9AE}" pid="10" name="JUDGE">
    <vt:lpwstr>טל ענר</vt:lpwstr>
  </property>
  <property fmtid="{D5CDD505-2E9C-101B-9397-08002B2CF9AE}" pid="11" name="CITY">
    <vt:lpwstr>ראשל"צ</vt:lpwstr>
  </property>
  <property fmtid="{D5CDD505-2E9C-101B-9397-08002B2CF9AE}" pid="12" name="DATE">
    <vt:lpwstr>20230220</vt:lpwstr>
  </property>
  <property fmtid="{D5CDD505-2E9C-101B-9397-08002B2CF9AE}" pid="13" name="TYPE_N_DATE">
    <vt:lpwstr>38020230220</vt:lpwstr>
  </property>
  <property fmtid="{D5CDD505-2E9C-101B-9397-08002B2CF9AE}" pid="14" name="WORDNUMPAGES">
    <vt:lpwstr>7</vt:lpwstr>
  </property>
  <property fmtid="{D5CDD505-2E9C-101B-9397-08002B2CF9AE}" pid="15" name="TYPE_ABS_DATE">
    <vt:lpwstr>380020230220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27991513;27229615;25518440;27411835;18028196;21017469;24266644;25986938;28092391</vt:lpwstr>
  </property>
  <property fmtid="{D5CDD505-2E9C-101B-9397-08002B2CF9AE}" pid="36" name="LAWLISTTMP1">
    <vt:lpwstr>70301/040d.a;040d</vt:lpwstr>
  </property>
  <property fmtid="{D5CDD505-2E9C-101B-9397-08002B2CF9AE}" pid="37" name="LAWLISTTMP2">
    <vt:lpwstr>4216/001;036a.b</vt:lpwstr>
  </property>
</Properties>
</file>