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10"/>
        <w:gridCol w:w="2202"/>
        <w:gridCol w:w="1464"/>
        <w:gridCol w:w="99"/>
      </w:tblGrid>
      <w:tr w:rsidR="00937E40" w:rsidRPr="00C75044" w14:paraId="461A3F6E" w14:textId="77777777" w:rsidTr="007D0F92">
        <w:trPr>
          <w:gridAfter w:val="1"/>
          <w:wAfter w:w="99" w:type="dxa"/>
          <w:trHeight w:hRule="exact" w:val="418"/>
          <w:jc w:val="center"/>
        </w:trPr>
        <w:tc>
          <w:tcPr>
            <w:tcW w:w="8721" w:type="dxa"/>
            <w:gridSpan w:val="4"/>
          </w:tcPr>
          <w:p w14:paraId="64525881" w14:textId="77777777" w:rsidR="00937E40" w:rsidRPr="00C75044" w:rsidRDefault="00937E40" w:rsidP="005F4247">
            <w:pPr>
              <w:pStyle w:val="a3"/>
              <w:jc w:val="center"/>
              <w:rPr>
                <w:rFonts w:ascii="David" w:hAnsi="David"/>
                <w:b/>
                <w:bCs/>
                <w:color w:val="000080"/>
                <w:rtl/>
              </w:rPr>
            </w:pPr>
            <w:bookmarkStart w:id="0" w:name="FirstLawyer"/>
            <w:bookmarkStart w:id="1" w:name="LastJudge"/>
            <w:r w:rsidRPr="00C75044">
              <w:rPr>
                <w:rFonts w:ascii="David" w:hAnsi="David"/>
                <w:b/>
                <w:bCs/>
                <w:color w:val="000080"/>
                <w:sz w:val="28"/>
                <w:szCs w:val="28"/>
                <w:rtl/>
              </w:rPr>
              <w:t>בית משפט השלום בירושלים</w:t>
            </w:r>
          </w:p>
        </w:tc>
      </w:tr>
      <w:tr w:rsidR="00937E40" w:rsidRPr="00C75044" w14:paraId="7D18D349" w14:textId="77777777" w:rsidTr="007D0F92">
        <w:trPr>
          <w:gridAfter w:val="1"/>
          <w:wAfter w:w="99" w:type="dxa"/>
          <w:trHeight w:val="337"/>
          <w:jc w:val="center"/>
        </w:trPr>
        <w:tc>
          <w:tcPr>
            <w:tcW w:w="5055" w:type="dxa"/>
            <w:gridSpan w:val="2"/>
          </w:tcPr>
          <w:p w14:paraId="78002E62" w14:textId="77777777" w:rsidR="00937E40" w:rsidRPr="00C75044" w:rsidRDefault="00937E40" w:rsidP="005F4247">
            <w:pPr>
              <w:rPr>
                <w:rFonts w:ascii="David" w:hAnsi="David"/>
                <w:b/>
                <w:bCs/>
                <w:sz w:val="28"/>
                <w:szCs w:val="28"/>
                <w:rtl/>
              </w:rPr>
            </w:pPr>
            <w:r w:rsidRPr="00C75044">
              <w:rPr>
                <w:rFonts w:ascii="David" w:hAnsi="David"/>
                <w:b/>
                <w:bCs/>
                <w:sz w:val="28"/>
                <w:szCs w:val="28"/>
                <w:rtl/>
              </w:rPr>
              <w:t>ת"פ 26688-12-20 מדינת ישראל נ' לוינטוב</w:t>
            </w:r>
          </w:p>
          <w:p w14:paraId="3A00541F" w14:textId="77777777" w:rsidR="00937E40" w:rsidRPr="00C75044" w:rsidRDefault="00937E40" w:rsidP="005F4247">
            <w:pPr>
              <w:pStyle w:val="a3"/>
              <w:rPr>
                <w:rFonts w:ascii="David" w:hAnsi="David"/>
                <w:b/>
                <w:bCs/>
                <w:sz w:val="28"/>
                <w:szCs w:val="28"/>
                <w:rtl/>
              </w:rPr>
            </w:pPr>
          </w:p>
        </w:tc>
        <w:tc>
          <w:tcPr>
            <w:tcW w:w="3666" w:type="dxa"/>
            <w:gridSpan w:val="2"/>
          </w:tcPr>
          <w:p w14:paraId="39A8001B" w14:textId="77777777" w:rsidR="00937E40" w:rsidRPr="00C75044" w:rsidRDefault="00937E40" w:rsidP="005F4247">
            <w:pPr>
              <w:pStyle w:val="a3"/>
              <w:jc w:val="right"/>
              <w:rPr>
                <w:rFonts w:cs="FrankRuehl"/>
                <w:sz w:val="28"/>
                <w:szCs w:val="28"/>
                <w:rtl/>
              </w:rPr>
            </w:pPr>
          </w:p>
        </w:tc>
      </w:tr>
      <w:tr w:rsidR="00937E40" w:rsidRPr="00C75044" w14:paraId="6C50BFCF"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3C6EA2A9" w14:textId="77777777" w:rsidR="00937E40" w:rsidRPr="00C75044" w:rsidRDefault="00937E40" w:rsidP="00937E40">
            <w:pPr>
              <w:jc w:val="both"/>
              <w:rPr>
                <w:rFonts w:ascii="David" w:hAnsi="David"/>
                <w:b/>
                <w:bCs/>
                <w:sz w:val="28"/>
                <w:szCs w:val="28"/>
              </w:rPr>
            </w:pPr>
            <w:r w:rsidRPr="00C75044">
              <w:rPr>
                <w:rFonts w:hint="cs"/>
                <w:rtl/>
              </w:rPr>
              <w:t xml:space="preserve"> </w:t>
            </w:r>
            <w:r w:rsidRPr="00C75044">
              <w:rPr>
                <w:rFonts w:ascii="David" w:hAnsi="David"/>
                <w:b/>
                <w:bCs/>
                <w:sz w:val="28"/>
                <w:szCs w:val="28"/>
                <w:rtl/>
              </w:rPr>
              <w:t xml:space="preserve">בפני </w:t>
            </w:r>
          </w:p>
        </w:tc>
        <w:tc>
          <w:tcPr>
            <w:tcW w:w="7875" w:type="dxa"/>
            <w:gridSpan w:val="4"/>
            <w:tcBorders>
              <w:top w:val="nil"/>
              <w:left w:val="nil"/>
              <w:bottom w:val="nil"/>
              <w:right w:val="nil"/>
            </w:tcBorders>
            <w:shd w:val="clear" w:color="auto" w:fill="auto"/>
          </w:tcPr>
          <w:p w14:paraId="7B631312" w14:textId="77777777" w:rsidR="00937E40" w:rsidRPr="00C75044" w:rsidRDefault="00937E40" w:rsidP="005F4247">
            <w:pPr>
              <w:rPr>
                <w:rFonts w:ascii="David" w:hAnsi="David"/>
                <w:b/>
                <w:bCs/>
                <w:sz w:val="28"/>
                <w:szCs w:val="28"/>
                <w:rtl/>
              </w:rPr>
            </w:pPr>
            <w:r w:rsidRPr="00C75044">
              <w:rPr>
                <w:rFonts w:ascii="David" w:hAnsi="David"/>
                <w:b/>
                <w:bCs/>
                <w:sz w:val="28"/>
                <w:szCs w:val="28"/>
                <w:rtl/>
              </w:rPr>
              <w:t>כבוד השופט  דוד שאול גבאי ריכטר</w:t>
            </w:r>
          </w:p>
          <w:p w14:paraId="22DF860A" w14:textId="77777777" w:rsidR="00937E40" w:rsidRPr="00C75044" w:rsidRDefault="00937E40" w:rsidP="005F4247">
            <w:pPr>
              <w:rPr>
                <w:rFonts w:ascii="David" w:hAnsi="David"/>
                <w:b/>
                <w:bCs/>
                <w:sz w:val="28"/>
                <w:szCs w:val="28"/>
                <w:rtl/>
              </w:rPr>
            </w:pPr>
          </w:p>
          <w:p w14:paraId="7425E1B5" w14:textId="77777777" w:rsidR="00937E40" w:rsidRPr="00C75044" w:rsidRDefault="00937E40" w:rsidP="00937E40">
            <w:pPr>
              <w:jc w:val="both"/>
              <w:rPr>
                <w:rFonts w:ascii="David" w:hAnsi="David"/>
                <w:b/>
                <w:bCs/>
                <w:sz w:val="28"/>
                <w:szCs w:val="28"/>
              </w:rPr>
            </w:pPr>
          </w:p>
        </w:tc>
      </w:tr>
      <w:tr w:rsidR="00937E40" w:rsidRPr="00C75044" w14:paraId="0AD9ED59"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70DB4721" w14:textId="77777777" w:rsidR="00937E40" w:rsidRPr="00C75044" w:rsidRDefault="00937E40" w:rsidP="00937E40">
            <w:pPr>
              <w:jc w:val="both"/>
              <w:rPr>
                <w:rFonts w:ascii="David" w:hAnsi="David"/>
                <w:b/>
                <w:bCs/>
                <w:sz w:val="28"/>
                <w:szCs w:val="28"/>
              </w:rPr>
            </w:pPr>
            <w:bookmarkStart w:id="2" w:name="FirstAppellant"/>
            <w:r w:rsidRPr="00C75044">
              <w:rPr>
                <w:rFonts w:ascii="David" w:hAnsi="David"/>
                <w:b/>
                <w:bCs/>
                <w:sz w:val="28"/>
                <w:szCs w:val="28"/>
                <w:rtl/>
              </w:rPr>
              <w:t>בעניין:</w:t>
            </w:r>
          </w:p>
        </w:tc>
        <w:tc>
          <w:tcPr>
            <w:tcW w:w="6312" w:type="dxa"/>
            <w:gridSpan w:val="2"/>
            <w:tcBorders>
              <w:top w:val="nil"/>
              <w:left w:val="nil"/>
              <w:bottom w:val="nil"/>
              <w:right w:val="nil"/>
            </w:tcBorders>
            <w:shd w:val="clear" w:color="auto" w:fill="auto"/>
          </w:tcPr>
          <w:p w14:paraId="2744C296" w14:textId="77777777" w:rsidR="00937E40" w:rsidRPr="00C75044" w:rsidRDefault="00937E40" w:rsidP="005F4247">
            <w:pPr>
              <w:rPr>
                <w:rFonts w:ascii="David" w:hAnsi="David"/>
                <w:b/>
                <w:bCs/>
                <w:sz w:val="28"/>
                <w:szCs w:val="28"/>
              </w:rPr>
            </w:pPr>
            <w:r w:rsidRPr="00C75044">
              <w:rPr>
                <w:rFonts w:ascii="David" w:hAnsi="David"/>
                <w:b/>
                <w:bCs/>
                <w:sz w:val="28"/>
                <w:szCs w:val="28"/>
                <w:rtl/>
              </w:rPr>
              <w:t>מדינת ישראל</w:t>
            </w:r>
            <w:r w:rsidRPr="00C75044">
              <w:rPr>
                <w:rFonts w:ascii="David" w:hAnsi="David"/>
                <w:b/>
                <w:bCs/>
                <w:sz w:val="28"/>
                <w:szCs w:val="28"/>
                <w:rtl/>
              </w:rPr>
              <w:br/>
              <w:t xml:space="preserve">ע"י </w:t>
            </w:r>
            <w:r w:rsidRPr="00C75044">
              <w:rPr>
                <w:rFonts w:ascii="David" w:hAnsi="David" w:hint="cs"/>
                <w:b/>
                <w:bCs/>
                <w:sz w:val="28"/>
                <w:szCs w:val="28"/>
                <w:rtl/>
              </w:rPr>
              <w:t xml:space="preserve">עו"ד מאיר לוברבאום ועו"ד רונית ישי </w:t>
            </w:r>
            <w:r w:rsidRPr="00C75044">
              <w:rPr>
                <w:rFonts w:ascii="David" w:hAnsi="David"/>
                <w:b/>
                <w:bCs/>
                <w:sz w:val="28"/>
                <w:szCs w:val="28"/>
                <w:rtl/>
              </w:rPr>
              <w:t>תביעות ירושלים</w:t>
            </w:r>
          </w:p>
        </w:tc>
        <w:tc>
          <w:tcPr>
            <w:tcW w:w="1563" w:type="dxa"/>
            <w:gridSpan w:val="2"/>
            <w:tcBorders>
              <w:top w:val="nil"/>
              <w:left w:val="nil"/>
              <w:bottom w:val="nil"/>
              <w:right w:val="nil"/>
            </w:tcBorders>
            <w:shd w:val="clear" w:color="auto" w:fill="auto"/>
          </w:tcPr>
          <w:p w14:paraId="13E9C93D" w14:textId="77777777" w:rsidR="00937E40" w:rsidRPr="00C75044" w:rsidRDefault="00937E40" w:rsidP="00937E40">
            <w:pPr>
              <w:jc w:val="both"/>
              <w:rPr>
                <w:rFonts w:ascii="David" w:hAnsi="David"/>
                <w:b/>
                <w:bCs/>
                <w:sz w:val="28"/>
                <w:szCs w:val="28"/>
              </w:rPr>
            </w:pPr>
          </w:p>
        </w:tc>
      </w:tr>
      <w:bookmarkEnd w:id="2"/>
      <w:tr w:rsidR="00937E40" w:rsidRPr="00C75044" w14:paraId="17F2A010"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5732E0C" w14:textId="77777777" w:rsidR="00937E40" w:rsidRPr="00C75044" w:rsidRDefault="00937E40" w:rsidP="00937E40">
            <w:pPr>
              <w:jc w:val="both"/>
              <w:rPr>
                <w:rFonts w:ascii="David" w:hAnsi="David"/>
                <w:b/>
                <w:bCs/>
                <w:sz w:val="28"/>
                <w:szCs w:val="28"/>
                <w:rtl/>
              </w:rPr>
            </w:pPr>
          </w:p>
        </w:tc>
        <w:tc>
          <w:tcPr>
            <w:tcW w:w="6312" w:type="dxa"/>
            <w:gridSpan w:val="2"/>
            <w:tcBorders>
              <w:top w:val="nil"/>
              <w:left w:val="nil"/>
              <w:bottom w:val="nil"/>
              <w:right w:val="nil"/>
            </w:tcBorders>
            <w:shd w:val="clear" w:color="auto" w:fill="auto"/>
          </w:tcPr>
          <w:p w14:paraId="0EBA5D7A" w14:textId="77777777" w:rsidR="00937E40" w:rsidRPr="00C75044" w:rsidRDefault="00937E40" w:rsidP="00937E40">
            <w:pPr>
              <w:jc w:val="both"/>
              <w:rPr>
                <w:rFonts w:ascii="David" w:hAnsi="David"/>
                <w:b/>
                <w:bCs/>
                <w:sz w:val="28"/>
                <w:szCs w:val="28"/>
                <w:rtl/>
              </w:rPr>
            </w:pPr>
          </w:p>
        </w:tc>
        <w:tc>
          <w:tcPr>
            <w:tcW w:w="1563" w:type="dxa"/>
            <w:gridSpan w:val="2"/>
            <w:tcBorders>
              <w:top w:val="nil"/>
              <w:left w:val="nil"/>
              <w:bottom w:val="nil"/>
              <w:right w:val="nil"/>
            </w:tcBorders>
            <w:shd w:val="clear" w:color="auto" w:fill="auto"/>
          </w:tcPr>
          <w:p w14:paraId="1EA0C001" w14:textId="77777777" w:rsidR="00937E40" w:rsidRPr="00C75044" w:rsidRDefault="00937E40" w:rsidP="00937E40">
            <w:pPr>
              <w:jc w:val="right"/>
              <w:rPr>
                <w:rFonts w:ascii="David" w:hAnsi="David"/>
                <w:b/>
                <w:bCs/>
                <w:sz w:val="28"/>
                <w:szCs w:val="28"/>
                <w:rtl/>
              </w:rPr>
            </w:pPr>
            <w:r w:rsidRPr="00C75044">
              <w:rPr>
                <w:rFonts w:ascii="David" w:hAnsi="David"/>
                <w:b/>
                <w:bCs/>
                <w:sz w:val="28"/>
                <w:szCs w:val="28"/>
                <w:rtl/>
              </w:rPr>
              <w:t>המאשימה</w:t>
            </w:r>
          </w:p>
        </w:tc>
      </w:tr>
      <w:tr w:rsidR="00937E40" w:rsidRPr="00C75044" w14:paraId="523AD627"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51F3340B" w14:textId="77777777" w:rsidR="00937E40" w:rsidRPr="00C75044" w:rsidRDefault="00937E40" w:rsidP="00937E40">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7A20669B" w14:textId="77777777" w:rsidR="00937E40" w:rsidRPr="00C75044" w:rsidRDefault="00937E40" w:rsidP="00937E40">
            <w:pPr>
              <w:jc w:val="center"/>
              <w:rPr>
                <w:rFonts w:ascii="David" w:hAnsi="David"/>
                <w:b/>
                <w:bCs/>
                <w:sz w:val="28"/>
                <w:szCs w:val="28"/>
                <w:rtl/>
              </w:rPr>
            </w:pPr>
          </w:p>
          <w:p w14:paraId="480D35A1" w14:textId="77777777" w:rsidR="00937E40" w:rsidRPr="00C75044" w:rsidRDefault="00937E40" w:rsidP="00937E40">
            <w:pPr>
              <w:jc w:val="center"/>
              <w:rPr>
                <w:rFonts w:ascii="David" w:hAnsi="David"/>
                <w:b/>
                <w:bCs/>
                <w:sz w:val="28"/>
                <w:szCs w:val="28"/>
                <w:rtl/>
              </w:rPr>
            </w:pPr>
            <w:r w:rsidRPr="00C75044">
              <w:rPr>
                <w:rFonts w:ascii="David" w:hAnsi="David"/>
                <w:b/>
                <w:bCs/>
                <w:sz w:val="28"/>
                <w:szCs w:val="28"/>
                <w:rtl/>
              </w:rPr>
              <w:t>נגד</w:t>
            </w:r>
          </w:p>
          <w:p w14:paraId="3DCF3BED" w14:textId="77777777" w:rsidR="00937E40" w:rsidRPr="00C75044" w:rsidRDefault="00937E40" w:rsidP="00937E40">
            <w:pPr>
              <w:jc w:val="both"/>
              <w:rPr>
                <w:rFonts w:ascii="David" w:hAnsi="David"/>
                <w:b/>
                <w:bCs/>
                <w:sz w:val="28"/>
                <w:szCs w:val="28"/>
              </w:rPr>
            </w:pPr>
          </w:p>
        </w:tc>
      </w:tr>
      <w:tr w:rsidR="00937E40" w:rsidRPr="00C75044" w14:paraId="3011A906"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63674F4" w14:textId="77777777" w:rsidR="00937E40" w:rsidRPr="00C75044" w:rsidRDefault="00937E40" w:rsidP="005F4247">
            <w:pPr>
              <w:rPr>
                <w:rFonts w:ascii="David" w:hAnsi="David"/>
                <w:b/>
                <w:bCs/>
                <w:sz w:val="28"/>
                <w:szCs w:val="28"/>
                <w:rtl/>
              </w:rPr>
            </w:pPr>
          </w:p>
        </w:tc>
        <w:tc>
          <w:tcPr>
            <w:tcW w:w="6312" w:type="dxa"/>
            <w:gridSpan w:val="2"/>
            <w:tcBorders>
              <w:top w:val="nil"/>
              <w:left w:val="nil"/>
              <w:bottom w:val="nil"/>
              <w:right w:val="nil"/>
            </w:tcBorders>
            <w:shd w:val="clear" w:color="auto" w:fill="auto"/>
          </w:tcPr>
          <w:p w14:paraId="623185DC" w14:textId="77777777" w:rsidR="00937E40" w:rsidRPr="00C75044" w:rsidRDefault="00937E40" w:rsidP="005F4247">
            <w:pPr>
              <w:rPr>
                <w:rFonts w:ascii="David" w:hAnsi="David"/>
                <w:b/>
                <w:bCs/>
                <w:sz w:val="28"/>
                <w:szCs w:val="28"/>
                <w:rtl/>
              </w:rPr>
            </w:pPr>
            <w:r w:rsidRPr="00C75044">
              <w:rPr>
                <w:rFonts w:ascii="David" w:hAnsi="David"/>
                <w:b/>
                <w:bCs/>
                <w:sz w:val="28"/>
                <w:szCs w:val="28"/>
                <w:rtl/>
              </w:rPr>
              <w:t xml:space="preserve">יצחק לוינטוב </w:t>
            </w:r>
            <w:r w:rsidRPr="00C75044">
              <w:rPr>
                <w:rFonts w:ascii="David" w:hAnsi="David"/>
                <w:b/>
                <w:bCs/>
                <w:sz w:val="28"/>
                <w:szCs w:val="28"/>
                <w:rtl/>
              </w:rPr>
              <w:br/>
              <w:t>ע"י ב"כ עוה"ד גבי טרונישווילי</w:t>
            </w:r>
          </w:p>
        </w:tc>
        <w:tc>
          <w:tcPr>
            <w:tcW w:w="1563" w:type="dxa"/>
            <w:gridSpan w:val="2"/>
            <w:tcBorders>
              <w:top w:val="nil"/>
              <w:left w:val="nil"/>
              <w:bottom w:val="nil"/>
              <w:right w:val="nil"/>
            </w:tcBorders>
            <w:shd w:val="clear" w:color="auto" w:fill="auto"/>
          </w:tcPr>
          <w:p w14:paraId="20E9453B" w14:textId="77777777" w:rsidR="00937E40" w:rsidRPr="00C75044" w:rsidRDefault="00937E40" w:rsidP="00937E40">
            <w:pPr>
              <w:jc w:val="right"/>
              <w:rPr>
                <w:rFonts w:ascii="David" w:hAnsi="David"/>
                <w:b/>
                <w:bCs/>
                <w:sz w:val="28"/>
                <w:szCs w:val="28"/>
              </w:rPr>
            </w:pPr>
          </w:p>
        </w:tc>
      </w:tr>
      <w:tr w:rsidR="00937E40" w:rsidRPr="00C75044" w14:paraId="4602907F" w14:textId="77777777" w:rsidTr="007D0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08E14B0" w14:textId="77777777" w:rsidR="00937E40" w:rsidRPr="00C75044" w:rsidRDefault="00937E40" w:rsidP="00937E40">
            <w:pPr>
              <w:jc w:val="both"/>
              <w:rPr>
                <w:rFonts w:ascii="David" w:hAnsi="David"/>
                <w:b/>
                <w:bCs/>
                <w:sz w:val="28"/>
                <w:szCs w:val="28"/>
                <w:rtl/>
              </w:rPr>
            </w:pPr>
          </w:p>
        </w:tc>
        <w:tc>
          <w:tcPr>
            <w:tcW w:w="6312" w:type="dxa"/>
            <w:gridSpan w:val="2"/>
            <w:tcBorders>
              <w:top w:val="nil"/>
              <w:left w:val="nil"/>
              <w:bottom w:val="nil"/>
              <w:right w:val="nil"/>
            </w:tcBorders>
            <w:shd w:val="clear" w:color="auto" w:fill="auto"/>
          </w:tcPr>
          <w:p w14:paraId="55BC5EAE" w14:textId="77777777" w:rsidR="00937E40" w:rsidRPr="00C75044" w:rsidRDefault="00937E40" w:rsidP="00937E40">
            <w:pPr>
              <w:jc w:val="both"/>
              <w:rPr>
                <w:rFonts w:ascii="David" w:hAnsi="David"/>
                <w:b/>
                <w:bCs/>
                <w:sz w:val="28"/>
                <w:szCs w:val="28"/>
                <w:rtl/>
              </w:rPr>
            </w:pPr>
          </w:p>
        </w:tc>
        <w:tc>
          <w:tcPr>
            <w:tcW w:w="1563" w:type="dxa"/>
            <w:gridSpan w:val="2"/>
            <w:tcBorders>
              <w:top w:val="nil"/>
              <w:left w:val="nil"/>
              <w:bottom w:val="nil"/>
              <w:right w:val="nil"/>
            </w:tcBorders>
            <w:shd w:val="clear" w:color="auto" w:fill="auto"/>
          </w:tcPr>
          <w:p w14:paraId="368922A3" w14:textId="77777777" w:rsidR="00937E40" w:rsidRPr="00C75044" w:rsidRDefault="00937E40" w:rsidP="00937E40">
            <w:pPr>
              <w:jc w:val="right"/>
              <w:rPr>
                <w:rFonts w:ascii="David" w:hAnsi="David"/>
                <w:b/>
                <w:bCs/>
                <w:sz w:val="28"/>
                <w:szCs w:val="28"/>
              </w:rPr>
            </w:pPr>
            <w:r w:rsidRPr="00C75044">
              <w:rPr>
                <w:rFonts w:ascii="David" w:hAnsi="David"/>
                <w:b/>
                <w:bCs/>
                <w:sz w:val="28"/>
                <w:szCs w:val="28"/>
                <w:rtl/>
              </w:rPr>
              <w:t>הנאשם</w:t>
            </w:r>
          </w:p>
        </w:tc>
      </w:tr>
    </w:tbl>
    <w:p w14:paraId="6B6E2456" w14:textId="77777777" w:rsidR="007D0F92" w:rsidRDefault="007D0F92" w:rsidP="00C75044">
      <w:pPr>
        <w:rPr>
          <w:rFonts w:ascii="FrankRuehl" w:hAnsi="FrankRuehl" w:cs="FrankRuehl"/>
          <w:sz w:val="28"/>
          <w:szCs w:val="28"/>
          <w:rtl/>
        </w:rPr>
      </w:pPr>
    </w:p>
    <w:p w14:paraId="7B74ED07" w14:textId="77777777" w:rsidR="007D0F92" w:rsidRPr="007D0F92" w:rsidRDefault="007D0F92" w:rsidP="007D0F92">
      <w:pPr>
        <w:spacing w:after="120" w:line="240" w:lineRule="exact"/>
        <w:ind w:left="283" w:hanging="283"/>
        <w:jc w:val="both"/>
        <w:rPr>
          <w:rFonts w:ascii="FrankRuehl" w:hAnsi="FrankRuehl" w:cs="FrankRuehl"/>
          <w:rtl/>
        </w:rPr>
      </w:pPr>
    </w:p>
    <w:p w14:paraId="4FB61410" w14:textId="77777777" w:rsidR="001B5A89" w:rsidRPr="001B5A89" w:rsidRDefault="001B5A89" w:rsidP="001B5A89">
      <w:pPr>
        <w:spacing w:before="120" w:after="120" w:line="240" w:lineRule="exact"/>
        <w:ind w:left="283" w:hanging="283"/>
        <w:jc w:val="both"/>
        <w:rPr>
          <w:rFonts w:ascii="FrankRuehl" w:hAnsi="FrankRuehl" w:cs="FrankRuehl"/>
          <w:rtl/>
        </w:rPr>
      </w:pPr>
    </w:p>
    <w:p w14:paraId="172C80A8" w14:textId="77777777" w:rsidR="00FC5C01" w:rsidRDefault="00FC5C01" w:rsidP="00FC5C01">
      <w:pPr>
        <w:rPr>
          <w:rFonts w:ascii="FrankRuehl" w:hAnsi="FrankRuehl" w:cs="FrankRuehl"/>
          <w:sz w:val="28"/>
          <w:szCs w:val="28"/>
          <w:rtl/>
        </w:rPr>
      </w:pPr>
      <w:bookmarkStart w:id="3" w:name="LawTable"/>
      <w:bookmarkEnd w:id="3"/>
    </w:p>
    <w:p w14:paraId="21507484" w14:textId="77777777" w:rsidR="00FC5C01" w:rsidRPr="00FC5C01" w:rsidRDefault="00FC5C01" w:rsidP="00FC5C01">
      <w:pPr>
        <w:spacing w:before="120" w:after="120" w:line="240" w:lineRule="exact"/>
        <w:ind w:left="283" w:hanging="283"/>
        <w:jc w:val="both"/>
        <w:rPr>
          <w:rFonts w:ascii="FrankRuehl" w:hAnsi="FrankRuehl" w:cs="FrankRuehl"/>
          <w:rtl/>
        </w:rPr>
      </w:pPr>
    </w:p>
    <w:p w14:paraId="2692AA5F" w14:textId="77777777" w:rsidR="00FC5C01" w:rsidRPr="00FC5C01" w:rsidRDefault="00FC5C01" w:rsidP="00FC5C01">
      <w:pPr>
        <w:spacing w:before="120" w:after="120" w:line="240" w:lineRule="exact"/>
        <w:ind w:left="283" w:hanging="283"/>
        <w:jc w:val="both"/>
        <w:rPr>
          <w:rFonts w:ascii="FrankRuehl" w:hAnsi="FrankRuehl" w:cs="FrankRuehl"/>
          <w:rtl/>
        </w:rPr>
      </w:pPr>
    </w:p>
    <w:p w14:paraId="639EBDC0" w14:textId="77777777" w:rsidR="00FC5C01" w:rsidRPr="00FC5C01" w:rsidRDefault="00FC5C01" w:rsidP="00FC5C01">
      <w:pPr>
        <w:spacing w:before="120" w:after="120" w:line="240" w:lineRule="exact"/>
        <w:ind w:left="283" w:hanging="283"/>
        <w:jc w:val="both"/>
        <w:rPr>
          <w:rFonts w:ascii="FrankRuehl" w:hAnsi="FrankRuehl" w:cs="FrankRuehl"/>
          <w:rtl/>
        </w:rPr>
      </w:pPr>
      <w:r w:rsidRPr="00FC5C01">
        <w:rPr>
          <w:rFonts w:ascii="FrankRuehl" w:hAnsi="FrankRuehl" w:cs="FrankRuehl"/>
          <w:rtl/>
        </w:rPr>
        <w:t xml:space="preserve">חקיקה שאוזכרה: </w:t>
      </w:r>
    </w:p>
    <w:p w14:paraId="5BE25447" w14:textId="77777777" w:rsidR="00FC5C01" w:rsidRPr="00FC5C01" w:rsidRDefault="00FC5C01" w:rsidP="00FC5C01">
      <w:pPr>
        <w:spacing w:before="120" w:after="120" w:line="240" w:lineRule="exact"/>
        <w:ind w:left="283" w:hanging="283"/>
        <w:jc w:val="both"/>
        <w:rPr>
          <w:rFonts w:ascii="FrankRuehl" w:hAnsi="FrankRuehl" w:cs="FrankRuehl"/>
          <w:rtl/>
        </w:rPr>
      </w:pPr>
      <w:hyperlink r:id="rId7" w:history="1">
        <w:r w:rsidRPr="00FC5C01">
          <w:rPr>
            <w:rFonts w:ascii="FrankRuehl" w:hAnsi="FrankRuehl" w:cs="FrankRuehl"/>
            <w:color w:val="0000FF"/>
            <w:rtl/>
          </w:rPr>
          <w:t>חוק העונשין, תשל"ז-1977</w:t>
        </w:r>
      </w:hyperlink>
      <w:r w:rsidRPr="00FC5C01">
        <w:rPr>
          <w:rFonts w:ascii="FrankRuehl" w:hAnsi="FrankRuehl" w:cs="FrankRuehl"/>
          <w:rtl/>
        </w:rPr>
        <w:t xml:space="preserve">: סע'  </w:t>
      </w:r>
      <w:hyperlink r:id="rId8" w:history="1">
        <w:r w:rsidRPr="00FC5C01">
          <w:rPr>
            <w:rFonts w:ascii="FrankRuehl" w:hAnsi="FrankRuehl" w:cs="FrankRuehl"/>
            <w:color w:val="0000FF"/>
            <w:rtl/>
          </w:rPr>
          <w:t>29(א)</w:t>
        </w:r>
      </w:hyperlink>
      <w:r w:rsidRPr="00FC5C01">
        <w:rPr>
          <w:rFonts w:ascii="FrankRuehl" w:hAnsi="FrankRuehl" w:cs="FrankRuehl"/>
          <w:rtl/>
        </w:rPr>
        <w:t xml:space="preserve">, </w:t>
      </w:r>
      <w:hyperlink r:id="rId9" w:history="1">
        <w:r w:rsidRPr="00FC5C01">
          <w:rPr>
            <w:rFonts w:ascii="FrankRuehl" w:hAnsi="FrankRuehl" w:cs="FrankRuehl"/>
            <w:color w:val="0000FF"/>
            <w:rtl/>
          </w:rPr>
          <w:t>40ט'</w:t>
        </w:r>
      </w:hyperlink>
      <w:r w:rsidRPr="00FC5C01">
        <w:rPr>
          <w:rFonts w:ascii="FrankRuehl" w:hAnsi="FrankRuehl" w:cs="FrankRuehl"/>
          <w:rtl/>
        </w:rPr>
        <w:t xml:space="preserve">, </w:t>
      </w:r>
      <w:hyperlink r:id="rId10" w:history="1">
        <w:r w:rsidRPr="00FC5C01">
          <w:rPr>
            <w:rFonts w:ascii="FrankRuehl" w:hAnsi="FrankRuehl" w:cs="FrankRuehl"/>
            <w:color w:val="0000FF"/>
            <w:rtl/>
          </w:rPr>
          <w:t>40יא</w:t>
        </w:r>
      </w:hyperlink>
      <w:r w:rsidRPr="00FC5C01">
        <w:rPr>
          <w:rFonts w:ascii="FrankRuehl" w:hAnsi="FrankRuehl" w:cs="FrankRuehl"/>
          <w:rtl/>
        </w:rPr>
        <w:t xml:space="preserve">, </w:t>
      </w:r>
      <w:hyperlink r:id="rId11" w:history="1">
        <w:r w:rsidRPr="00FC5C01">
          <w:rPr>
            <w:rFonts w:ascii="FrankRuehl" w:hAnsi="FrankRuehl" w:cs="FrankRuehl"/>
            <w:color w:val="0000FF"/>
            <w:rtl/>
          </w:rPr>
          <w:t>499(א)(1)</w:t>
        </w:r>
      </w:hyperlink>
    </w:p>
    <w:p w14:paraId="14C8065B" w14:textId="77777777" w:rsidR="00FC5C01" w:rsidRPr="00FC5C01" w:rsidRDefault="00FC5C01" w:rsidP="00FC5C01">
      <w:pPr>
        <w:spacing w:before="120" w:after="120" w:line="240" w:lineRule="exact"/>
        <w:ind w:left="283" w:hanging="283"/>
        <w:jc w:val="both"/>
        <w:rPr>
          <w:rFonts w:ascii="FrankRuehl" w:hAnsi="FrankRuehl" w:cs="FrankRuehl"/>
          <w:rtl/>
        </w:rPr>
      </w:pPr>
      <w:hyperlink r:id="rId12" w:history="1">
        <w:r w:rsidRPr="00FC5C01">
          <w:rPr>
            <w:rFonts w:ascii="FrankRuehl" w:hAnsi="FrankRuehl" w:cs="FrankRuehl"/>
            <w:color w:val="0000FF"/>
            <w:rtl/>
          </w:rPr>
          <w:t>פקודת הסמים המסוכנים [נוסח חדש], תשל"ג-1973</w:t>
        </w:r>
      </w:hyperlink>
      <w:r w:rsidRPr="00FC5C01">
        <w:rPr>
          <w:rFonts w:ascii="FrankRuehl" w:hAnsi="FrankRuehl" w:cs="FrankRuehl"/>
          <w:rtl/>
        </w:rPr>
        <w:t xml:space="preserve">: סע'  </w:t>
      </w:r>
      <w:hyperlink r:id="rId13" w:history="1">
        <w:r w:rsidRPr="00FC5C01">
          <w:rPr>
            <w:rFonts w:ascii="FrankRuehl" w:hAnsi="FrankRuehl" w:cs="FrankRuehl"/>
            <w:color w:val="0000FF"/>
            <w:rtl/>
          </w:rPr>
          <w:t>.13.א</w:t>
        </w:r>
      </w:hyperlink>
      <w:r w:rsidRPr="00FC5C01">
        <w:rPr>
          <w:rFonts w:ascii="FrankRuehl" w:hAnsi="FrankRuehl" w:cs="FrankRuehl"/>
          <w:rtl/>
        </w:rPr>
        <w:t xml:space="preserve">, </w:t>
      </w:r>
      <w:hyperlink r:id="rId14" w:history="1">
        <w:r w:rsidRPr="00FC5C01">
          <w:rPr>
            <w:rFonts w:ascii="FrankRuehl" w:hAnsi="FrankRuehl" w:cs="FrankRuehl"/>
            <w:color w:val="0000FF"/>
            <w:rtl/>
          </w:rPr>
          <w:t>13</w:t>
        </w:r>
      </w:hyperlink>
      <w:r w:rsidRPr="00FC5C01">
        <w:rPr>
          <w:rFonts w:ascii="FrankRuehl" w:hAnsi="FrankRuehl" w:cs="FrankRuehl"/>
          <w:rtl/>
        </w:rPr>
        <w:t xml:space="preserve">, </w:t>
      </w:r>
      <w:hyperlink r:id="rId15" w:history="1">
        <w:r w:rsidRPr="00FC5C01">
          <w:rPr>
            <w:rFonts w:ascii="FrankRuehl" w:hAnsi="FrankRuehl" w:cs="FrankRuehl"/>
            <w:color w:val="0000FF"/>
            <w:rtl/>
          </w:rPr>
          <w:t>13.א</w:t>
        </w:r>
      </w:hyperlink>
      <w:r w:rsidRPr="00FC5C01">
        <w:rPr>
          <w:rFonts w:ascii="FrankRuehl" w:hAnsi="FrankRuehl" w:cs="FrankRuehl"/>
          <w:rtl/>
        </w:rPr>
        <w:t xml:space="preserve">, </w:t>
      </w:r>
      <w:hyperlink r:id="rId16" w:history="1">
        <w:r w:rsidRPr="00FC5C01">
          <w:rPr>
            <w:rFonts w:ascii="FrankRuehl" w:hAnsi="FrankRuehl" w:cs="FrankRuehl"/>
            <w:color w:val="0000FF"/>
            <w:rtl/>
          </w:rPr>
          <w:t>19</w:t>
        </w:r>
      </w:hyperlink>
      <w:r w:rsidRPr="00FC5C01">
        <w:rPr>
          <w:rFonts w:ascii="FrankRuehl" w:hAnsi="FrankRuehl" w:cs="FrankRuehl"/>
          <w:rtl/>
        </w:rPr>
        <w:t xml:space="preserve">, </w:t>
      </w:r>
      <w:hyperlink r:id="rId17" w:history="1">
        <w:r w:rsidRPr="00FC5C01">
          <w:rPr>
            <w:rFonts w:ascii="FrankRuehl" w:hAnsi="FrankRuehl" w:cs="FrankRuehl"/>
            <w:color w:val="0000FF"/>
            <w:rtl/>
          </w:rPr>
          <w:t>19.א</w:t>
        </w:r>
      </w:hyperlink>
    </w:p>
    <w:p w14:paraId="58A88D60" w14:textId="77777777" w:rsidR="00FC5C01" w:rsidRPr="00FC5C01" w:rsidRDefault="00FC5C01" w:rsidP="00FC5C01">
      <w:pPr>
        <w:rPr>
          <w:rFonts w:ascii="FrankRuehl" w:hAnsi="FrankRuehl" w:cs="FrankRuehl"/>
          <w:sz w:val="28"/>
          <w:szCs w:val="28"/>
          <w:rtl/>
        </w:rPr>
      </w:pPr>
      <w:bookmarkStart w:id="4" w:name="LawTable_End"/>
      <w:bookmarkEnd w:id="4"/>
    </w:p>
    <w:p w14:paraId="55447E2E" w14:textId="77777777" w:rsidR="00937E40" w:rsidRPr="001B5A89" w:rsidRDefault="00937E40" w:rsidP="001B5A89">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E40" w:rsidRPr="008D1B1C" w14:paraId="0AFEE717" w14:textId="77777777" w:rsidTr="00937E40">
        <w:trPr>
          <w:trHeight w:val="355"/>
          <w:jc w:val="center"/>
        </w:trPr>
        <w:tc>
          <w:tcPr>
            <w:tcW w:w="8820" w:type="dxa"/>
            <w:tcBorders>
              <w:top w:val="nil"/>
              <w:left w:val="nil"/>
              <w:bottom w:val="nil"/>
              <w:right w:val="nil"/>
            </w:tcBorders>
            <w:shd w:val="clear" w:color="auto" w:fill="auto"/>
          </w:tcPr>
          <w:p w14:paraId="3FA9908A" w14:textId="77777777" w:rsidR="00C75044" w:rsidRPr="00C75044" w:rsidRDefault="00C75044" w:rsidP="00C75044">
            <w:pPr>
              <w:jc w:val="center"/>
              <w:rPr>
                <w:rFonts w:ascii="FrankRuehl" w:hAnsi="FrankRuehl" w:cs="FrankRuehl"/>
                <w:b/>
                <w:bCs/>
                <w:sz w:val="32"/>
                <w:szCs w:val="32"/>
                <w:u w:val="single"/>
                <w:rtl/>
              </w:rPr>
            </w:pPr>
            <w:bookmarkStart w:id="5" w:name="PsakDin" w:colFirst="0" w:colLast="0"/>
            <w:bookmarkEnd w:id="0"/>
            <w:bookmarkEnd w:id="1"/>
            <w:r w:rsidRPr="00C75044">
              <w:rPr>
                <w:rFonts w:ascii="FrankRuehl" w:hAnsi="FrankRuehl" w:cs="FrankRuehl"/>
                <w:b/>
                <w:bCs/>
                <w:sz w:val="32"/>
                <w:szCs w:val="32"/>
                <w:u w:val="single"/>
                <w:rtl/>
              </w:rPr>
              <w:t>גזר דין</w:t>
            </w:r>
          </w:p>
          <w:p w14:paraId="671AD233" w14:textId="77777777" w:rsidR="00937E40" w:rsidRPr="00C75044" w:rsidRDefault="00937E40" w:rsidP="00C75044">
            <w:pPr>
              <w:jc w:val="center"/>
              <w:rPr>
                <w:rFonts w:ascii="FrankRuehl" w:hAnsi="FrankRuehl" w:cs="FrankRuehl"/>
                <w:b/>
                <w:bCs/>
                <w:sz w:val="32"/>
                <w:szCs w:val="32"/>
                <w:u w:val="single"/>
                <w:rtl/>
              </w:rPr>
            </w:pPr>
          </w:p>
        </w:tc>
      </w:tr>
      <w:bookmarkEnd w:id="5"/>
    </w:tbl>
    <w:p w14:paraId="6FF41ACB" w14:textId="77777777" w:rsidR="00937E40" w:rsidRPr="002B7D23" w:rsidRDefault="00937E40" w:rsidP="00937E40">
      <w:pPr>
        <w:rPr>
          <w:rFonts w:ascii="David" w:hAnsi="David"/>
          <w:sz w:val="26"/>
          <w:szCs w:val="26"/>
          <w:rtl/>
        </w:rPr>
      </w:pPr>
    </w:p>
    <w:p w14:paraId="02B4DBDB" w14:textId="77777777" w:rsidR="00937E40" w:rsidRPr="004C213B" w:rsidRDefault="00937E40" w:rsidP="00937E40">
      <w:pPr>
        <w:spacing w:line="360" w:lineRule="auto"/>
        <w:rPr>
          <w:rFonts w:ascii="David" w:hAnsi="David"/>
          <w:b/>
          <w:bCs/>
          <w:sz w:val="26"/>
          <w:szCs w:val="26"/>
          <w:u w:val="single"/>
        </w:rPr>
      </w:pPr>
      <w:r w:rsidRPr="004C213B">
        <w:rPr>
          <w:rFonts w:ascii="David" w:hAnsi="David"/>
          <w:b/>
          <w:bCs/>
          <w:sz w:val="26"/>
          <w:szCs w:val="26"/>
          <w:u w:val="single"/>
          <w:rtl/>
        </w:rPr>
        <w:t xml:space="preserve">כתב האישום המתוקן </w:t>
      </w:r>
    </w:p>
    <w:p w14:paraId="6F6308A5" w14:textId="77777777" w:rsidR="00937E40" w:rsidRPr="004C213B" w:rsidRDefault="00937E40" w:rsidP="00937E40">
      <w:pPr>
        <w:spacing w:line="360" w:lineRule="auto"/>
        <w:jc w:val="both"/>
        <w:rPr>
          <w:rFonts w:ascii="David" w:hAnsi="David"/>
          <w:sz w:val="26"/>
          <w:szCs w:val="26"/>
          <w:rtl/>
        </w:rPr>
      </w:pPr>
      <w:bookmarkStart w:id="6" w:name="ABSTRACT_START"/>
      <w:bookmarkEnd w:id="6"/>
      <w:r w:rsidRPr="004C213B">
        <w:rPr>
          <w:rFonts w:ascii="David" w:hAnsi="David"/>
          <w:sz w:val="26"/>
          <w:szCs w:val="26"/>
          <w:rtl/>
        </w:rPr>
        <w:t xml:space="preserve">מהחלק הכללי של כתב האישום, עולה כי במועד שאינו ידוע במדויק בחודש ספטמבר 2020 קשרו הנאשם וע"א למכור סמים, תוך שימוש ביישומון טלגרם. ע"א היה הדומיננטי מבין השניים בפרסום מרכולתם, והוא שסיפק לנאשם סמים ומועדים לאספקתם לקונים. השניים סיכמו על חלוקת רווחים ביניהם בעקבות ביצוע העסקאות. </w:t>
      </w:r>
    </w:p>
    <w:p w14:paraId="454F829A" w14:textId="77777777" w:rsidR="00937E40" w:rsidRPr="004C213B" w:rsidRDefault="00937E40" w:rsidP="00937E40">
      <w:pPr>
        <w:spacing w:line="360" w:lineRule="auto"/>
        <w:jc w:val="both"/>
        <w:rPr>
          <w:rFonts w:ascii="David" w:hAnsi="David"/>
          <w:b/>
          <w:bCs/>
          <w:sz w:val="26"/>
          <w:szCs w:val="26"/>
          <w:rtl/>
        </w:rPr>
      </w:pPr>
      <w:bookmarkStart w:id="7" w:name="ABSTRACT_END"/>
      <w:bookmarkEnd w:id="7"/>
    </w:p>
    <w:p w14:paraId="165224A4"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t>על פי עובדות האישום הראשון</w:t>
      </w:r>
      <w:r w:rsidRPr="004C213B">
        <w:rPr>
          <w:rFonts w:ascii="David" w:hAnsi="David"/>
          <w:sz w:val="26"/>
          <w:szCs w:val="26"/>
          <w:rtl/>
        </w:rPr>
        <w:t xml:space="preserve">, ביום 16.11.2020, בשעות הצהריים, פנה ס"ג לע"א באמצעות הטלגרם וביקש לרכוש גרם של קנבוס תמורת 100 ₪. בהמשך לכך, ע"א יצר קשר עם הנאשם ומסר לו את פרטי העסקה ומסר כי מדובר ב"לקוח קבוע". בהמשך לכך, יצר </w:t>
      </w:r>
      <w:r w:rsidRPr="004C213B">
        <w:rPr>
          <w:rFonts w:ascii="David" w:hAnsi="David"/>
          <w:sz w:val="26"/>
          <w:szCs w:val="26"/>
          <w:rtl/>
        </w:rPr>
        <w:lastRenderedPageBreak/>
        <w:t xml:space="preserve">קשר ע"א עם הנאשם על מנת לוודא את ביצוע העסקה, אך הנאשם השיב כי לא ביצע את העסקה. ע"א לחץ על הנאשם לסיים את העסקה כי הלקוח לוחץ עליו. זמן קצר לאחר מכן, הגיע הנאשם לס"ג, מסר לו את הסם וקיבל את התמורה. בגין מעשים אלה, הורשע הנאשם בעבירה של </w:t>
      </w:r>
      <w:r w:rsidRPr="004C213B">
        <w:rPr>
          <w:rFonts w:ascii="David" w:hAnsi="David"/>
          <w:b/>
          <w:bCs/>
          <w:sz w:val="26"/>
          <w:szCs w:val="26"/>
          <w:rtl/>
        </w:rPr>
        <w:t>קשירת קשר לביצוע פשע</w:t>
      </w:r>
      <w:r w:rsidRPr="004C213B">
        <w:rPr>
          <w:rFonts w:ascii="David" w:hAnsi="David"/>
          <w:sz w:val="26"/>
          <w:szCs w:val="26"/>
          <w:rtl/>
        </w:rPr>
        <w:t xml:space="preserve">, לפי </w:t>
      </w:r>
      <w:hyperlink r:id="rId18" w:history="1">
        <w:r w:rsidR="007D0F92" w:rsidRPr="007D0F92">
          <w:rPr>
            <w:rStyle w:val="Hyperlink"/>
            <w:rFonts w:ascii="David" w:hAnsi="David"/>
            <w:sz w:val="26"/>
            <w:szCs w:val="26"/>
            <w:rtl/>
          </w:rPr>
          <w:t>סעיף 499(א)(1)</w:t>
        </w:r>
      </w:hyperlink>
      <w:r w:rsidRPr="004C213B">
        <w:rPr>
          <w:rFonts w:ascii="David" w:hAnsi="David"/>
          <w:sz w:val="26"/>
          <w:szCs w:val="26"/>
          <w:rtl/>
        </w:rPr>
        <w:t xml:space="preserve"> ל</w:t>
      </w:r>
      <w:hyperlink r:id="rId19"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 התשל"ז – 1977 (</w:t>
      </w:r>
      <w:r w:rsidRPr="004C213B">
        <w:rPr>
          <w:rFonts w:ascii="David" w:hAnsi="David"/>
          <w:b/>
          <w:bCs/>
          <w:sz w:val="26"/>
          <w:szCs w:val="26"/>
          <w:rtl/>
        </w:rPr>
        <w:t>חוק העונשין</w:t>
      </w:r>
      <w:r w:rsidRPr="004C213B">
        <w:rPr>
          <w:rFonts w:ascii="David" w:hAnsi="David"/>
          <w:sz w:val="26"/>
          <w:szCs w:val="26"/>
          <w:rtl/>
        </w:rPr>
        <w:t xml:space="preserve">) ועבירה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20"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w:t>
      </w:r>
      <w:hyperlink r:id="rId21" w:history="1">
        <w:r w:rsidR="00C75044" w:rsidRPr="00C75044">
          <w:rPr>
            <w:rFonts w:ascii="David" w:hAnsi="David"/>
            <w:color w:val="0000FF"/>
            <w:sz w:val="26"/>
            <w:szCs w:val="26"/>
            <w:u w:val="single"/>
            <w:rtl/>
          </w:rPr>
          <w:t>פקודת הסמים המסוכנים</w:t>
        </w:r>
      </w:hyperlink>
      <w:r w:rsidRPr="004C213B">
        <w:rPr>
          <w:rFonts w:ascii="David" w:hAnsi="David"/>
          <w:sz w:val="26"/>
          <w:szCs w:val="26"/>
          <w:rtl/>
        </w:rPr>
        <w:t xml:space="preserve"> (נוסח חדש), תשל"ג – 1973 (</w:t>
      </w:r>
      <w:r w:rsidRPr="004C213B">
        <w:rPr>
          <w:rFonts w:ascii="David" w:hAnsi="David"/>
          <w:b/>
          <w:bCs/>
          <w:sz w:val="26"/>
          <w:szCs w:val="26"/>
          <w:rtl/>
        </w:rPr>
        <w:t>פקודת הסמים</w:t>
      </w:r>
      <w:r w:rsidRPr="004C213B">
        <w:rPr>
          <w:rFonts w:ascii="David" w:hAnsi="David"/>
          <w:sz w:val="26"/>
          <w:szCs w:val="26"/>
          <w:rtl/>
        </w:rPr>
        <w:t xml:space="preserve">) + </w:t>
      </w:r>
      <w:hyperlink r:id="rId22"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לחוק העונשין.</w:t>
      </w:r>
    </w:p>
    <w:p w14:paraId="6854611F" w14:textId="77777777" w:rsidR="00937E40" w:rsidRPr="004C213B" w:rsidRDefault="00937E40" w:rsidP="00937E40">
      <w:pPr>
        <w:spacing w:line="360" w:lineRule="auto"/>
        <w:jc w:val="both"/>
        <w:rPr>
          <w:rFonts w:ascii="David" w:hAnsi="David"/>
          <w:b/>
          <w:bCs/>
          <w:sz w:val="26"/>
          <w:szCs w:val="26"/>
          <w:rtl/>
        </w:rPr>
      </w:pPr>
    </w:p>
    <w:p w14:paraId="081ECF49"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t>על פי עובדות האישום השני</w:t>
      </w:r>
      <w:r w:rsidRPr="004C213B">
        <w:rPr>
          <w:rFonts w:ascii="David" w:hAnsi="David"/>
          <w:sz w:val="26"/>
          <w:szCs w:val="26"/>
          <w:rtl/>
        </w:rPr>
        <w:t xml:space="preserve">, ביום 18.11.2020, בשעות הצהריים, ביקש כ"ל לרכוש מע"א 4 גרם של קנבוס תמורת 200 ₪ וביקש כי הסם יגיע לביתו. ע"א יצר קשר עם הנאשם ומסר לו את פרטי העסקה. לאחר מספר תיאומים בין הנאשם לע"א ולכ"ל, מסר הנאשם את הסם לכ"ל וקיבל את התמורה.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23"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24"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25"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2102E203" w14:textId="77777777" w:rsidR="00937E40" w:rsidRPr="004C213B" w:rsidRDefault="00937E40" w:rsidP="00937E40">
      <w:pPr>
        <w:spacing w:line="360" w:lineRule="auto"/>
        <w:jc w:val="both"/>
        <w:rPr>
          <w:rFonts w:ascii="David" w:hAnsi="David"/>
          <w:b/>
          <w:bCs/>
          <w:sz w:val="26"/>
          <w:szCs w:val="26"/>
          <w:rtl/>
        </w:rPr>
      </w:pPr>
    </w:p>
    <w:p w14:paraId="06A5534D" w14:textId="77777777" w:rsidR="00937E40" w:rsidRPr="004C213B" w:rsidRDefault="00937E40" w:rsidP="00937E40">
      <w:pPr>
        <w:spacing w:line="360" w:lineRule="auto"/>
        <w:jc w:val="both"/>
        <w:rPr>
          <w:rFonts w:ascii="David" w:hAnsi="David"/>
          <w:sz w:val="26"/>
          <w:szCs w:val="26"/>
        </w:rPr>
      </w:pPr>
      <w:r w:rsidRPr="004C213B">
        <w:rPr>
          <w:rFonts w:ascii="David" w:hAnsi="David"/>
          <w:b/>
          <w:bCs/>
          <w:sz w:val="26"/>
          <w:szCs w:val="26"/>
          <w:rtl/>
        </w:rPr>
        <w:t>על פי עובדות האישום הרביעי</w:t>
      </w:r>
      <w:r w:rsidRPr="004C213B">
        <w:rPr>
          <w:rFonts w:ascii="David" w:hAnsi="David"/>
          <w:sz w:val="26"/>
          <w:szCs w:val="26"/>
          <w:rtl/>
        </w:rPr>
        <w:t xml:space="preserve">, ביום 29.11.2020, בשעות אחר הצהריים, ולאחר שיחות רבות באותו יום, הגיע הנאשם ברכבו לביתו של ע"א והאחרון העביר לו כמות סמים שאינה ידועה לצורך ביצוע עסקאות שתוכננו לאותו יום וכסף מזומן. בהמשך לכך, בשעה 16:00, פנה ג"ק לע"א באמצעות הטלגרם וביקש לרכוש 6 גרם תמורת 250 ₪  וביקש כי הסם יגיע לביתו. ע"א העביר את פרטי העסקה לנאשם. בעקבות כך, הגיע הנאשם לביתו של ק"ג ולאחר תיאום, השניים נפגשו ונאשם מסר לו את הסם וקיבל את התמורה.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26"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27"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28"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0F796C05" w14:textId="77777777" w:rsidR="00937E40" w:rsidRPr="004C213B" w:rsidRDefault="00937E40" w:rsidP="00937E40">
      <w:pPr>
        <w:spacing w:line="360" w:lineRule="auto"/>
        <w:jc w:val="both"/>
        <w:rPr>
          <w:rFonts w:ascii="David" w:hAnsi="David"/>
          <w:b/>
          <w:bCs/>
          <w:sz w:val="26"/>
          <w:szCs w:val="26"/>
          <w:rtl/>
        </w:rPr>
      </w:pPr>
    </w:p>
    <w:p w14:paraId="4031B463"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t>על פי עובדות האישום החמישי,</w:t>
      </w:r>
      <w:r w:rsidRPr="004C213B">
        <w:rPr>
          <w:rFonts w:ascii="David" w:hAnsi="David"/>
          <w:sz w:val="26"/>
          <w:szCs w:val="26"/>
          <w:rtl/>
        </w:rPr>
        <w:t xml:space="preserve"> בהמשך למפורט באישום הרביעי, באתו יום ובשעות אחר הצהריים, תיאם ע"א עסקת סם באמצעות הטלגרם והעביר את פרטי העסקה לנאשם. לאחר שסיים הנאשם את העסקה באישום הרביעי, נסע לעסקה זו ומכר 5 גרם קנבוס לס"ב תמורת 300 ₪.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29"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30"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31"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4DE21920" w14:textId="77777777" w:rsidR="00937E40" w:rsidRPr="004C213B" w:rsidRDefault="00937E40" w:rsidP="00937E40">
      <w:pPr>
        <w:spacing w:line="360" w:lineRule="auto"/>
        <w:jc w:val="both"/>
        <w:rPr>
          <w:rFonts w:ascii="David" w:hAnsi="David"/>
          <w:b/>
          <w:bCs/>
          <w:sz w:val="26"/>
          <w:szCs w:val="26"/>
          <w:rtl/>
        </w:rPr>
      </w:pPr>
    </w:p>
    <w:p w14:paraId="75EAAE53"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t>על פי האישום השביעי</w:t>
      </w:r>
      <w:r w:rsidRPr="004C213B">
        <w:rPr>
          <w:rFonts w:ascii="David" w:hAnsi="David"/>
          <w:sz w:val="26"/>
          <w:szCs w:val="26"/>
          <w:rtl/>
        </w:rPr>
        <w:t xml:space="preserve">, בהמשך למפורט באישומים  4 ו - 5, הגיע הנאשם לל"ק ומכר לו 4 גרם קנבוס תמורת 150 ₪.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32"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33"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34"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472E8DDA" w14:textId="77777777" w:rsidR="00937E40" w:rsidRPr="004C213B" w:rsidRDefault="00937E40" w:rsidP="00937E40">
      <w:pPr>
        <w:spacing w:line="360" w:lineRule="auto"/>
        <w:jc w:val="both"/>
        <w:rPr>
          <w:rFonts w:ascii="David" w:hAnsi="David"/>
          <w:b/>
          <w:bCs/>
          <w:sz w:val="26"/>
          <w:szCs w:val="26"/>
          <w:rtl/>
        </w:rPr>
      </w:pPr>
    </w:p>
    <w:p w14:paraId="6004CD05"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lastRenderedPageBreak/>
        <w:t xml:space="preserve">על פי עובדות האישום השמיני, </w:t>
      </w:r>
      <w:r w:rsidRPr="004C213B">
        <w:rPr>
          <w:rFonts w:ascii="David" w:hAnsi="David"/>
          <w:sz w:val="26"/>
          <w:szCs w:val="26"/>
          <w:rtl/>
        </w:rPr>
        <w:t xml:space="preserve">בהמשך למפורט באישומים 4,5 ו - 7, הגיע הנאשם לע"א ומכר לו 5 גרם קנבוס תמורת 300 ₪.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35"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36"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37"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333A1714" w14:textId="77777777" w:rsidR="00937E40" w:rsidRPr="004C213B" w:rsidRDefault="00937E40" w:rsidP="00937E40">
      <w:pPr>
        <w:spacing w:line="360" w:lineRule="auto"/>
        <w:jc w:val="both"/>
        <w:rPr>
          <w:rFonts w:ascii="David" w:hAnsi="David"/>
          <w:b/>
          <w:bCs/>
          <w:sz w:val="26"/>
          <w:szCs w:val="26"/>
          <w:rtl/>
        </w:rPr>
      </w:pPr>
    </w:p>
    <w:p w14:paraId="56942112"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rtl/>
        </w:rPr>
        <w:t>על פי עובדות היישום העשירי,</w:t>
      </w:r>
      <w:r w:rsidRPr="004C213B">
        <w:rPr>
          <w:rFonts w:ascii="David" w:hAnsi="David"/>
          <w:sz w:val="26"/>
          <w:szCs w:val="26"/>
          <w:rtl/>
        </w:rPr>
        <w:t xml:space="preserve"> בהמשך למפורט באישומים  4, 5 7 ו - 8, הגיע הנאשם לפ"ר ומכר לה 5 גרם קנבוס תמורת 300 ₪. בגין כך, הורשע הנאשם בעבירה של </w:t>
      </w:r>
      <w:r w:rsidRPr="004C213B">
        <w:rPr>
          <w:rFonts w:ascii="David" w:hAnsi="David"/>
          <w:b/>
          <w:bCs/>
          <w:sz w:val="26"/>
          <w:szCs w:val="26"/>
          <w:rtl/>
        </w:rPr>
        <w:t>סחר בסמים מסוכנים</w:t>
      </w:r>
      <w:r w:rsidRPr="004C213B">
        <w:rPr>
          <w:rFonts w:ascii="David" w:hAnsi="David"/>
          <w:sz w:val="26"/>
          <w:szCs w:val="26"/>
          <w:rtl/>
        </w:rPr>
        <w:t xml:space="preserve"> </w:t>
      </w:r>
      <w:r w:rsidRPr="004C213B">
        <w:rPr>
          <w:rFonts w:ascii="David" w:hAnsi="David"/>
          <w:b/>
          <w:bCs/>
          <w:sz w:val="26"/>
          <w:szCs w:val="26"/>
          <w:rtl/>
        </w:rPr>
        <w:t>בצוותא</w:t>
      </w:r>
      <w:r w:rsidRPr="004C213B">
        <w:rPr>
          <w:rFonts w:ascii="David" w:hAnsi="David"/>
          <w:sz w:val="26"/>
          <w:szCs w:val="26"/>
          <w:rtl/>
        </w:rPr>
        <w:t xml:space="preserve">, לפי </w:t>
      </w:r>
      <w:hyperlink r:id="rId38" w:history="1">
        <w:r w:rsidR="007D0F92" w:rsidRPr="007D0F92">
          <w:rPr>
            <w:rStyle w:val="Hyperlink"/>
            <w:rFonts w:ascii="David" w:hAnsi="David"/>
            <w:sz w:val="26"/>
            <w:szCs w:val="26"/>
            <w:rtl/>
          </w:rPr>
          <w:t>סעיף 13+19א</w:t>
        </w:r>
      </w:hyperlink>
      <w:r w:rsidRPr="004C213B">
        <w:rPr>
          <w:rFonts w:ascii="David" w:hAnsi="David"/>
          <w:sz w:val="26"/>
          <w:szCs w:val="26"/>
          <w:rtl/>
        </w:rPr>
        <w:t xml:space="preserve"> לפקודת הסמים + </w:t>
      </w:r>
      <w:hyperlink r:id="rId39" w:history="1">
        <w:r w:rsidR="007D0F92" w:rsidRPr="007D0F92">
          <w:rPr>
            <w:rStyle w:val="Hyperlink"/>
            <w:rFonts w:ascii="David" w:hAnsi="David"/>
            <w:sz w:val="26"/>
            <w:szCs w:val="26"/>
            <w:rtl/>
          </w:rPr>
          <w:t>סעיף 29(א)</w:t>
        </w:r>
      </w:hyperlink>
      <w:r w:rsidRPr="004C213B">
        <w:rPr>
          <w:rFonts w:ascii="David" w:hAnsi="David"/>
          <w:sz w:val="26"/>
          <w:szCs w:val="26"/>
          <w:rtl/>
        </w:rPr>
        <w:t xml:space="preserve"> ל</w:t>
      </w:r>
      <w:hyperlink r:id="rId40" w:history="1">
        <w:r w:rsidR="00C75044" w:rsidRPr="00C75044">
          <w:rPr>
            <w:rFonts w:ascii="David" w:hAnsi="David"/>
            <w:color w:val="0000FF"/>
            <w:sz w:val="26"/>
            <w:szCs w:val="26"/>
            <w:u w:val="single"/>
            <w:rtl/>
          </w:rPr>
          <w:t>חוק העונשין</w:t>
        </w:r>
      </w:hyperlink>
      <w:r w:rsidRPr="004C213B">
        <w:rPr>
          <w:rFonts w:ascii="David" w:hAnsi="David"/>
          <w:sz w:val="26"/>
          <w:szCs w:val="26"/>
          <w:rtl/>
        </w:rPr>
        <w:t>.</w:t>
      </w:r>
    </w:p>
    <w:p w14:paraId="0BC5A255" w14:textId="77777777" w:rsidR="00937E40" w:rsidRPr="004C213B" w:rsidRDefault="00937E40" w:rsidP="00937E40">
      <w:pPr>
        <w:spacing w:line="360" w:lineRule="auto"/>
        <w:jc w:val="both"/>
        <w:rPr>
          <w:rFonts w:ascii="David" w:hAnsi="David"/>
          <w:sz w:val="26"/>
          <w:szCs w:val="26"/>
          <w:rtl/>
        </w:rPr>
      </w:pPr>
    </w:p>
    <w:p w14:paraId="37F154D8" w14:textId="77777777" w:rsidR="00937E40" w:rsidRPr="004C213B" w:rsidRDefault="00937E40" w:rsidP="00937E40">
      <w:pPr>
        <w:spacing w:line="360" w:lineRule="auto"/>
        <w:jc w:val="both"/>
        <w:rPr>
          <w:rFonts w:ascii="David" w:hAnsi="David"/>
          <w:b/>
          <w:bCs/>
          <w:sz w:val="26"/>
          <w:szCs w:val="26"/>
          <w:rtl/>
        </w:rPr>
      </w:pPr>
      <w:r w:rsidRPr="004C213B">
        <w:rPr>
          <w:rFonts w:ascii="David" w:hAnsi="David"/>
          <w:b/>
          <w:bCs/>
          <w:sz w:val="26"/>
          <w:szCs w:val="26"/>
          <w:rtl/>
        </w:rPr>
        <w:t>יוצא אפוא, כי הנאשם הורשע בעבירה של קשירת קשר לביצוע פשע וב-7 עבירות של סחר בסמים מסוכנים בצוותא.</w:t>
      </w:r>
    </w:p>
    <w:p w14:paraId="4050C4A0" w14:textId="77777777" w:rsidR="00937E40" w:rsidRPr="004C213B" w:rsidRDefault="00937E40" w:rsidP="00937E40">
      <w:pPr>
        <w:spacing w:line="360" w:lineRule="auto"/>
        <w:jc w:val="both"/>
        <w:rPr>
          <w:rFonts w:ascii="David" w:hAnsi="David"/>
          <w:b/>
          <w:bCs/>
          <w:sz w:val="26"/>
          <w:szCs w:val="26"/>
        </w:rPr>
      </w:pPr>
    </w:p>
    <w:p w14:paraId="75940603" w14:textId="77777777" w:rsidR="00937E40" w:rsidRPr="004C213B" w:rsidRDefault="00937E40" w:rsidP="00937E40">
      <w:pPr>
        <w:spacing w:line="360" w:lineRule="auto"/>
        <w:jc w:val="both"/>
        <w:rPr>
          <w:rFonts w:ascii="David" w:hAnsi="David"/>
          <w:b/>
          <w:bCs/>
          <w:sz w:val="26"/>
          <w:szCs w:val="26"/>
          <w:u w:val="single"/>
          <w:rtl/>
        </w:rPr>
      </w:pPr>
      <w:r w:rsidRPr="004C213B">
        <w:rPr>
          <w:rFonts w:ascii="David" w:hAnsi="David"/>
          <w:b/>
          <w:bCs/>
          <w:sz w:val="26"/>
          <w:szCs w:val="26"/>
          <w:u w:val="single"/>
          <w:rtl/>
        </w:rPr>
        <w:t>מהלך הדיון</w:t>
      </w:r>
    </w:p>
    <w:p w14:paraId="4AB7A3C4" w14:textId="77777777" w:rsidR="00937E40" w:rsidRPr="004C213B" w:rsidRDefault="00937E40" w:rsidP="00937E40">
      <w:pPr>
        <w:spacing w:line="360" w:lineRule="auto"/>
        <w:jc w:val="both"/>
        <w:rPr>
          <w:rFonts w:ascii="David" w:hAnsi="David"/>
          <w:sz w:val="26"/>
          <w:szCs w:val="26"/>
        </w:rPr>
      </w:pPr>
      <w:r w:rsidRPr="004C213B">
        <w:rPr>
          <w:rFonts w:ascii="David" w:hAnsi="David"/>
          <w:sz w:val="26"/>
          <w:szCs w:val="26"/>
          <w:rtl/>
        </w:rPr>
        <w:t xml:space="preserve">נגד הנאשם הוגש כתב אישום ביום 13.12.2020 יחד עם בקשה למעצר עד תום ההליכים. הנאשם שהה במעצר של ממש עד ליום 5.1.2021, עת שוחרר למעצר בית מלא. תנאי מעצר הבית הוקלו מעת לעת וביום 28.4.2021 הורשע הנאשם בכתב האישום המתוקן, במסגרת הסדר טיעון, שלא כלל הסכמה עונשית ונשלח לשירות מבחן ולממונה לעבודות שירות. </w:t>
      </w:r>
    </w:p>
    <w:p w14:paraId="021267A7" w14:textId="77777777" w:rsidR="00937E40" w:rsidRPr="004C213B" w:rsidRDefault="00937E40" w:rsidP="00937E40">
      <w:pPr>
        <w:spacing w:line="360" w:lineRule="auto"/>
        <w:jc w:val="both"/>
        <w:rPr>
          <w:rFonts w:ascii="David" w:hAnsi="David"/>
          <w:b/>
          <w:bCs/>
          <w:sz w:val="26"/>
          <w:szCs w:val="26"/>
          <w:u w:val="single"/>
        </w:rPr>
      </w:pPr>
    </w:p>
    <w:p w14:paraId="171F3628" w14:textId="77777777" w:rsidR="00937E40" w:rsidRPr="004C213B" w:rsidRDefault="00937E40" w:rsidP="00937E40">
      <w:pPr>
        <w:spacing w:line="360" w:lineRule="auto"/>
        <w:jc w:val="both"/>
        <w:rPr>
          <w:rFonts w:ascii="David" w:hAnsi="David"/>
          <w:b/>
          <w:bCs/>
          <w:sz w:val="26"/>
          <w:szCs w:val="26"/>
          <w:u w:val="single"/>
        </w:rPr>
      </w:pPr>
      <w:r w:rsidRPr="004C213B">
        <w:rPr>
          <w:rFonts w:ascii="David" w:hAnsi="David"/>
          <w:b/>
          <w:bCs/>
          <w:sz w:val="26"/>
          <w:szCs w:val="26"/>
          <w:u w:val="single"/>
          <w:rtl/>
        </w:rPr>
        <w:t>תסקיר</w:t>
      </w:r>
      <w:r>
        <w:rPr>
          <w:rFonts w:ascii="David" w:hAnsi="David" w:hint="cs"/>
          <w:b/>
          <w:bCs/>
          <w:sz w:val="26"/>
          <w:szCs w:val="26"/>
          <w:u w:val="single"/>
          <w:rtl/>
        </w:rPr>
        <w:t>י</w:t>
      </w:r>
      <w:r w:rsidRPr="004C213B">
        <w:rPr>
          <w:rFonts w:ascii="David" w:hAnsi="David"/>
          <w:b/>
          <w:bCs/>
          <w:sz w:val="26"/>
          <w:szCs w:val="26"/>
          <w:u w:val="single"/>
          <w:rtl/>
        </w:rPr>
        <w:t xml:space="preserve"> שירות המבחן</w:t>
      </w:r>
    </w:p>
    <w:p w14:paraId="236D50C3" w14:textId="77777777" w:rsidR="00937E40" w:rsidRPr="004C213B" w:rsidRDefault="00937E40" w:rsidP="00937E40">
      <w:pPr>
        <w:spacing w:line="360" w:lineRule="auto"/>
        <w:jc w:val="both"/>
        <w:rPr>
          <w:rFonts w:ascii="David" w:hAnsi="David"/>
          <w:sz w:val="26"/>
          <w:szCs w:val="26"/>
        </w:rPr>
      </w:pPr>
      <w:r>
        <w:rPr>
          <w:rFonts w:ascii="David" w:hAnsi="David" w:hint="cs"/>
          <w:sz w:val="26"/>
          <w:szCs w:val="26"/>
          <w:rtl/>
        </w:rPr>
        <w:t xml:space="preserve">בעניינו של הנאשם הוגשו שלושה תסקירים. מאלה עלה, כי </w:t>
      </w:r>
      <w:r w:rsidRPr="004C213B">
        <w:rPr>
          <w:rFonts w:ascii="David" w:hAnsi="David"/>
          <w:sz w:val="26"/>
          <w:szCs w:val="26"/>
          <w:rtl/>
        </w:rPr>
        <w:t xml:space="preserve">הנאשם </w:t>
      </w:r>
      <w:r>
        <w:rPr>
          <w:rFonts w:ascii="David" w:hAnsi="David" w:hint="cs"/>
          <w:sz w:val="26"/>
          <w:szCs w:val="26"/>
          <w:rtl/>
        </w:rPr>
        <w:t>כ</w:t>
      </w:r>
      <w:r w:rsidRPr="004C213B">
        <w:rPr>
          <w:rFonts w:ascii="David" w:hAnsi="David"/>
          <w:sz w:val="26"/>
          <w:szCs w:val="26"/>
          <w:rtl/>
        </w:rPr>
        <w:t xml:space="preserve">בן </w:t>
      </w:r>
      <w:r>
        <w:rPr>
          <w:rFonts w:ascii="David" w:hAnsi="David" w:hint="cs"/>
          <w:sz w:val="26"/>
          <w:szCs w:val="26"/>
          <w:rtl/>
        </w:rPr>
        <w:t>37</w:t>
      </w:r>
      <w:r w:rsidRPr="004C213B">
        <w:rPr>
          <w:rFonts w:ascii="David" w:hAnsi="David"/>
          <w:sz w:val="26"/>
          <w:szCs w:val="26"/>
          <w:rtl/>
        </w:rPr>
        <w:t>, נשוי ואב לשתי בנות</w:t>
      </w:r>
      <w:r>
        <w:rPr>
          <w:rFonts w:ascii="David" w:hAnsi="David" w:hint="cs"/>
          <w:sz w:val="26"/>
          <w:szCs w:val="26"/>
          <w:rtl/>
        </w:rPr>
        <w:t xml:space="preserve"> משתי מערכות יחסים</w:t>
      </w:r>
      <w:r w:rsidRPr="004C213B">
        <w:rPr>
          <w:rFonts w:ascii="David" w:hAnsi="David"/>
          <w:sz w:val="26"/>
          <w:szCs w:val="26"/>
          <w:rtl/>
        </w:rPr>
        <w:t xml:space="preserve">. כיום </w:t>
      </w:r>
      <w:r>
        <w:rPr>
          <w:rFonts w:ascii="David" w:hAnsi="David" w:hint="cs"/>
          <w:sz w:val="26"/>
          <w:szCs w:val="26"/>
          <w:rtl/>
        </w:rPr>
        <w:t xml:space="preserve">הנאשם </w:t>
      </w:r>
      <w:r w:rsidRPr="004C213B">
        <w:rPr>
          <w:rFonts w:ascii="David" w:hAnsi="David"/>
          <w:sz w:val="26"/>
          <w:szCs w:val="26"/>
          <w:rtl/>
        </w:rPr>
        <w:t xml:space="preserve">מתגורר בדירה שכורה בבית שמש ועובד במאפייה. מקורות חייו עולה כי הנאשם אומץ בגיל 6 על רקע בעיות אלימות במשפחתו הביולוגית. לאחר האימוץ, התחנך בחינוך החרדי, על אף שחווה התרחקות מהדת, זאת עד גיל 19, עת נישא לראשונה. מנישואין אלה נולדה בתו הראשונה, כיום </w:t>
      </w:r>
      <w:r>
        <w:rPr>
          <w:rFonts w:ascii="David" w:hAnsi="David" w:hint="cs"/>
          <w:sz w:val="26"/>
          <w:szCs w:val="26"/>
          <w:rtl/>
        </w:rPr>
        <w:t>כ</w:t>
      </w:r>
      <w:r w:rsidRPr="004C213B">
        <w:rPr>
          <w:rFonts w:ascii="David" w:hAnsi="David"/>
          <w:sz w:val="26"/>
          <w:szCs w:val="26"/>
          <w:rtl/>
        </w:rPr>
        <w:t xml:space="preserve">בת </w:t>
      </w:r>
      <w:r>
        <w:rPr>
          <w:rFonts w:ascii="David" w:hAnsi="David" w:hint="cs"/>
          <w:sz w:val="26"/>
          <w:szCs w:val="26"/>
          <w:rtl/>
        </w:rPr>
        <w:t>13</w:t>
      </w:r>
      <w:r w:rsidRPr="004C213B">
        <w:rPr>
          <w:rFonts w:ascii="David" w:hAnsi="David"/>
          <w:sz w:val="26"/>
          <w:szCs w:val="26"/>
          <w:rtl/>
        </w:rPr>
        <w:t xml:space="preserve"> שנים. בני הזוג התגרשו לאחר 6 שנות נישואים ובתו עברה לחזקתו עד מעצרו בתיק זה. </w:t>
      </w:r>
      <w:r>
        <w:rPr>
          <w:rFonts w:ascii="David" w:hAnsi="David" w:hint="cs"/>
          <w:sz w:val="26"/>
          <w:szCs w:val="26"/>
          <w:rtl/>
        </w:rPr>
        <w:t xml:space="preserve">מעדכון אחרון עולה כי הבת הוחזרה לחזקתו לאחר שאמה שבה והסתבכה בבעיות סמים. </w:t>
      </w:r>
      <w:r w:rsidRPr="004C213B">
        <w:rPr>
          <w:rFonts w:ascii="David" w:hAnsi="David"/>
          <w:sz w:val="26"/>
          <w:szCs w:val="26"/>
          <w:rtl/>
        </w:rPr>
        <w:t xml:space="preserve">זמן קצר לאחר הגירושין, הכיר הנאשם את אשתו הנוכחית והשניים נישאו בשנת 2017 וכיום להם ילדה בת </w:t>
      </w:r>
      <w:r>
        <w:rPr>
          <w:rFonts w:ascii="David" w:hAnsi="David" w:hint="cs"/>
          <w:sz w:val="26"/>
          <w:szCs w:val="26"/>
          <w:rtl/>
        </w:rPr>
        <w:t>6</w:t>
      </w:r>
      <w:r w:rsidRPr="004C213B">
        <w:rPr>
          <w:rFonts w:ascii="David" w:hAnsi="David"/>
          <w:sz w:val="26"/>
          <w:szCs w:val="26"/>
          <w:rtl/>
        </w:rPr>
        <w:t xml:space="preserve"> שנים. מבחינה תעסוקתית, עבד הנאשם במהלך השנים בתחום האוכל וההסעדה ושמר על יציבות תעסוקתית. הנאשם שלל שימוש בסמים ואלכוהול ובדיקות לגילוי שרידי סם שמסר בשירות מבחן, נמצאו נקיות. בהתייחסותו לעבירות בהן הורשע, הנאשם הודה וקיבל אחריות. לדבריו הן בוצעו על רקע הקורונה ומשבר כלכלי שחווה. הנאשם סיפר כי השותף פנה אליו והוא הסכים לבצע את העבירות על אף שהבין את ההשלכות וזאת בשל המצוקה הכלכלית. שירות המבחן מסר, כי במסגרת הליך המעצר, הנאשם טופל במסגרת קבוצה שבפגישותיה השתתף לאורך זמן רב עד היום, וכיום הוא ביקש לסיים השתתפות זו. מנחי הטיפול התרשמו כי לנאשם רצון לשנות את דפוסיו ויכולת להתבוננות וביקורת על מעשיו. שירות המבחן התרשם כי הנאשם קיבל אחריות מלאה על מעשיו, הביע חרטה ובושה בגינם, וכי ההליך הפלילי מהווה גורם מרתיע עבורו. הנאשם נעדר עבר פלילי. </w:t>
      </w:r>
      <w:r>
        <w:rPr>
          <w:rFonts w:ascii="David" w:hAnsi="David" w:hint="cs"/>
          <w:sz w:val="26"/>
          <w:szCs w:val="26"/>
          <w:rtl/>
        </w:rPr>
        <w:t xml:space="preserve">שירות המבחן סבר כי לנאשם אין דפוסים עברייניים וכי חרטתו כנה ועמוקה. נוכח מכלול נסיבותיו האישיות המליץ שירות המבחן בתסקיר האחרון על הטלת 200 שעות של"ץ צו מבחן וענישה נוספת, שלא תפגע ביכולת הנאשם להמשיך ולפרנס את משפחתו. </w:t>
      </w:r>
    </w:p>
    <w:p w14:paraId="33C0041C" w14:textId="77777777" w:rsidR="00937E40" w:rsidRPr="004C213B" w:rsidRDefault="00937E40" w:rsidP="00937E40">
      <w:pPr>
        <w:spacing w:line="360" w:lineRule="auto"/>
        <w:jc w:val="both"/>
        <w:rPr>
          <w:rFonts w:ascii="David" w:hAnsi="David"/>
          <w:b/>
          <w:bCs/>
          <w:sz w:val="26"/>
          <w:szCs w:val="26"/>
          <w:u w:val="single"/>
        </w:rPr>
      </w:pPr>
    </w:p>
    <w:p w14:paraId="686A73A5" w14:textId="77777777" w:rsidR="00937E40" w:rsidRPr="004C213B" w:rsidRDefault="00937E40" w:rsidP="00937E40">
      <w:pPr>
        <w:spacing w:line="360" w:lineRule="auto"/>
        <w:jc w:val="both"/>
        <w:rPr>
          <w:rFonts w:ascii="David" w:hAnsi="David"/>
          <w:b/>
          <w:bCs/>
          <w:sz w:val="26"/>
          <w:szCs w:val="26"/>
          <w:u w:val="single"/>
        </w:rPr>
      </w:pPr>
      <w:r w:rsidRPr="004C213B">
        <w:rPr>
          <w:rFonts w:ascii="David" w:hAnsi="David"/>
          <w:b/>
          <w:bCs/>
          <w:sz w:val="26"/>
          <w:szCs w:val="26"/>
          <w:u w:val="single"/>
          <w:rtl/>
        </w:rPr>
        <w:t>חוות דעת של הממונה על עבודות השירות</w:t>
      </w:r>
    </w:p>
    <w:p w14:paraId="56E37A19" w14:textId="77777777" w:rsidR="00937E40" w:rsidRPr="004C213B" w:rsidRDefault="00937E40" w:rsidP="00937E40">
      <w:pPr>
        <w:spacing w:line="360" w:lineRule="auto"/>
        <w:jc w:val="both"/>
        <w:rPr>
          <w:rFonts w:ascii="David" w:hAnsi="David"/>
          <w:sz w:val="26"/>
          <w:szCs w:val="26"/>
          <w:rtl/>
        </w:rPr>
      </w:pPr>
      <w:r w:rsidRPr="004C213B">
        <w:rPr>
          <w:rFonts w:ascii="David" w:hAnsi="David"/>
          <w:sz w:val="26"/>
          <w:szCs w:val="26"/>
          <w:rtl/>
        </w:rPr>
        <w:t>הממונה הגיש חוות דעת על אודות כשירות הנאשם לבצע מאסר בעבודות שירות. מחוות הדעת עולה, כי הנאשם כשיר לביצוע עבודות שירות וביקש להציבו ב"איחוד והצלה בית שמש".</w:t>
      </w:r>
    </w:p>
    <w:p w14:paraId="6FD00644" w14:textId="77777777" w:rsidR="00937E40" w:rsidRPr="004C213B" w:rsidRDefault="00937E40" w:rsidP="00937E40">
      <w:pPr>
        <w:spacing w:line="360" w:lineRule="auto"/>
        <w:jc w:val="both"/>
        <w:rPr>
          <w:rFonts w:ascii="David" w:hAnsi="David"/>
          <w:sz w:val="26"/>
          <w:szCs w:val="26"/>
          <w:rtl/>
        </w:rPr>
      </w:pPr>
    </w:p>
    <w:p w14:paraId="1A8D6234" w14:textId="77777777" w:rsidR="00937E40" w:rsidRPr="004C213B" w:rsidRDefault="00937E40" w:rsidP="00937E40">
      <w:pPr>
        <w:spacing w:line="360" w:lineRule="auto"/>
        <w:jc w:val="both"/>
        <w:rPr>
          <w:rFonts w:ascii="David" w:hAnsi="David"/>
          <w:b/>
          <w:bCs/>
          <w:sz w:val="26"/>
          <w:szCs w:val="26"/>
          <w:u w:val="single"/>
          <w:rtl/>
        </w:rPr>
      </w:pPr>
      <w:r w:rsidRPr="004C213B">
        <w:rPr>
          <w:rFonts w:ascii="David" w:hAnsi="David"/>
          <w:b/>
          <w:bCs/>
          <w:sz w:val="26"/>
          <w:szCs w:val="26"/>
          <w:u w:val="single"/>
          <w:rtl/>
        </w:rPr>
        <w:t>טיעונים לעונש</w:t>
      </w:r>
    </w:p>
    <w:p w14:paraId="3CFD3657" w14:textId="77777777" w:rsidR="00937E40" w:rsidRPr="004C213B" w:rsidRDefault="00937E40" w:rsidP="00937E40">
      <w:pPr>
        <w:spacing w:line="360" w:lineRule="auto"/>
        <w:jc w:val="both"/>
        <w:rPr>
          <w:rFonts w:ascii="David" w:hAnsi="David"/>
          <w:sz w:val="26"/>
          <w:szCs w:val="26"/>
          <w:rtl/>
        </w:rPr>
      </w:pPr>
      <w:r w:rsidRPr="004C213B">
        <w:rPr>
          <w:rFonts w:ascii="David" w:hAnsi="David"/>
          <w:sz w:val="26"/>
          <w:szCs w:val="26"/>
          <w:rtl/>
        </w:rPr>
        <w:t xml:space="preserve">הצדדים לא הגיעו להסכמה עונשית. </w:t>
      </w:r>
    </w:p>
    <w:p w14:paraId="591A6C17" w14:textId="77777777" w:rsidR="00937E40" w:rsidRPr="004C213B" w:rsidRDefault="00937E40" w:rsidP="00937E40">
      <w:pPr>
        <w:spacing w:line="360" w:lineRule="auto"/>
        <w:jc w:val="both"/>
        <w:rPr>
          <w:rFonts w:ascii="David" w:hAnsi="David"/>
          <w:sz w:val="26"/>
          <w:szCs w:val="26"/>
          <w:rtl/>
        </w:rPr>
      </w:pPr>
      <w:r w:rsidRPr="004C213B">
        <w:rPr>
          <w:rFonts w:ascii="David" w:hAnsi="David"/>
          <w:sz w:val="26"/>
          <w:szCs w:val="26"/>
          <w:rtl/>
        </w:rPr>
        <w:t xml:space="preserve">מחד, ב"כ המאשימה </w:t>
      </w:r>
      <w:r>
        <w:rPr>
          <w:rFonts w:ascii="David" w:hAnsi="David" w:hint="cs"/>
          <w:sz w:val="26"/>
          <w:szCs w:val="26"/>
          <w:rtl/>
        </w:rPr>
        <w:t>עו"ד לוברבאום עתר להטיל עונש מאסר משמעותי על בסיס מתחמים דו ספרתיים להם טען במצטבר, וסבר שלא מתקיימים שיקולי שיקום. היום חזרה על כך ב"כ המאשימה, עו"ד ישי, וסברה כי נסיבות הנאשם אינן מצדיקות חריגה ממתחמי הענישה.</w:t>
      </w:r>
    </w:p>
    <w:p w14:paraId="65B188F1" w14:textId="77777777" w:rsidR="00937E40" w:rsidRDefault="00937E40" w:rsidP="00937E40">
      <w:pPr>
        <w:spacing w:line="360" w:lineRule="auto"/>
        <w:jc w:val="both"/>
        <w:rPr>
          <w:rFonts w:ascii="David" w:hAnsi="David"/>
          <w:sz w:val="26"/>
          <w:szCs w:val="26"/>
          <w:rtl/>
        </w:rPr>
      </w:pPr>
      <w:r w:rsidRPr="004C213B">
        <w:rPr>
          <w:rFonts w:ascii="David" w:hAnsi="David"/>
          <w:sz w:val="26"/>
          <w:szCs w:val="26"/>
          <w:rtl/>
        </w:rPr>
        <w:t xml:space="preserve">מאידך, הסניגור </w:t>
      </w:r>
      <w:r>
        <w:rPr>
          <w:rFonts w:ascii="David" w:hAnsi="David" w:hint="cs"/>
          <w:sz w:val="26"/>
          <w:szCs w:val="26"/>
          <w:rtl/>
        </w:rPr>
        <w:t xml:space="preserve">ביקש לחרוג ממתחמי הענישה ולאמץ את המלצת שירות המבחן. </w:t>
      </w:r>
    </w:p>
    <w:p w14:paraId="66DF768A" w14:textId="77777777" w:rsidR="00937E40" w:rsidRPr="004C213B" w:rsidRDefault="00937E40" w:rsidP="00937E40">
      <w:pPr>
        <w:spacing w:line="360" w:lineRule="auto"/>
        <w:jc w:val="both"/>
        <w:rPr>
          <w:rFonts w:ascii="David" w:hAnsi="David"/>
          <w:sz w:val="26"/>
          <w:szCs w:val="26"/>
          <w:rtl/>
        </w:rPr>
      </w:pPr>
    </w:p>
    <w:p w14:paraId="25D3890A" w14:textId="77777777" w:rsidR="00937E40" w:rsidRPr="004C213B" w:rsidRDefault="00937E40" w:rsidP="00937E40">
      <w:pPr>
        <w:spacing w:line="360" w:lineRule="auto"/>
        <w:jc w:val="both"/>
        <w:rPr>
          <w:rFonts w:ascii="David" w:hAnsi="David"/>
          <w:b/>
          <w:bCs/>
          <w:sz w:val="26"/>
          <w:szCs w:val="26"/>
          <w:u w:val="single"/>
          <w:rtl/>
        </w:rPr>
      </w:pPr>
      <w:r w:rsidRPr="004C213B">
        <w:rPr>
          <w:rFonts w:ascii="David" w:hAnsi="David"/>
          <w:b/>
          <w:bCs/>
          <w:sz w:val="26"/>
          <w:szCs w:val="26"/>
          <w:u w:val="single"/>
          <w:rtl/>
        </w:rPr>
        <w:t xml:space="preserve">קביעת מתחם הענישה </w:t>
      </w:r>
      <w:r w:rsidRPr="004C213B">
        <w:rPr>
          <w:rFonts w:ascii="David" w:hAnsi="David"/>
          <w:sz w:val="26"/>
          <w:szCs w:val="26"/>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3F3D169B" w14:textId="77777777" w:rsidR="00937E40" w:rsidRPr="004C213B" w:rsidRDefault="00937E40" w:rsidP="00937E40">
      <w:pPr>
        <w:spacing w:line="360" w:lineRule="auto"/>
        <w:jc w:val="both"/>
        <w:rPr>
          <w:rFonts w:ascii="David" w:hAnsi="David"/>
          <w:b/>
          <w:bCs/>
          <w:sz w:val="26"/>
          <w:szCs w:val="26"/>
          <w:u w:val="single"/>
        </w:rPr>
      </w:pPr>
    </w:p>
    <w:p w14:paraId="25990736"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 xml:space="preserve">אשר לערך המוגן </w:t>
      </w:r>
      <w:r w:rsidRPr="004C213B">
        <w:rPr>
          <w:rFonts w:ascii="David" w:hAnsi="David"/>
          <w:sz w:val="26"/>
          <w:szCs w:val="26"/>
          <w:rtl/>
        </w:rPr>
        <w:t>– ידוע, כי בעבירות סחר בסמים ואף בקנביס, בית המשפט העליון מבכר את אינטרס ההרתעה והגמול על-פני האינטרס של הנאשם, נוכח הפגיעה בבריאות הציבור ובבטחונו. בעניין זה מפנה לפסקה 8 ב</w:t>
      </w:r>
      <w:hyperlink r:id="rId41" w:history="1">
        <w:r w:rsidR="00C75044" w:rsidRPr="00C75044">
          <w:rPr>
            <w:rFonts w:ascii="David" w:hAnsi="David"/>
            <w:color w:val="0000FF"/>
            <w:sz w:val="26"/>
            <w:szCs w:val="26"/>
            <w:u w:val="single"/>
            <w:rtl/>
          </w:rPr>
          <w:t>ע"פ 2596/18</w:t>
        </w:r>
      </w:hyperlink>
      <w:r w:rsidRPr="004C213B">
        <w:rPr>
          <w:rFonts w:ascii="David" w:hAnsi="David"/>
          <w:sz w:val="26"/>
          <w:szCs w:val="26"/>
          <w:rtl/>
        </w:rPr>
        <w:t xml:space="preserve"> </w:t>
      </w:r>
      <w:r w:rsidRPr="004C213B">
        <w:rPr>
          <w:rFonts w:ascii="David" w:hAnsi="David"/>
          <w:b/>
          <w:bCs/>
          <w:sz w:val="26"/>
          <w:szCs w:val="26"/>
          <w:u w:val="single"/>
          <w:rtl/>
        </w:rPr>
        <w:t>זנזורי</w:t>
      </w:r>
      <w:r w:rsidRPr="004C213B">
        <w:rPr>
          <w:rFonts w:ascii="David" w:hAnsi="David"/>
          <w:sz w:val="26"/>
          <w:szCs w:val="26"/>
          <w:rtl/>
        </w:rPr>
        <w:t xml:space="preserve"> נ' </w:t>
      </w:r>
      <w:r w:rsidRPr="004C213B">
        <w:rPr>
          <w:rFonts w:ascii="David" w:hAnsi="David"/>
          <w:b/>
          <w:bCs/>
          <w:sz w:val="26"/>
          <w:szCs w:val="26"/>
          <w:u w:val="single"/>
          <w:rtl/>
        </w:rPr>
        <w:t>מ"י</w:t>
      </w:r>
      <w:r w:rsidRPr="004C213B">
        <w:rPr>
          <w:rFonts w:ascii="David" w:hAnsi="David"/>
          <w:sz w:val="26"/>
          <w:szCs w:val="26"/>
          <w:rtl/>
        </w:rPr>
        <w:t xml:space="preserve"> (מיום 12.8.2018) בפסקה 8, מפי כב' השופט עמית, שם עמד על היקפה הנרחב של תופעת הסחר בסמים באמצעות הטלגראם ועל החומרה שבדבר. בענייננו, הפגיעה בערך המוגן בינונית.</w:t>
      </w:r>
    </w:p>
    <w:p w14:paraId="7AB6605B" w14:textId="77777777" w:rsidR="00937E40" w:rsidRPr="004C213B" w:rsidRDefault="00937E40" w:rsidP="00937E40">
      <w:pPr>
        <w:spacing w:line="360" w:lineRule="auto"/>
        <w:jc w:val="both"/>
        <w:rPr>
          <w:rFonts w:ascii="David" w:hAnsi="David"/>
          <w:sz w:val="26"/>
          <w:szCs w:val="26"/>
          <w:rtl/>
        </w:rPr>
      </w:pPr>
    </w:p>
    <w:p w14:paraId="419B76AC"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 xml:space="preserve">נסיבות הקשורות בביצוע העבירה, לפי </w:t>
      </w:r>
      <w:hyperlink r:id="rId42" w:history="1">
        <w:r w:rsidR="007D0F92" w:rsidRPr="007D0F92">
          <w:rPr>
            <w:rStyle w:val="Hyperlink"/>
            <w:rFonts w:ascii="David" w:hAnsi="David"/>
            <w:b/>
            <w:bCs/>
            <w:sz w:val="26"/>
            <w:szCs w:val="26"/>
            <w:rtl/>
          </w:rPr>
          <w:t>סעיף 40ט'</w:t>
        </w:r>
      </w:hyperlink>
      <w:r w:rsidRPr="004C213B">
        <w:rPr>
          <w:rFonts w:ascii="David" w:hAnsi="David"/>
          <w:b/>
          <w:bCs/>
          <w:sz w:val="26"/>
          <w:szCs w:val="26"/>
          <w:u w:val="single"/>
          <w:rtl/>
        </w:rPr>
        <w:t xml:space="preserve"> ל</w:t>
      </w:r>
      <w:hyperlink r:id="rId43" w:history="1">
        <w:r w:rsidR="00C75044" w:rsidRPr="00C75044">
          <w:rPr>
            <w:rFonts w:ascii="David" w:hAnsi="David"/>
            <w:b/>
            <w:bCs/>
            <w:color w:val="0000FF"/>
            <w:sz w:val="26"/>
            <w:szCs w:val="26"/>
            <w:u w:val="single"/>
            <w:rtl/>
          </w:rPr>
          <w:t>חוק העונשין</w:t>
        </w:r>
      </w:hyperlink>
      <w:r w:rsidRPr="004C213B">
        <w:rPr>
          <w:rFonts w:ascii="David" w:hAnsi="David"/>
          <w:b/>
          <w:bCs/>
          <w:sz w:val="26"/>
          <w:szCs w:val="26"/>
          <w:rtl/>
        </w:rPr>
        <w:t xml:space="preserve"> – </w:t>
      </w:r>
      <w:r w:rsidRPr="004C213B">
        <w:rPr>
          <w:rFonts w:ascii="David" w:hAnsi="David"/>
          <w:sz w:val="26"/>
          <w:szCs w:val="26"/>
          <w:rtl/>
        </w:rPr>
        <w:t xml:space="preserve">בין הנסיבות הקשורות בביצוע העבירה יש לשקול את אלה, לעניין קביעת המתחם: מדובר בעבירות שבוצעו בצוותא, בתחכום ומתוך חלוקת תפקידים ובתכנון מראש – אלו הן נסיבות לחומרא; הנאשם </w:t>
      </w:r>
      <w:r>
        <w:rPr>
          <w:rFonts w:ascii="David" w:hAnsi="David" w:hint="cs"/>
          <w:sz w:val="26"/>
          <w:szCs w:val="26"/>
          <w:rtl/>
        </w:rPr>
        <w:t xml:space="preserve">היווה </w:t>
      </w:r>
      <w:r w:rsidRPr="004C213B">
        <w:rPr>
          <w:rFonts w:ascii="David" w:hAnsi="David"/>
          <w:sz w:val="26"/>
          <w:szCs w:val="26"/>
          <w:rtl/>
        </w:rPr>
        <w:t>חוליה הכרחית בשרשרת ביצוע העבירה כמתואר בכתב האישום, גם אם חלקו קטן משל שותפו שהיה דומיננטי יותר; סחר בסמים גורם לנזק בהרחיבו את מעגל המשתמשים, ולנוכח היקף העסקאות וש</w:t>
      </w:r>
      <w:r>
        <w:rPr>
          <w:rFonts w:ascii="David" w:hAnsi="David" w:hint="cs"/>
          <w:sz w:val="26"/>
          <w:szCs w:val="26"/>
          <w:rtl/>
        </w:rPr>
        <w:t>י</w:t>
      </w:r>
      <w:r w:rsidRPr="004C213B">
        <w:rPr>
          <w:rFonts w:ascii="David" w:hAnsi="David"/>
          <w:sz w:val="26"/>
          <w:szCs w:val="26"/>
          <w:rtl/>
        </w:rPr>
        <w:t>טתיותן, סביר להניח שאכן נגרם נזק לחברה. עם זאת, יש לזכור שמדובר בסם מסוג "קנביס", שנחשב לסם "קל" יותר בהשוואה לסמים אחרים ובעניינו קיימת מחלוקת ציבורית ואף קיימת רפורמה המתירה שימוש עצמי בנסיבות מסוימות, אך בוודאי שאין כל הצדקה לסחר גם בסוג זה של סם</w:t>
      </w:r>
      <w:r>
        <w:rPr>
          <w:rFonts w:ascii="David" w:hAnsi="David" w:hint="cs"/>
          <w:sz w:val="26"/>
          <w:szCs w:val="26"/>
          <w:rtl/>
        </w:rPr>
        <w:t xml:space="preserve"> כפי שעמד על כך בית המשפט העליון לא אחת</w:t>
      </w:r>
      <w:r w:rsidRPr="004C213B">
        <w:rPr>
          <w:rFonts w:ascii="David" w:hAnsi="David"/>
          <w:sz w:val="26"/>
          <w:szCs w:val="26"/>
          <w:rtl/>
        </w:rPr>
        <w:t xml:space="preserve">; המניע למעשים </w:t>
      </w:r>
      <w:r>
        <w:rPr>
          <w:rFonts w:ascii="David" w:hAnsi="David" w:hint="cs"/>
          <w:sz w:val="26"/>
          <w:szCs w:val="26"/>
          <w:rtl/>
        </w:rPr>
        <w:t>היה</w:t>
      </w:r>
      <w:r w:rsidRPr="004C213B">
        <w:rPr>
          <w:rFonts w:ascii="David" w:hAnsi="David"/>
          <w:sz w:val="26"/>
          <w:szCs w:val="26"/>
          <w:rtl/>
        </w:rPr>
        <w:t xml:space="preserve"> מצוקה כלכלית בשל משבר הקורונה, אך </w:t>
      </w:r>
      <w:r>
        <w:rPr>
          <w:rFonts w:ascii="David" w:hAnsi="David" w:hint="cs"/>
          <w:sz w:val="26"/>
          <w:szCs w:val="26"/>
          <w:rtl/>
        </w:rPr>
        <w:t xml:space="preserve">אין </w:t>
      </w:r>
      <w:r w:rsidRPr="004C213B">
        <w:rPr>
          <w:rFonts w:ascii="David" w:hAnsi="David"/>
          <w:sz w:val="26"/>
          <w:szCs w:val="26"/>
          <w:rtl/>
        </w:rPr>
        <w:t xml:space="preserve">בכך להצדיק את המעשים; הנאשם בוגר ובעל משפחה והיה מצופה ממנו כי </w:t>
      </w:r>
      <w:r>
        <w:rPr>
          <w:rFonts w:ascii="David" w:hAnsi="David" w:hint="cs"/>
          <w:sz w:val="26"/>
          <w:szCs w:val="26"/>
          <w:rtl/>
        </w:rPr>
        <w:t>י</w:t>
      </w:r>
      <w:r w:rsidRPr="004C213B">
        <w:rPr>
          <w:rFonts w:ascii="David" w:hAnsi="David"/>
          <w:sz w:val="26"/>
          <w:szCs w:val="26"/>
          <w:rtl/>
        </w:rPr>
        <w:t>ימנע מביצוע העבירות.</w:t>
      </w:r>
    </w:p>
    <w:p w14:paraId="042488D1" w14:textId="77777777" w:rsidR="00937E40" w:rsidRPr="004C213B" w:rsidRDefault="00937E40" w:rsidP="00937E40">
      <w:pPr>
        <w:spacing w:line="360" w:lineRule="auto"/>
        <w:jc w:val="both"/>
        <w:rPr>
          <w:rFonts w:ascii="David" w:hAnsi="David"/>
          <w:b/>
          <w:bCs/>
          <w:sz w:val="26"/>
          <w:szCs w:val="26"/>
          <w:u w:val="single"/>
          <w:rtl/>
        </w:rPr>
      </w:pPr>
    </w:p>
    <w:p w14:paraId="08A175B9"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מדיניות הענישה הנוהגת</w:t>
      </w:r>
      <w:r w:rsidRPr="004C213B">
        <w:rPr>
          <w:rFonts w:ascii="David" w:hAnsi="David"/>
          <w:b/>
          <w:bCs/>
          <w:sz w:val="26"/>
          <w:szCs w:val="26"/>
          <w:rtl/>
        </w:rPr>
        <w:t xml:space="preserve"> – </w:t>
      </w:r>
      <w:r w:rsidRPr="004C213B">
        <w:rPr>
          <w:rFonts w:ascii="David" w:hAnsi="David"/>
          <w:sz w:val="26"/>
          <w:szCs w:val="26"/>
          <w:rtl/>
        </w:rPr>
        <w:t>כאמור, הכלל בעבירות של סחר בסמים הוא מאסר ממש. יחד עם זאת</w:t>
      </w:r>
      <w:r w:rsidRPr="004C213B">
        <w:rPr>
          <w:rFonts w:ascii="David" w:hAnsi="David"/>
          <w:b/>
          <w:bCs/>
          <w:sz w:val="26"/>
          <w:szCs w:val="26"/>
          <w:rtl/>
        </w:rPr>
        <w:t xml:space="preserve"> </w:t>
      </w:r>
      <w:r w:rsidRPr="004C213B">
        <w:rPr>
          <w:rFonts w:ascii="David" w:hAnsi="David"/>
          <w:sz w:val="26"/>
          <w:szCs w:val="26"/>
          <w:rtl/>
        </w:rPr>
        <w:t>הפסיקה מגוונת כתוצאה משוני בנסיבות המעשה ובנסיבותיו של העושה, שכן כידוע, הפסיקה לעולם אינדיבידואלית. ב</w:t>
      </w:r>
      <w:hyperlink r:id="rId44" w:history="1">
        <w:r w:rsidR="00C75044" w:rsidRPr="00C75044">
          <w:rPr>
            <w:rFonts w:ascii="David" w:hAnsi="David"/>
            <w:color w:val="0000FF"/>
            <w:sz w:val="26"/>
            <w:szCs w:val="26"/>
            <w:u w:val="single"/>
            <w:rtl/>
          </w:rPr>
          <w:t>רע"פ 1370/17</w:t>
        </w:r>
      </w:hyperlink>
      <w:r w:rsidRPr="004C213B">
        <w:rPr>
          <w:rFonts w:ascii="David" w:hAnsi="David"/>
          <w:sz w:val="26"/>
          <w:szCs w:val="26"/>
          <w:rtl/>
        </w:rPr>
        <w:t xml:space="preserve"> </w:t>
      </w:r>
      <w:r w:rsidRPr="004C213B">
        <w:rPr>
          <w:rFonts w:ascii="David" w:hAnsi="David"/>
          <w:b/>
          <w:bCs/>
          <w:sz w:val="26"/>
          <w:szCs w:val="26"/>
          <w:u w:val="single"/>
          <w:rtl/>
        </w:rPr>
        <w:t>בן נעים</w:t>
      </w:r>
      <w:r w:rsidRPr="004C213B">
        <w:rPr>
          <w:rFonts w:ascii="David" w:hAnsi="David"/>
          <w:sz w:val="26"/>
          <w:szCs w:val="26"/>
          <w:rtl/>
        </w:rPr>
        <w:t xml:space="preserve"> נ' </w:t>
      </w:r>
      <w:r w:rsidRPr="004C213B">
        <w:rPr>
          <w:rFonts w:ascii="David" w:hAnsi="David"/>
          <w:b/>
          <w:bCs/>
          <w:sz w:val="26"/>
          <w:szCs w:val="26"/>
          <w:u w:val="single"/>
          <w:rtl/>
        </w:rPr>
        <w:t>מ"י</w:t>
      </w:r>
      <w:r w:rsidRPr="004C213B">
        <w:rPr>
          <w:rFonts w:ascii="David" w:hAnsi="David"/>
          <w:sz w:val="26"/>
          <w:szCs w:val="26"/>
          <w:rtl/>
        </w:rPr>
        <w:t xml:space="preserve"> (מיום 20.4.2017) אושר מתחם שבין 12 ל-24 חודשי מאסר בנסיבות של ריבוי מקרי סחר בחשיש, אם כי בכמויות גדולות, לרבות פלטה,  ושם נגזרו על נאשם שהואשם בעבירות נוספות  16 חודשי מאסר; ב</w:t>
      </w:r>
      <w:hyperlink r:id="rId45" w:history="1">
        <w:r w:rsidR="00C75044" w:rsidRPr="00C75044">
          <w:rPr>
            <w:rFonts w:ascii="David" w:hAnsi="David"/>
            <w:color w:val="0000FF"/>
            <w:sz w:val="26"/>
            <w:szCs w:val="26"/>
            <w:u w:val="single"/>
            <w:rtl/>
          </w:rPr>
          <w:t>עפ"ג (חיפה) 53901-05-15</w:t>
        </w:r>
      </w:hyperlink>
      <w:r w:rsidRPr="004C213B">
        <w:rPr>
          <w:rFonts w:ascii="David" w:hAnsi="David"/>
          <w:sz w:val="26"/>
          <w:szCs w:val="26"/>
          <w:rtl/>
        </w:rPr>
        <w:t xml:space="preserve"> </w:t>
      </w:r>
      <w:r w:rsidRPr="004C213B">
        <w:rPr>
          <w:rFonts w:ascii="David" w:hAnsi="David"/>
          <w:b/>
          <w:bCs/>
          <w:sz w:val="26"/>
          <w:szCs w:val="26"/>
          <w:u w:val="single"/>
          <w:rtl/>
        </w:rPr>
        <w:t>איטח</w:t>
      </w:r>
      <w:r w:rsidRPr="004C213B">
        <w:rPr>
          <w:rFonts w:ascii="David" w:hAnsi="David"/>
          <w:sz w:val="26"/>
          <w:szCs w:val="26"/>
          <w:rtl/>
        </w:rPr>
        <w:t xml:space="preserve"> נ' </w:t>
      </w:r>
      <w:r w:rsidRPr="004C213B">
        <w:rPr>
          <w:rFonts w:ascii="David" w:hAnsi="David"/>
          <w:b/>
          <w:bCs/>
          <w:sz w:val="26"/>
          <w:szCs w:val="26"/>
          <w:u w:val="single"/>
          <w:rtl/>
        </w:rPr>
        <w:t>מ"</w:t>
      </w:r>
      <w:r w:rsidRPr="004C213B">
        <w:rPr>
          <w:rFonts w:ascii="David" w:hAnsi="David"/>
          <w:sz w:val="26"/>
          <w:szCs w:val="26"/>
          <w:u w:val="single"/>
          <w:rtl/>
        </w:rPr>
        <w:t>י</w:t>
      </w:r>
      <w:r w:rsidRPr="004C213B">
        <w:rPr>
          <w:rFonts w:ascii="David" w:hAnsi="David"/>
          <w:sz w:val="26"/>
          <w:szCs w:val="26"/>
          <w:rtl/>
        </w:rPr>
        <w:t xml:space="preserve"> (מיום 20.7.2015) נגזרו על נאשמת 200 שעות של"ץ מאסר על תנאי וצו מבחן בנסיבות של סיוע ל-3 עבירות סחר במריחואנה, שם נקבע מתחם שבין 6 ל-18 חודשי מאסר; ב</w:t>
      </w:r>
      <w:hyperlink r:id="rId46" w:history="1">
        <w:r w:rsidR="00C75044" w:rsidRPr="00C75044">
          <w:rPr>
            <w:rFonts w:ascii="David" w:hAnsi="David"/>
            <w:color w:val="0000FF"/>
            <w:sz w:val="26"/>
            <w:szCs w:val="26"/>
            <w:u w:val="single"/>
            <w:rtl/>
          </w:rPr>
          <w:t>עפ"ג (י-ם) 10175-02-16</w:t>
        </w:r>
      </w:hyperlink>
      <w:r w:rsidRPr="004C213B">
        <w:rPr>
          <w:rFonts w:ascii="David" w:hAnsi="David"/>
          <w:sz w:val="26"/>
          <w:szCs w:val="26"/>
          <w:rtl/>
        </w:rPr>
        <w:t xml:space="preserve"> </w:t>
      </w:r>
      <w:r w:rsidRPr="004C213B">
        <w:rPr>
          <w:rFonts w:ascii="David" w:hAnsi="David"/>
          <w:b/>
          <w:bCs/>
          <w:sz w:val="26"/>
          <w:szCs w:val="26"/>
          <w:u w:val="single"/>
          <w:rtl/>
        </w:rPr>
        <w:t xml:space="preserve">מ"י </w:t>
      </w:r>
      <w:r w:rsidRPr="004C213B">
        <w:rPr>
          <w:rFonts w:ascii="David" w:hAnsi="David"/>
          <w:sz w:val="26"/>
          <w:szCs w:val="26"/>
          <w:rtl/>
        </w:rPr>
        <w:t xml:space="preserve">נ' </w:t>
      </w:r>
      <w:r w:rsidRPr="004C213B">
        <w:rPr>
          <w:rFonts w:ascii="David" w:hAnsi="David"/>
          <w:b/>
          <w:bCs/>
          <w:sz w:val="26"/>
          <w:szCs w:val="26"/>
          <w:u w:val="single"/>
          <w:rtl/>
        </w:rPr>
        <w:t>דייני</w:t>
      </w:r>
      <w:r w:rsidRPr="004C213B">
        <w:rPr>
          <w:rFonts w:ascii="David" w:hAnsi="David"/>
          <w:sz w:val="26"/>
          <w:szCs w:val="26"/>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352DEBBC" w14:textId="77777777" w:rsidR="00937E40" w:rsidRPr="004C213B" w:rsidRDefault="00937E40" w:rsidP="00937E40">
      <w:pPr>
        <w:spacing w:line="360" w:lineRule="auto"/>
        <w:jc w:val="both"/>
        <w:rPr>
          <w:rFonts w:ascii="David" w:hAnsi="David"/>
          <w:sz w:val="26"/>
          <w:szCs w:val="26"/>
          <w:u w:val="single"/>
          <w:rtl/>
        </w:rPr>
      </w:pPr>
    </w:p>
    <w:p w14:paraId="3DB9679C"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מתחם הענישה</w:t>
      </w:r>
      <w:r w:rsidRPr="004C213B">
        <w:rPr>
          <w:rFonts w:ascii="David" w:hAnsi="David"/>
          <w:sz w:val="26"/>
          <w:szCs w:val="26"/>
          <w:rtl/>
        </w:rPr>
        <w:t xml:space="preserve"> – לפיכך, בנסיבות המקרה שלפניי, מתחם הענישה צריך לעמוד על בין 6 ל-18 חודשי מאסר לרבות אפשרות ריצוי המאסר בדרך של עבודות שירות, כאשר קבעתי כי יש לראות באישומים כאירוע יחיד בהתאם לנקבע ב</w:t>
      </w:r>
      <w:hyperlink r:id="rId47" w:history="1">
        <w:r w:rsidR="00C75044" w:rsidRPr="00C75044">
          <w:rPr>
            <w:rFonts w:ascii="David" w:hAnsi="David"/>
            <w:color w:val="0000FF"/>
            <w:sz w:val="26"/>
            <w:szCs w:val="26"/>
            <w:u w:val="single"/>
            <w:rtl/>
          </w:rPr>
          <w:t>ע"פ 4910/13</w:t>
        </w:r>
      </w:hyperlink>
      <w:r w:rsidRPr="004C213B">
        <w:rPr>
          <w:rFonts w:ascii="David" w:hAnsi="David"/>
          <w:sz w:val="26"/>
          <w:szCs w:val="26"/>
          <w:rtl/>
        </w:rPr>
        <w:t xml:space="preserve"> </w:t>
      </w:r>
      <w:r w:rsidRPr="004C213B">
        <w:rPr>
          <w:rFonts w:ascii="David" w:hAnsi="David"/>
          <w:b/>
          <w:bCs/>
          <w:sz w:val="26"/>
          <w:szCs w:val="26"/>
          <w:u w:val="single"/>
          <w:rtl/>
        </w:rPr>
        <w:t xml:space="preserve">בני ג'אבר </w:t>
      </w:r>
      <w:r w:rsidRPr="004C213B">
        <w:rPr>
          <w:rFonts w:ascii="David" w:hAnsi="David"/>
          <w:sz w:val="26"/>
          <w:szCs w:val="26"/>
          <w:rtl/>
        </w:rPr>
        <w:t xml:space="preserve"> נ' </w:t>
      </w:r>
      <w:r w:rsidRPr="004C213B">
        <w:rPr>
          <w:rFonts w:ascii="David" w:hAnsi="David"/>
          <w:b/>
          <w:bCs/>
          <w:sz w:val="26"/>
          <w:szCs w:val="26"/>
          <w:u w:val="single"/>
          <w:rtl/>
        </w:rPr>
        <w:t>מ"י</w:t>
      </w:r>
      <w:r w:rsidRPr="004C213B">
        <w:rPr>
          <w:rFonts w:ascii="David" w:hAnsi="David"/>
          <w:sz w:val="26"/>
          <w:szCs w:val="26"/>
          <w:rtl/>
        </w:rPr>
        <w:t xml:space="preserve"> (מיום 29.10.2014) </w:t>
      </w:r>
    </w:p>
    <w:p w14:paraId="0CC89D1F" w14:textId="77777777" w:rsidR="00937E40" w:rsidRPr="004C213B" w:rsidRDefault="00937E40" w:rsidP="00937E40">
      <w:pPr>
        <w:spacing w:line="360" w:lineRule="auto"/>
        <w:jc w:val="both"/>
        <w:rPr>
          <w:rFonts w:ascii="David" w:hAnsi="David"/>
          <w:b/>
          <w:bCs/>
          <w:sz w:val="26"/>
          <w:szCs w:val="26"/>
          <w:rtl/>
        </w:rPr>
      </w:pPr>
    </w:p>
    <w:p w14:paraId="074072C0"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 xml:space="preserve">נסיבות שאינן קשורות בביצוע העבירה לפי </w:t>
      </w:r>
      <w:hyperlink r:id="rId48" w:history="1">
        <w:r w:rsidR="007D0F92" w:rsidRPr="007D0F92">
          <w:rPr>
            <w:rStyle w:val="Hyperlink"/>
            <w:rFonts w:ascii="David" w:hAnsi="David"/>
            <w:b/>
            <w:bCs/>
            <w:sz w:val="26"/>
            <w:szCs w:val="26"/>
            <w:rtl/>
          </w:rPr>
          <w:t>סעיף 40י"א</w:t>
        </w:r>
      </w:hyperlink>
      <w:r w:rsidRPr="004C213B">
        <w:rPr>
          <w:rFonts w:ascii="David" w:hAnsi="David"/>
          <w:b/>
          <w:bCs/>
          <w:sz w:val="26"/>
          <w:szCs w:val="26"/>
          <w:u w:val="single"/>
          <w:rtl/>
        </w:rPr>
        <w:t xml:space="preserve"> ל</w:t>
      </w:r>
      <w:hyperlink r:id="rId49" w:history="1">
        <w:r w:rsidR="00C75044" w:rsidRPr="00C75044">
          <w:rPr>
            <w:rFonts w:ascii="David" w:hAnsi="David"/>
            <w:b/>
            <w:bCs/>
            <w:color w:val="0000FF"/>
            <w:sz w:val="26"/>
            <w:szCs w:val="26"/>
            <w:u w:val="single"/>
            <w:rtl/>
          </w:rPr>
          <w:t>חוק העונשין</w:t>
        </w:r>
      </w:hyperlink>
      <w:r w:rsidRPr="004C213B">
        <w:rPr>
          <w:rFonts w:ascii="David" w:hAnsi="David"/>
          <w:b/>
          <w:bCs/>
          <w:sz w:val="26"/>
          <w:szCs w:val="26"/>
          <w:rtl/>
        </w:rPr>
        <w:t xml:space="preserve"> – </w:t>
      </w:r>
      <w:r w:rsidRPr="004C213B">
        <w:rPr>
          <w:rFonts w:ascii="David" w:hAnsi="David"/>
          <w:sz w:val="26"/>
          <w:szCs w:val="26"/>
          <w:rtl/>
        </w:rPr>
        <w:t>ניתן  לתת משקל לנסיבות הבאות שאינן קשורות בביצוע העבירה, במסגרת גזירת העונש בתוך המתחם: הנאשם צעיר יחסית ללא עבר פלילי, שעד להסתבכותו בתיק הנוכחי ניהל אורח חיים נורמטיבי; משפחתו נורמטיבית ותומכת; הנאשם מעולם לא ריצה עונש מאסר ואך ברור שעונש שכזה יפגע בו בטווח הקצר והארוך כאחד</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בו ובבנות משפחתו הסומכות עליו כמפרנס יחיד. לכך יש להוסיף את המצב המשפחתי העדין, הרגיש והייחודי עליו עמדתי בסקירת התסקירים, הכולל משמורת על בתו מנישואים קודמים, כאשר נסיבות המשמורת הן חריגות ורגישות. ניתוק האב מבתו זו כעת יהיה קטסטרופלי מבחינת עתידה של הילדה. כמו כן מסר הנאשם על אודות מצבה הרגיש של אשתו ואף זהו שיקול משמעותי שיש לקחת בחשבון;</w:t>
      </w:r>
      <w:r w:rsidRPr="004C213B">
        <w:rPr>
          <w:rFonts w:ascii="David" w:hAnsi="David"/>
          <w:sz w:val="26"/>
          <w:szCs w:val="26"/>
          <w:rtl/>
        </w:rPr>
        <w:t xml:space="preserve"> הנאשם שהה במעצר ושוחרר לתנאים מגבילים אותם לא הפר, ולכן הוקלו לאורך זמן, כאשר הוא משתף פעולה עם שירות המבחן באופן מלא וראוי לציון; נטילת האחריות של הנאשם מלאה.</w:t>
      </w:r>
      <w:r>
        <w:rPr>
          <w:rFonts w:ascii="David" w:hAnsi="David" w:hint="cs"/>
          <w:sz w:val="26"/>
          <w:szCs w:val="26"/>
          <w:rtl/>
        </w:rPr>
        <w:t xml:space="preserve"> בנוסף אציין כי גם בתקופת הדחיה הנאשם המשיך בדרכו הטובה, ולטעמי הוכיח יכולת להשתקם ופוטנציאל שימור התהליך בו הוא נמצא, ולו מטעם אחד פשוט </w:t>
      </w:r>
      <w:r>
        <w:rPr>
          <w:rFonts w:ascii="David" w:hAnsi="David"/>
          <w:sz w:val="26"/>
          <w:szCs w:val="26"/>
          <w:rtl/>
        </w:rPr>
        <w:t>–</w:t>
      </w:r>
      <w:r>
        <w:rPr>
          <w:rFonts w:ascii="David" w:hAnsi="David" w:hint="cs"/>
          <w:sz w:val="26"/>
          <w:szCs w:val="26"/>
          <w:rtl/>
        </w:rPr>
        <w:t xml:space="preserve"> הוא עלול להפסיד את כל עולמו ומשפחתו אם ייכשל שוב. לטעמי זהו הגורם המרתיע העיקרי בעניינו של הנאשם. </w:t>
      </w:r>
    </w:p>
    <w:p w14:paraId="4E7EE3F9" w14:textId="77777777" w:rsidR="00937E40" w:rsidRPr="004C213B" w:rsidRDefault="00937E40" w:rsidP="00937E40">
      <w:pPr>
        <w:spacing w:line="360" w:lineRule="auto"/>
        <w:jc w:val="both"/>
        <w:rPr>
          <w:rFonts w:ascii="David" w:hAnsi="David"/>
          <w:sz w:val="26"/>
          <w:szCs w:val="26"/>
          <w:rtl/>
        </w:rPr>
      </w:pPr>
    </w:p>
    <w:p w14:paraId="74FCB872" w14:textId="77777777" w:rsidR="00937E40" w:rsidRPr="004C213B" w:rsidRDefault="00937E40" w:rsidP="00937E40">
      <w:pPr>
        <w:spacing w:line="360" w:lineRule="auto"/>
        <w:jc w:val="both"/>
        <w:rPr>
          <w:rFonts w:ascii="David" w:hAnsi="David"/>
          <w:sz w:val="26"/>
          <w:szCs w:val="26"/>
          <w:rtl/>
        </w:rPr>
      </w:pPr>
      <w:r w:rsidRPr="004C213B">
        <w:rPr>
          <w:rFonts w:ascii="David" w:hAnsi="David"/>
          <w:b/>
          <w:bCs/>
          <w:sz w:val="26"/>
          <w:szCs w:val="26"/>
          <w:u w:val="single"/>
          <w:rtl/>
        </w:rPr>
        <w:t>המיקום במתחם</w:t>
      </w:r>
      <w:r w:rsidRPr="004C213B">
        <w:rPr>
          <w:rFonts w:ascii="David" w:hAnsi="David"/>
          <w:sz w:val="26"/>
          <w:szCs w:val="26"/>
          <w:rtl/>
        </w:rPr>
        <w:t xml:space="preserve"> – </w:t>
      </w:r>
      <w:r>
        <w:rPr>
          <w:rFonts w:ascii="David" w:hAnsi="David" w:hint="cs"/>
          <w:sz w:val="26"/>
          <w:szCs w:val="26"/>
          <w:rtl/>
        </w:rPr>
        <w:t xml:space="preserve">אלמלא נסיבותיו האישיות החריגות של הנאשם והמשמעות ההרסנית של שליחתו למאסר ולו בעבודות שירות, בעיקר כלפי התא המשפחתי המורכב שלו, היה מקום לגזור עליו מאסר בעבודות שירות למלוא התקופה. אלא שלטעמי הנאשם צולח את המבחנים הנוגעים לשיקום כפי שעמדתי עליהם לעיל. לכן אחרוג מטעמי שיקום ואסתפק בהטלת עונש של של"ץ נרחב מזה שהמליץ שירות המבחן וענישה נוספת. </w:t>
      </w:r>
    </w:p>
    <w:p w14:paraId="1E3CEA52" w14:textId="77777777" w:rsidR="00937E40" w:rsidRPr="004C213B" w:rsidRDefault="00937E40" w:rsidP="00937E40">
      <w:pPr>
        <w:spacing w:line="360" w:lineRule="auto"/>
        <w:jc w:val="both"/>
        <w:rPr>
          <w:rFonts w:ascii="David" w:hAnsi="David"/>
          <w:b/>
          <w:bCs/>
          <w:sz w:val="26"/>
          <w:szCs w:val="26"/>
          <w:u w:val="single"/>
          <w:rtl/>
        </w:rPr>
      </w:pPr>
    </w:p>
    <w:p w14:paraId="21F61DD6" w14:textId="77777777" w:rsidR="00937E40" w:rsidRPr="004C213B" w:rsidRDefault="00937E40" w:rsidP="00937E40">
      <w:pPr>
        <w:spacing w:line="360" w:lineRule="auto"/>
        <w:jc w:val="both"/>
        <w:rPr>
          <w:rFonts w:ascii="David" w:hAnsi="David"/>
          <w:b/>
          <w:bCs/>
          <w:sz w:val="26"/>
          <w:szCs w:val="26"/>
          <w:u w:val="single"/>
          <w:rtl/>
        </w:rPr>
      </w:pPr>
      <w:r w:rsidRPr="004C213B">
        <w:rPr>
          <w:rFonts w:ascii="David" w:hAnsi="David"/>
          <w:b/>
          <w:bCs/>
          <w:sz w:val="26"/>
          <w:szCs w:val="26"/>
          <w:u w:val="single"/>
          <w:rtl/>
        </w:rPr>
        <w:t>גזירת הדין</w:t>
      </w:r>
    </w:p>
    <w:p w14:paraId="79E3709B" w14:textId="77777777" w:rsidR="00937E40" w:rsidRPr="004C213B" w:rsidRDefault="00937E40" w:rsidP="00937E40">
      <w:pPr>
        <w:spacing w:line="360" w:lineRule="auto"/>
        <w:jc w:val="both"/>
        <w:rPr>
          <w:rFonts w:ascii="David" w:hAnsi="David"/>
          <w:sz w:val="26"/>
          <w:szCs w:val="26"/>
          <w:rtl/>
        </w:rPr>
      </w:pPr>
      <w:r w:rsidRPr="004C213B">
        <w:rPr>
          <w:rFonts w:ascii="David" w:hAnsi="David"/>
          <w:sz w:val="26"/>
          <w:szCs w:val="26"/>
          <w:rtl/>
        </w:rPr>
        <w:t>לפיכך, אני מחליט לגזור על הנאשם את העונשים הבאים:</w:t>
      </w:r>
    </w:p>
    <w:p w14:paraId="2563F0A8" w14:textId="77777777" w:rsidR="00937E40" w:rsidRDefault="00937E40" w:rsidP="00937E40">
      <w:pPr>
        <w:numPr>
          <w:ilvl w:val="0"/>
          <w:numId w:val="1"/>
        </w:numPr>
        <w:spacing w:after="160" w:line="360" w:lineRule="auto"/>
        <w:contextualSpacing/>
        <w:jc w:val="both"/>
        <w:rPr>
          <w:rFonts w:ascii="David" w:hAnsi="David"/>
          <w:sz w:val="26"/>
          <w:szCs w:val="26"/>
        </w:rPr>
      </w:pPr>
      <w:r>
        <w:rPr>
          <w:rFonts w:ascii="David" w:hAnsi="David" w:hint="cs"/>
          <w:sz w:val="26"/>
          <w:szCs w:val="26"/>
          <w:rtl/>
        </w:rPr>
        <w:t>500 שעות שירות לתועלת הציבור. העבודות יבוצעו במשך שנתיים ע"פ תוכנית שיכין שירות המבחן ובפיקוחו. התוכנית תוגש בתוך חודש;</w:t>
      </w:r>
    </w:p>
    <w:p w14:paraId="06142ABC" w14:textId="77777777" w:rsidR="00937E40" w:rsidRPr="004C213B" w:rsidRDefault="00937E40" w:rsidP="00937E40">
      <w:pPr>
        <w:numPr>
          <w:ilvl w:val="0"/>
          <w:numId w:val="1"/>
        </w:numPr>
        <w:spacing w:after="160" w:line="360" w:lineRule="auto"/>
        <w:contextualSpacing/>
        <w:jc w:val="both"/>
        <w:rPr>
          <w:rFonts w:ascii="David" w:hAnsi="David"/>
          <w:sz w:val="26"/>
          <w:szCs w:val="26"/>
          <w:rtl/>
        </w:rPr>
      </w:pPr>
      <w:r w:rsidRPr="004C213B">
        <w:rPr>
          <w:rFonts w:ascii="David" w:hAnsi="David"/>
          <w:sz w:val="26"/>
          <w:szCs w:val="26"/>
          <w:rtl/>
        </w:rPr>
        <w:t>חודשיים מאסר שלא ירוצו, אלא אם יעבור הנאשם כל עבירת עוון לפי פקודת הסמים בתוך שלוש שנים מ</w:t>
      </w:r>
      <w:r>
        <w:rPr>
          <w:rFonts w:ascii="David" w:hAnsi="David" w:hint="cs"/>
          <w:sz w:val="26"/>
          <w:szCs w:val="26"/>
          <w:rtl/>
        </w:rPr>
        <w:t>ה</w:t>
      </w:r>
      <w:r w:rsidRPr="004C213B">
        <w:rPr>
          <w:rFonts w:ascii="David" w:hAnsi="David"/>
          <w:sz w:val="26"/>
          <w:szCs w:val="26"/>
          <w:rtl/>
        </w:rPr>
        <w:t>יום;</w:t>
      </w:r>
    </w:p>
    <w:p w14:paraId="4EB82FA2" w14:textId="77777777" w:rsidR="00937E40" w:rsidRPr="004C213B" w:rsidRDefault="00937E40" w:rsidP="00937E40">
      <w:pPr>
        <w:numPr>
          <w:ilvl w:val="0"/>
          <w:numId w:val="1"/>
        </w:numPr>
        <w:spacing w:after="160" w:line="360" w:lineRule="auto"/>
        <w:contextualSpacing/>
        <w:jc w:val="both"/>
        <w:rPr>
          <w:rFonts w:ascii="David" w:hAnsi="David"/>
          <w:sz w:val="26"/>
          <w:szCs w:val="26"/>
          <w:rtl/>
        </w:rPr>
      </w:pPr>
      <w:r w:rsidRPr="004C213B">
        <w:rPr>
          <w:rFonts w:ascii="David" w:hAnsi="David"/>
          <w:sz w:val="26"/>
          <w:szCs w:val="26"/>
          <w:rtl/>
        </w:rPr>
        <w:t>6 חודשי מאסר שלא ירוצו, אלא אם יעבור הנאשם כל עבירת פשע לפי פקודת הסמים, וזאת בתוך שלוש שנים מ</w:t>
      </w:r>
      <w:r>
        <w:rPr>
          <w:rFonts w:ascii="David" w:hAnsi="David" w:hint="cs"/>
          <w:sz w:val="26"/>
          <w:szCs w:val="26"/>
          <w:rtl/>
        </w:rPr>
        <w:t>ה</w:t>
      </w:r>
      <w:r w:rsidRPr="004C213B">
        <w:rPr>
          <w:rFonts w:ascii="David" w:hAnsi="David"/>
          <w:sz w:val="26"/>
          <w:szCs w:val="26"/>
          <w:rtl/>
        </w:rPr>
        <w:t>יום;</w:t>
      </w:r>
    </w:p>
    <w:p w14:paraId="0B0842AE" w14:textId="77777777" w:rsidR="00937E40" w:rsidRPr="004C213B" w:rsidRDefault="00937E40" w:rsidP="00937E40">
      <w:pPr>
        <w:numPr>
          <w:ilvl w:val="0"/>
          <w:numId w:val="1"/>
        </w:numPr>
        <w:spacing w:after="160" w:line="360" w:lineRule="auto"/>
        <w:contextualSpacing/>
        <w:jc w:val="both"/>
        <w:rPr>
          <w:rFonts w:ascii="David" w:hAnsi="David"/>
          <w:sz w:val="26"/>
          <w:szCs w:val="26"/>
          <w:rtl/>
        </w:rPr>
      </w:pPr>
      <w:r w:rsidRPr="004C213B">
        <w:rPr>
          <w:rFonts w:ascii="David" w:hAnsi="David"/>
          <w:sz w:val="26"/>
          <w:szCs w:val="26"/>
          <w:rtl/>
        </w:rPr>
        <w:t>קנס בסך 5,000  ₪, או  20 ימי מאסר תמורתו אם לא ישולם. הקנס ישולם בתשלום אחד עד ליום 1.</w:t>
      </w:r>
      <w:r>
        <w:rPr>
          <w:rFonts w:ascii="David" w:hAnsi="David" w:hint="cs"/>
          <w:sz w:val="26"/>
          <w:szCs w:val="26"/>
          <w:rtl/>
        </w:rPr>
        <w:t>10</w:t>
      </w:r>
      <w:r w:rsidRPr="004C213B">
        <w:rPr>
          <w:rFonts w:ascii="David" w:hAnsi="David"/>
          <w:sz w:val="26"/>
          <w:szCs w:val="26"/>
          <w:rtl/>
        </w:rPr>
        <w:t>.2022 ויקוזז במלואו מההפקדה שבתיק, על אף כל הודעת עיקול. ככל שתיוותר יתרת חובה, תשולם כפי שקבעתי. ככל שתיוותר יתרת זכות תוחזר לנאשם בכפוף להיעדר כל הוראת עיקול;</w:t>
      </w:r>
    </w:p>
    <w:p w14:paraId="56F2C51B" w14:textId="77777777" w:rsidR="00937E40" w:rsidRDefault="00937E40" w:rsidP="00937E40">
      <w:pPr>
        <w:numPr>
          <w:ilvl w:val="0"/>
          <w:numId w:val="1"/>
        </w:numPr>
        <w:spacing w:after="160" w:line="360" w:lineRule="auto"/>
        <w:contextualSpacing/>
        <w:jc w:val="both"/>
        <w:rPr>
          <w:rFonts w:ascii="David" w:hAnsi="David"/>
          <w:sz w:val="26"/>
          <w:szCs w:val="26"/>
        </w:rPr>
      </w:pPr>
      <w:r w:rsidRPr="004C213B">
        <w:rPr>
          <w:rFonts w:ascii="David" w:hAnsi="David"/>
          <w:sz w:val="26"/>
          <w:szCs w:val="26"/>
          <w:rtl/>
        </w:rPr>
        <w:t xml:space="preserve">התחייבות בסך 5,000 ₪ שלא לעבור כל עבירה לפי פקודת הסמים במשך שנתיים מהיום. הובהר לנאשם שמשמעות ההתחייבות היא, כי אם יעבור את העבירה בתוך התקופה שצוינה, בית המשפט שיגזור את הדין </w:t>
      </w:r>
      <w:r>
        <w:rPr>
          <w:rFonts w:ascii="David" w:hAnsi="David"/>
          <w:sz w:val="26"/>
          <w:szCs w:val="26"/>
          <w:rtl/>
        </w:rPr>
        <w:t>יהא חייב לחלט את ההתחייבות כקנס</w:t>
      </w:r>
      <w:r>
        <w:rPr>
          <w:rFonts w:ascii="David" w:hAnsi="David" w:hint="cs"/>
          <w:sz w:val="26"/>
          <w:szCs w:val="26"/>
          <w:rtl/>
        </w:rPr>
        <w:t>;</w:t>
      </w:r>
    </w:p>
    <w:p w14:paraId="3A8089FB" w14:textId="77777777" w:rsidR="00937E40" w:rsidRDefault="00937E40" w:rsidP="00937E40">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מבחן לתקופה של 18 חודשים מהיום. </w:t>
      </w:r>
    </w:p>
    <w:p w14:paraId="703A2E9C" w14:textId="77777777" w:rsidR="00937E40" w:rsidRPr="000D7AB3" w:rsidRDefault="00937E40" w:rsidP="00937E40">
      <w:pPr>
        <w:spacing w:after="160" w:line="360" w:lineRule="auto"/>
        <w:ind w:left="360"/>
        <w:contextualSpacing/>
        <w:jc w:val="both"/>
        <w:rPr>
          <w:rFonts w:ascii="David" w:hAnsi="David"/>
          <w:b/>
          <w:bCs/>
          <w:sz w:val="26"/>
          <w:szCs w:val="26"/>
          <w:rtl/>
        </w:rPr>
      </w:pPr>
      <w:r w:rsidRPr="000D7AB3">
        <w:rPr>
          <w:rFonts w:ascii="David" w:hAnsi="David" w:hint="cs"/>
          <w:b/>
          <w:bCs/>
          <w:sz w:val="26"/>
          <w:szCs w:val="26"/>
          <w:rtl/>
        </w:rPr>
        <w:t xml:space="preserve">לגבי צו השל"ץ והמבחן, הוזהר הנאשם כי אם לא יבצעם כנדרש, ניתן יהיה לפתוח מחדש </w:t>
      </w:r>
    </w:p>
    <w:p w14:paraId="031AFB01" w14:textId="77777777" w:rsidR="00937E40" w:rsidRPr="000D7AB3" w:rsidRDefault="00937E40" w:rsidP="00937E40">
      <w:pPr>
        <w:spacing w:after="160" w:line="360" w:lineRule="auto"/>
        <w:ind w:left="360"/>
        <w:contextualSpacing/>
        <w:jc w:val="both"/>
        <w:rPr>
          <w:rFonts w:ascii="David" w:hAnsi="David"/>
          <w:b/>
          <w:bCs/>
          <w:sz w:val="26"/>
          <w:szCs w:val="26"/>
          <w:rtl/>
        </w:rPr>
      </w:pPr>
      <w:r w:rsidRPr="000D7AB3">
        <w:rPr>
          <w:rFonts w:ascii="David" w:hAnsi="David" w:hint="cs"/>
          <w:b/>
          <w:bCs/>
          <w:sz w:val="26"/>
          <w:szCs w:val="26"/>
          <w:rtl/>
        </w:rPr>
        <w:t>את שאלת העונש ולהטיל עליו כל עונש לרבות מאסר.</w:t>
      </w:r>
    </w:p>
    <w:p w14:paraId="3D1C113B" w14:textId="77777777" w:rsidR="00937E40" w:rsidRPr="000D7AB3" w:rsidRDefault="00937E40" w:rsidP="00937E40">
      <w:pPr>
        <w:spacing w:line="360" w:lineRule="auto"/>
        <w:rPr>
          <w:rFonts w:ascii="David" w:hAnsi="David"/>
          <w:b/>
          <w:bCs/>
          <w:sz w:val="26"/>
          <w:szCs w:val="26"/>
        </w:rPr>
      </w:pPr>
    </w:p>
    <w:p w14:paraId="78CDE34B" w14:textId="77777777" w:rsidR="00937E40" w:rsidRPr="004C213B" w:rsidRDefault="00937E40" w:rsidP="00937E40">
      <w:pPr>
        <w:spacing w:line="360" w:lineRule="auto"/>
        <w:jc w:val="both"/>
        <w:rPr>
          <w:rFonts w:ascii="David" w:hAnsi="David"/>
          <w:sz w:val="26"/>
          <w:szCs w:val="26"/>
        </w:rPr>
      </w:pPr>
      <w:r w:rsidRPr="004C213B">
        <w:rPr>
          <w:rFonts w:ascii="David" w:hAnsi="David"/>
          <w:sz w:val="26"/>
          <w:szCs w:val="26"/>
          <w:rtl/>
        </w:rPr>
        <w:t>מכריז על הנאשם סוחר סמים, ומורה על השמדת הסמים וחילוט המוצגים לרבות הכסף המזומן שנתפס. מחריג מהוראה זו את רכבו של הנאשם והטלפונים שנתפסו, בהתאם להחלטה ב</w:t>
      </w:r>
      <w:hyperlink r:id="rId50" w:history="1">
        <w:r w:rsidR="00C75044" w:rsidRPr="00C75044">
          <w:rPr>
            <w:rFonts w:ascii="David" w:hAnsi="David"/>
            <w:color w:val="0000FF"/>
            <w:sz w:val="26"/>
            <w:szCs w:val="26"/>
            <w:u w:val="single"/>
            <w:rtl/>
          </w:rPr>
          <w:t>ה"ת 67119-12-20</w:t>
        </w:r>
      </w:hyperlink>
      <w:r w:rsidRPr="004C213B">
        <w:rPr>
          <w:rFonts w:ascii="David" w:hAnsi="David"/>
          <w:sz w:val="26"/>
          <w:szCs w:val="26"/>
          <w:rtl/>
        </w:rPr>
        <w:t xml:space="preserve"> מיום 30.12.2020 שניתנה בהתבסס על הסכמת הצדדים. </w:t>
      </w:r>
    </w:p>
    <w:p w14:paraId="0D95A371" w14:textId="77777777" w:rsidR="00937E40" w:rsidRPr="004C213B" w:rsidRDefault="00937E40" w:rsidP="00937E40">
      <w:pPr>
        <w:spacing w:line="360" w:lineRule="auto"/>
        <w:rPr>
          <w:rFonts w:ascii="David" w:hAnsi="David"/>
          <w:sz w:val="26"/>
          <w:szCs w:val="26"/>
          <w:rtl/>
        </w:rPr>
      </w:pPr>
    </w:p>
    <w:p w14:paraId="40ABEECE" w14:textId="77777777" w:rsidR="00937E40" w:rsidRPr="004C213B" w:rsidRDefault="00937E40" w:rsidP="00937E40">
      <w:pPr>
        <w:spacing w:line="360" w:lineRule="auto"/>
        <w:rPr>
          <w:rFonts w:ascii="David" w:hAnsi="David"/>
          <w:sz w:val="26"/>
          <w:szCs w:val="26"/>
          <w:rtl/>
        </w:rPr>
      </w:pPr>
      <w:r w:rsidRPr="004C213B">
        <w:rPr>
          <w:rFonts w:ascii="David" w:hAnsi="David"/>
          <w:sz w:val="26"/>
          <w:szCs w:val="26"/>
          <w:rtl/>
        </w:rPr>
        <w:t>יש לשלוח לשירות המבחן ולממונה על עבודות שירות.</w:t>
      </w:r>
    </w:p>
    <w:p w14:paraId="1EF53CFD" w14:textId="77777777" w:rsidR="00937E40" w:rsidRPr="00C75044" w:rsidRDefault="00C75044" w:rsidP="00937E40">
      <w:pPr>
        <w:rPr>
          <w:rFonts w:ascii="David" w:hAnsi="David"/>
          <w:color w:val="FFFFFF"/>
          <w:sz w:val="2"/>
          <w:szCs w:val="2"/>
        </w:rPr>
      </w:pPr>
      <w:r w:rsidRPr="00C75044">
        <w:rPr>
          <w:rFonts w:ascii="David" w:hAnsi="David"/>
          <w:color w:val="FFFFFF"/>
          <w:sz w:val="2"/>
          <w:szCs w:val="2"/>
          <w:rtl/>
        </w:rPr>
        <w:t>5129371</w:t>
      </w:r>
    </w:p>
    <w:p w14:paraId="41317BD2" w14:textId="77777777" w:rsidR="00937E40" w:rsidRPr="004C213B" w:rsidRDefault="00C75044" w:rsidP="00937E40">
      <w:pPr>
        <w:rPr>
          <w:rFonts w:ascii="David" w:hAnsi="David"/>
          <w:sz w:val="26"/>
          <w:szCs w:val="26"/>
          <w:rtl/>
        </w:rPr>
      </w:pPr>
      <w:r w:rsidRPr="00C75044">
        <w:rPr>
          <w:rFonts w:ascii="David" w:hAnsi="David"/>
          <w:color w:val="FFFFFF"/>
          <w:sz w:val="2"/>
          <w:szCs w:val="2"/>
          <w:rtl/>
        </w:rPr>
        <w:t>54678313</w:t>
      </w:r>
      <w:r w:rsidR="00937E40" w:rsidRPr="004C213B">
        <w:rPr>
          <w:rFonts w:ascii="David" w:hAnsi="David"/>
          <w:sz w:val="26"/>
          <w:szCs w:val="26"/>
          <w:rtl/>
        </w:rPr>
        <w:t>זכות ערעור כחוק לבית המשפט המחוזי בירושלים בתוך 45 יום מהיום.</w:t>
      </w:r>
    </w:p>
    <w:p w14:paraId="2267ECD3" w14:textId="77777777" w:rsidR="00937E40" w:rsidRPr="004C213B" w:rsidRDefault="00937E40" w:rsidP="00937E40">
      <w:pPr>
        <w:spacing w:line="360" w:lineRule="auto"/>
        <w:jc w:val="both"/>
        <w:rPr>
          <w:rFonts w:ascii="David" w:hAnsi="David"/>
          <w:sz w:val="26"/>
          <w:szCs w:val="26"/>
        </w:rPr>
      </w:pPr>
    </w:p>
    <w:p w14:paraId="07F523B6" w14:textId="77777777" w:rsidR="00937E40" w:rsidRPr="004C213B" w:rsidRDefault="00C75044" w:rsidP="00937E40">
      <w:pPr>
        <w:rPr>
          <w:rFonts w:ascii="David" w:hAnsi="David"/>
          <w:sz w:val="26"/>
          <w:szCs w:val="26"/>
          <w:rtl/>
        </w:rPr>
      </w:pPr>
      <w:bookmarkStart w:id="8" w:name="Nitan"/>
      <w:r>
        <w:rPr>
          <w:rFonts w:ascii="David" w:hAnsi="David"/>
          <w:sz w:val="26"/>
          <w:szCs w:val="26"/>
          <w:rtl/>
        </w:rPr>
        <w:t xml:space="preserve">ניתן היום,  כ"ג בסיוון, התשפ"ב, 22 ביוני 2022 במעמד הצדדים. </w:t>
      </w:r>
      <w:bookmarkEnd w:id="8"/>
    </w:p>
    <w:p w14:paraId="6267B46A" w14:textId="77777777" w:rsidR="00937E40" w:rsidRPr="002B7D23" w:rsidRDefault="00937E40" w:rsidP="00C7504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F81224C" w14:textId="77777777" w:rsidR="00937E40" w:rsidRPr="007D0F92" w:rsidRDefault="007D0F92" w:rsidP="00937E40">
      <w:pPr>
        <w:jc w:val="center"/>
        <w:rPr>
          <w:rFonts w:ascii="David" w:hAnsi="David"/>
          <w:color w:val="FFFFFF"/>
          <w:sz w:val="2"/>
          <w:szCs w:val="2"/>
          <w:rtl/>
        </w:rPr>
      </w:pPr>
      <w:r w:rsidRPr="007D0F92">
        <w:rPr>
          <w:rFonts w:ascii="David" w:hAnsi="David"/>
          <w:color w:val="FFFFFF"/>
          <w:sz w:val="2"/>
          <w:szCs w:val="2"/>
          <w:rtl/>
        </w:rPr>
        <w:t>5129371</w:t>
      </w:r>
    </w:p>
    <w:p w14:paraId="580D84A4" w14:textId="77777777" w:rsidR="00B71A20" w:rsidRPr="007D0F92" w:rsidRDefault="007D0F92" w:rsidP="00C75044">
      <w:pPr>
        <w:keepNext/>
        <w:rPr>
          <w:rFonts w:ascii="David" w:hAnsi="David"/>
          <w:color w:val="FFFFFF"/>
          <w:sz w:val="2"/>
          <w:szCs w:val="2"/>
          <w:rtl/>
        </w:rPr>
      </w:pPr>
      <w:r w:rsidRPr="007D0F92">
        <w:rPr>
          <w:rFonts w:ascii="David" w:hAnsi="David"/>
          <w:color w:val="FFFFFF"/>
          <w:sz w:val="2"/>
          <w:szCs w:val="2"/>
          <w:rtl/>
        </w:rPr>
        <w:t>54678313</w:t>
      </w:r>
    </w:p>
    <w:p w14:paraId="19A668EA" w14:textId="77777777" w:rsidR="00C75044" w:rsidRDefault="00C75044" w:rsidP="00C75044">
      <w:pPr>
        <w:rPr>
          <w:rtl/>
        </w:rPr>
      </w:pPr>
    </w:p>
    <w:p w14:paraId="20138A9D" w14:textId="77777777" w:rsidR="00C75044" w:rsidRDefault="00C75044" w:rsidP="00C7504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8B965F4" w14:textId="77777777" w:rsidR="007D0F92" w:rsidRPr="007D0F92" w:rsidRDefault="007D0F92" w:rsidP="007D0F92">
      <w:pPr>
        <w:keepNext/>
        <w:rPr>
          <w:rFonts w:ascii="David" w:hAnsi="David"/>
          <w:color w:val="000000"/>
          <w:sz w:val="22"/>
          <w:szCs w:val="22"/>
          <w:rtl/>
        </w:rPr>
      </w:pPr>
    </w:p>
    <w:p w14:paraId="6B890EF7" w14:textId="77777777" w:rsidR="007D0F92" w:rsidRPr="007D0F92" w:rsidRDefault="007D0F92" w:rsidP="007D0F92">
      <w:pPr>
        <w:keepNext/>
        <w:rPr>
          <w:rFonts w:ascii="David" w:hAnsi="David"/>
          <w:color w:val="000000"/>
          <w:sz w:val="22"/>
          <w:szCs w:val="22"/>
          <w:rtl/>
        </w:rPr>
      </w:pPr>
      <w:r w:rsidRPr="007D0F92">
        <w:rPr>
          <w:rFonts w:ascii="David" w:hAnsi="David"/>
          <w:color w:val="000000"/>
          <w:sz w:val="22"/>
          <w:szCs w:val="22"/>
          <w:rtl/>
        </w:rPr>
        <w:t>דוד שאול גבאי ריכטר 54678313-/</w:t>
      </w:r>
    </w:p>
    <w:p w14:paraId="041004F5" w14:textId="77777777" w:rsidR="00C75044" w:rsidRPr="00C75044" w:rsidRDefault="007D0F92" w:rsidP="007D0F92">
      <w:pPr>
        <w:rPr>
          <w:color w:val="0000FF"/>
          <w:u w:val="single"/>
        </w:rPr>
      </w:pPr>
      <w:r w:rsidRPr="007D0F92">
        <w:rPr>
          <w:color w:val="000000"/>
          <w:u w:val="single"/>
          <w:rtl/>
        </w:rPr>
        <w:t>נוסח מסמך זה כפוף לשינויי ניסוח ועריכה</w:t>
      </w:r>
    </w:p>
    <w:sectPr w:rsidR="00C75044" w:rsidRPr="00C75044" w:rsidSect="007D0F9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78A6" w14:textId="77777777" w:rsidR="00B05AEE" w:rsidRDefault="00B05AEE" w:rsidP="009551F8">
      <w:r>
        <w:separator/>
      </w:r>
    </w:p>
  </w:endnote>
  <w:endnote w:type="continuationSeparator" w:id="0">
    <w:p w14:paraId="3D649714" w14:textId="77777777" w:rsidR="00B05AEE" w:rsidRDefault="00B05AEE" w:rsidP="0095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17E9" w14:textId="77777777" w:rsidR="007D0F92" w:rsidRDefault="007D0F92" w:rsidP="007D0F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DDF4A0" w14:textId="77777777" w:rsidR="005F4247" w:rsidRPr="007D0F92" w:rsidRDefault="007D0F92" w:rsidP="007D0F92">
    <w:pPr>
      <w:pStyle w:val="a5"/>
      <w:pBdr>
        <w:top w:val="single" w:sz="4" w:space="1" w:color="auto"/>
        <w:between w:val="single" w:sz="4" w:space="0" w:color="auto"/>
      </w:pBdr>
      <w:spacing w:after="60"/>
      <w:jc w:val="center"/>
      <w:rPr>
        <w:rFonts w:ascii="FrankRuehl" w:hAnsi="FrankRuehl" w:cs="FrankRuehl"/>
        <w:color w:val="000000"/>
      </w:rPr>
    </w:pPr>
    <w:r w:rsidRPr="007D0F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7C6" w14:textId="77777777" w:rsidR="007D0F92" w:rsidRDefault="007D0F92" w:rsidP="007D0F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4253">
      <w:rPr>
        <w:rFonts w:ascii="FrankRuehl" w:hAnsi="FrankRuehl" w:cs="FrankRuehl"/>
        <w:noProof/>
        <w:rtl/>
      </w:rPr>
      <w:t>1</w:t>
    </w:r>
    <w:r>
      <w:rPr>
        <w:rFonts w:ascii="FrankRuehl" w:hAnsi="FrankRuehl" w:cs="FrankRuehl"/>
        <w:rtl/>
      </w:rPr>
      <w:fldChar w:fldCharType="end"/>
    </w:r>
  </w:p>
  <w:p w14:paraId="7ACD851C" w14:textId="77777777" w:rsidR="005F4247" w:rsidRPr="007D0F92" w:rsidRDefault="007D0F92" w:rsidP="007D0F92">
    <w:pPr>
      <w:pStyle w:val="a5"/>
      <w:pBdr>
        <w:top w:val="single" w:sz="4" w:space="1" w:color="auto"/>
        <w:between w:val="single" w:sz="4" w:space="0" w:color="auto"/>
      </w:pBdr>
      <w:spacing w:after="60"/>
      <w:jc w:val="center"/>
      <w:rPr>
        <w:rFonts w:ascii="FrankRuehl" w:hAnsi="FrankRuehl" w:cs="FrankRuehl"/>
        <w:color w:val="000000"/>
      </w:rPr>
    </w:pPr>
    <w:r w:rsidRPr="007D0F92">
      <w:rPr>
        <w:rFonts w:ascii="FrankRuehl" w:hAnsi="FrankRuehl" w:cs="FrankRuehl"/>
        <w:color w:val="000000"/>
      </w:rPr>
      <w:pict w14:anchorId="6673D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E6B03" w14:textId="77777777" w:rsidR="00B05AEE" w:rsidRDefault="00B05AEE" w:rsidP="009551F8">
      <w:r>
        <w:separator/>
      </w:r>
    </w:p>
  </w:footnote>
  <w:footnote w:type="continuationSeparator" w:id="0">
    <w:p w14:paraId="4CAF2472" w14:textId="77777777" w:rsidR="00B05AEE" w:rsidRDefault="00B05AEE" w:rsidP="00955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59777" w14:textId="77777777" w:rsidR="00C75044" w:rsidRPr="007D0F92" w:rsidRDefault="007D0F92" w:rsidP="007D0F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26688-12-20</w:t>
    </w:r>
    <w:r>
      <w:rPr>
        <w:rFonts w:ascii="David" w:hAnsi="David"/>
        <w:color w:val="000000"/>
        <w:sz w:val="22"/>
        <w:szCs w:val="22"/>
        <w:rtl/>
      </w:rPr>
      <w:tab/>
      <w:t xml:space="preserve"> מדינת ישראל נ' יצחק לוינטוב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D95A8" w14:textId="77777777" w:rsidR="00C75044" w:rsidRPr="007D0F92" w:rsidRDefault="007D0F92" w:rsidP="007D0F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26688-12-20</w:t>
    </w:r>
    <w:r>
      <w:rPr>
        <w:rFonts w:ascii="David" w:hAnsi="David"/>
        <w:color w:val="000000"/>
        <w:sz w:val="22"/>
        <w:szCs w:val="22"/>
        <w:rtl/>
      </w:rPr>
      <w:tab/>
      <w:t xml:space="preserve"> מדינת ישראל נ' יצחק לוינטוב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65472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E40"/>
    <w:rsid w:val="001B5A3B"/>
    <w:rsid w:val="001B5A89"/>
    <w:rsid w:val="00555B21"/>
    <w:rsid w:val="005F4247"/>
    <w:rsid w:val="0072122A"/>
    <w:rsid w:val="007D0F92"/>
    <w:rsid w:val="00937E40"/>
    <w:rsid w:val="009551F8"/>
    <w:rsid w:val="00B05AEE"/>
    <w:rsid w:val="00B71A20"/>
    <w:rsid w:val="00C75044"/>
    <w:rsid w:val="00D0445E"/>
    <w:rsid w:val="00D503F6"/>
    <w:rsid w:val="00E3461E"/>
    <w:rsid w:val="00F84253"/>
    <w:rsid w:val="00FC5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3DFFF4"/>
  <w15:chartTrackingRefBased/>
  <w15:docId w15:val="{3D9C76CA-0ADF-4AAE-B575-F5EAE98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E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7E40"/>
    <w:pPr>
      <w:tabs>
        <w:tab w:val="center" w:pos="4153"/>
        <w:tab w:val="right" w:pos="8306"/>
      </w:tabs>
    </w:pPr>
  </w:style>
  <w:style w:type="character" w:customStyle="1" w:styleId="a4">
    <w:name w:val="כותרת עליונה תו"/>
    <w:link w:val="a3"/>
    <w:rsid w:val="00937E40"/>
    <w:rPr>
      <w:rFonts w:ascii="Times New Roman" w:eastAsia="Times New Roman" w:hAnsi="Times New Roman" w:cs="David"/>
      <w:sz w:val="24"/>
      <w:szCs w:val="24"/>
    </w:rPr>
  </w:style>
  <w:style w:type="paragraph" w:styleId="a5">
    <w:name w:val="footer"/>
    <w:basedOn w:val="a"/>
    <w:link w:val="a6"/>
    <w:rsid w:val="00937E40"/>
    <w:pPr>
      <w:tabs>
        <w:tab w:val="center" w:pos="4153"/>
        <w:tab w:val="right" w:pos="8306"/>
      </w:tabs>
    </w:pPr>
  </w:style>
  <w:style w:type="character" w:customStyle="1" w:styleId="a6">
    <w:name w:val="כותרת תחתונה תו"/>
    <w:link w:val="a5"/>
    <w:rsid w:val="00937E40"/>
    <w:rPr>
      <w:rFonts w:ascii="Times New Roman" w:eastAsia="Times New Roman" w:hAnsi="Times New Roman" w:cs="David"/>
      <w:sz w:val="24"/>
      <w:szCs w:val="24"/>
    </w:rPr>
  </w:style>
  <w:style w:type="table" w:styleId="a7">
    <w:name w:val="Table Grid"/>
    <w:basedOn w:val="a1"/>
    <w:rsid w:val="00937E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7E40"/>
  </w:style>
  <w:style w:type="character" w:styleId="Hyperlink">
    <w:name w:val="Hyperlink"/>
    <w:rsid w:val="00C75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a"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4216/19;13.a" TargetMode="External"/><Relationship Id="rId39" Type="http://schemas.openxmlformats.org/officeDocument/2006/relationships/hyperlink" Target="http://www.nevo.co.il/law/70301/29.a"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13093721" TargetMode="External"/><Relationship Id="rId50" Type="http://schemas.openxmlformats.org/officeDocument/2006/relationships/hyperlink" Target="http://www.nevo.co.il/case/27279274"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9" TargetMode="External"/><Relationship Id="rId29" Type="http://schemas.openxmlformats.org/officeDocument/2006/relationships/hyperlink" Target="http://www.nevo.co.il/law/4216/19;.13.a"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29.a" TargetMode="External"/><Relationship Id="rId32" Type="http://schemas.openxmlformats.org/officeDocument/2006/relationships/hyperlink" Target="http://www.nevo.co.il/law/4216/19;13.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0321459"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70301/29.a" TargetMode="External"/><Relationship Id="rId30" Type="http://schemas.openxmlformats.org/officeDocument/2006/relationships/hyperlink" Target="http://www.nevo.co.il/law/70301/29.a" TargetMode="External"/><Relationship Id="rId35" Type="http://schemas.openxmlformats.org/officeDocument/2006/relationships/hyperlink" Target="http://www.nevo.co.il/law/4216/13;19.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ja" TargetMode="External"/><Relationship Id="rId56" Type="http://schemas.openxmlformats.org/officeDocument/2006/relationships/fontTable" Target="fontTable.xml"/><Relationship Id="rId8" Type="http://schemas.openxmlformats.org/officeDocument/2006/relationships/hyperlink" Target="http://www.nevo.co.il/law/70301/29.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9.a" TargetMode="External"/><Relationship Id="rId38" Type="http://schemas.openxmlformats.org/officeDocument/2006/relationships/hyperlink" Target="http://www.nevo.co.il/law/4216/19;13.a" TargetMode="External"/><Relationship Id="rId46" Type="http://schemas.openxmlformats.org/officeDocument/2006/relationships/hyperlink" Target="http://www.nevo.co.il/case/20936185" TargetMode="External"/><Relationship Id="rId20" Type="http://schemas.openxmlformats.org/officeDocument/2006/relationships/hyperlink" Target="http://www.nevo.co.il/law/4216/19;13.a" TargetMode="External"/><Relationship Id="rId41" Type="http://schemas.openxmlformats.org/officeDocument/2006/relationships/hyperlink" Target="http://www.nevo.co.il/case/2382760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a" TargetMode="External"/><Relationship Id="rId23" Type="http://schemas.openxmlformats.org/officeDocument/2006/relationships/hyperlink" Target="http://www.nevo.co.il/law/4216/19;13.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29.a"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40j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240058"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2292</Words>
  <Characters>11465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13730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4063350</vt:i4>
      </vt:variant>
      <vt:variant>
        <vt:i4>129</vt:i4>
      </vt:variant>
      <vt:variant>
        <vt:i4>0</vt:i4>
      </vt:variant>
      <vt:variant>
        <vt:i4>5</vt:i4>
      </vt:variant>
      <vt:variant>
        <vt:lpwstr>http://www.nevo.co.il/case/27279274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3473526</vt:i4>
      </vt:variant>
      <vt:variant>
        <vt:i4>117</vt:i4>
      </vt:variant>
      <vt:variant>
        <vt:i4>0</vt:i4>
      </vt:variant>
      <vt:variant>
        <vt:i4>5</vt:i4>
      </vt:variant>
      <vt:variant>
        <vt:lpwstr>http://www.nevo.co.il/case/20936185</vt:lpwstr>
      </vt:variant>
      <vt:variant>
        <vt:lpwstr/>
      </vt:variant>
      <vt:variant>
        <vt:i4>3473522</vt:i4>
      </vt:variant>
      <vt:variant>
        <vt:i4>114</vt:i4>
      </vt:variant>
      <vt:variant>
        <vt:i4>0</vt:i4>
      </vt:variant>
      <vt:variant>
        <vt:i4>5</vt:i4>
      </vt:variant>
      <vt:variant>
        <vt:lpwstr>http://www.nevo.co.il/case/20321459</vt:lpwstr>
      </vt:variant>
      <vt:variant>
        <vt:lpwstr/>
      </vt:variant>
      <vt:variant>
        <vt:i4>3473522</vt:i4>
      </vt:variant>
      <vt:variant>
        <vt:i4>111</vt:i4>
      </vt:variant>
      <vt:variant>
        <vt:i4>0</vt:i4>
      </vt:variant>
      <vt:variant>
        <vt:i4>5</vt:i4>
      </vt:variant>
      <vt:variant>
        <vt:lpwstr>http://www.nevo.co.il/case/22240058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3997811</vt:i4>
      </vt:variant>
      <vt:variant>
        <vt:i4>102</vt:i4>
      </vt:variant>
      <vt:variant>
        <vt:i4>0</vt:i4>
      </vt:variant>
      <vt:variant>
        <vt:i4>5</vt:i4>
      </vt:variant>
      <vt:variant>
        <vt:lpwstr>http://www.nevo.co.il/case/23827604</vt:lpwstr>
      </vt:variant>
      <vt:variant>
        <vt:lpwstr/>
      </vt:variant>
      <vt:variant>
        <vt:i4>7995492</vt:i4>
      </vt:variant>
      <vt:variant>
        <vt:i4>99</vt:i4>
      </vt:variant>
      <vt:variant>
        <vt:i4>0</vt:i4>
      </vt:variant>
      <vt:variant>
        <vt:i4>5</vt:i4>
      </vt:variant>
      <vt:variant>
        <vt:lpwstr>http://www.nevo.co.il/law/70301</vt:lpwstr>
      </vt:variant>
      <vt:variant>
        <vt:lpwstr/>
      </vt:variant>
      <vt:variant>
        <vt:i4>852041</vt:i4>
      </vt:variant>
      <vt:variant>
        <vt:i4>96</vt:i4>
      </vt:variant>
      <vt:variant>
        <vt:i4>0</vt:i4>
      </vt:variant>
      <vt:variant>
        <vt:i4>5</vt:i4>
      </vt:variant>
      <vt:variant>
        <vt:lpwstr>http://www.nevo.co.il/law/70301/29.a</vt:lpwstr>
      </vt:variant>
      <vt:variant>
        <vt:lpwstr/>
      </vt:variant>
      <vt:variant>
        <vt:i4>2490476</vt:i4>
      </vt:variant>
      <vt:variant>
        <vt:i4>93</vt:i4>
      </vt:variant>
      <vt:variant>
        <vt:i4>0</vt:i4>
      </vt:variant>
      <vt:variant>
        <vt:i4>5</vt:i4>
      </vt:variant>
      <vt:variant>
        <vt:lpwstr>http://www.nevo.co.il/law/4216/19;13.a</vt:lpwstr>
      </vt:variant>
      <vt:variant>
        <vt:lpwstr/>
      </vt:variant>
      <vt:variant>
        <vt:i4>7995492</vt:i4>
      </vt:variant>
      <vt:variant>
        <vt:i4>90</vt:i4>
      </vt:variant>
      <vt:variant>
        <vt:i4>0</vt:i4>
      </vt:variant>
      <vt:variant>
        <vt:i4>5</vt:i4>
      </vt:variant>
      <vt:variant>
        <vt:lpwstr>http://www.nevo.co.il/law/70301</vt:lpwstr>
      </vt:variant>
      <vt:variant>
        <vt:lpwstr/>
      </vt:variant>
      <vt:variant>
        <vt:i4>852041</vt:i4>
      </vt:variant>
      <vt:variant>
        <vt:i4>87</vt:i4>
      </vt:variant>
      <vt:variant>
        <vt:i4>0</vt:i4>
      </vt:variant>
      <vt:variant>
        <vt:i4>5</vt:i4>
      </vt:variant>
      <vt:variant>
        <vt:lpwstr>http://www.nevo.co.il/law/70301/29.a</vt:lpwstr>
      </vt:variant>
      <vt:variant>
        <vt:lpwstr/>
      </vt:variant>
      <vt:variant>
        <vt:i4>2883686</vt:i4>
      </vt:variant>
      <vt:variant>
        <vt:i4>84</vt:i4>
      </vt:variant>
      <vt:variant>
        <vt:i4>0</vt:i4>
      </vt:variant>
      <vt:variant>
        <vt:i4>5</vt:i4>
      </vt:variant>
      <vt:variant>
        <vt:lpwstr>http://www.nevo.co.il/law/4216/13;19.a</vt:lpwstr>
      </vt:variant>
      <vt:variant>
        <vt:lpwstr/>
      </vt:variant>
      <vt:variant>
        <vt:i4>7995492</vt:i4>
      </vt:variant>
      <vt:variant>
        <vt:i4>81</vt:i4>
      </vt:variant>
      <vt:variant>
        <vt:i4>0</vt:i4>
      </vt:variant>
      <vt:variant>
        <vt:i4>5</vt:i4>
      </vt:variant>
      <vt:variant>
        <vt:lpwstr>http://www.nevo.co.il/law/70301</vt:lpwstr>
      </vt:variant>
      <vt:variant>
        <vt:lpwstr/>
      </vt:variant>
      <vt:variant>
        <vt:i4>852041</vt:i4>
      </vt:variant>
      <vt:variant>
        <vt:i4>78</vt:i4>
      </vt:variant>
      <vt:variant>
        <vt:i4>0</vt:i4>
      </vt:variant>
      <vt:variant>
        <vt:i4>5</vt:i4>
      </vt:variant>
      <vt:variant>
        <vt:lpwstr>http://www.nevo.co.il/law/70301/29.a</vt:lpwstr>
      </vt:variant>
      <vt:variant>
        <vt:lpwstr/>
      </vt:variant>
      <vt:variant>
        <vt:i4>2490476</vt:i4>
      </vt:variant>
      <vt:variant>
        <vt:i4>75</vt:i4>
      </vt:variant>
      <vt:variant>
        <vt:i4>0</vt:i4>
      </vt:variant>
      <vt:variant>
        <vt:i4>5</vt:i4>
      </vt:variant>
      <vt:variant>
        <vt:lpwstr>http://www.nevo.co.il/law/4216/19;13.a</vt:lpwstr>
      </vt:variant>
      <vt:variant>
        <vt:lpwstr/>
      </vt:variant>
      <vt:variant>
        <vt:i4>7995492</vt:i4>
      </vt:variant>
      <vt:variant>
        <vt:i4>72</vt:i4>
      </vt:variant>
      <vt:variant>
        <vt:i4>0</vt:i4>
      </vt:variant>
      <vt:variant>
        <vt:i4>5</vt:i4>
      </vt:variant>
      <vt:variant>
        <vt:lpwstr>http://www.nevo.co.il/law/70301</vt:lpwstr>
      </vt:variant>
      <vt:variant>
        <vt:lpwstr/>
      </vt:variant>
      <vt:variant>
        <vt:i4>852041</vt:i4>
      </vt:variant>
      <vt:variant>
        <vt:i4>69</vt:i4>
      </vt:variant>
      <vt:variant>
        <vt:i4>0</vt:i4>
      </vt:variant>
      <vt:variant>
        <vt:i4>5</vt:i4>
      </vt:variant>
      <vt:variant>
        <vt:lpwstr>http://www.nevo.co.il/law/70301/29.a</vt:lpwstr>
      </vt:variant>
      <vt:variant>
        <vt:lpwstr/>
      </vt:variant>
      <vt:variant>
        <vt:i4>7012462</vt:i4>
      </vt:variant>
      <vt:variant>
        <vt:i4>66</vt:i4>
      </vt:variant>
      <vt:variant>
        <vt:i4>0</vt:i4>
      </vt:variant>
      <vt:variant>
        <vt:i4>5</vt:i4>
      </vt:variant>
      <vt:variant>
        <vt:lpwstr>http://www.nevo.co.il/law/4216/19;.13.a</vt:lpwstr>
      </vt:variant>
      <vt:variant>
        <vt:lpwstr/>
      </vt:variant>
      <vt:variant>
        <vt:i4>7995492</vt:i4>
      </vt:variant>
      <vt:variant>
        <vt:i4>63</vt:i4>
      </vt:variant>
      <vt:variant>
        <vt:i4>0</vt:i4>
      </vt:variant>
      <vt:variant>
        <vt:i4>5</vt:i4>
      </vt:variant>
      <vt:variant>
        <vt:lpwstr>http://www.nevo.co.il/law/70301</vt:lpwstr>
      </vt:variant>
      <vt:variant>
        <vt:lpwstr/>
      </vt:variant>
      <vt:variant>
        <vt:i4>852041</vt:i4>
      </vt:variant>
      <vt:variant>
        <vt:i4>60</vt:i4>
      </vt:variant>
      <vt:variant>
        <vt:i4>0</vt:i4>
      </vt:variant>
      <vt:variant>
        <vt:i4>5</vt:i4>
      </vt:variant>
      <vt:variant>
        <vt:lpwstr>http://www.nevo.co.il/law/70301/29.a</vt:lpwstr>
      </vt:variant>
      <vt:variant>
        <vt:lpwstr/>
      </vt:variant>
      <vt:variant>
        <vt:i4>2490476</vt:i4>
      </vt:variant>
      <vt:variant>
        <vt:i4>57</vt:i4>
      </vt:variant>
      <vt:variant>
        <vt:i4>0</vt:i4>
      </vt:variant>
      <vt:variant>
        <vt:i4>5</vt:i4>
      </vt:variant>
      <vt:variant>
        <vt:lpwstr>http://www.nevo.co.il/law/4216/19;13.a</vt:lpwstr>
      </vt:variant>
      <vt:variant>
        <vt:lpwstr/>
      </vt:variant>
      <vt:variant>
        <vt:i4>7995492</vt:i4>
      </vt:variant>
      <vt:variant>
        <vt:i4>54</vt:i4>
      </vt:variant>
      <vt:variant>
        <vt:i4>0</vt:i4>
      </vt:variant>
      <vt:variant>
        <vt:i4>5</vt:i4>
      </vt:variant>
      <vt:variant>
        <vt:lpwstr>http://www.nevo.co.il/law/70301</vt:lpwstr>
      </vt:variant>
      <vt:variant>
        <vt:lpwstr/>
      </vt:variant>
      <vt:variant>
        <vt:i4>852041</vt:i4>
      </vt:variant>
      <vt:variant>
        <vt:i4>51</vt:i4>
      </vt:variant>
      <vt:variant>
        <vt:i4>0</vt:i4>
      </vt:variant>
      <vt:variant>
        <vt:i4>5</vt:i4>
      </vt:variant>
      <vt:variant>
        <vt:lpwstr>http://www.nevo.co.il/law/70301/29.a</vt:lpwstr>
      </vt:variant>
      <vt:variant>
        <vt:lpwstr/>
      </vt:variant>
      <vt:variant>
        <vt:i4>2490476</vt:i4>
      </vt:variant>
      <vt:variant>
        <vt:i4>48</vt:i4>
      </vt:variant>
      <vt:variant>
        <vt:i4>0</vt:i4>
      </vt:variant>
      <vt:variant>
        <vt:i4>5</vt:i4>
      </vt:variant>
      <vt:variant>
        <vt:lpwstr>http://www.nevo.co.il/law/4216/19;13.a</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8257637</vt:i4>
      </vt:variant>
      <vt:variant>
        <vt:i4>42</vt:i4>
      </vt:variant>
      <vt:variant>
        <vt:i4>0</vt:i4>
      </vt:variant>
      <vt:variant>
        <vt:i4>5</vt:i4>
      </vt:variant>
      <vt:variant>
        <vt:lpwstr>http://www.nevo.co.il/law/4216</vt:lpwstr>
      </vt:variant>
      <vt:variant>
        <vt:lpwstr/>
      </vt:variant>
      <vt:variant>
        <vt:i4>2490476</vt:i4>
      </vt:variant>
      <vt:variant>
        <vt:i4>39</vt:i4>
      </vt:variant>
      <vt:variant>
        <vt:i4>0</vt:i4>
      </vt:variant>
      <vt:variant>
        <vt:i4>5</vt:i4>
      </vt:variant>
      <vt:variant>
        <vt:lpwstr>http://www.nevo.co.il/law/4216/19;13.a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http://www.nevo.co.il/law/4216/19</vt:lpwstr>
      </vt:variant>
      <vt:variant>
        <vt:lpwstr/>
      </vt:variant>
      <vt:variant>
        <vt:i4>6357113</vt:i4>
      </vt:variant>
      <vt:variant>
        <vt:i4>24</vt:i4>
      </vt:variant>
      <vt:variant>
        <vt:i4>0</vt:i4>
      </vt:variant>
      <vt:variant>
        <vt:i4>5</vt:i4>
      </vt:variant>
      <vt:variant>
        <vt:lpwstr>http://www.nevo.co.il/law/4216/13.a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131157</vt:i4>
      </vt:variant>
      <vt:variant>
        <vt:i4>18</vt:i4>
      </vt:variant>
      <vt:variant>
        <vt:i4>0</vt:i4>
      </vt:variant>
      <vt:variant>
        <vt:i4>5</vt:i4>
      </vt:variant>
      <vt:variant>
        <vt:lpwstr>http://www.nevo.co.il/law/4216/.13.a</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26688</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יצחק לוינטוב</vt:lpwstr>
  </property>
  <property fmtid="{D5CDD505-2E9C-101B-9397-08002B2CF9AE}" pid="10" name="LAWYER">
    <vt:lpwstr>מאיר לוברבאום;רונית ישי;גבי טרונישווילי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7</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23827604;22240058;20321459;20936185;13093721;27279274</vt:lpwstr>
  </property>
  <property fmtid="{D5CDD505-2E9C-101B-9397-08002B2CF9AE}" pid="36" name="LAWLISTTMP1">
    <vt:lpwstr>70301/499.a.1;029.a:7;040i;40ja</vt:lpwstr>
  </property>
  <property fmtid="{D5CDD505-2E9C-101B-9397-08002B2CF9AE}" pid="37" name="LAWLISTTMP2">
    <vt:lpwstr>4216/019:6;013.a:5;.13.a;013;019.a</vt:lpwstr>
  </property>
</Properties>
</file>