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268CA" w:rsidRPr="00BB58C2" w14:paraId="6149CEA3" w14:textId="77777777" w:rsidTr="00A25507">
        <w:trPr>
          <w:gridAfter w:val="1"/>
          <w:wAfter w:w="99" w:type="dxa"/>
          <w:trHeight w:hRule="exact" w:val="418"/>
          <w:jc w:val="center"/>
        </w:trPr>
        <w:tc>
          <w:tcPr>
            <w:tcW w:w="8721" w:type="dxa"/>
            <w:gridSpan w:val="4"/>
          </w:tcPr>
          <w:p w14:paraId="3EFBE9EC" w14:textId="77777777" w:rsidR="00C268CA" w:rsidRPr="00BB58C2" w:rsidRDefault="00C268CA" w:rsidP="00332920">
            <w:pPr>
              <w:pStyle w:val="a3"/>
              <w:jc w:val="center"/>
              <w:rPr>
                <w:rFonts w:ascii="Tahoma" w:hAnsi="Tahoma" w:cs="Tahoma"/>
                <w:color w:val="000080"/>
                <w:rtl/>
              </w:rPr>
            </w:pPr>
            <w:bookmarkStart w:id="0" w:name="FirstLawyer"/>
            <w:bookmarkStart w:id="1" w:name="LastJudge"/>
            <w:r w:rsidRPr="00BB58C2">
              <w:rPr>
                <w:rFonts w:ascii="Tahoma" w:hAnsi="Tahoma" w:cs="Tahoma"/>
                <w:b/>
                <w:bCs/>
                <w:color w:val="000080"/>
                <w:rtl/>
              </w:rPr>
              <w:t>בית משפט השלום בקריית גת</w:t>
            </w:r>
          </w:p>
        </w:tc>
      </w:tr>
      <w:tr w:rsidR="00C268CA" w:rsidRPr="00BB58C2" w14:paraId="7E8C65DE" w14:textId="77777777" w:rsidTr="00A25507">
        <w:trPr>
          <w:gridAfter w:val="1"/>
          <w:wAfter w:w="99" w:type="dxa"/>
          <w:trHeight w:val="337"/>
          <w:jc w:val="center"/>
        </w:trPr>
        <w:tc>
          <w:tcPr>
            <w:tcW w:w="5054" w:type="dxa"/>
            <w:gridSpan w:val="3"/>
          </w:tcPr>
          <w:p w14:paraId="67891D20" w14:textId="77777777" w:rsidR="00C268CA" w:rsidRPr="00BB58C2" w:rsidRDefault="00C268CA" w:rsidP="00332920">
            <w:pPr>
              <w:rPr>
                <w:rFonts w:cs="FrankRuehl"/>
                <w:sz w:val="28"/>
                <w:szCs w:val="28"/>
                <w:rtl/>
              </w:rPr>
            </w:pPr>
            <w:r w:rsidRPr="00BB58C2">
              <w:rPr>
                <w:rFonts w:cs="FrankRuehl"/>
                <w:sz w:val="28"/>
                <w:szCs w:val="28"/>
                <w:rtl/>
              </w:rPr>
              <w:t>ת"פ</w:t>
            </w:r>
            <w:r w:rsidRPr="00BB58C2">
              <w:rPr>
                <w:rFonts w:cs="FrankRuehl" w:hint="cs"/>
                <w:sz w:val="28"/>
                <w:szCs w:val="28"/>
                <w:rtl/>
              </w:rPr>
              <w:t xml:space="preserve"> </w:t>
            </w:r>
            <w:r w:rsidRPr="00BB58C2">
              <w:rPr>
                <w:rFonts w:cs="FrankRuehl"/>
                <w:sz w:val="28"/>
                <w:szCs w:val="28"/>
                <w:rtl/>
              </w:rPr>
              <w:t>35876-12-20</w:t>
            </w:r>
            <w:r w:rsidRPr="00BB58C2">
              <w:rPr>
                <w:rFonts w:cs="FrankRuehl" w:hint="cs"/>
                <w:sz w:val="28"/>
                <w:szCs w:val="28"/>
                <w:rtl/>
              </w:rPr>
              <w:t xml:space="preserve"> </w:t>
            </w:r>
            <w:r w:rsidRPr="00BB58C2">
              <w:rPr>
                <w:rFonts w:cs="FrankRuehl"/>
                <w:sz w:val="28"/>
                <w:szCs w:val="28"/>
                <w:rtl/>
              </w:rPr>
              <w:t>מדינת ישראל נ' יוסופוב</w:t>
            </w:r>
          </w:p>
          <w:p w14:paraId="122F53A2" w14:textId="77777777" w:rsidR="00C268CA" w:rsidRPr="00BB58C2" w:rsidRDefault="00C268CA" w:rsidP="00332920">
            <w:pPr>
              <w:rPr>
                <w:rFonts w:cs="FrankRuehl"/>
                <w:sz w:val="28"/>
                <w:szCs w:val="28"/>
                <w:rtl/>
              </w:rPr>
            </w:pPr>
            <w:r w:rsidRPr="00BB58C2">
              <w:rPr>
                <w:rFonts w:cs="FrankRuehl"/>
                <w:sz w:val="28"/>
                <w:szCs w:val="28"/>
                <w:rtl/>
              </w:rPr>
              <w:t>ת"פ</w:t>
            </w:r>
            <w:r w:rsidRPr="00BB58C2">
              <w:rPr>
                <w:rFonts w:cs="FrankRuehl" w:hint="cs"/>
                <w:sz w:val="28"/>
                <w:szCs w:val="28"/>
                <w:rtl/>
              </w:rPr>
              <w:t xml:space="preserve"> </w:t>
            </w:r>
            <w:r w:rsidRPr="00BB58C2">
              <w:rPr>
                <w:rFonts w:cs="FrankRuehl"/>
                <w:sz w:val="28"/>
                <w:szCs w:val="28"/>
                <w:rtl/>
              </w:rPr>
              <w:t>55652-12-21</w:t>
            </w:r>
            <w:r w:rsidRPr="00BB58C2">
              <w:rPr>
                <w:rFonts w:cs="FrankRuehl" w:hint="cs"/>
                <w:sz w:val="28"/>
                <w:szCs w:val="28"/>
                <w:rtl/>
              </w:rPr>
              <w:t xml:space="preserve"> </w:t>
            </w:r>
            <w:r w:rsidRPr="00BB58C2">
              <w:rPr>
                <w:rFonts w:cs="FrankRuehl"/>
                <w:sz w:val="28"/>
                <w:szCs w:val="28"/>
                <w:rtl/>
              </w:rPr>
              <w:t>מדינת ישראל נ' יוסופוב</w:t>
            </w:r>
          </w:p>
          <w:p w14:paraId="3CA81CC2" w14:textId="77777777" w:rsidR="00C268CA" w:rsidRPr="00BB58C2" w:rsidRDefault="00C268CA" w:rsidP="00332920">
            <w:pPr>
              <w:rPr>
                <w:rFonts w:cs="FrankRuehl"/>
                <w:sz w:val="28"/>
                <w:szCs w:val="28"/>
                <w:rtl/>
              </w:rPr>
            </w:pPr>
            <w:r w:rsidRPr="00BB58C2">
              <w:rPr>
                <w:rFonts w:cs="FrankRuehl"/>
                <w:sz w:val="28"/>
                <w:szCs w:val="28"/>
                <w:rtl/>
              </w:rPr>
              <w:t>ת"פ</w:t>
            </w:r>
            <w:r w:rsidRPr="00BB58C2">
              <w:rPr>
                <w:rFonts w:cs="FrankRuehl" w:hint="cs"/>
                <w:sz w:val="28"/>
                <w:szCs w:val="28"/>
                <w:rtl/>
              </w:rPr>
              <w:t xml:space="preserve"> </w:t>
            </w:r>
            <w:r w:rsidRPr="00BB58C2">
              <w:rPr>
                <w:rFonts w:cs="FrankRuehl"/>
                <w:sz w:val="28"/>
                <w:szCs w:val="28"/>
                <w:rtl/>
              </w:rPr>
              <w:t>64089-12-20</w:t>
            </w:r>
            <w:r w:rsidRPr="00BB58C2">
              <w:rPr>
                <w:rFonts w:cs="FrankRuehl" w:hint="cs"/>
                <w:sz w:val="28"/>
                <w:szCs w:val="28"/>
                <w:rtl/>
              </w:rPr>
              <w:t xml:space="preserve"> </w:t>
            </w:r>
            <w:r w:rsidRPr="00BB58C2">
              <w:rPr>
                <w:rFonts w:cs="FrankRuehl"/>
                <w:sz w:val="28"/>
                <w:szCs w:val="28"/>
                <w:rtl/>
              </w:rPr>
              <w:t>מדינת ישראל נ' יוסופוב</w:t>
            </w:r>
          </w:p>
          <w:p w14:paraId="18640D14" w14:textId="77777777" w:rsidR="00C268CA" w:rsidRPr="00BB58C2" w:rsidRDefault="00C268CA" w:rsidP="00332920">
            <w:pPr>
              <w:pStyle w:val="a3"/>
              <w:rPr>
                <w:rFonts w:cs="FrankRuehl"/>
                <w:sz w:val="28"/>
                <w:szCs w:val="28"/>
                <w:rtl/>
              </w:rPr>
            </w:pPr>
          </w:p>
        </w:tc>
        <w:tc>
          <w:tcPr>
            <w:tcW w:w="3667" w:type="dxa"/>
          </w:tcPr>
          <w:p w14:paraId="5156807F" w14:textId="77777777" w:rsidR="00C268CA" w:rsidRPr="00BB58C2" w:rsidRDefault="00C268CA" w:rsidP="00332920">
            <w:pPr>
              <w:pStyle w:val="a3"/>
              <w:jc w:val="right"/>
              <w:rPr>
                <w:rFonts w:cs="FrankRuehl"/>
                <w:sz w:val="28"/>
                <w:szCs w:val="28"/>
                <w:rtl/>
              </w:rPr>
            </w:pPr>
          </w:p>
        </w:tc>
      </w:tr>
      <w:tr w:rsidR="00C268CA" w:rsidRPr="00BB58C2" w14:paraId="58D6E2E1" w14:textId="77777777" w:rsidTr="00A255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B2CFEC4" w14:textId="77777777" w:rsidR="00C268CA" w:rsidRPr="00BB58C2" w:rsidRDefault="00C268CA" w:rsidP="00C268CA">
            <w:pPr>
              <w:jc w:val="both"/>
              <w:rPr>
                <w:rFonts w:ascii="David" w:hAnsi="David"/>
                <w:sz w:val="26"/>
                <w:szCs w:val="26"/>
              </w:rPr>
            </w:pPr>
            <w:r w:rsidRPr="00BB58C2">
              <w:rPr>
                <w:rFonts w:hint="cs"/>
                <w:rtl/>
              </w:rPr>
              <w:t xml:space="preserve"> </w:t>
            </w:r>
            <w:r w:rsidRPr="00BB58C2">
              <w:rPr>
                <w:rFonts w:ascii="David" w:hAnsi="David" w:hint="cs"/>
                <w:sz w:val="26"/>
                <w:szCs w:val="26"/>
                <w:rtl/>
              </w:rPr>
              <w:t>ל</w:t>
            </w:r>
            <w:r w:rsidRPr="00BB58C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8368EA1" w14:textId="77777777" w:rsidR="00C268CA" w:rsidRPr="00BB58C2" w:rsidRDefault="00C268CA" w:rsidP="00332920">
            <w:pPr>
              <w:rPr>
                <w:rFonts w:ascii="David" w:hAnsi="David"/>
                <w:b/>
                <w:bCs/>
                <w:sz w:val="26"/>
                <w:szCs w:val="26"/>
                <w:rtl/>
              </w:rPr>
            </w:pPr>
            <w:r w:rsidRPr="00BB58C2">
              <w:rPr>
                <w:rFonts w:ascii="David" w:hAnsi="David"/>
                <w:b/>
                <w:bCs/>
                <w:sz w:val="26"/>
                <w:szCs w:val="26"/>
                <w:rtl/>
              </w:rPr>
              <w:t>כבוד השופטת  ליאת שמיר הירש</w:t>
            </w:r>
          </w:p>
          <w:p w14:paraId="200A7FD8" w14:textId="77777777" w:rsidR="00C268CA" w:rsidRPr="00BB58C2" w:rsidRDefault="00C268CA" w:rsidP="00332920">
            <w:pPr>
              <w:rPr>
                <w:rFonts w:ascii="David" w:hAnsi="David"/>
                <w:sz w:val="26"/>
                <w:szCs w:val="26"/>
                <w:rtl/>
              </w:rPr>
            </w:pPr>
          </w:p>
          <w:p w14:paraId="4DD754A3" w14:textId="77777777" w:rsidR="00C268CA" w:rsidRPr="00BB58C2" w:rsidRDefault="00C268CA" w:rsidP="00C268CA">
            <w:pPr>
              <w:jc w:val="both"/>
              <w:rPr>
                <w:rFonts w:ascii="David" w:hAnsi="David"/>
                <w:sz w:val="26"/>
                <w:szCs w:val="26"/>
              </w:rPr>
            </w:pPr>
          </w:p>
        </w:tc>
      </w:tr>
      <w:tr w:rsidR="00C268CA" w:rsidRPr="00BB58C2" w14:paraId="4464A162" w14:textId="77777777" w:rsidTr="00A255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CAC0A2" w14:textId="77777777" w:rsidR="00C268CA" w:rsidRPr="00BB58C2" w:rsidRDefault="00C268CA" w:rsidP="00C268CA">
            <w:pPr>
              <w:jc w:val="both"/>
              <w:rPr>
                <w:rFonts w:ascii="David" w:hAnsi="David"/>
                <w:sz w:val="26"/>
                <w:szCs w:val="26"/>
              </w:rPr>
            </w:pPr>
            <w:bookmarkStart w:id="2" w:name="FirstAppellant"/>
            <w:r w:rsidRPr="00BB58C2">
              <w:rPr>
                <w:rFonts w:ascii="David" w:hAnsi="David"/>
                <w:sz w:val="26"/>
                <w:szCs w:val="26"/>
                <w:rtl/>
              </w:rPr>
              <w:t>בעניין:</w:t>
            </w:r>
          </w:p>
        </w:tc>
        <w:tc>
          <w:tcPr>
            <w:tcW w:w="3219" w:type="dxa"/>
            <w:tcBorders>
              <w:top w:val="nil"/>
              <w:left w:val="nil"/>
              <w:bottom w:val="nil"/>
              <w:right w:val="nil"/>
            </w:tcBorders>
            <w:shd w:val="clear" w:color="auto" w:fill="auto"/>
          </w:tcPr>
          <w:p w14:paraId="6B4CDA18" w14:textId="77777777" w:rsidR="00C268CA" w:rsidRPr="00BB58C2" w:rsidRDefault="00C268CA" w:rsidP="00C268CA">
            <w:pPr>
              <w:suppressLineNumbers/>
            </w:pPr>
            <w:r w:rsidRPr="00BB58C2">
              <w:rPr>
                <w:rFonts w:ascii="Arial" w:hAnsi="Arial" w:hint="cs"/>
                <w:b/>
                <w:bCs/>
                <w:sz w:val="26"/>
                <w:szCs w:val="26"/>
                <w:rtl/>
              </w:rPr>
              <w:t>ה</w:t>
            </w:r>
            <w:r w:rsidRPr="00BB58C2">
              <w:rPr>
                <w:rFonts w:ascii="Arial" w:hAnsi="Arial"/>
                <w:b/>
                <w:bCs/>
                <w:sz w:val="26"/>
                <w:szCs w:val="26"/>
                <w:rtl/>
              </w:rPr>
              <w:t>מאשימה</w:t>
            </w:r>
          </w:p>
          <w:p w14:paraId="7E57C35A" w14:textId="77777777" w:rsidR="00C268CA" w:rsidRPr="00BB58C2" w:rsidRDefault="00C268CA" w:rsidP="0033292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7EE3E9F" w14:textId="77777777" w:rsidR="00C268CA" w:rsidRPr="00BB58C2" w:rsidRDefault="00C268CA" w:rsidP="00C268CA">
            <w:pPr>
              <w:suppressLineNumbers/>
            </w:pPr>
            <w:r w:rsidRPr="00BB58C2">
              <w:rPr>
                <w:rFonts w:ascii="Arial" w:hAnsi="Arial"/>
                <w:b/>
                <w:bCs/>
                <w:sz w:val="26"/>
                <w:szCs w:val="26"/>
                <w:rtl/>
              </w:rPr>
              <w:t>מדינת ישראל</w:t>
            </w:r>
            <w:r w:rsidRPr="00BB58C2">
              <w:rPr>
                <w:rFonts w:ascii="Arial" w:hAnsi="Arial" w:hint="cs"/>
                <w:b/>
                <w:bCs/>
                <w:sz w:val="26"/>
                <w:szCs w:val="26"/>
                <w:rtl/>
              </w:rPr>
              <w:t xml:space="preserve"> </w:t>
            </w:r>
            <w:r w:rsidRPr="00BB58C2">
              <w:rPr>
                <w:rFonts w:ascii="Arial" w:hAnsi="Arial"/>
                <w:b/>
                <w:bCs/>
                <w:sz w:val="26"/>
                <w:szCs w:val="26"/>
                <w:rtl/>
              </w:rPr>
              <w:t>ע"י ב"כ עוה"ד</w:t>
            </w:r>
          </w:p>
          <w:p w14:paraId="59E51507" w14:textId="77777777" w:rsidR="00C268CA" w:rsidRPr="00BB58C2" w:rsidRDefault="00C268CA" w:rsidP="00332920">
            <w:pPr>
              <w:rPr>
                <w:rFonts w:ascii="David" w:hAnsi="David"/>
                <w:sz w:val="26"/>
                <w:szCs w:val="26"/>
              </w:rPr>
            </w:pPr>
          </w:p>
        </w:tc>
      </w:tr>
      <w:bookmarkEnd w:id="2"/>
      <w:tr w:rsidR="00C268CA" w:rsidRPr="00BB58C2" w14:paraId="0B11F345" w14:textId="77777777" w:rsidTr="00A255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8FFF65" w14:textId="77777777" w:rsidR="00C268CA" w:rsidRPr="00BB58C2" w:rsidRDefault="00C268CA" w:rsidP="00C268C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645BAE2" w14:textId="77777777" w:rsidR="00C268CA" w:rsidRPr="00BB58C2" w:rsidRDefault="00C268CA" w:rsidP="00C268CA">
            <w:pPr>
              <w:jc w:val="center"/>
              <w:rPr>
                <w:rFonts w:ascii="David" w:hAnsi="David"/>
                <w:b/>
                <w:bCs/>
                <w:sz w:val="26"/>
                <w:szCs w:val="26"/>
                <w:rtl/>
              </w:rPr>
            </w:pPr>
          </w:p>
          <w:p w14:paraId="5C1F26DF" w14:textId="77777777" w:rsidR="00C268CA" w:rsidRPr="00BB58C2" w:rsidRDefault="00C268CA" w:rsidP="00C268CA">
            <w:pPr>
              <w:jc w:val="center"/>
              <w:rPr>
                <w:rFonts w:ascii="David" w:hAnsi="David"/>
                <w:b/>
                <w:bCs/>
                <w:sz w:val="26"/>
                <w:szCs w:val="26"/>
                <w:rtl/>
              </w:rPr>
            </w:pPr>
            <w:r w:rsidRPr="00BB58C2">
              <w:rPr>
                <w:rFonts w:ascii="David" w:hAnsi="David"/>
                <w:b/>
                <w:bCs/>
                <w:sz w:val="26"/>
                <w:szCs w:val="26"/>
                <w:rtl/>
              </w:rPr>
              <w:t>נגד</w:t>
            </w:r>
          </w:p>
          <w:p w14:paraId="322330C0" w14:textId="77777777" w:rsidR="00C268CA" w:rsidRPr="00BB58C2" w:rsidRDefault="00C268CA" w:rsidP="00C268CA">
            <w:pPr>
              <w:jc w:val="both"/>
              <w:rPr>
                <w:rFonts w:ascii="David" w:hAnsi="David"/>
                <w:sz w:val="26"/>
                <w:szCs w:val="26"/>
              </w:rPr>
            </w:pPr>
          </w:p>
        </w:tc>
      </w:tr>
      <w:tr w:rsidR="00C268CA" w:rsidRPr="00BB58C2" w14:paraId="692A7D29" w14:textId="77777777" w:rsidTr="00A255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AE566A" w14:textId="77777777" w:rsidR="00C268CA" w:rsidRPr="00BB58C2" w:rsidRDefault="00C268CA" w:rsidP="00332920">
            <w:pPr>
              <w:rPr>
                <w:rFonts w:ascii="David" w:hAnsi="David"/>
                <w:sz w:val="26"/>
                <w:szCs w:val="26"/>
                <w:rtl/>
              </w:rPr>
            </w:pPr>
          </w:p>
        </w:tc>
        <w:tc>
          <w:tcPr>
            <w:tcW w:w="3219" w:type="dxa"/>
            <w:tcBorders>
              <w:top w:val="nil"/>
              <w:left w:val="nil"/>
              <w:bottom w:val="nil"/>
              <w:right w:val="nil"/>
            </w:tcBorders>
            <w:shd w:val="clear" w:color="auto" w:fill="auto"/>
          </w:tcPr>
          <w:p w14:paraId="1D35EAC4" w14:textId="77777777" w:rsidR="00C268CA" w:rsidRPr="00BB58C2" w:rsidRDefault="00C268CA" w:rsidP="00332920">
            <w:pPr>
              <w:rPr>
                <w:rFonts w:ascii="Arial" w:hAnsi="Arial"/>
                <w:b/>
                <w:bCs/>
                <w:sz w:val="26"/>
                <w:szCs w:val="26"/>
                <w:rtl/>
              </w:rPr>
            </w:pPr>
            <w:r w:rsidRPr="00BB58C2">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87C14E8" w14:textId="77777777" w:rsidR="00C268CA" w:rsidRPr="00BB58C2" w:rsidRDefault="00C268CA" w:rsidP="00C268CA">
            <w:pPr>
              <w:suppressLineNumbers/>
            </w:pPr>
            <w:r w:rsidRPr="00BB58C2">
              <w:rPr>
                <w:rFonts w:ascii="Arial" w:hAnsi="Arial"/>
                <w:b/>
                <w:bCs/>
                <w:sz w:val="26"/>
                <w:szCs w:val="26"/>
                <w:rtl/>
              </w:rPr>
              <w:t>בן יוסופוב</w:t>
            </w:r>
            <w:r w:rsidRPr="00BB58C2">
              <w:rPr>
                <w:rFonts w:ascii="Arial" w:hAnsi="Arial" w:hint="cs"/>
                <w:b/>
                <w:bCs/>
                <w:sz w:val="26"/>
                <w:szCs w:val="26"/>
                <w:rtl/>
              </w:rPr>
              <w:t xml:space="preserve"> </w:t>
            </w:r>
            <w:r w:rsidRPr="00BB58C2">
              <w:rPr>
                <w:rFonts w:ascii="Arial" w:hAnsi="Arial"/>
                <w:b/>
                <w:bCs/>
                <w:sz w:val="26"/>
                <w:szCs w:val="26"/>
                <w:rtl/>
              </w:rPr>
              <w:t>ע"י ב"כ עוה"ד</w:t>
            </w:r>
          </w:p>
          <w:p w14:paraId="0B3AC880" w14:textId="77777777" w:rsidR="00C268CA" w:rsidRPr="00BB58C2" w:rsidRDefault="00C268CA" w:rsidP="00332920">
            <w:pPr>
              <w:rPr>
                <w:rFonts w:ascii="David" w:hAnsi="David"/>
                <w:sz w:val="26"/>
                <w:szCs w:val="26"/>
              </w:rPr>
            </w:pPr>
          </w:p>
        </w:tc>
      </w:tr>
    </w:tbl>
    <w:p w14:paraId="1E10839C" w14:textId="77777777" w:rsidR="00BB58C2" w:rsidRPr="00BB58C2" w:rsidRDefault="00BB58C2" w:rsidP="00BB58C2">
      <w:pPr>
        <w:spacing w:before="120" w:after="120" w:line="240" w:lineRule="exact"/>
        <w:ind w:left="283" w:hanging="283"/>
        <w:jc w:val="both"/>
        <w:rPr>
          <w:rFonts w:ascii="FrankRuehl" w:hAnsi="FrankRuehl" w:cs="FrankRuehl"/>
          <w:rtl/>
        </w:rPr>
      </w:pPr>
    </w:p>
    <w:p w14:paraId="7A95B8DB" w14:textId="77777777" w:rsidR="00BB58C2" w:rsidRPr="00BB58C2" w:rsidRDefault="00BB58C2" w:rsidP="00BB58C2">
      <w:pPr>
        <w:rPr>
          <w:sz w:val="26"/>
          <w:szCs w:val="26"/>
          <w:rtl/>
        </w:rPr>
      </w:pPr>
    </w:p>
    <w:p w14:paraId="5CE1AACF" w14:textId="77777777" w:rsidR="00A25507" w:rsidRPr="00A25507" w:rsidRDefault="00A25507" w:rsidP="00A25507">
      <w:pPr>
        <w:spacing w:before="120" w:after="120" w:line="240" w:lineRule="exact"/>
        <w:ind w:left="283" w:hanging="283"/>
        <w:jc w:val="both"/>
        <w:rPr>
          <w:rFonts w:ascii="FrankRuehl" w:hAnsi="FrankRuehl" w:cs="FrankRuehl"/>
          <w:rtl/>
        </w:rPr>
      </w:pPr>
    </w:p>
    <w:p w14:paraId="5862ADC6" w14:textId="77777777" w:rsidR="00165553" w:rsidRPr="00165553" w:rsidRDefault="00165553" w:rsidP="00165553">
      <w:pPr>
        <w:spacing w:before="120" w:after="120" w:line="240" w:lineRule="exact"/>
        <w:ind w:left="283" w:hanging="283"/>
        <w:jc w:val="both"/>
        <w:rPr>
          <w:rFonts w:ascii="FrankRuehl" w:hAnsi="FrankRuehl" w:cs="FrankRuehl"/>
          <w:rtl/>
        </w:rPr>
      </w:pPr>
    </w:p>
    <w:p w14:paraId="5CB17851" w14:textId="77777777" w:rsidR="009D4E5A" w:rsidRDefault="009D4E5A" w:rsidP="009D4E5A">
      <w:pPr>
        <w:rPr>
          <w:sz w:val="26"/>
          <w:szCs w:val="26"/>
          <w:rtl/>
        </w:rPr>
      </w:pPr>
      <w:bookmarkStart w:id="3" w:name="LawTable"/>
      <w:bookmarkEnd w:id="3"/>
    </w:p>
    <w:p w14:paraId="1F61B124" w14:textId="77777777" w:rsidR="009D4E5A" w:rsidRPr="009D4E5A" w:rsidRDefault="009D4E5A" w:rsidP="009D4E5A">
      <w:pPr>
        <w:spacing w:before="120" w:after="120" w:line="240" w:lineRule="exact"/>
        <w:ind w:left="283" w:hanging="283"/>
        <w:jc w:val="both"/>
        <w:rPr>
          <w:rFonts w:ascii="FrankRuehl" w:hAnsi="FrankRuehl" w:cs="FrankRuehl"/>
          <w:rtl/>
        </w:rPr>
      </w:pPr>
    </w:p>
    <w:p w14:paraId="01D57345" w14:textId="77777777" w:rsidR="009D4E5A" w:rsidRPr="009D4E5A" w:rsidRDefault="009D4E5A" w:rsidP="009D4E5A">
      <w:pPr>
        <w:spacing w:before="120" w:after="120" w:line="240" w:lineRule="exact"/>
        <w:ind w:left="283" w:hanging="283"/>
        <w:jc w:val="both"/>
        <w:rPr>
          <w:rFonts w:ascii="FrankRuehl" w:hAnsi="FrankRuehl" w:cs="FrankRuehl"/>
          <w:rtl/>
        </w:rPr>
      </w:pPr>
    </w:p>
    <w:p w14:paraId="74B3D297" w14:textId="77777777" w:rsidR="009D4E5A" w:rsidRPr="009D4E5A" w:rsidRDefault="009D4E5A" w:rsidP="009D4E5A">
      <w:pPr>
        <w:spacing w:before="120" w:after="120" w:line="240" w:lineRule="exact"/>
        <w:ind w:left="283" w:hanging="283"/>
        <w:jc w:val="both"/>
        <w:rPr>
          <w:rFonts w:ascii="FrankRuehl" w:hAnsi="FrankRuehl" w:cs="FrankRuehl"/>
          <w:rtl/>
        </w:rPr>
      </w:pPr>
      <w:r w:rsidRPr="009D4E5A">
        <w:rPr>
          <w:rFonts w:ascii="FrankRuehl" w:hAnsi="FrankRuehl" w:cs="FrankRuehl"/>
          <w:rtl/>
        </w:rPr>
        <w:t xml:space="preserve">חקיקה שאוזכרה: </w:t>
      </w:r>
    </w:p>
    <w:p w14:paraId="31A2D15C" w14:textId="77777777" w:rsidR="009D4E5A" w:rsidRPr="009D4E5A" w:rsidRDefault="009D4E5A" w:rsidP="009D4E5A">
      <w:pPr>
        <w:spacing w:before="120" w:after="120" w:line="240" w:lineRule="exact"/>
        <w:ind w:left="283" w:hanging="283"/>
        <w:jc w:val="both"/>
        <w:rPr>
          <w:rFonts w:ascii="FrankRuehl" w:hAnsi="FrankRuehl" w:cs="FrankRuehl"/>
          <w:rtl/>
        </w:rPr>
      </w:pPr>
      <w:hyperlink r:id="rId7" w:history="1">
        <w:r w:rsidRPr="009D4E5A">
          <w:rPr>
            <w:rFonts w:ascii="FrankRuehl" w:hAnsi="FrankRuehl" w:cs="FrankRuehl"/>
            <w:color w:val="0000FF"/>
            <w:rtl/>
          </w:rPr>
          <w:t>חוק העונשין, תשל"ז-1977</w:t>
        </w:r>
      </w:hyperlink>
      <w:r w:rsidRPr="009D4E5A">
        <w:rPr>
          <w:rFonts w:ascii="FrankRuehl" w:hAnsi="FrankRuehl" w:cs="FrankRuehl"/>
          <w:rtl/>
        </w:rPr>
        <w:t xml:space="preserve">: סע'  </w:t>
      </w:r>
      <w:hyperlink r:id="rId8" w:history="1">
        <w:r w:rsidRPr="009D4E5A">
          <w:rPr>
            <w:rFonts w:ascii="FrankRuehl" w:hAnsi="FrankRuehl" w:cs="FrankRuehl"/>
            <w:color w:val="0000FF"/>
            <w:rtl/>
          </w:rPr>
          <w:t>40ב'</w:t>
        </w:r>
      </w:hyperlink>
      <w:r w:rsidRPr="009D4E5A">
        <w:rPr>
          <w:rFonts w:ascii="FrankRuehl" w:hAnsi="FrankRuehl" w:cs="FrankRuehl"/>
          <w:rtl/>
        </w:rPr>
        <w:t xml:space="preserve">, </w:t>
      </w:r>
      <w:hyperlink r:id="rId9" w:history="1">
        <w:r w:rsidRPr="009D4E5A">
          <w:rPr>
            <w:rFonts w:ascii="FrankRuehl" w:hAnsi="FrankRuehl" w:cs="FrankRuehl"/>
            <w:color w:val="0000FF"/>
            <w:rtl/>
          </w:rPr>
          <w:t>40 ט'</w:t>
        </w:r>
      </w:hyperlink>
      <w:r w:rsidRPr="009D4E5A">
        <w:rPr>
          <w:rFonts w:ascii="FrankRuehl" w:hAnsi="FrankRuehl" w:cs="FrankRuehl"/>
          <w:rtl/>
        </w:rPr>
        <w:t xml:space="preserve">, </w:t>
      </w:r>
      <w:hyperlink r:id="rId10" w:history="1">
        <w:r w:rsidRPr="009D4E5A">
          <w:rPr>
            <w:rFonts w:ascii="FrankRuehl" w:hAnsi="FrankRuehl" w:cs="FrankRuehl"/>
            <w:color w:val="0000FF"/>
            <w:rtl/>
          </w:rPr>
          <w:t>275</w:t>
        </w:r>
      </w:hyperlink>
      <w:r w:rsidRPr="009D4E5A">
        <w:rPr>
          <w:rFonts w:ascii="FrankRuehl" w:hAnsi="FrankRuehl" w:cs="FrankRuehl"/>
          <w:rtl/>
        </w:rPr>
        <w:t xml:space="preserve">, </w:t>
      </w:r>
      <w:hyperlink r:id="rId11" w:history="1">
        <w:r w:rsidRPr="009D4E5A">
          <w:rPr>
            <w:rFonts w:ascii="FrankRuehl" w:hAnsi="FrankRuehl" w:cs="FrankRuehl"/>
            <w:color w:val="0000FF"/>
            <w:rtl/>
          </w:rPr>
          <w:t>379</w:t>
        </w:r>
      </w:hyperlink>
      <w:r w:rsidRPr="009D4E5A">
        <w:rPr>
          <w:rFonts w:ascii="FrankRuehl" w:hAnsi="FrankRuehl" w:cs="FrankRuehl"/>
          <w:rtl/>
        </w:rPr>
        <w:t xml:space="preserve">, </w:t>
      </w:r>
      <w:hyperlink r:id="rId12" w:history="1">
        <w:r w:rsidRPr="009D4E5A">
          <w:rPr>
            <w:rFonts w:ascii="FrankRuehl" w:hAnsi="FrankRuehl" w:cs="FrankRuehl"/>
            <w:color w:val="0000FF"/>
            <w:rtl/>
          </w:rPr>
          <w:t>40 יא</w:t>
        </w:r>
      </w:hyperlink>
      <w:r w:rsidRPr="009D4E5A">
        <w:rPr>
          <w:rFonts w:ascii="FrankRuehl" w:hAnsi="FrankRuehl" w:cs="FrankRuehl"/>
          <w:rtl/>
        </w:rPr>
        <w:t xml:space="preserve">, </w:t>
      </w:r>
      <w:hyperlink r:id="rId13" w:history="1">
        <w:r w:rsidRPr="009D4E5A">
          <w:rPr>
            <w:rFonts w:ascii="FrankRuehl" w:hAnsi="FrankRuehl" w:cs="FrankRuehl"/>
            <w:color w:val="0000FF"/>
            <w:rtl/>
          </w:rPr>
          <w:t>40 יג'</w:t>
        </w:r>
      </w:hyperlink>
    </w:p>
    <w:p w14:paraId="4E46938F" w14:textId="77777777" w:rsidR="009D4E5A" w:rsidRPr="009D4E5A" w:rsidRDefault="009D4E5A" w:rsidP="009D4E5A">
      <w:pPr>
        <w:spacing w:before="120" w:after="120" w:line="240" w:lineRule="exact"/>
        <w:ind w:left="283" w:hanging="283"/>
        <w:jc w:val="both"/>
        <w:rPr>
          <w:rFonts w:ascii="FrankRuehl" w:hAnsi="FrankRuehl" w:cs="FrankRuehl"/>
          <w:rtl/>
        </w:rPr>
      </w:pPr>
      <w:hyperlink r:id="rId14" w:history="1">
        <w:r w:rsidRPr="009D4E5A">
          <w:rPr>
            <w:rFonts w:ascii="FrankRuehl" w:hAnsi="FrankRuehl" w:cs="FrankRuehl"/>
            <w:color w:val="0000FF"/>
            <w:rtl/>
          </w:rPr>
          <w:t>פקודת הסמים המסוכנים [נוסח חדש], תשל"ג-1973</w:t>
        </w:r>
      </w:hyperlink>
      <w:r w:rsidRPr="009D4E5A">
        <w:rPr>
          <w:rFonts w:ascii="FrankRuehl" w:hAnsi="FrankRuehl" w:cs="FrankRuehl"/>
          <w:rtl/>
        </w:rPr>
        <w:t xml:space="preserve">: סע'  </w:t>
      </w:r>
      <w:hyperlink r:id="rId15" w:history="1">
        <w:r w:rsidRPr="009D4E5A">
          <w:rPr>
            <w:rFonts w:ascii="FrankRuehl" w:hAnsi="FrankRuehl" w:cs="FrankRuehl"/>
            <w:color w:val="0000FF"/>
            <w:rtl/>
          </w:rPr>
          <w:t>7 (א)</w:t>
        </w:r>
      </w:hyperlink>
      <w:r w:rsidRPr="009D4E5A">
        <w:rPr>
          <w:rFonts w:ascii="FrankRuehl" w:hAnsi="FrankRuehl" w:cs="FrankRuehl"/>
          <w:rtl/>
        </w:rPr>
        <w:t xml:space="preserve">, </w:t>
      </w:r>
      <w:hyperlink r:id="rId16" w:history="1">
        <w:r w:rsidRPr="009D4E5A">
          <w:rPr>
            <w:rFonts w:ascii="FrankRuehl" w:hAnsi="FrankRuehl" w:cs="FrankRuehl"/>
            <w:color w:val="0000FF"/>
            <w:rtl/>
          </w:rPr>
          <w:t>7(ג)</w:t>
        </w:r>
      </w:hyperlink>
    </w:p>
    <w:p w14:paraId="0497A653" w14:textId="77777777" w:rsidR="009D4E5A" w:rsidRPr="009D4E5A" w:rsidRDefault="009D4E5A" w:rsidP="009D4E5A">
      <w:pPr>
        <w:rPr>
          <w:sz w:val="26"/>
          <w:szCs w:val="26"/>
          <w:rtl/>
        </w:rPr>
      </w:pPr>
      <w:bookmarkStart w:id="4" w:name="LawTable_End"/>
      <w:bookmarkEnd w:id="4"/>
    </w:p>
    <w:p w14:paraId="48D47BAB" w14:textId="77777777" w:rsidR="00A25507" w:rsidRPr="00165553" w:rsidRDefault="00A25507" w:rsidP="0016555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68CA" w14:paraId="28BE36EB" w14:textId="77777777" w:rsidTr="00C268CA">
        <w:trPr>
          <w:trHeight w:val="355"/>
          <w:jc w:val="center"/>
        </w:trPr>
        <w:tc>
          <w:tcPr>
            <w:tcW w:w="8820" w:type="dxa"/>
            <w:tcBorders>
              <w:top w:val="nil"/>
              <w:left w:val="nil"/>
              <w:bottom w:val="nil"/>
              <w:right w:val="nil"/>
            </w:tcBorders>
            <w:shd w:val="clear" w:color="auto" w:fill="auto"/>
          </w:tcPr>
          <w:p w14:paraId="1A992DD5" w14:textId="77777777" w:rsidR="00BB58C2" w:rsidRPr="00BB58C2" w:rsidRDefault="00BB58C2" w:rsidP="00BB58C2">
            <w:pPr>
              <w:jc w:val="center"/>
              <w:rPr>
                <w:rFonts w:ascii="David" w:hAnsi="David"/>
                <w:b/>
                <w:bCs/>
                <w:sz w:val="32"/>
                <w:szCs w:val="32"/>
                <w:u w:val="single"/>
                <w:rtl/>
              </w:rPr>
            </w:pPr>
            <w:bookmarkStart w:id="5" w:name="PsakDin" w:colFirst="0" w:colLast="0"/>
            <w:bookmarkEnd w:id="0"/>
            <w:bookmarkEnd w:id="1"/>
            <w:r w:rsidRPr="00BB58C2">
              <w:rPr>
                <w:rFonts w:ascii="David" w:hAnsi="David"/>
                <w:b/>
                <w:bCs/>
                <w:sz w:val="32"/>
                <w:szCs w:val="32"/>
                <w:u w:val="single"/>
                <w:rtl/>
              </w:rPr>
              <w:t>גזר דין</w:t>
            </w:r>
          </w:p>
          <w:p w14:paraId="01800EA3" w14:textId="77777777" w:rsidR="00C268CA" w:rsidRPr="00BB58C2" w:rsidRDefault="00C268CA" w:rsidP="00BB58C2">
            <w:pPr>
              <w:jc w:val="center"/>
              <w:rPr>
                <w:rFonts w:ascii="David" w:hAnsi="David"/>
                <w:bCs/>
                <w:sz w:val="32"/>
                <w:szCs w:val="32"/>
                <w:u w:val="single"/>
                <w:rtl/>
              </w:rPr>
            </w:pPr>
          </w:p>
        </w:tc>
      </w:tr>
      <w:bookmarkEnd w:id="5"/>
    </w:tbl>
    <w:p w14:paraId="244D9596" w14:textId="77777777" w:rsidR="00C268CA" w:rsidRPr="000F2247" w:rsidRDefault="00C268CA" w:rsidP="00C268CA">
      <w:pPr>
        <w:rPr>
          <w:rFonts w:ascii="Arial" w:hAnsi="Arial"/>
          <w:b/>
          <w:bCs/>
          <w:sz w:val="26"/>
          <w:szCs w:val="26"/>
          <w:rtl/>
        </w:rPr>
      </w:pPr>
    </w:p>
    <w:p w14:paraId="4F707405" w14:textId="77777777" w:rsidR="00C268CA" w:rsidRPr="00AF5CED" w:rsidRDefault="00C268CA" w:rsidP="00C268CA">
      <w:pPr>
        <w:spacing w:line="360" w:lineRule="auto"/>
        <w:rPr>
          <w:rFonts w:ascii="David" w:hAnsi="David"/>
          <w:b/>
          <w:bCs/>
          <w:sz w:val="26"/>
          <w:szCs w:val="26"/>
          <w:rtl/>
        </w:rPr>
      </w:pPr>
    </w:p>
    <w:p w14:paraId="281FC1D1" w14:textId="77777777" w:rsidR="00C268CA" w:rsidRPr="00AF5CED" w:rsidRDefault="00C268CA" w:rsidP="00C268CA">
      <w:pPr>
        <w:spacing w:line="360" w:lineRule="auto"/>
        <w:rPr>
          <w:rFonts w:ascii="David" w:hAnsi="David"/>
          <w:b/>
          <w:bCs/>
          <w:u w:val="single"/>
          <w:rtl/>
        </w:rPr>
      </w:pPr>
      <w:r w:rsidRPr="00AF5CED">
        <w:rPr>
          <w:rFonts w:ascii="David" w:hAnsi="David"/>
          <w:b/>
          <w:bCs/>
          <w:u w:val="single"/>
          <w:rtl/>
        </w:rPr>
        <w:t>רקע</w:t>
      </w:r>
    </w:p>
    <w:p w14:paraId="655B3090" w14:textId="77777777" w:rsidR="00C268CA" w:rsidRPr="00AF5CED" w:rsidRDefault="00C268CA" w:rsidP="00C268CA">
      <w:pPr>
        <w:pStyle w:val="aa"/>
        <w:numPr>
          <w:ilvl w:val="0"/>
          <w:numId w:val="1"/>
        </w:numPr>
        <w:spacing w:line="360" w:lineRule="auto"/>
        <w:jc w:val="both"/>
        <w:rPr>
          <w:rFonts w:ascii="David" w:hAnsi="David" w:cs="David"/>
          <w:sz w:val="24"/>
          <w:szCs w:val="24"/>
          <w:rtl/>
        </w:rPr>
      </w:pPr>
      <w:bookmarkStart w:id="6" w:name="ABSTRACT_START"/>
      <w:bookmarkEnd w:id="6"/>
      <w:r w:rsidRPr="00AF5CED">
        <w:rPr>
          <w:rFonts w:ascii="David" w:hAnsi="David" w:cs="David"/>
          <w:sz w:val="24"/>
          <w:szCs w:val="24"/>
          <w:rtl/>
        </w:rPr>
        <w:t xml:space="preserve">הנאשם הורשע על פי הודאתו בעבירה המיוחסת לו בכתב האישום המתוקן מושא תיק זה, עבירה של </w:t>
      </w:r>
      <w:r w:rsidRPr="00AF5CED">
        <w:rPr>
          <w:rFonts w:ascii="David" w:hAnsi="David" w:cs="David"/>
          <w:b/>
          <w:bCs/>
          <w:sz w:val="24"/>
          <w:szCs w:val="24"/>
          <w:u w:val="single"/>
          <w:rtl/>
        </w:rPr>
        <w:t xml:space="preserve">תקיפה סתם לפי </w:t>
      </w:r>
      <w:hyperlink r:id="rId17" w:history="1">
        <w:r w:rsidR="00A25507" w:rsidRPr="00A25507">
          <w:rPr>
            <w:rStyle w:val="Hyperlink"/>
            <w:rFonts w:ascii="David" w:hAnsi="David" w:cs="David"/>
            <w:b/>
            <w:bCs/>
            <w:sz w:val="24"/>
            <w:szCs w:val="24"/>
            <w:rtl/>
          </w:rPr>
          <w:t>סעיף 379</w:t>
        </w:r>
      </w:hyperlink>
      <w:r w:rsidRPr="00AF5CED">
        <w:rPr>
          <w:rFonts w:ascii="David" w:hAnsi="David" w:cs="David"/>
          <w:b/>
          <w:bCs/>
          <w:sz w:val="24"/>
          <w:szCs w:val="24"/>
          <w:u w:val="single"/>
          <w:rtl/>
        </w:rPr>
        <w:t xml:space="preserve"> ל</w:t>
      </w:r>
      <w:hyperlink r:id="rId18" w:history="1">
        <w:r w:rsidR="00BB58C2" w:rsidRPr="00BB58C2">
          <w:rPr>
            <w:rFonts w:ascii="David" w:hAnsi="David" w:cs="David"/>
            <w:b/>
            <w:bCs/>
            <w:color w:val="0000FF"/>
            <w:sz w:val="24"/>
            <w:szCs w:val="24"/>
            <w:u w:val="single"/>
            <w:rtl/>
          </w:rPr>
          <w:t>חוק העונשין</w:t>
        </w:r>
      </w:hyperlink>
      <w:r w:rsidRPr="00AF5CED">
        <w:rPr>
          <w:rFonts w:ascii="David" w:hAnsi="David" w:cs="David"/>
          <w:b/>
          <w:bCs/>
          <w:sz w:val="24"/>
          <w:szCs w:val="24"/>
          <w:u w:val="single"/>
          <w:rtl/>
        </w:rPr>
        <w:t xml:space="preserve"> התשל"ז 1977,</w:t>
      </w:r>
      <w:r w:rsidRPr="00AF5CED">
        <w:rPr>
          <w:rFonts w:ascii="David" w:hAnsi="David" w:cs="David"/>
          <w:sz w:val="24"/>
          <w:szCs w:val="24"/>
          <w:rtl/>
        </w:rPr>
        <w:t xml:space="preserve"> ובעבירה המיוחסת לו בכתב האישום המתוקן בתיק שמספרו </w:t>
      </w:r>
      <w:hyperlink r:id="rId19" w:history="1">
        <w:r w:rsidR="00BB58C2" w:rsidRPr="00BB58C2">
          <w:rPr>
            <w:rFonts w:ascii="David" w:hAnsi="David" w:cs="David"/>
            <w:color w:val="0000FF"/>
            <w:sz w:val="24"/>
            <w:szCs w:val="24"/>
            <w:u w:val="single"/>
            <w:rtl/>
          </w:rPr>
          <w:t>ת"פ 55652-12-21</w:t>
        </w:r>
      </w:hyperlink>
      <w:r w:rsidRPr="00AF5CED">
        <w:rPr>
          <w:rFonts w:ascii="David" w:hAnsi="David" w:cs="David"/>
          <w:sz w:val="24"/>
          <w:szCs w:val="24"/>
          <w:rtl/>
        </w:rPr>
        <w:t xml:space="preserve">, עבירה של </w:t>
      </w:r>
      <w:r w:rsidRPr="00AF5CED">
        <w:rPr>
          <w:rFonts w:ascii="David" w:hAnsi="David" w:cs="David"/>
          <w:b/>
          <w:bCs/>
          <w:sz w:val="24"/>
          <w:szCs w:val="24"/>
          <w:u w:val="single"/>
          <w:rtl/>
        </w:rPr>
        <w:t xml:space="preserve">הפרעה לשוטר במילוי  תפקידו לפי </w:t>
      </w:r>
      <w:hyperlink r:id="rId20" w:history="1">
        <w:r w:rsidR="00A25507" w:rsidRPr="00A25507">
          <w:rPr>
            <w:rStyle w:val="Hyperlink"/>
            <w:rFonts w:ascii="David" w:hAnsi="David" w:cs="David"/>
            <w:b/>
            <w:bCs/>
            <w:sz w:val="24"/>
            <w:szCs w:val="24"/>
            <w:rtl/>
          </w:rPr>
          <w:t>סעיף 275</w:t>
        </w:r>
      </w:hyperlink>
      <w:r w:rsidRPr="00AF5CED">
        <w:rPr>
          <w:rFonts w:ascii="David" w:hAnsi="David" w:cs="David"/>
          <w:b/>
          <w:bCs/>
          <w:sz w:val="24"/>
          <w:szCs w:val="24"/>
          <w:u w:val="single"/>
          <w:rtl/>
        </w:rPr>
        <w:t xml:space="preserve"> לחוק העונשין התשל"ז 1977,</w:t>
      </w:r>
      <w:r w:rsidRPr="00AF5CED">
        <w:rPr>
          <w:rFonts w:ascii="David" w:hAnsi="David" w:cs="David"/>
          <w:sz w:val="24"/>
          <w:szCs w:val="24"/>
          <w:rtl/>
        </w:rPr>
        <w:t xml:space="preserve"> ובעבירה המיוחסת לו בכתב האישום המתוקן בתיק שמספרו </w:t>
      </w:r>
      <w:hyperlink r:id="rId21" w:history="1">
        <w:r w:rsidR="00BB58C2" w:rsidRPr="00BB58C2">
          <w:rPr>
            <w:rFonts w:ascii="David" w:hAnsi="David" w:cs="David"/>
            <w:color w:val="0000FF"/>
            <w:sz w:val="24"/>
            <w:szCs w:val="24"/>
            <w:u w:val="single"/>
            <w:rtl/>
          </w:rPr>
          <w:t>ת"פ 64089-12-20</w:t>
        </w:r>
      </w:hyperlink>
      <w:r w:rsidRPr="00AF5CED">
        <w:rPr>
          <w:rFonts w:ascii="David" w:hAnsi="David" w:cs="David"/>
          <w:sz w:val="24"/>
          <w:szCs w:val="24"/>
          <w:rtl/>
        </w:rPr>
        <w:t xml:space="preserve">, עבירה של </w:t>
      </w:r>
      <w:r w:rsidRPr="00AF5CED">
        <w:rPr>
          <w:rFonts w:ascii="David" w:hAnsi="David" w:cs="David"/>
          <w:b/>
          <w:bCs/>
          <w:sz w:val="24"/>
          <w:szCs w:val="24"/>
          <w:u w:val="single"/>
          <w:rtl/>
        </w:rPr>
        <w:t xml:space="preserve">החזקת סם מסוכן לצריכה עצמית לפי סעיף </w:t>
      </w:r>
      <w:hyperlink r:id="rId22" w:history="1">
        <w:r w:rsidR="00A25507" w:rsidRPr="00A25507">
          <w:rPr>
            <w:rStyle w:val="Hyperlink"/>
            <w:rFonts w:ascii="David" w:hAnsi="David" w:cs="David"/>
            <w:b/>
            <w:bCs/>
            <w:sz w:val="24"/>
            <w:szCs w:val="24"/>
            <w:rtl/>
          </w:rPr>
          <w:t>7 (א)</w:t>
        </w:r>
      </w:hyperlink>
      <w:r w:rsidRPr="00AF5CED">
        <w:rPr>
          <w:rFonts w:ascii="David" w:hAnsi="David" w:cs="David"/>
          <w:b/>
          <w:bCs/>
          <w:sz w:val="24"/>
          <w:szCs w:val="24"/>
          <w:u w:val="single"/>
          <w:rtl/>
        </w:rPr>
        <w:t xml:space="preserve"> + </w:t>
      </w:r>
      <w:hyperlink r:id="rId23" w:history="1">
        <w:r w:rsidR="00A25507" w:rsidRPr="00A25507">
          <w:rPr>
            <w:rStyle w:val="Hyperlink"/>
            <w:rFonts w:ascii="David" w:hAnsi="David" w:cs="David"/>
            <w:b/>
            <w:bCs/>
            <w:sz w:val="24"/>
            <w:szCs w:val="24"/>
            <w:rtl/>
          </w:rPr>
          <w:t>7(ג)</w:t>
        </w:r>
      </w:hyperlink>
      <w:r w:rsidRPr="00AF5CED">
        <w:rPr>
          <w:rFonts w:ascii="David" w:hAnsi="David" w:cs="David"/>
          <w:b/>
          <w:bCs/>
          <w:sz w:val="24"/>
          <w:szCs w:val="24"/>
          <w:u w:val="single"/>
          <w:rtl/>
        </w:rPr>
        <w:t xml:space="preserve"> סיפא ל</w:t>
      </w:r>
      <w:hyperlink r:id="rId24" w:history="1">
        <w:r w:rsidR="00BB58C2" w:rsidRPr="00BB58C2">
          <w:rPr>
            <w:rFonts w:ascii="David" w:hAnsi="David" w:cs="David"/>
            <w:b/>
            <w:bCs/>
            <w:color w:val="0000FF"/>
            <w:sz w:val="24"/>
            <w:szCs w:val="24"/>
            <w:u w:val="single"/>
            <w:rtl/>
          </w:rPr>
          <w:t>פקודת הסמים המסוכנים</w:t>
        </w:r>
      </w:hyperlink>
      <w:r w:rsidRPr="00AF5CED">
        <w:rPr>
          <w:rFonts w:ascii="David" w:hAnsi="David" w:cs="David"/>
          <w:b/>
          <w:bCs/>
          <w:sz w:val="24"/>
          <w:szCs w:val="24"/>
          <w:u w:val="single"/>
          <w:rtl/>
        </w:rPr>
        <w:t xml:space="preserve"> [נוסח חדש] התשל"ג- 1973</w:t>
      </w:r>
      <w:r w:rsidRPr="00AF5CED">
        <w:rPr>
          <w:rFonts w:ascii="David" w:hAnsi="David" w:cs="David"/>
          <w:sz w:val="24"/>
          <w:szCs w:val="24"/>
          <w:rtl/>
        </w:rPr>
        <w:t xml:space="preserve">. </w:t>
      </w:r>
    </w:p>
    <w:p w14:paraId="7662E2A5" w14:textId="77777777" w:rsidR="00C268CA" w:rsidRPr="00AF5CED" w:rsidRDefault="00C268CA" w:rsidP="00C268CA">
      <w:pPr>
        <w:pStyle w:val="aa"/>
        <w:spacing w:line="360" w:lineRule="auto"/>
        <w:jc w:val="both"/>
        <w:rPr>
          <w:rFonts w:ascii="David" w:hAnsi="David" w:cs="David"/>
          <w:sz w:val="24"/>
          <w:szCs w:val="24"/>
          <w:rtl/>
        </w:rPr>
      </w:pPr>
    </w:p>
    <w:p w14:paraId="4A9DC814" w14:textId="77777777" w:rsidR="00C268CA" w:rsidRPr="00AF5CED" w:rsidRDefault="00C268CA" w:rsidP="00C268CA">
      <w:pPr>
        <w:pStyle w:val="aa"/>
        <w:numPr>
          <w:ilvl w:val="0"/>
          <w:numId w:val="1"/>
        </w:numPr>
        <w:spacing w:line="360" w:lineRule="auto"/>
        <w:jc w:val="both"/>
        <w:rPr>
          <w:rFonts w:ascii="David" w:hAnsi="David" w:cs="David"/>
          <w:sz w:val="24"/>
          <w:szCs w:val="24"/>
        </w:rPr>
      </w:pPr>
      <w:bookmarkStart w:id="7" w:name="ABSTRACT_END"/>
      <w:bookmarkEnd w:id="7"/>
      <w:r w:rsidRPr="00AF5CED">
        <w:rPr>
          <w:rFonts w:ascii="David" w:hAnsi="David" w:cs="David"/>
          <w:sz w:val="24"/>
          <w:szCs w:val="24"/>
          <w:rtl/>
        </w:rPr>
        <w:lastRenderedPageBreak/>
        <w:t>על פי עובדות כתבי האישום המתוקנים:</w:t>
      </w:r>
    </w:p>
    <w:p w14:paraId="22119616" w14:textId="77777777" w:rsidR="00C268CA" w:rsidRPr="00AF5CED" w:rsidRDefault="00C268CA" w:rsidP="00C268CA">
      <w:pPr>
        <w:pStyle w:val="aa"/>
        <w:spacing w:line="360" w:lineRule="auto"/>
        <w:jc w:val="both"/>
        <w:rPr>
          <w:rFonts w:ascii="David" w:hAnsi="David" w:cs="David"/>
          <w:b/>
          <w:bCs/>
          <w:sz w:val="24"/>
          <w:szCs w:val="24"/>
        </w:rPr>
      </w:pPr>
      <w:r w:rsidRPr="00AF5CED">
        <w:rPr>
          <w:rFonts w:ascii="David" w:hAnsi="David" w:cs="David"/>
          <w:b/>
          <w:bCs/>
          <w:sz w:val="24"/>
          <w:szCs w:val="24"/>
          <w:rtl/>
        </w:rPr>
        <w:t>ב</w:t>
      </w:r>
      <w:hyperlink r:id="rId25" w:history="1">
        <w:r w:rsidR="00BB58C2" w:rsidRPr="00BB58C2">
          <w:rPr>
            <w:rFonts w:ascii="David" w:hAnsi="David" w:cs="David"/>
            <w:b/>
            <w:bCs/>
            <w:color w:val="0000FF"/>
            <w:sz w:val="24"/>
            <w:szCs w:val="24"/>
            <w:u w:val="single"/>
            <w:rtl/>
          </w:rPr>
          <w:t>ת"פ 64089-12-20</w:t>
        </w:r>
      </w:hyperlink>
      <w:r w:rsidRPr="00AF5CED">
        <w:rPr>
          <w:rFonts w:ascii="David" w:hAnsi="David" w:cs="David"/>
          <w:b/>
          <w:bCs/>
          <w:sz w:val="24"/>
          <w:szCs w:val="24"/>
          <w:rtl/>
        </w:rPr>
        <w:t xml:space="preserve"> –</w:t>
      </w:r>
      <w:r w:rsidRPr="00AF5CED">
        <w:rPr>
          <w:rFonts w:ascii="David" w:hAnsi="David" w:cs="David"/>
          <w:sz w:val="24"/>
          <w:szCs w:val="24"/>
          <w:rtl/>
        </w:rPr>
        <w:t xml:space="preserve"> נטען כי  ביום 18.09.2019 בשעה 20:45 או בסמוך לכך, בעיר קרית גת, החזיק הנאשם מתחת לכיסא צמוד לרגליו, שלוש שקיות שקופות של סם מסוכן מסוג קנבוס במשקל כולל של כ- 13.10 גרם לצריכה עצמית וזאת ללא היתר כדין. </w:t>
      </w:r>
    </w:p>
    <w:p w14:paraId="17B79646" w14:textId="77777777" w:rsidR="00C268CA" w:rsidRPr="00AF5CED" w:rsidRDefault="00C268CA" w:rsidP="00C268CA">
      <w:pPr>
        <w:pStyle w:val="aa"/>
        <w:spacing w:line="360" w:lineRule="auto"/>
        <w:jc w:val="both"/>
        <w:rPr>
          <w:rFonts w:ascii="David" w:hAnsi="David" w:cs="David"/>
          <w:sz w:val="24"/>
          <w:szCs w:val="24"/>
        </w:rPr>
      </w:pPr>
      <w:r w:rsidRPr="00AF5CED">
        <w:rPr>
          <w:rFonts w:ascii="David" w:hAnsi="David" w:cs="David"/>
          <w:b/>
          <w:bCs/>
          <w:sz w:val="24"/>
          <w:szCs w:val="24"/>
          <w:rtl/>
        </w:rPr>
        <w:t>ב</w:t>
      </w:r>
      <w:hyperlink r:id="rId26" w:history="1">
        <w:r w:rsidR="00BB58C2" w:rsidRPr="00BB58C2">
          <w:rPr>
            <w:rFonts w:ascii="David" w:hAnsi="David" w:cs="David"/>
            <w:b/>
            <w:bCs/>
            <w:color w:val="0000FF"/>
            <w:sz w:val="24"/>
            <w:szCs w:val="24"/>
            <w:u w:val="single"/>
            <w:rtl/>
          </w:rPr>
          <w:t>ת"פ 35876-12-20</w:t>
        </w:r>
      </w:hyperlink>
      <w:r w:rsidRPr="00AF5CED">
        <w:rPr>
          <w:rFonts w:ascii="David" w:hAnsi="David" w:cs="David"/>
          <w:b/>
          <w:bCs/>
          <w:sz w:val="24"/>
          <w:szCs w:val="24"/>
          <w:rtl/>
        </w:rPr>
        <w:t>-</w:t>
      </w:r>
      <w:r w:rsidRPr="00AF5CED">
        <w:rPr>
          <w:rFonts w:ascii="David" w:hAnsi="David" w:cs="David"/>
          <w:sz w:val="24"/>
          <w:szCs w:val="24"/>
          <w:rtl/>
        </w:rPr>
        <w:t xml:space="preserve"> נטען כי ביום 17.08.20 בשעה 18:00 או בסמוך לכך, עלה הנאשם עם סבו והמתלונן, לגג בניין בעיר קרית גת, כדי לטפל בצינורות מים שהפריעו לסבו. בשל דין ודברים תקף הנאשם את המתלונן שלא כדין בכך שתפס בידו השמאלית, צבט אותו ודחף אותו לקיר. </w:t>
      </w:r>
    </w:p>
    <w:p w14:paraId="790CAB75" w14:textId="77777777" w:rsidR="00C268CA" w:rsidRPr="00AF5CED" w:rsidRDefault="00C268CA" w:rsidP="00C268CA">
      <w:pPr>
        <w:pStyle w:val="aa"/>
        <w:spacing w:line="360" w:lineRule="auto"/>
        <w:jc w:val="both"/>
        <w:rPr>
          <w:rFonts w:ascii="David" w:hAnsi="David" w:cs="David"/>
          <w:b/>
          <w:bCs/>
          <w:sz w:val="24"/>
          <w:szCs w:val="24"/>
          <w:u w:val="single"/>
          <w:rtl/>
        </w:rPr>
      </w:pPr>
      <w:r w:rsidRPr="00AF5CED">
        <w:rPr>
          <w:rFonts w:ascii="David" w:hAnsi="David" w:cs="David"/>
          <w:b/>
          <w:bCs/>
          <w:sz w:val="24"/>
          <w:szCs w:val="24"/>
          <w:rtl/>
        </w:rPr>
        <w:t>ב</w:t>
      </w:r>
      <w:hyperlink r:id="rId27" w:history="1">
        <w:r w:rsidR="00BB58C2" w:rsidRPr="00BB58C2">
          <w:rPr>
            <w:rFonts w:ascii="David" w:hAnsi="David" w:cs="David"/>
            <w:b/>
            <w:bCs/>
            <w:color w:val="0000FF"/>
            <w:sz w:val="24"/>
            <w:szCs w:val="24"/>
            <w:u w:val="single"/>
            <w:rtl/>
          </w:rPr>
          <w:t>ת"פ 55652-12-21</w:t>
        </w:r>
      </w:hyperlink>
      <w:r w:rsidRPr="00AF5CED">
        <w:rPr>
          <w:rFonts w:ascii="David" w:hAnsi="David" w:cs="David"/>
          <w:b/>
          <w:bCs/>
          <w:sz w:val="24"/>
          <w:szCs w:val="24"/>
          <w:rtl/>
        </w:rPr>
        <w:t>-</w:t>
      </w:r>
      <w:r w:rsidRPr="00AF5CED">
        <w:rPr>
          <w:rFonts w:ascii="David" w:hAnsi="David" w:cs="David"/>
          <w:sz w:val="24"/>
          <w:szCs w:val="24"/>
          <w:rtl/>
        </w:rPr>
        <w:t xml:space="preserve"> נטען שביום 19.02.2021 בשעה 16:40 או בסמוך לכך, בעיר קרית גת, היה הנאשם מעורב בתאונת דרכים. למקום הוזעקו שוטרים, הנאשם סירב לבקשת השוטר להזדהות והחל לקלל את השוטרים וסירב להגיע עימם לתחנה בטענה כי הוא שומר שבת. הנאשם סירב לשתף פעולה עם השוטרים וסירב להושיט ידיו כשהודיעו לו שהוא עצור. </w:t>
      </w:r>
    </w:p>
    <w:p w14:paraId="761A91E6" w14:textId="77777777" w:rsidR="00C268CA" w:rsidRPr="00AF5CED" w:rsidRDefault="00C268CA" w:rsidP="00C268CA">
      <w:pPr>
        <w:spacing w:line="360" w:lineRule="auto"/>
        <w:rPr>
          <w:rFonts w:ascii="David" w:hAnsi="David"/>
          <w:b/>
          <w:bCs/>
          <w:u w:val="single"/>
          <w:rtl/>
        </w:rPr>
      </w:pPr>
      <w:r w:rsidRPr="00AF5CED">
        <w:rPr>
          <w:rFonts w:ascii="David" w:hAnsi="David"/>
          <w:b/>
          <w:bCs/>
          <w:u w:val="single"/>
          <w:rtl/>
        </w:rPr>
        <w:t>הסדר הטיעון</w:t>
      </w:r>
    </w:p>
    <w:p w14:paraId="745C220F" w14:textId="77777777" w:rsidR="00C268CA" w:rsidRPr="00AF5CED" w:rsidRDefault="00C268CA" w:rsidP="00C268CA">
      <w:pPr>
        <w:pStyle w:val="aa"/>
        <w:numPr>
          <w:ilvl w:val="0"/>
          <w:numId w:val="2"/>
        </w:numPr>
        <w:spacing w:line="360" w:lineRule="auto"/>
        <w:jc w:val="both"/>
        <w:rPr>
          <w:rFonts w:ascii="David" w:hAnsi="David" w:cs="David"/>
          <w:sz w:val="24"/>
          <w:szCs w:val="24"/>
        </w:rPr>
      </w:pPr>
      <w:r w:rsidRPr="00AF5CED">
        <w:rPr>
          <w:rFonts w:ascii="David" w:hAnsi="David" w:cs="David"/>
          <w:sz w:val="24"/>
          <w:szCs w:val="24"/>
          <w:rtl/>
        </w:rPr>
        <w:t xml:space="preserve">ביום 6.7.21 הציגו הצדדים הסדר במסגרתו הודה הנאשם במיוחס לו בכתבי האישום המתוקנים ונשלח אל שירות המבחן לקבלת תסקיר.  הצדדים סיכמו כי בהינתן תסקיר חיובי תקבל המאשימה את המלצות שירות המבחן, אחרת הצדדים יטענו באופן חופשי. </w:t>
      </w:r>
    </w:p>
    <w:p w14:paraId="0D937CE2" w14:textId="77777777" w:rsidR="00C268CA" w:rsidRPr="00AF5CED" w:rsidRDefault="00C268CA" w:rsidP="00C268CA">
      <w:pPr>
        <w:spacing w:line="360" w:lineRule="auto"/>
        <w:rPr>
          <w:rFonts w:ascii="David" w:hAnsi="David"/>
          <w:b/>
          <w:bCs/>
          <w:u w:val="single"/>
        </w:rPr>
      </w:pPr>
      <w:r w:rsidRPr="00AF5CED">
        <w:rPr>
          <w:rFonts w:ascii="David" w:hAnsi="David"/>
          <w:b/>
          <w:bCs/>
          <w:u w:val="single"/>
          <w:rtl/>
        </w:rPr>
        <w:t xml:space="preserve">התסקיר </w:t>
      </w:r>
    </w:p>
    <w:p w14:paraId="6E2A9F13" w14:textId="77777777" w:rsidR="00C268CA" w:rsidRPr="00AF5CED" w:rsidRDefault="00C268CA" w:rsidP="00C268CA">
      <w:pPr>
        <w:pStyle w:val="aa"/>
        <w:numPr>
          <w:ilvl w:val="0"/>
          <w:numId w:val="2"/>
        </w:numPr>
        <w:spacing w:line="360" w:lineRule="auto"/>
        <w:jc w:val="both"/>
        <w:rPr>
          <w:rFonts w:ascii="David" w:hAnsi="David" w:cs="David"/>
          <w:b/>
          <w:bCs/>
          <w:sz w:val="24"/>
          <w:szCs w:val="24"/>
          <w:u w:val="single"/>
        </w:rPr>
      </w:pPr>
      <w:r w:rsidRPr="00AF5CED">
        <w:rPr>
          <w:rFonts w:ascii="David" w:hAnsi="David" w:cs="David"/>
          <w:sz w:val="24"/>
          <w:szCs w:val="24"/>
          <w:rtl/>
        </w:rPr>
        <w:t xml:space="preserve">בעניינו של הנאשם  הוגשו 6 תסקירים. </w:t>
      </w:r>
    </w:p>
    <w:p w14:paraId="742585D9"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b/>
          <w:bCs/>
          <w:sz w:val="24"/>
          <w:szCs w:val="24"/>
          <w:rtl/>
        </w:rPr>
        <w:t>מהתסקירים שהוגשו,</w:t>
      </w:r>
      <w:r w:rsidRPr="00AF5CED">
        <w:rPr>
          <w:rFonts w:ascii="David" w:hAnsi="David" w:cs="David"/>
          <w:sz w:val="24"/>
          <w:szCs w:val="24"/>
          <w:rtl/>
        </w:rPr>
        <w:t xml:space="preserve"> עולה כי מדובר בנאשם כבן 23, נשוי ואב לילדה המתגורר יחד עם אשתו ובתו במושב שדה דוד. שירות המבחן התרשם מנסיבות חייו המורכבים של הנאשם ומכך שהנאשם נושא עמו קשיים רגשיים משמעותיים המונעים ממנו לשלוט בדחפיו במצבי לחץ ולנקוט בתוקפנות. שירות המבחן ציין כי הנאשם זקוק לטיפול בתחום האלימות וטיפול רגשי הקשור בשימושו בסמים. </w:t>
      </w:r>
    </w:p>
    <w:p w14:paraId="5E8CD00A" w14:textId="77777777" w:rsidR="00C268CA" w:rsidRPr="00AF5CED" w:rsidRDefault="00C268CA" w:rsidP="00C268CA">
      <w:pPr>
        <w:pStyle w:val="aa"/>
        <w:spacing w:line="360" w:lineRule="auto"/>
        <w:jc w:val="both"/>
        <w:rPr>
          <w:rFonts w:ascii="David" w:hAnsi="David" w:cs="David"/>
          <w:sz w:val="24"/>
          <w:szCs w:val="24"/>
        </w:rPr>
      </w:pPr>
      <w:r w:rsidRPr="00AF5CED">
        <w:rPr>
          <w:rFonts w:ascii="David" w:hAnsi="David" w:cs="David"/>
          <w:sz w:val="24"/>
          <w:szCs w:val="24"/>
          <w:rtl/>
        </w:rPr>
        <w:t xml:space="preserve">כעולה מהתסקירים נעשה ניסיון לשלב הנאשם בקבוצה טיפולית,  אך ללא הצלחה בשל קשייו להשתלב בקבוצה, להגיע למפגשים ולהשתתף בהם.  משכך,  לא ניתנה המלצות טיפוליות בעניינו של הנאשם. </w:t>
      </w:r>
    </w:p>
    <w:p w14:paraId="5B15F35C" w14:textId="77777777" w:rsidR="00C268CA" w:rsidRPr="00AF5CED" w:rsidRDefault="00C268CA" w:rsidP="00C268CA">
      <w:pPr>
        <w:pStyle w:val="aa"/>
        <w:spacing w:line="360" w:lineRule="auto"/>
        <w:jc w:val="both"/>
        <w:rPr>
          <w:rFonts w:ascii="David" w:hAnsi="David" w:cs="David"/>
          <w:sz w:val="24"/>
          <w:szCs w:val="24"/>
          <w:rtl/>
        </w:rPr>
      </w:pPr>
    </w:p>
    <w:p w14:paraId="7426078E"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u w:val="single"/>
          <w:rtl/>
        </w:rPr>
        <w:t xml:space="preserve">באשר להמלצה עונשית- </w:t>
      </w:r>
      <w:r w:rsidRPr="00AF5CED">
        <w:rPr>
          <w:rFonts w:ascii="David" w:hAnsi="David" w:cs="David"/>
          <w:sz w:val="24"/>
          <w:szCs w:val="24"/>
          <w:rtl/>
        </w:rPr>
        <w:t>התייחס שירות המבחן לעובדה כי מדובר בצעיר בתחילת דרכו, המבקש לשמר על יציבות תעסוקתית. שירות המבחן סבר כי הטלת צו של"צ תהווה עונש חינוכי שיהיה בו כדי להקטין את הסיכון להישנות ביצוע העבירות והמליץ על ענישה הכוללת של"צ בהיקף של 300 שעות.</w:t>
      </w:r>
    </w:p>
    <w:p w14:paraId="71FCCB71"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u w:val="single"/>
          <w:rtl/>
        </w:rPr>
        <w:t xml:space="preserve">שירות המבחן לא המליץ לבטל ההרשעה, בנסיבות בהן לא </w:t>
      </w:r>
      <w:r w:rsidRPr="00AF5CED">
        <w:rPr>
          <w:rFonts w:ascii="David" w:hAnsi="David" w:cs="David"/>
          <w:sz w:val="24"/>
          <w:szCs w:val="24"/>
          <w:rtl/>
        </w:rPr>
        <w:t xml:space="preserve">השתלב הנאשם בהליך טיפולי, כיוון שלא מדובר באירוע בודד ולאור העובדה כי הרשעתו לא תהווה פגיעה בהמשך עבודתו. </w:t>
      </w:r>
    </w:p>
    <w:p w14:paraId="0A15ADCF" w14:textId="77777777" w:rsidR="00C268CA" w:rsidRPr="00AF5CED" w:rsidRDefault="00C268CA" w:rsidP="00C268CA">
      <w:pPr>
        <w:spacing w:line="360" w:lineRule="auto"/>
        <w:rPr>
          <w:rFonts w:ascii="David" w:hAnsi="David"/>
          <w:b/>
          <w:bCs/>
          <w:u w:val="single"/>
          <w:rtl/>
        </w:rPr>
      </w:pPr>
    </w:p>
    <w:p w14:paraId="7CB98622" w14:textId="77777777" w:rsidR="00C268CA" w:rsidRPr="00AF5CED" w:rsidRDefault="00C268CA" w:rsidP="00C268CA">
      <w:pPr>
        <w:spacing w:line="360" w:lineRule="auto"/>
        <w:rPr>
          <w:rFonts w:ascii="David" w:hAnsi="David"/>
          <w:b/>
          <w:bCs/>
          <w:u w:val="single"/>
        </w:rPr>
      </w:pPr>
      <w:r w:rsidRPr="00AF5CED">
        <w:rPr>
          <w:rFonts w:ascii="David" w:hAnsi="David"/>
          <w:b/>
          <w:bCs/>
          <w:u w:val="single"/>
          <w:rtl/>
        </w:rPr>
        <w:lastRenderedPageBreak/>
        <w:t>טענות הצדדים לעונש</w:t>
      </w:r>
    </w:p>
    <w:p w14:paraId="745BBF6F" w14:textId="77777777" w:rsidR="00C268CA" w:rsidRPr="00AF5CED" w:rsidRDefault="00C268CA" w:rsidP="00C268CA">
      <w:pPr>
        <w:pStyle w:val="aa"/>
        <w:numPr>
          <w:ilvl w:val="0"/>
          <w:numId w:val="2"/>
        </w:numPr>
        <w:spacing w:line="360" w:lineRule="auto"/>
        <w:jc w:val="both"/>
        <w:rPr>
          <w:rFonts w:ascii="David" w:hAnsi="David" w:cs="David"/>
          <w:sz w:val="24"/>
          <w:szCs w:val="24"/>
          <w:rtl/>
        </w:rPr>
      </w:pPr>
      <w:r w:rsidRPr="00AF5CED">
        <w:rPr>
          <w:rFonts w:ascii="David" w:hAnsi="David" w:cs="David"/>
          <w:b/>
          <w:bCs/>
          <w:sz w:val="24"/>
          <w:szCs w:val="24"/>
          <w:rtl/>
        </w:rPr>
        <w:t>ב"כ המאשימה</w:t>
      </w:r>
      <w:r w:rsidRPr="00AF5CED">
        <w:rPr>
          <w:rFonts w:ascii="David" w:hAnsi="David" w:cs="David"/>
          <w:sz w:val="24"/>
          <w:szCs w:val="24"/>
          <w:rtl/>
        </w:rPr>
        <w:t xml:space="preserve"> טענה לערכים המוגנים שנפגעו כתוצאה ממעשי הנאשם, </w:t>
      </w:r>
      <w:r w:rsidRPr="00AF5CED">
        <w:rPr>
          <w:rFonts w:ascii="David" w:hAnsi="David" w:cs="David"/>
          <w:sz w:val="24"/>
          <w:szCs w:val="24"/>
          <w:u w:val="single"/>
          <w:rtl/>
        </w:rPr>
        <w:t>בעבירת הסמים,</w:t>
      </w:r>
      <w:r w:rsidRPr="00AF5CED">
        <w:rPr>
          <w:rFonts w:ascii="David" w:hAnsi="David" w:cs="David"/>
          <w:sz w:val="24"/>
          <w:szCs w:val="24"/>
          <w:rtl/>
        </w:rPr>
        <w:t xml:space="preserve"> פגע הנאשם בערכים המוגנים של הגנה על שלום הציבור ובריאותו. </w:t>
      </w:r>
      <w:r w:rsidRPr="00AF5CED">
        <w:rPr>
          <w:rFonts w:ascii="David" w:hAnsi="David" w:cs="David"/>
          <w:sz w:val="24"/>
          <w:szCs w:val="24"/>
          <w:u w:val="single"/>
          <w:rtl/>
        </w:rPr>
        <w:t>בעבירת התקיפה,</w:t>
      </w:r>
      <w:r w:rsidRPr="00AF5CED">
        <w:rPr>
          <w:rFonts w:ascii="David" w:hAnsi="David" w:cs="David"/>
          <w:sz w:val="24"/>
          <w:szCs w:val="24"/>
          <w:rtl/>
        </w:rPr>
        <w:t xml:space="preserve"> פגע הנאשם בערכים של הגנה על שלום הציבור, תחושת הביטחון הבסיסית וזכותו של המתלונן לאוטונומיה על גופו. ב</w:t>
      </w:r>
      <w:r w:rsidRPr="00AF5CED">
        <w:rPr>
          <w:rFonts w:ascii="David" w:hAnsi="David" w:cs="David"/>
          <w:sz w:val="24"/>
          <w:szCs w:val="24"/>
          <w:u w:val="single"/>
          <w:rtl/>
        </w:rPr>
        <w:t>הפרעה לשוטר,</w:t>
      </w:r>
      <w:r w:rsidRPr="00AF5CED">
        <w:rPr>
          <w:rFonts w:ascii="David" w:hAnsi="David" w:cs="David"/>
          <w:sz w:val="24"/>
          <w:szCs w:val="24"/>
          <w:rtl/>
        </w:rPr>
        <w:t xml:space="preserve"> הנאשם פגע בשמירה על הסדר הציבורי, כיבוד אנשי החוק בכך שיוכלו לבצע את עבודתם נאמנה ולהבטיח את מילוי תפקידם. </w:t>
      </w:r>
    </w:p>
    <w:p w14:paraId="7ECBF38A"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ב"כ המאשימה הפנתה בטיעוניה לנסיבות ביצוע העבירות בהן הודה והורשע הנאשם ולחומרת המעשים. בתיק הסמים התייחסה לכמות וסוג הסם. בתיק התקיפה, ציינה כי מדובר בתקיפה פתאומית ועל אף שלא נגרמו חבלות יש לראות בחומרה שאדם הותקף ללא הצדקה בבניין מגוריו באופן גס ואלים. באשר לעבירות נגד שוטרים, ציינה ב"כ המאשימה כי מדובר בהתנהגות בוטה וגסה של הנאשם שהופנתה כלפי אנשי החוק. </w:t>
      </w:r>
    </w:p>
    <w:p w14:paraId="714AFCD3" w14:textId="77777777" w:rsidR="00C268CA" w:rsidRPr="00AF5CED" w:rsidRDefault="00C268CA" w:rsidP="00C268CA">
      <w:pPr>
        <w:pStyle w:val="aa"/>
        <w:spacing w:line="360" w:lineRule="auto"/>
        <w:jc w:val="both"/>
        <w:rPr>
          <w:rFonts w:ascii="David" w:hAnsi="David" w:cs="David"/>
          <w:sz w:val="24"/>
          <w:szCs w:val="24"/>
        </w:rPr>
      </w:pPr>
      <w:r w:rsidRPr="00AF5CED">
        <w:rPr>
          <w:rFonts w:ascii="David" w:hAnsi="David" w:cs="David"/>
          <w:sz w:val="24"/>
          <w:szCs w:val="24"/>
          <w:rtl/>
        </w:rPr>
        <w:t xml:space="preserve">ב"כ המאשימה ביקשה לקבוע מתחם ענישה לכל עבירה: </w:t>
      </w:r>
      <w:r w:rsidRPr="00AF5CED">
        <w:rPr>
          <w:rFonts w:ascii="David" w:hAnsi="David" w:cs="David"/>
          <w:sz w:val="24"/>
          <w:szCs w:val="24"/>
          <w:u w:val="single"/>
          <w:rtl/>
        </w:rPr>
        <w:t>בעבירת הסמים</w:t>
      </w:r>
      <w:r w:rsidRPr="00AF5CED">
        <w:rPr>
          <w:rFonts w:ascii="David" w:hAnsi="David" w:cs="David"/>
          <w:sz w:val="24"/>
          <w:szCs w:val="24"/>
          <w:rtl/>
        </w:rPr>
        <w:t xml:space="preserve"> מתחם הענישה, נע בין מאסר על תנאי ועד 6 חודשי מאסר שיכול שירוצו בדרך של עבודות שירות, זאת לצד רכיבי ענישה נוספים. </w:t>
      </w:r>
      <w:r w:rsidRPr="00AF5CED">
        <w:rPr>
          <w:rFonts w:ascii="David" w:hAnsi="David" w:cs="David"/>
          <w:sz w:val="24"/>
          <w:szCs w:val="24"/>
          <w:u w:val="single"/>
          <w:rtl/>
        </w:rPr>
        <w:t>בעבירת התקיפה,</w:t>
      </w:r>
      <w:r w:rsidRPr="00AF5CED">
        <w:rPr>
          <w:rFonts w:ascii="David" w:hAnsi="David" w:cs="David"/>
          <w:sz w:val="24"/>
          <w:szCs w:val="24"/>
          <w:rtl/>
        </w:rPr>
        <w:t xml:space="preserve"> מתחם הענישה, נע בין מאסר על תנאי ועד למספר חודשי מאסר, וכך גם </w:t>
      </w:r>
      <w:r w:rsidRPr="00AF5CED">
        <w:rPr>
          <w:rFonts w:ascii="David" w:hAnsi="David" w:cs="David"/>
          <w:sz w:val="24"/>
          <w:szCs w:val="24"/>
          <w:u w:val="single"/>
          <w:rtl/>
        </w:rPr>
        <w:t>בעבירה של הפרעה לשוטרים במילוי תפקידם</w:t>
      </w:r>
      <w:r w:rsidRPr="00AF5CED">
        <w:rPr>
          <w:rFonts w:ascii="David" w:hAnsi="David" w:cs="David"/>
          <w:sz w:val="24"/>
          <w:szCs w:val="24"/>
          <w:rtl/>
        </w:rPr>
        <w:t>.</w:t>
      </w:r>
    </w:p>
    <w:p w14:paraId="64D2290E"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בכל הנוגע לנסיבות שאינן קשורות בביצוע העבירות, הנאשם נעדר הרשעות קודמות. </w:t>
      </w:r>
    </w:p>
    <w:p w14:paraId="6D7DE868"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ב"כ המאשימה התייחסה להמלצת שירות המבחן לעניין העונש, וציינה כי סבורה שההמלצה לצו של"צ אינה מתאימה בעניין זה וסבורה כי צירוף של שלושה כתבי אישום מחייב ענישה מוחשית וממשית אשר תרתיע את הנאשם. לבסוף, עתרה להשית על הנאשם עונש מוחשי בדמות מספר חודשי מאסר שיכול וירוצו בעבודות שירות לצד רכיבי ענישה נוספים של מאסר על תנאי, פסילה, פסילה על תנאי וקנס. </w:t>
      </w:r>
    </w:p>
    <w:p w14:paraId="1249D452" w14:textId="77777777" w:rsidR="00C268CA" w:rsidRPr="00AF5CED" w:rsidRDefault="00C268CA" w:rsidP="00C268CA">
      <w:pPr>
        <w:pStyle w:val="aa"/>
        <w:spacing w:line="360" w:lineRule="auto"/>
        <w:jc w:val="both"/>
        <w:rPr>
          <w:rFonts w:ascii="David" w:hAnsi="David" w:cs="David"/>
          <w:sz w:val="24"/>
          <w:szCs w:val="24"/>
          <w:rtl/>
        </w:rPr>
      </w:pPr>
    </w:p>
    <w:p w14:paraId="35630F0D" w14:textId="77777777" w:rsidR="00C268CA" w:rsidRPr="00AF5CED" w:rsidRDefault="00C268CA" w:rsidP="00C268CA">
      <w:pPr>
        <w:pStyle w:val="aa"/>
        <w:numPr>
          <w:ilvl w:val="0"/>
          <w:numId w:val="2"/>
        </w:numPr>
        <w:spacing w:line="360" w:lineRule="auto"/>
        <w:jc w:val="both"/>
        <w:rPr>
          <w:rFonts w:ascii="David" w:hAnsi="David" w:cs="David"/>
          <w:sz w:val="24"/>
          <w:szCs w:val="24"/>
          <w:rtl/>
        </w:rPr>
      </w:pPr>
      <w:r w:rsidRPr="00AF5CED">
        <w:rPr>
          <w:rFonts w:ascii="David" w:hAnsi="David" w:cs="David"/>
          <w:b/>
          <w:bCs/>
          <w:sz w:val="24"/>
          <w:szCs w:val="24"/>
          <w:rtl/>
        </w:rPr>
        <w:t xml:space="preserve">ב"כ הנאשם </w:t>
      </w:r>
      <w:r w:rsidRPr="00AF5CED">
        <w:rPr>
          <w:rFonts w:ascii="David" w:hAnsi="David" w:cs="David"/>
          <w:sz w:val="24"/>
          <w:szCs w:val="24"/>
          <w:rtl/>
        </w:rPr>
        <w:t xml:space="preserve">הפנה בטיעוניו לנסיבות ביצוע העבירות. בעבירת הסמים טען כי מדובר בסמים מסוג קנביס בכמות קטנה לצריכה עצמית, בנוגע לעבירת התקיפה טען כי מדובר בתיק עוון אשר דרך כלל מטופל ביחידת הסדר מותנה. באשר לעבירת הפרעה לשוטר טען כי הנאשם הגיב מתוך לחץ, הסכים לבצע בדיקת שכרות אך סירב להתלוות לתחנת המשטרה בשל כניסת השבת. </w:t>
      </w:r>
    </w:p>
    <w:p w14:paraId="34454794" w14:textId="77777777" w:rsidR="00C268CA" w:rsidRPr="00AF5CED" w:rsidRDefault="00C268CA" w:rsidP="00C268CA">
      <w:pPr>
        <w:pStyle w:val="aa"/>
        <w:spacing w:line="360" w:lineRule="auto"/>
        <w:jc w:val="both"/>
        <w:rPr>
          <w:rFonts w:ascii="David" w:hAnsi="David" w:cs="David"/>
          <w:sz w:val="24"/>
          <w:szCs w:val="24"/>
        </w:rPr>
      </w:pPr>
      <w:r w:rsidRPr="00AF5CED">
        <w:rPr>
          <w:rFonts w:ascii="David" w:hAnsi="David" w:cs="David"/>
          <w:sz w:val="24"/>
          <w:szCs w:val="24"/>
          <w:rtl/>
        </w:rPr>
        <w:t xml:space="preserve">בכל הנוגע לנסיבות שאינן קשורות בביצוע העבירות, נטען כי מדובר בנאשם צעיר ללא עבר פלילי, שהודה בהזדמנות הראשונה ולקח אחריות על מעשיו. ב"כ הנאשם התייחס לחלוף הזמן ממועד ביצוע העבירות בשנת 2019, 2020,  בו לא נפתחו כנגד הנאשם תיקים נוספים והוא חזר לנהל אורח חיים נורמטיבי, חי בזוגיות, מגדל ילדה ומצפה להולדת תינוק נוסף. </w:t>
      </w:r>
    </w:p>
    <w:p w14:paraId="60D7DB25"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ב"כ הנאשם התייחס לנסיבות חיו הקשות של הנאשם, כפי המפורט בתסקירים, ציין כי הנאשם פנה באופן פרטי לטיפול פסיכולוגי ופסיכיאטרי. ב"כ הנאשם טען כי נסיבות חיים הובילו הנאשם לצרוך סמים מגיל 14 עד לגיל 19, אך כיום לא משתמש והפנה אל -3 בדיקות שנערכו לנאשם על ידי שירות המבחן המעידות כי לא נמצאו שרידי סם. </w:t>
      </w:r>
    </w:p>
    <w:p w14:paraId="53FF073D"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ב"כ הנאשם הסביר כי הפסקת ההליך הטיפולי נבעה בשל  פריצת דיסק ממנה סבל הנאשם אך דיווח כי החל מיום 19.12.23 שולב לקבוצה טיפולית והגיע ל 3 מתוך 5 מפגשים.</w:t>
      </w:r>
    </w:p>
    <w:p w14:paraId="79C57F1B"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לעניין אי הרשעה, התייחס ב"כ הנאשם למושג "בגירים צעירים" של בית המשפט העליון והפנה לפסיקה. טען כי בעניינו של הנאשם הרשעה תהווה פגיעה קונקרטית של סגירת דלתות של מקומות עבודה פוטנציאליים ועל כן מבקש מבית המשפט להימנע מהרשעה. </w:t>
      </w:r>
    </w:p>
    <w:p w14:paraId="28AA27BF"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לחלופין, ב"כ הנאשם טוען כי מתחם הענישה של כל העבירות מתחיל ממאסר על תנאי ועד למספר חודשי מאסר בפועל שיכול שירוצו בעבודות שירות. ומתייחס לכך שהטלת עבודות שירות על הנאשם תהווה נזק כלכלי בלתי הפיך עבורו ועבור משפחתו ולכן עותר להטלת עונש של של"צ בהיקף של 300 שעות. </w:t>
      </w:r>
    </w:p>
    <w:p w14:paraId="22C38475" w14:textId="77777777" w:rsidR="00C268CA" w:rsidRPr="00AF5CED" w:rsidRDefault="00C268CA" w:rsidP="00C268CA">
      <w:pPr>
        <w:pStyle w:val="aa"/>
        <w:spacing w:line="360" w:lineRule="auto"/>
        <w:jc w:val="both"/>
        <w:rPr>
          <w:rFonts w:ascii="David" w:hAnsi="David" w:cs="David"/>
          <w:sz w:val="24"/>
          <w:szCs w:val="24"/>
          <w:rtl/>
        </w:rPr>
      </w:pPr>
    </w:p>
    <w:p w14:paraId="41BD4D94" w14:textId="77777777" w:rsidR="00C268CA" w:rsidRPr="00AF5CED" w:rsidRDefault="00C268CA" w:rsidP="00C268CA">
      <w:pPr>
        <w:pStyle w:val="aa"/>
        <w:spacing w:line="360" w:lineRule="auto"/>
        <w:jc w:val="both"/>
        <w:rPr>
          <w:rFonts w:ascii="David" w:hAnsi="David" w:cs="David"/>
          <w:b/>
          <w:bCs/>
          <w:sz w:val="24"/>
          <w:szCs w:val="24"/>
          <w:rtl/>
        </w:rPr>
      </w:pPr>
      <w:r w:rsidRPr="00AF5CED">
        <w:rPr>
          <w:rFonts w:ascii="David" w:hAnsi="David" w:cs="David"/>
          <w:b/>
          <w:bCs/>
          <w:sz w:val="24"/>
          <w:szCs w:val="24"/>
          <w:rtl/>
        </w:rPr>
        <w:t>הנאשם בדבריו האחרונים לעונש:</w:t>
      </w:r>
    </w:p>
    <w:p w14:paraId="1655EEC6"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הביע חרטה וציין כי כיום נמצא במקום אחר לגמרי. </w:t>
      </w:r>
    </w:p>
    <w:p w14:paraId="79B5EAC2" w14:textId="77777777" w:rsidR="00C268CA" w:rsidRPr="00AF5CED" w:rsidRDefault="00C268CA" w:rsidP="00C268CA">
      <w:pPr>
        <w:spacing w:line="360" w:lineRule="auto"/>
        <w:ind w:left="720" w:hanging="720"/>
        <w:rPr>
          <w:rFonts w:ascii="David" w:hAnsi="David"/>
          <w:b/>
          <w:bCs/>
          <w:u w:val="single"/>
          <w:rtl/>
        </w:rPr>
      </w:pPr>
      <w:r w:rsidRPr="00AF5CED">
        <w:rPr>
          <w:rFonts w:ascii="David" w:hAnsi="David"/>
          <w:b/>
          <w:bCs/>
          <w:u w:val="single"/>
          <w:rtl/>
        </w:rPr>
        <w:t>דיון והכרעה</w:t>
      </w:r>
    </w:p>
    <w:p w14:paraId="52FC0398" w14:textId="77777777" w:rsidR="00C268CA" w:rsidRPr="00AF5CED" w:rsidRDefault="00C268CA" w:rsidP="00C268CA">
      <w:pPr>
        <w:spacing w:line="360" w:lineRule="auto"/>
        <w:ind w:left="720" w:hanging="720"/>
        <w:rPr>
          <w:rFonts w:ascii="David" w:hAnsi="David"/>
          <w:b/>
          <w:bCs/>
          <w:u w:val="single"/>
          <w:rtl/>
        </w:rPr>
      </w:pPr>
      <w:r w:rsidRPr="00AF5CED">
        <w:rPr>
          <w:rFonts w:ascii="David" w:hAnsi="David"/>
          <w:b/>
          <w:bCs/>
          <w:u w:val="single"/>
          <w:rtl/>
        </w:rPr>
        <w:t>סוגיית ביטול הרשעה</w:t>
      </w:r>
    </w:p>
    <w:p w14:paraId="2922C672" w14:textId="77777777" w:rsidR="00C268CA" w:rsidRPr="00AF5CED" w:rsidRDefault="00C268CA" w:rsidP="00C268CA">
      <w:pPr>
        <w:pStyle w:val="aa"/>
        <w:numPr>
          <w:ilvl w:val="0"/>
          <w:numId w:val="2"/>
        </w:numPr>
        <w:spacing w:line="360" w:lineRule="auto"/>
        <w:jc w:val="both"/>
        <w:rPr>
          <w:rFonts w:ascii="David" w:hAnsi="David" w:cs="David"/>
          <w:b/>
          <w:bCs/>
          <w:sz w:val="24"/>
          <w:szCs w:val="24"/>
          <w:u w:val="single"/>
          <w:rtl/>
        </w:rPr>
      </w:pPr>
      <w:r w:rsidRPr="00AF5CED">
        <w:rPr>
          <w:rFonts w:ascii="David" w:hAnsi="David" w:cs="David"/>
          <w:sz w:val="24"/>
          <w:szCs w:val="24"/>
          <w:rtl/>
        </w:rPr>
        <w:t xml:space="preserve">כלל יסוד הוא שנאשם שהוכח שביצע עבירה יש להרשיעו, רק במקרים חריגים ויוצאי דופן ניתן לשקול סיום ההליך ללא הרשעה. </w:t>
      </w:r>
    </w:p>
    <w:p w14:paraId="3623D04B"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עמד על כך בית המשפט העליון ברע"פ </w:t>
      </w:r>
      <w:hyperlink r:id="rId28" w:history="1">
        <w:r w:rsidR="00165553" w:rsidRPr="00165553">
          <w:rPr>
            <w:rFonts w:ascii="David" w:hAnsi="David" w:cs="David"/>
            <w:color w:val="0000FF"/>
            <w:sz w:val="24"/>
            <w:szCs w:val="24"/>
            <w:u w:val="single"/>
            <w:rtl/>
          </w:rPr>
          <w:t xml:space="preserve">04\11476 </w:t>
        </w:r>
      </w:hyperlink>
      <w:r w:rsidRPr="00AF5CED">
        <w:rPr>
          <w:rFonts w:ascii="David" w:hAnsi="David" w:cs="David"/>
          <w:sz w:val="24"/>
          <w:szCs w:val="24"/>
          <w:rtl/>
        </w:rPr>
        <w:t xml:space="preserve"> </w:t>
      </w:r>
      <w:r w:rsidRPr="00AF5CED">
        <w:rPr>
          <w:rFonts w:ascii="David" w:hAnsi="David" w:cs="David"/>
          <w:b/>
          <w:bCs/>
          <w:sz w:val="24"/>
          <w:szCs w:val="24"/>
          <w:rtl/>
        </w:rPr>
        <w:t xml:space="preserve">מדינת ישראל נ' חברת השקעות דיסקונט בע"מ </w:t>
      </w:r>
      <w:r w:rsidRPr="00AF5CED">
        <w:rPr>
          <w:rFonts w:ascii="David" w:hAnsi="David" w:cs="David"/>
          <w:sz w:val="24"/>
          <w:szCs w:val="24"/>
          <w:rtl/>
        </w:rPr>
        <w:t xml:space="preserve">(פורסם בנבו 14.04.10): </w:t>
      </w:r>
    </w:p>
    <w:p w14:paraId="16FA8EA9" w14:textId="77777777" w:rsidR="00C268CA" w:rsidRPr="00AF5CED" w:rsidRDefault="00C268CA" w:rsidP="00C268CA">
      <w:pPr>
        <w:pStyle w:val="aa"/>
        <w:spacing w:line="360" w:lineRule="auto"/>
        <w:jc w:val="both"/>
        <w:rPr>
          <w:rFonts w:ascii="David" w:hAnsi="David" w:cs="David"/>
          <w:b/>
          <w:bCs/>
          <w:sz w:val="24"/>
          <w:szCs w:val="24"/>
        </w:rPr>
      </w:pPr>
      <w:r w:rsidRPr="00AF5CED">
        <w:rPr>
          <w:rFonts w:ascii="David" w:hAnsi="David" w:cs="David"/>
          <w:b/>
          <w:bCs/>
          <w:sz w:val="24"/>
          <w:szCs w:val="24"/>
          <w:rtl/>
        </w:rPr>
        <w:t xml:space="preserve">"בהתקיים אחריות פלילית, סטייה מחובת הרשעה וענישה היא, על כן, עניין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 כאשר מתקיים חוסר איזון נוקב בין העניין שיש לציבור באכיפת הדין, לבין עוצמת הפגיעה העלולה להיגרם לנאשם מהרשעתו וענישתו, עשוי בית המשפט להשתמש בכלי הנדיר הנתון בידו ולהימנע מהרשעת הנאשם". </w:t>
      </w:r>
    </w:p>
    <w:p w14:paraId="253FB2D4" w14:textId="77777777" w:rsidR="00C268CA" w:rsidRPr="00AF5CED" w:rsidRDefault="00C268CA" w:rsidP="00C268CA">
      <w:pPr>
        <w:pStyle w:val="aa"/>
        <w:spacing w:line="360" w:lineRule="auto"/>
        <w:jc w:val="both"/>
        <w:rPr>
          <w:rFonts w:ascii="David" w:hAnsi="David" w:cs="David"/>
          <w:b/>
          <w:bCs/>
          <w:sz w:val="24"/>
          <w:szCs w:val="24"/>
          <w:rtl/>
        </w:rPr>
      </w:pPr>
    </w:p>
    <w:p w14:paraId="17BC22CB"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בע"פ </w:t>
      </w:r>
      <w:hyperlink r:id="rId29" w:history="1">
        <w:r w:rsidR="00165553" w:rsidRPr="00165553">
          <w:rPr>
            <w:rFonts w:ascii="David" w:hAnsi="David" w:cs="David"/>
            <w:color w:val="0000FF"/>
            <w:sz w:val="24"/>
            <w:szCs w:val="24"/>
            <w:u w:val="single"/>
            <w:rtl/>
          </w:rPr>
          <w:t xml:space="preserve">96\2083 </w:t>
        </w:r>
      </w:hyperlink>
      <w:r w:rsidRPr="00AF5CED">
        <w:rPr>
          <w:rFonts w:ascii="David" w:hAnsi="David" w:cs="David"/>
          <w:sz w:val="24"/>
          <w:szCs w:val="24"/>
          <w:rtl/>
        </w:rPr>
        <w:t xml:space="preserve"> </w:t>
      </w:r>
      <w:r w:rsidRPr="00AF5CED">
        <w:rPr>
          <w:rFonts w:ascii="David" w:hAnsi="David" w:cs="David"/>
          <w:b/>
          <w:bCs/>
          <w:sz w:val="24"/>
          <w:szCs w:val="24"/>
          <w:rtl/>
        </w:rPr>
        <w:t xml:space="preserve">כתב נ' מדינת ישראל </w:t>
      </w:r>
      <w:r w:rsidRPr="00AF5CED">
        <w:rPr>
          <w:rFonts w:ascii="David" w:hAnsi="David" w:cs="David"/>
          <w:sz w:val="24"/>
          <w:szCs w:val="24"/>
          <w:rtl/>
        </w:rPr>
        <w:t>פ"ד נב(3) 337, קבע בית המשפט שני גורמים מצטברים בהתקיימם ניתן להימנע מהרשעה (להלן:</w:t>
      </w:r>
      <w:r w:rsidRPr="00AF5CED">
        <w:rPr>
          <w:rFonts w:ascii="David" w:hAnsi="David" w:cs="David"/>
          <w:b/>
          <w:bCs/>
          <w:sz w:val="24"/>
          <w:szCs w:val="24"/>
          <w:rtl/>
        </w:rPr>
        <w:t xml:space="preserve"> "הלכת כתב"</w:t>
      </w:r>
      <w:r w:rsidRPr="00AF5CED">
        <w:rPr>
          <w:rFonts w:ascii="David" w:hAnsi="David" w:cs="David"/>
          <w:sz w:val="24"/>
          <w:szCs w:val="24"/>
          <w:rtl/>
        </w:rPr>
        <w:t>):</w:t>
      </w:r>
    </w:p>
    <w:p w14:paraId="278F8CEE" w14:textId="77777777" w:rsidR="00C268CA" w:rsidRPr="00AF5CED" w:rsidRDefault="00C268CA" w:rsidP="00C268CA">
      <w:pPr>
        <w:pStyle w:val="aa"/>
        <w:spacing w:line="360" w:lineRule="auto"/>
        <w:jc w:val="both"/>
        <w:rPr>
          <w:rFonts w:ascii="David" w:hAnsi="David" w:cs="David"/>
          <w:b/>
          <w:bCs/>
          <w:sz w:val="24"/>
          <w:szCs w:val="24"/>
          <w:rtl/>
        </w:rPr>
      </w:pPr>
      <w:r w:rsidRPr="00AF5CED">
        <w:rPr>
          <w:rFonts w:ascii="David" w:hAnsi="David" w:cs="David"/>
          <w:b/>
          <w:bCs/>
          <w:sz w:val="24"/>
          <w:szCs w:val="24"/>
          <w:rtl/>
        </w:rPr>
        <w:t xml:space="preserve">"ראשית, על ההרשעה לפגוע פגיעה חמורה בשיקום הנאשם, ושנית, סוג העבירה מאפשר לוותר בנסיבות המקרה המסוים על ההרשעה בלי לפגוע באופן מהותי בשיקולי ענישה אחרים...". </w:t>
      </w:r>
    </w:p>
    <w:p w14:paraId="491E4F5E" w14:textId="77777777" w:rsidR="00C268CA" w:rsidRPr="00AF5CED" w:rsidRDefault="00C268CA" w:rsidP="00C268CA">
      <w:pPr>
        <w:pStyle w:val="aa"/>
        <w:spacing w:line="360" w:lineRule="auto"/>
        <w:jc w:val="both"/>
        <w:rPr>
          <w:rFonts w:ascii="David" w:hAnsi="David" w:cs="David"/>
          <w:b/>
          <w:bCs/>
          <w:sz w:val="24"/>
          <w:szCs w:val="24"/>
        </w:rPr>
      </w:pPr>
    </w:p>
    <w:p w14:paraId="2AD798E0"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עוד נקבע כי על מנת שיחול החריג של אי הרשעה, חובה על הנאשם להוכיח שההרשעה תסב נזק חמור לשיקומו ותפגע פגיעה קונקרטית בתעסוקתו. </w:t>
      </w:r>
    </w:p>
    <w:p w14:paraId="2C10870B" w14:textId="77777777" w:rsidR="00C268CA" w:rsidRPr="00AF5CED" w:rsidRDefault="00C268CA" w:rsidP="00C268CA">
      <w:pPr>
        <w:pStyle w:val="aa"/>
        <w:spacing w:line="360" w:lineRule="auto"/>
        <w:jc w:val="both"/>
        <w:rPr>
          <w:rFonts w:ascii="David" w:hAnsi="David" w:cs="David"/>
          <w:b/>
          <w:bCs/>
          <w:sz w:val="24"/>
          <w:szCs w:val="24"/>
          <w:rtl/>
        </w:rPr>
      </w:pPr>
      <w:r w:rsidRPr="00AF5CED">
        <w:rPr>
          <w:rFonts w:ascii="David" w:hAnsi="David" w:cs="David"/>
          <w:sz w:val="24"/>
          <w:szCs w:val="24"/>
          <w:rtl/>
        </w:rPr>
        <w:t xml:space="preserve">בעניין זה יפים הדברים שנקבעו בעניין זה ברע"פ </w:t>
      </w:r>
      <w:hyperlink r:id="rId30" w:history="1">
        <w:r w:rsidR="00165553" w:rsidRPr="00165553">
          <w:rPr>
            <w:rFonts w:ascii="David" w:hAnsi="David" w:cs="David"/>
            <w:color w:val="0000FF"/>
            <w:sz w:val="24"/>
            <w:szCs w:val="24"/>
            <w:u w:val="single"/>
            <w:rtl/>
          </w:rPr>
          <w:t xml:space="preserve">14\3589 </w:t>
        </w:r>
      </w:hyperlink>
      <w:r w:rsidRPr="00AF5CED">
        <w:rPr>
          <w:rFonts w:ascii="David" w:hAnsi="David" w:cs="David"/>
          <w:sz w:val="24"/>
          <w:szCs w:val="24"/>
          <w:rtl/>
        </w:rPr>
        <w:t xml:space="preserve"> </w:t>
      </w:r>
      <w:r w:rsidRPr="00AF5CED">
        <w:rPr>
          <w:rFonts w:ascii="David" w:hAnsi="David" w:cs="David"/>
          <w:b/>
          <w:bCs/>
          <w:sz w:val="24"/>
          <w:szCs w:val="24"/>
          <w:rtl/>
        </w:rPr>
        <w:t xml:space="preserve">לוזון נ' מדינת ישראל: </w:t>
      </w:r>
    </w:p>
    <w:p w14:paraId="11197748" w14:textId="77777777" w:rsidR="00C268CA" w:rsidRPr="00AF5CED" w:rsidRDefault="00C268CA" w:rsidP="00C268CA">
      <w:pPr>
        <w:pStyle w:val="aa"/>
        <w:spacing w:line="360" w:lineRule="auto"/>
        <w:jc w:val="both"/>
        <w:rPr>
          <w:rFonts w:ascii="David" w:hAnsi="David" w:cs="David"/>
          <w:b/>
          <w:bCs/>
          <w:sz w:val="24"/>
          <w:szCs w:val="24"/>
          <w:rtl/>
        </w:rPr>
      </w:pPr>
      <w:r w:rsidRPr="00AF5CED">
        <w:rPr>
          <w:rFonts w:ascii="David" w:hAnsi="David" w:cs="David"/>
          <w:b/>
          <w:bCs/>
          <w:sz w:val="24"/>
          <w:szCs w:val="24"/>
          <w:rtl/>
        </w:rPr>
        <w:t xml:space="preserve">" על העותר לאי הרשעה מוטלת החובה להצביע על כך שהרשעתו תביא לפגיעה קשה וקונקרטית בסיכויי שיקומו, ולתמוך את טענותיו בתשתית ראייתית מתאימה...החובה להצביע על נזק קונקרטי, עולה בקנה אחד על אופיו המצומצם של החריג שעניינו הימנעות מהרשעה, אשר נועד לחול אך במקרים בהם קיימים טעמים כבדי משקל הנוגעים לשיקומו של הנאשם". </w:t>
      </w:r>
    </w:p>
    <w:p w14:paraId="1901C72C" w14:textId="77777777" w:rsidR="00C268CA" w:rsidRPr="00AF5CED" w:rsidRDefault="00C268CA" w:rsidP="00C268CA">
      <w:pPr>
        <w:spacing w:line="360" w:lineRule="auto"/>
        <w:rPr>
          <w:rFonts w:ascii="David" w:hAnsi="David"/>
          <w:b/>
          <w:bCs/>
          <w:u w:val="single"/>
          <w:rtl/>
        </w:rPr>
      </w:pPr>
      <w:r w:rsidRPr="00AF5CED">
        <w:rPr>
          <w:rFonts w:ascii="David" w:hAnsi="David"/>
          <w:b/>
          <w:bCs/>
          <w:u w:val="single"/>
          <w:rtl/>
        </w:rPr>
        <w:t>מן הכלל אל הפרט:</w:t>
      </w:r>
    </w:p>
    <w:p w14:paraId="7442976E" w14:textId="77777777" w:rsidR="00C268CA" w:rsidRPr="00AF5CED" w:rsidRDefault="00C268CA" w:rsidP="00C268CA">
      <w:pPr>
        <w:pStyle w:val="aa"/>
        <w:numPr>
          <w:ilvl w:val="0"/>
          <w:numId w:val="2"/>
        </w:numPr>
        <w:spacing w:line="360" w:lineRule="auto"/>
        <w:jc w:val="both"/>
        <w:rPr>
          <w:rFonts w:ascii="David" w:hAnsi="David" w:cs="David"/>
          <w:sz w:val="24"/>
          <w:szCs w:val="24"/>
          <w:rtl/>
        </w:rPr>
      </w:pPr>
      <w:r w:rsidRPr="00AF5CED">
        <w:rPr>
          <w:rFonts w:ascii="David" w:hAnsi="David" w:cs="David"/>
          <w:sz w:val="24"/>
          <w:szCs w:val="24"/>
          <w:rtl/>
        </w:rPr>
        <w:t xml:space="preserve">במקרה שבפני מדובר בנאשם שביצע שלוש עבירות בשלושה מועדים שונים. על אף שחומרת כל עבירה בנפרד היא לא ברף הגבוה יש לתת משקל לעובדה כי לא מדובר באירוע בודד. </w:t>
      </w:r>
      <w:r w:rsidRPr="00AF5CED">
        <w:rPr>
          <w:rFonts w:ascii="David" w:hAnsi="David" w:cs="David"/>
          <w:b/>
          <w:bCs/>
          <w:sz w:val="24"/>
          <w:szCs w:val="24"/>
          <w:rtl/>
        </w:rPr>
        <w:t xml:space="preserve">מבחני הפסיקה כוללים התייחסות לנסיבות חומרת העבירה, לשיקום הנאשם ולפגיעה קונקרטית בשל הרשעתו. </w:t>
      </w:r>
    </w:p>
    <w:p w14:paraId="39B85CDC"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sz w:val="24"/>
          <w:szCs w:val="24"/>
          <w:rtl/>
        </w:rPr>
        <w:t xml:space="preserve">כאמור, מדובר בתנאים מצטברים, במקרה שבפני לא מצאתי כי הם מתקיימים, מלבד העובדה כי הנאשם נעדר עבר פלילי. הנאשם לא שיתף פעולה באופן מספק עם שירות המבחן והמלצתו לא כללה את אי הרשעתו. לאלו מתווסף העדר הוכחה קונקרטית לפגיעה בנאשם בשל הרשעתו. טיעוני ב"כ הנאשם לא הצביעו על פגיעה במקום עבדותו של הנאשם ובוודאי לא באופן המצדיק חריגה מן הכלל- הרשעה בפלילים. </w:t>
      </w:r>
    </w:p>
    <w:p w14:paraId="70CF2E2C" w14:textId="77777777" w:rsidR="00C268CA" w:rsidRPr="00AF5CED" w:rsidRDefault="00C268CA" w:rsidP="00C268CA">
      <w:pPr>
        <w:pStyle w:val="aa"/>
        <w:spacing w:line="360" w:lineRule="auto"/>
        <w:jc w:val="both"/>
        <w:rPr>
          <w:rFonts w:ascii="David" w:hAnsi="David" w:cs="David"/>
          <w:sz w:val="24"/>
          <w:szCs w:val="24"/>
        </w:rPr>
      </w:pPr>
    </w:p>
    <w:p w14:paraId="572B4E69" w14:textId="77777777" w:rsidR="00C268CA" w:rsidRPr="00AF5CED" w:rsidRDefault="00C268CA" w:rsidP="00C268CA">
      <w:pPr>
        <w:pStyle w:val="aa"/>
        <w:numPr>
          <w:ilvl w:val="0"/>
          <w:numId w:val="2"/>
        </w:numPr>
        <w:spacing w:line="360" w:lineRule="auto"/>
        <w:jc w:val="both"/>
        <w:rPr>
          <w:rFonts w:ascii="David" w:hAnsi="David" w:cs="David"/>
          <w:sz w:val="24"/>
          <w:szCs w:val="24"/>
          <w:rtl/>
        </w:rPr>
      </w:pPr>
      <w:r w:rsidRPr="00AF5CED">
        <w:rPr>
          <w:rFonts w:ascii="David" w:hAnsi="David" w:cs="David"/>
          <w:sz w:val="24"/>
          <w:szCs w:val="24"/>
          <w:rtl/>
        </w:rPr>
        <w:t>ב"כ הנאשם הפנה לפסיקה בעניין אי הרשעה, לפיה קיבלו בתי המשפט את אי ההרשעה, כאן אעמוד על ההבחנות בין המקרים הללו לתיק זה:</w:t>
      </w:r>
    </w:p>
    <w:p w14:paraId="336BF8DF" w14:textId="77777777" w:rsidR="00C268CA" w:rsidRPr="00AF5CED" w:rsidRDefault="00C268CA" w:rsidP="00C268CA">
      <w:pPr>
        <w:pStyle w:val="aa"/>
        <w:spacing w:line="360" w:lineRule="auto"/>
        <w:jc w:val="both"/>
        <w:rPr>
          <w:rFonts w:ascii="David" w:hAnsi="David" w:cs="David"/>
          <w:sz w:val="24"/>
          <w:szCs w:val="24"/>
          <w:rtl/>
        </w:rPr>
      </w:pPr>
      <w:r w:rsidRPr="00AF5CED">
        <w:rPr>
          <w:rFonts w:ascii="David" w:hAnsi="David" w:cs="David"/>
          <w:b/>
          <w:bCs/>
          <w:sz w:val="24"/>
          <w:szCs w:val="24"/>
          <w:rtl/>
        </w:rPr>
        <w:t xml:space="preserve">בע"פ </w:t>
      </w:r>
      <w:hyperlink r:id="rId31" w:history="1">
        <w:r w:rsidR="00165553" w:rsidRPr="00165553">
          <w:rPr>
            <w:rFonts w:ascii="David" w:hAnsi="David" w:cs="David"/>
            <w:b/>
            <w:bCs/>
            <w:color w:val="0000FF"/>
            <w:sz w:val="24"/>
            <w:szCs w:val="24"/>
            <w:u w:val="single"/>
            <w:rtl/>
          </w:rPr>
          <w:t xml:space="preserve">13\4466 </w:t>
        </w:r>
      </w:hyperlink>
      <w:r w:rsidRPr="00AF5CED">
        <w:rPr>
          <w:rFonts w:ascii="David" w:hAnsi="David" w:cs="David"/>
          <w:b/>
          <w:bCs/>
          <w:sz w:val="24"/>
          <w:szCs w:val="24"/>
          <w:rtl/>
        </w:rPr>
        <w:t xml:space="preserve"> נתנאל אסולין פורטל נ' מדינת ישראל:</w:t>
      </w:r>
      <w:r w:rsidRPr="00AF5CED">
        <w:rPr>
          <w:rFonts w:ascii="David" w:hAnsi="David" w:cs="David"/>
          <w:sz w:val="24"/>
          <w:szCs w:val="24"/>
          <w:rtl/>
        </w:rPr>
        <w:t xml:space="preserve"> בית משפט קיבל את הערעור וביטל את הרשעת הנאשם. מדובר בנאשם צעיר שהורשע על פי הודאתו בעבירה של סיוע לאחר מעשה לעבירת פשע, כאן תסקיר שירות המבחן המליץ על אי הרשעתו, </w:t>
      </w:r>
      <w:r w:rsidRPr="00AF5CED">
        <w:rPr>
          <w:rFonts w:ascii="David" w:hAnsi="David" w:cs="David"/>
          <w:sz w:val="24"/>
          <w:szCs w:val="24"/>
          <w:u w:val="single"/>
          <w:rtl/>
        </w:rPr>
        <w:t>וישנה התייחסות מיוחדת למצבו הנפשי של הנאשם</w:t>
      </w:r>
      <w:r w:rsidRPr="00AF5CED">
        <w:rPr>
          <w:rFonts w:ascii="David" w:hAnsi="David" w:cs="David"/>
          <w:sz w:val="24"/>
          <w:szCs w:val="24"/>
          <w:rtl/>
        </w:rPr>
        <w:t xml:space="preserve"> מחוות דעת פסיכולוגית עולה כי הנאשם סובל מהפרעת אישיות תלותית, המתאפיינת בקושי להתנגש לאנשים שהוא תופס כחזקים ממנו. </w:t>
      </w:r>
    </w:p>
    <w:p w14:paraId="50375DF9" w14:textId="77777777" w:rsidR="00C268CA" w:rsidRPr="00AF5CED" w:rsidRDefault="00BB58C2" w:rsidP="00C268CA">
      <w:pPr>
        <w:pStyle w:val="aa"/>
        <w:spacing w:line="360" w:lineRule="auto"/>
        <w:jc w:val="both"/>
        <w:rPr>
          <w:rFonts w:ascii="David" w:hAnsi="David" w:cs="David"/>
          <w:sz w:val="24"/>
          <w:szCs w:val="24"/>
        </w:rPr>
      </w:pPr>
      <w:hyperlink r:id="rId32" w:history="1">
        <w:r w:rsidRPr="00BB58C2">
          <w:rPr>
            <w:rFonts w:ascii="David" w:hAnsi="David" w:cs="David"/>
            <w:b/>
            <w:bCs/>
            <w:color w:val="0000FF"/>
            <w:sz w:val="24"/>
            <w:szCs w:val="24"/>
            <w:u w:val="single"/>
            <w:rtl/>
          </w:rPr>
          <w:t>עפ"ג 14167-10-15</w:t>
        </w:r>
      </w:hyperlink>
      <w:r w:rsidR="00C268CA" w:rsidRPr="00AF5CED">
        <w:rPr>
          <w:rFonts w:ascii="David" w:hAnsi="David" w:cs="David"/>
          <w:b/>
          <w:bCs/>
          <w:sz w:val="24"/>
          <w:szCs w:val="24"/>
          <w:rtl/>
        </w:rPr>
        <w:t xml:space="preserve"> אלמנאו נ' מדינת ישראל ו </w:t>
      </w:r>
      <w:hyperlink r:id="rId33" w:history="1">
        <w:r w:rsidRPr="00BB58C2">
          <w:rPr>
            <w:rFonts w:ascii="David" w:hAnsi="David" w:cs="David"/>
            <w:b/>
            <w:bCs/>
            <w:color w:val="0000FF"/>
            <w:sz w:val="24"/>
            <w:szCs w:val="24"/>
            <w:u w:val="single"/>
            <w:rtl/>
          </w:rPr>
          <w:t>עפ"ג 47549-10-15</w:t>
        </w:r>
      </w:hyperlink>
      <w:r w:rsidR="00C268CA" w:rsidRPr="00AF5CED">
        <w:rPr>
          <w:rFonts w:ascii="David" w:hAnsi="David" w:cs="David"/>
          <w:b/>
          <w:bCs/>
          <w:sz w:val="24"/>
          <w:szCs w:val="24"/>
          <w:rtl/>
        </w:rPr>
        <w:t xml:space="preserve"> דרבאי נ' מדינת ישראל: </w:t>
      </w:r>
      <w:r w:rsidR="00C268CA" w:rsidRPr="00AF5CED">
        <w:rPr>
          <w:rFonts w:ascii="David" w:hAnsi="David" w:cs="David"/>
          <w:sz w:val="24"/>
          <w:szCs w:val="24"/>
          <w:rtl/>
        </w:rPr>
        <w:t xml:space="preserve">בית המשפט קיבל את הערעור וביטל את הרשעת הנאשמים שהורשעו על פי הודאתם בעבירה של התפרצות למגורים וגניבה. ביחס לשני הנאשמים המליץ שירות המבחן להימנע מהרשעתם. </w:t>
      </w:r>
      <w:r w:rsidR="00C268CA" w:rsidRPr="00AF5CED">
        <w:rPr>
          <w:rFonts w:ascii="David" w:hAnsi="David" w:cs="David"/>
          <w:sz w:val="24"/>
          <w:szCs w:val="24"/>
          <w:u w:val="single"/>
          <w:rtl/>
        </w:rPr>
        <w:t>כאן, מדובר באירוע בודד של שני הנאשמים ללא עבר פלילי.</w:t>
      </w:r>
    </w:p>
    <w:p w14:paraId="771D06ED" w14:textId="77777777" w:rsidR="00C268CA" w:rsidRPr="00AF5CED" w:rsidRDefault="00BB58C2" w:rsidP="00C268CA">
      <w:pPr>
        <w:pStyle w:val="aa"/>
        <w:spacing w:line="360" w:lineRule="auto"/>
        <w:jc w:val="both"/>
        <w:rPr>
          <w:rFonts w:ascii="David" w:hAnsi="David" w:cs="David"/>
          <w:sz w:val="24"/>
          <w:szCs w:val="24"/>
          <w:u w:val="single"/>
          <w:rtl/>
        </w:rPr>
      </w:pPr>
      <w:hyperlink r:id="rId34" w:history="1">
        <w:r w:rsidRPr="00BB58C2">
          <w:rPr>
            <w:rFonts w:ascii="David" w:hAnsi="David" w:cs="David"/>
            <w:b/>
            <w:bCs/>
            <w:color w:val="0000FF"/>
            <w:sz w:val="24"/>
            <w:szCs w:val="24"/>
            <w:u w:val="single"/>
            <w:rtl/>
          </w:rPr>
          <w:t>ת"פ 537-03-16</w:t>
        </w:r>
      </w:hyperlink>
      <w:r w:rsidR="00C268CA" w:rsidRPr="00AF5CED">
        <w:rPr>
          <w:rFonts w:ascii="David" w:hAnsi="David" w:cs="David"/>
          <w:b/>
          <w:bCs/>
          <w:sz w:val="24"/>
          <w:szCs w:val="24"/>
          <w:rtl/>
        </w:rPr>
        <w:t xml:space="preserve"> פרקליטות מחוז צפון- פלילי נ' דואי : </w:t>
      </w:r>
      <w:r w:rsidR="00C268CA" w:rsidRPr="00AF5CED">
        <w:rPr>
          <w:rFonts w:ascii="David" w:hAnsi="David" w:cs="David"/>
          <w:sz w:val="24"/>
          <w:szCs w:val="24"/>
          <w:rtl/>
        </w:rPr>
        <w:t xml:space="preserve">בית המשפט ביטל את הרשעת הנאשמת תוך התייחסות לגילה הצעיר, נסיבות חייה </w:t>
      </w:r>
      <w:r w:rsidR="00C268CA" w:rsidRPr="00AF5CED">
        <w:rPr>
          <w:rFonts w:ascii="David" w:hAnsi="David" w:cs="David"/>
          <w:sz w:val="24"/>
          <w:szCs w:val="24"/>
          <w:u w:val="single"/>
          <w:rtl/>
        </w:rPr>
        <w:t xml:space="preserve">ולדרך הארוכה והמשמעותית שעברה עם שירות המבחן בהליך הטיפולי במסגרת ניהול התיק. </w:t>
      </w:r>
    </w:p>
    <w:p w14:paraId="2F9F9A66" w14:textId="77777777" w:rsidR="00C268CA" w:rsidRPr="00AF5CED" w:rsidRDefault="00C268CA" w:rsidP="00C268CA">
      <w:pPr>
        <w:pStyle w:val="aa"/>
        <w:spacing w:line="360" w:lineRule="auto"/>
        <w:jc w:val="both"/>
        <w:rPr>
          <w:rFonts w:ascii="David" w:hAnsi="David" w:cs="David"/>
          <w:sz w:val="24"/>
          <w:szCs w:val="24"/>
          <w:u w:val="single"/>
          <w:rtl/>
        </w:rPr>
      </w:pPr>
    </w:p>
    <w:p w14:paraId="18F30EE7" w14:textId="77777777" w:rsidR="00C268CA" w:rsidRPr="00AF5CED" w:rsidRDefault="00C268CA" w:rsidP="00C268CA">
      <w:pPr>
        <w:pStyle w:val="aa"/>
        <w:numPr>
          <w:ilvl w:val="0"/>
          <w:numId w:val="2"/>
        </w:numPr>
        <w:spacing w:line="360" w:lineRule="auto"/>
        <w:jc w:val="both"/>
        <w:rPr>
          <w:rFonts w:ascii="David" w:hAnsi="David" w:cs="David"/>
          <w:sz w:val="24"/>
          <w:szCs w:val="24"/>
          <w:rtl/>
        </w:rPr>
      </w:pPr>
      <w:r w:rsidRPr="00AF5CED">
        <w:rPr>
          <w:rFonts w:ascii="David" w:hAnsi="David" w:cs="David"/>
          <w:sz w:val="24"/>
          <w:szCs w:val="24"/>
          <w:rtl/>
        </w:rPr>
        <w:t xml:space="preserve">על כן, מהטעמים שפורטו לעיל, אני קובעת כי המקרה שלפניי אינו המקרה המתאים לביטול הרשעת הנאשם. עם זאת אתחשב בנסיבותיו האישיות בשלב גזירת העונש. </w:t>
      </w:r>
    </w:p>
    <w:p w14:paraId="3F8F7136" w14:textId="77777777" w:rsidR="00C268CA" w:rsidRPr="00AF5CED" w:rsidRDefault="00C268CA" w:rsidP="00C268CA">
      <w:pPr>
        <w:pStyle w:val="aa"/>
        <w:spacing w:line="360" w:lineRule="auto"/>
        <w:jc w:val="both"/>
        <w:rPr>
          <w:rFonts w:ascii="David" w:hAnsi="David" w:cs="David"/>
          <w:sz w:val="24"/>
          <w:szCs w:val="24"/>
          <w:rtl/>
        </w:rPr>
      </w:pPr>
    </w:p>
    <w:p w14:paraId="7CF6EE6B" w14:textId="77777777" w:rsidR="00C268CA" w:rsidRPr="00AF5CED" w:rsidRDefault="00C268CA" w:rsidP="00C268CA">
      <w:pPr>
        <w:spacing w:line="360" w:lineRule="auto"/>
        <w:ind w:left="720" w:hanging="720"/>
        <w:rPr>
          <w:rFonts w:ascii="David" w:hAnsi="David"/>
          <w:b/>
          <w:bCs/>
          <w:u w:val="single"/>
        </w:rPr>
      </w:pPr>
      <w:r w:rsidRPr="00AF5CED">
        <w:rPr>
          <w:rFonts w:ascii="David" w:hAnsi="David"/>
          <w:b/>
          <w:bCs/>
          <w:u w:val="single"/>
          <w:rtl/>
        </w:rPr>
        <w:t>מתחם העונש ההולם</w:t>
      </w:r>
    </w:p>
    <w:p w14:paraId="28257BDA" w14:textId="77777777" w:rsidR="00C268CA" w:rsidRPr="00AF5CED" w:rsidRDefault="00C268CA" w:rsidP="00C268CA">
      <w:pPr>
        <w:pStyle w:val="aa"/>
        <w:numPr>
          <w:ilvl w:val="0"/>
          <w:numId w:val="2"/>
        </w:numPr>
        <w:spacing w:line="360" w:lineRule="auto"/>
        <w:jc w:val="both"/>
        <w:rPr>
          <w:rFonts w:ascii="David" w:hAnsi="David" w:cs="David"/>
          <w:b/>
          <w:bCs/>
          <w:sz w:val="24"/>
          <w:szCs w:val="24"/>
          <w:u w:val="single"/>
          <w:rtl/>
        </w:rPr>
      </w:pPr>
      <w:r w:rsidRPr="00AF5CED">
        <w:rPr>
          <w:rFonts w:ascii="David" w:hAnsi="David" w:cs="David"/>
          <w:sz w:val="24"/>
          <w:szCs w:val="24"/>
          <w:rtl/>
        </w:rPr>
        <w:t xml:space="preserve">עיקרון הלימה הוא העיקרון המנחה בהתאם </w:t>
      </w:r>
      <w:hyperlink r:id="rId35" w:history="1">
        <w:r w:rsidR="00A25507" w:rsidRPr="00A25507">
          <w:rPr>
            <w:rStyle w:val="Hyperlink"/>
            <w:rFonts w:ascii="David" w:hAnsi="David" w:cs="David"/>
            <w:sz w:val="24"/>
            <w:szCs w:val="24"/>
            <w:rtl/>
          </w:rPr>
          <w:t>לסעיף 40ב'</w:t>
        </w:r>
      </w:hyperlink>
      <w:r w:rsidRPr="00AF5CED">
        <w:rPr>
          <w:rFonts w:ascii="David" w:hAnsi="David" w:cs="David"/>
          <w:sz w:val="24"/>
          <w:szCs w:val="24"/>
          <w:rtl/>
        </w:rPr>
        <w:t xml:space="preserve"> ל</w:t>
      </w:r>
      <w:hyperlink r:id="rId36" w:history="1">
        <w:r w:rsidR="00BB58C2" w:rsidRPr="00BB58C2">
          <w:rPr>
            <w:rFonts w:ascii="David" w:hAnsi="David" w:cs="David"/>
            <w:color w:val="0000FF"/>
            <w:sz w:val="24"/>
            <w:szCs w:val="24"/>
            <w:u w:val="single"/>
            <w:rtl/>
          </w:rPr>
          <w:t>חוק העונשין</w:t>
        </w:r>
      </w:hyperlink>
      <w:r w:rsidRPr="00AF5CED">
        <w:rPr>
          <w:rFonts w:ascii="David" w:hAnsi="David" w:cs="David"/>
          <w:sz w:val="24"/>
          <w:szCs w:val="24"/>
          <w:rtl/>
        </w:rPr>
        <w:t xml:space="preserve">. בקביעת מתחם העונש ההולם את מעשי העבירות אותן ביצע הנאשם, יתחשב בית המשפט בערך החברתי שנפגע כתוצאה מביצוע העבירות, במידת הפגיעה בו, במדיניות הענישה הנהוגה ובנסיבות הקשורות בביצוע העבירות. </w:t>
      </w:r>
    </w:p>
    <w:p w14:paraId="410D3323" w14:textId="77777777" w:rsidR="00C268CA" w:rsidRPr="00AF5CED" w:rsidRDefault="00C268CA" w:rsidP="00C268CA">
      <w:pPr>
        <w:pStyle w:val="aa"/>
        <w:spacing w:line="360" w:lineRule="auto"/>
        <w:jc w:val="both"/>
        <w:rPr>
          <w:rFonts w:ascii="David" w:hAnsi="David" w:cs="David"/>
          <w:b/>
          <w:bCs/>
          <w:sz w:val="24"/>
          <w:szCs w:val="24"/>
          <w:u w:val="single"/>
          <w:rtl/>
        </w:rPr>
      </w:pPr>
    </w:p>
    <w:p w14:paraId="326F907F" w14:textId="77777777" w:rsidR="00C268CA" w:rsidRPr="00AF5CED" w:rsidRDefault="00C268CA" w:rsidP="00C268CA">
      <w:pPr>
        <w:pStyle w:val="aa"/>
        <w:numPr>
          <w:ilvl w:val="0"/>
          <w:numId w:val="2"/>
        </w:numPr>
        <w:spacing w:line="360" w:lineRule="auto"/>
        <w:jc w:val="both"/>
        <w:rPr>
          <w:rFonts w:ascii="David" w:hAnsi="David" w:cs="David"/>
          <w:b/>
          <w:bCs/>
          <w:sz w:val="24"/>
          <w:szCs w:val="24"/>
          <w:u w:val="single"/>
        </w:rPr>
      </w:pPr>
      <w:r w:rsidRPr="00AF5CED">
        <w:rPr>
          <w:rFonts w:ascii="David" w:hAnsi="David" w:cs="David"/>
          <w:sz w:val="24"/>
          <w:szCs w:val="24"/>
          <w:rtl/>
        </w:rPr>
        <w:t xml:space="preserve">הנאשם הורשע בביצוע שלוש עבירות שבוצעו במועדים שונים, ופורטו בשלושה כתבי אישום. </w:t>
      </w:r>
      <w:r w:rsidRPr="00AF5CED">
        <w:rPr>
          <w:rFonts w:ascii="David" w:hAnsi="David" w:cs="David"/>
          <w:b/>
          <w:bCs/>
          <w:sz w:val="24"/>
          <w:szCs w:val="24"/>
          <w:rtl/>
        </w:rPr>
        <w:t>בבחינת הפגיעה בערכים המוגנים</w:t>
      </w:r>
      <w:r w:rsidRPr="00AF5CED">
        <w:rPr>
          <w:rFonts w:ascii="David" w:hAnsi="David" w:cs="David"/>
          <w:sz w:val="24"/>
          <w:szCs w:val="24"/>
          <w:rtl/>
        </w:rPr>
        <w:t xml:space="preserve">, בתיק הסמים פגע הנאשם בערכים חברתיים שנועדו להגן על שלום הציבור ובריאותו. בעבירת התקיפה, פגע הנאשם בערכים של הגנה על שלום הציבור, תחושת הביטחון וזכותו של אדם לאוטונומיה על גופו. בעבירה של הפרעה לשוטר, הנאשם פגע בערך של שמירה על הסדר הציבורי וכיבוד אנשי החוק. </w:t>
      </w:r>
    </w:p>
    <w:p w14:paraId="7D071640" w14:textId="77777777" w:rsidR="00C268CA" w:rsidRPr="00AF5CED" w:rsidRDefault="00C268CA" w:rsidP="00C268CA">
      <w:pPr>
        <w:pStyle w:val="aa"/>
        <w:spacing w:line="360" w:lineRule="auto"/>
        <w:jc w:val="both"/>
        <w:rPr>
          <w:rFonts w:ascii="David" w:hAnsi="David" w:cs="David"/>
          <w:sz w:val="24"/>
          <w:szCs w:val="24"/>
        </w:rPr>
      </w:pPr>
    </w:p>
    <w:p w14:paraId="13ED8559" w14:textId="77777777" w:rsidR="00C268CA" w:rsidRPr="00AF5CED" w:rsidRDefault="00C268CA" w:rsidP="00C268CA">
      <w:pPr>
        <w:pStyle w:val="aa"/>
        <w:numPr>
          <w:ilvl w:val="0"/>
          <w:numId w:val="2"/>
        </w:numPr>
        <w:spacing w:line="360" w:lineRule="auto"/>
        <w:jc w:val="both"/>
        <w:rPr>
          <w:rFonts w:ascii="David" w:hAnsi="David" w:cs="David"/>
          <w:sz w:val="24"/>
          <w:szCs w:val="24"/>
        </w:rPr>
      </w:pPr>
      <w:r w:rsidRPr="00AF5CED">
        <w:rPr>
          <w:rFonts w:ascii="David" w:hAnsi="David" w:cs="David"/>
          <w:sz w:val="24"/>
          <w:szCs w:val="24"/>
          <w:rtl/>
        </w:rPr>
        <w:t>בחינת מידת הפגיעה בערך המוגן של כל עבירה, מובילה למסקנה כי הפגיעה היא</w:t>
      </w:r>
      <w:r w:rsidRPr="00AF5CED">
        <w:rPr>
          <w:rFonts w:ascii="David" w:hAnsi="David" w:cs="David"/>
          <w:b/>
          <w:bCs/>
          <w:sz w:val="24"/>
          <w:szCs w:val="24"/>
          <w:rtl/>
        </w:rPr>
        <w:t xml:space="preserve"> ברף הנמוך </w:t>
      </w:r>
      <w:r w:rsidRPr="00AF5CED">
        <w:rPr>
          <w:rFonts w:ascii="David" w:hAnsi="David" w:cs="David"/>
          <w:sz w:val="24"/>
          <w:szCs w:val="24"/>
          <w:rtl/>
        </w:rPr>
        <w:t xml:space="preserve">וזאת בשים לב למהות העבירה ואופייה, ולנזק שנגרם כתוצאה מהתנהגותו של הנאשם.  עבירת הסמים מדובר בשימוש לצריכה עצמית בכמות קטנה ובסם מסוג קנבוס. בעבירת התקיפה, מבלי להקל ראש בחומרת המעשים, הרי אופי התקיפה ותוצאותיה מצויים </w:t>
      </w:r>
      <w:r w:rsidRPr="00AF5CED">
        <w:rPr>
          <w:rFonts w:ascii="David" w:hAnsi="David" w:cs="David"/>
          <w:b/>
          <w:bCs/>
          <w:sz w:val="24"/>
          <w:szCs w:val="24"/>
          <w:rtl/>
        </w:rPr>
        <w:t>ברף הנמוך</w:t>
      </w:r>
      <w:r w:rsidRPr="00AF5CED">
        <w:rPr>
          <w:rFonts w:ascii="David" w:hAnsi="David" w:cs="David"/>
          <w:sz w:val="24"/>
          <w:szCs w:val="24"/>
          <w:rtl/>
        </w:rPr>
        <w:t xml:space="preserve">. בהתייחס לעבירת הפרעה לשוטר במילוי תפקידו מעשיו של הנאשם פגעו ביכולת של השוטרים המשמשים כנציגי החוק למלא את תפקידם ופגע בעבודתם התקינה. </w:t>
      </w:r>
    </w:p>
    <w:p w14:paraId="1A21509F" w14:textId="77777777" w:rsidR="00C268CA" w:rsidRPr="00AF5CED" w:rsidRDefault="00C268CA" w:rsidP="00C268CA">
      <w:pPr>
        <w:pStyle w:val="aa"/>
        <w:spacing w:line="360" w:lineRule="auto"/>
        <w:rPr>
          <w:rFonts w:ascii="David" w:hAnsi="David" w:cs="David"/>
          <w:sz w:val="24"/>
          <w:szCs w:val="24"/>
        </w:rPr>
      </w:pPr>
    </w:p>
    <w:p w14:paraId="0B1E9A77" w14:textId="77777777" w:rsidR="00C268CA" w:rsidRPr="00AF5CED" w:rsidRDefault="00C268CA" w:rsidP="00C268CA">
      <w:pPr>
        <w:pStyle w:val="aa"/>
        <w:numPr>
          <w:ilvl w:val="0"/>
          <w:numId w:val="2"/>
        </w:numPr>
        <w:spacing w:line="360" w:lineRule="auto"/>
        <w:jc w:val="both"/>
        <w:rPr>
          <w:rFonts w:ascii="David" w:hAnsi="David" w:cs="David"/>
          <w:sz w:val="24"/>
          <w:szCs w:val="24"/>
        </w:rPr>
      </w:pPr>
      <w:r w:rsidRPr="00AF5CED">
        <w:rPr>
          <w:rFonts w:ascii="David" w:hAnsi="David" w:cs="David"/>
          <w:b/>
          <w:bCs/>
          <w:sz w:val="24"/>
          <w:szCs w:val="24"/>
          <w:rtl/>
        </w:rPr>
        <w:t>במסגרת הנסיבות הקשורות בביצוע העבירה</w:t>
      </w:r>
      <w:r w:rsidRPr="00AF5CED">
        <w:rPr>
          <w:rFonts w:ascii="David" w:hAnsi="David" w:cs="David"/>
          <w:sz w:val="24"/>
          <w:szCs w:val="24"/>
          <w:rtl/>
        </w:rPr>
        <w:t xml:space="preserve"> (סעיף </w:t>
      </w:r>
      <w:hyperlink r:id="rId37" w:history="1">
        <w:r w:rsidR="00A25507" w:rsidRPr="00A25507">
          <w:rPr>
            <w:rStyle w:val="Hyperlink"/>
            <w:rFonts w:ascii="David" w:hAnsi="David" w:cs="David"/>
            <w:sz w:val="24"/>
            <w:szCs w:val="24"/>
            <w:rtl/>
          </w:rPr>
          <w:t>40 ט'</w:t>
        </w:r>
      </w:hyperlink>
      <w:r w:rsidRPr="00AF5CED">
        <w:rPr>
          <w:rFonts w:ascii="David" w:hAnsi="David" w:cs="David"/>
          <w:sz w:val="24"/>
          <w:szCs w:val="24"/>
          <w:rtl/>
        </w:rPr>
        <w:t xml:space="preserve"> ל</w:t>
      </w:r>
      <w:hyperlink r:id="rId38" w:history="1">
        <w:r w:rsidR="00BB58C2" w:rsidRPr="00BB58C2">
          <w:rPr>
            <w:rFonts w:ascii="David" w:hAnsi="David" w:cs="David"/>
            <w:color w:val="0000FF"/>
            <w:sz w:val="24"/>
            <w:szCs w:val="24"/>
            <w:u w:val="single"/>
            <w:rtl/>
          </w:rPr>
          <w:t>חוק העונשין</w:t>
        </w:r>
      </w:hyperlink>
      <w:r w:rsidRPr="00AF5CED">
        <w:rPr>
          <w:rFonts w:ascii="David" w:hAnsi="David" w:cs="David"/>
          <w:sz w:val="24"/>
          <w:szCs w:val="24"/>
          <w:rtl/>
        </w:rPr>
        <w:t xml:space="preserve">), נתתי דעתי להתנהלותו של הנאשם בכל שלושת האירועים. בעבירת התקיפה נתתי דעתי לעובדה כי מעשיו של הנאשם בוצעו באופן ספונטני על רקע ויכוח בין הנאשם למתלונן ונעדרו תכנון מוקדם. מעשיו של הנאשם לא גרמו למתלונן לחבלות ולא נגרם נזק שניתן לאמוד את שיעורו על אף חומרת העבירה כשלעצמה. בעבירת השימוש בסמים הבאתי בחשבון את העובדה כי מדובר בכמות קטנה מסוג סם קנביס שנועד לצריכה עצמית. בעבירת הפרעה לשוטר במילוי תפקידו, התייחסתי לעולה מכתב האישום כי הנאשם תחילה סירב להזדהות, לאחר מכן נענה לבקשת השוטר, הסכים לבצע בדיקת אלכוהול אך סירב להתלוות לתחנה לצורך הבדיקה בשל השבת ולכן נעצר. נתתי דעתי לעובדה כי לפני קרות האירוע הנאשם היה מעורב בתאונת דרכים. </w:t>
      </w:r>
    </w:p>
    <w:p w14:paraId="30186B46" w14:textId="77777777" w:rsidR="00C268CA" w:rsidRPr="00AF5CED" w:rsidRDefault="00C268CA" w:rsidP="00C268CA">
      <w:pPr>
        <w:spacing w:line="360" w:lineRule="auto"/>
        <w:ind w:left="720" w:hanging="720"/>
        <w:rPr>
          <w:rFonts w:ascii="David" w:hAnsi="David"/>
          <w:sz w:val="28"/>
          <w:szCs w:val="28"/>
          <w:u w:val="single"/>
          <w:rtl/>
        </w:rPr>
      </w:pPr>
      <w:r w:rsidRPr="00AF5CED">
        <w:rPr>
          <w:rFonts w:ascii="David" w:hAnsi="David"/>
          <w:sz w:val="28"/>
          <w:szCs w:val="28"/>
          <w:u w:val="single"/>
          <w:rtl/>
        </w:rPr>
        <w:t>מדיניות הענישה</w:t>
      </w:r>
    </w:p>
    <w:p w14:paraId="33D81E11" w14:textId="77777777" w:rsidR="00C268CA" w:rsidRPr="00AF5CED" w:rsidRDefault="00C268CA" w:rsidP="00C268CA">
      <w:pPr>
        <w:pStyle w:val="aa"/>
        <w:numPr>
          <w:ilvl w:val="0"/>
          <w:numId w:val="2"/>
        </w:numPr>
        <w:spacing w:after="0" w:line="360" w:lineRule="auto"/>
        <w:jc w:val="both"/>
        <w:rPr>
          <w:rFonts w:ascii="David" w:hAnsi="David" w:cs="David"/>
          <w:b/>
          <w:bCs/>
          <w:sz w:val="24"/>
          <w:szCs w:val="24"/>
          <w:rtl/>
        </w:rPr>
      </w:pPr>
      <w:r w:rsidRPr="00AF5CED">
        <w:rPr>
          <w:rFonts w:ascii="David" w:hAnsi="David" w:cs="David"/>
          <w:sz w:val="24"/>
          <w:szCs w:val="24"/>
          <w:rtl/>
        </w:rPr>
        <w:t xml:space="preserve">מדיניות הענישה הנוהגת בעבירות דומות מלמד, כטענת הצדדים, שהמתחם בגין כל אחת מן העבירות מתחיל ממאסר על תנאי ועד לתקופת מאסר קצרה.  </w:t>
      </w:r>
    </w:p>
    <w:p w14:paraId="05065084" w14:textId="77777777" w:rsidR="00C268CA" w:rsidRPr="00AF5CED" w:rsidRDefault="00C268CA" w:rsidP="00C268CA">
      <w:pPr>
        <w:pStyle w:val="aa"/>
        <w:spacing w:after="0" w:line="360" w:lineRule="auto"/>
        <w:jc w:val="both"/>
        <w:rPr>
          <w:rFonts w:ascii="David" w:hAnsi="David" w:cs="David"/>
          <w:b/>
          <w:bCs/>
          <w:sz w:val="24"/>
          <w:szCs w:val="24"/>
          <w:rtl/>
        </w:rPr>
      </w:pPr>
      <w:r w:rsidRPr="00AF5CED">
        <w:rPr>
          <w:rFonts w:ascii="David" w:hAnsi="David" w:cs="David"/>
          <w:b/>
          <w:bCs/>
          <w:sz w:val="24"/>
          <w:szCs w:val="24"/>
          <w:rtl/>
        </w:rPr>
        <w:t>בעבירת התקיפה:</w:t>
      </w:r>
    </w:p>
    <w:p w14:paraId="5E4B7F5D" w14:textId="77777777" w:rsidR="00C268CA" w:rsidRPr="00AF5CED" w:rsidRDefault="00BB58C2" w:rsidP="00C268CA">
      <w:pPr>
        <w:pStyle w:val="aa"/>
        <w:spacing w:after="0" w:line="360" w:lineRule="auto"/>
        <w:jc w:val="both"/>
        <w:rPr>
          <w:rFonts w:ascii="David" w:hAnsi="David" w:cs="David"/>
          <w:sz w:val="24"/>
          <w:szCs w:val="24"/>
        </w:rPr>
      </w:pPr>
      <w:hyperlink r:id="rId39" w:history="1">
        <w:r w:rsidRPr="00BB58C2">
          <w:rPr>
            <w:rFonts w:ascii="David" w:hAnsi="David" w:cs="David"/>
            <w:color w:val="0000FF"/>
            <w:sz w:val="24"/>
            <w:szCs w:val="24"/>
            <w:u w:val="single"/>
            <w:rtl/>
          </w:rPr>
          <w:t>ת"פ (תל-אביב) 43449-08-17</w:t>
        </w:r>
      </w:hyperlink>
      <w:r w:rsidR="00C268CA" w:rsidRPr="00AF5CED">
        <w:rPr>
          <w:rFonts w:ascii="David" w:hAnsi="David" w:cs="David"/>
          <w:sz w:val="24"/>
          <w:szCs w:val="24"/>
          <w:u w:val="single"/>
          <w:rtl/>
        </w:rPr>
        <w:t xml:space="preserve"> </w:t>
      </w:r>
      <w:r w:rsidR="00C268CA" w:rsidRPr="00AF5CED">
        <w:rPr>
          <w:rFonts w:ascii="David" w:hAnsi="David" w:cs="David"/>
          <w:b/>
          <w:bCs/>
          <w:sz w:val="24"/>
          <w:szCs w:val="24"/>
          <w:u w:val="single"/>
          <w:rtl/>
        </w:rPr>
        <w:t xml:space="preserve">מדינת ישראל נ' יצחק </w:t>
      </w:r>
      <w:r w:rsidR="00C268CA" w:rsidRPr="00AF5CED">
        <w:rPr>
          <w:rFonts w:ascii="David" w:hAnsi="David" w:cs="David"/>
          <w:sz w:val="24"/>
          <w:szCs w:val="24"/>
          <w:u w:val="single"/>
          <w:rtl/>
        </w:rPr>
        <w:t>(17.7.19)-</w:t>
      </w:r>
      <w:r w:rsidR="00C268CA" w:rsidRPr="00AF5CED">
        <w:rPr>
          <w:rFonts w:ascii="David" w:hAnsi="David" w:cs="David"/>
          <w:sz w:val="24"/>
          <w:szCs w:val="24"/>
          <w:rtl/>
        </w:rPr>
        <w:t xml:space="preserve"> עולה מעובדות כתב האישום, שהנאשם תקף את המתלונן, ללא כל התגרות בכך שדחף אותו באמצעות כתפו בעוצמה. </w:t>
      </w:r>
      <w:r w:rsidR="00C268CA" w:rsidRPr="00AF5CED">
        <w:rPr>
          <w:rFonts w:ascii="David" w:hAnsi="David" w:cs="David"/>
          <w:b/>
          <w:bCs/>
          <w:sz w:val="24"/>
          <w:szCs w:val="24"/>
          <w:rtl/>
        </w:rPr>
        <w:t xml:space="preserve">בית המשפט קבע כי מתחם העונש ההולם נע בין מאסר על תנאי למאסר שיכול וירוצה בעבודות שירות. </w:t>
      </w:r>
      <w:r w:rsidR="00C268CA" w:rsidRPr="00AF5CED">
        <w:rPr>
          <w:rFonts w:ascii="David" w:hAnsi="David" w:cs="David"/>
          <w:sz w:val="24"/>
          <w:szCs w:val="24"/>
          <w:rtl/>
        </w:rPr>
        <w:t>בית המשפט גזר על הנאשם  עונש הכולל מע"ת בן 3 חודשיים למשך שנתיים לצד התחייבות כספית בסך 1,000 ₪.</w:t>
      </w:r>
    </w:p>
    <w:p w14:paraId="11620175" w14:textId="77777777" w:rsidR="00C268CA" w:rsidRPr="00AF5CED" w:rsidRDefault="00C268CA" w:rsidP="00C268CA">
      <w:pPr>
        <w:pStyle w:val="aa"/>
        <w:spacing w:after="0" w:line="360" w:lineRule="auto"/>
        <w:jc w:val="both"/>
        <w:rPr>
          <w:rFonts w:ascii="David" w:hAnsi="David" w:cs="David"/>
          <w:b/>
          <w:bCs/>
          <w:sz w:val="24"/>
          <w:szCs w:val="24"/>
          <w:rtl/>
        </w:rPr>
      </w:pPr>
    </w:p>
    <w:p w14:paraId="77DEA3D7" w14:textId="77777777" w:rsidR="00C268CA" w:rsidRPr="00AF5CED" w:rsidRDefault="00C268CA" w:rsidP="00C268CA">
      <w:pPr>
        <w:spacing w:line="360" w:lineRule="auto"/>
        <w:ind w:firstLine="720"/>
        <w:rPr>
          <w:rFonts w:ascii="David" w:hAnsi="David"/>
          <w:b/>
          <w:bCs/>
          <w:rtl/>
        </w:rPr>
      </w:pPr>
      <w:r w:rsidRPr="00AF5CED">
        <w:rPr>
          <w:rFonts w:ascii="David" w:hAnsi="David"/>
          <w:b/>
          <w:bCs/>
          <w:rtl/>
        </w:rPr>
        <w:t xml:space="preserve">עבירת החזקת סם מסוכן לצריכה עצמית: </w:t>
      </w:r>
    </w:p>
    <w:p w14:paraId="3340741B" w14:textId="77777777" w:rsidR="00C268CA" w:rsidRPr="00AF5CED" w:rsidRDefault="00BB58C2" w:rsidP="00C268CA">
      <w:pPr>
        <w:spacing w:line="360" w:lineRule="auto"/>
        <w:ind w:left="720"/>
        <w:rPr>
          <w:rFonts w:ascii="David" w:hAnsi="David"/>
          <w:rtl/>
        </w:rPr>
      </w:pPr>
      <w:hyperlink r:id="rId40" w:history="1">
        <w:r w:rsidRPr="00BB58C2">
          <w:rPr>
            <w:rFonts w:ascii="David" w:hAnsi="David" w:cs="Times New Roman"/>
            <w:color w:val="0000FF"/>
            <w:u w:val="single"/>
            <w:shd w:val="clear" w:color="auto" w:fill="FFFFFF"/>
            <w:rtl/>
          </w:rPr>
          <w:t>רע"פ 4214/22</w:t>
        </w:r>
      </w:hyperlink>
      <w:r>
        <w:rPr>
          <w:rFonts w:ascii="David" w:hAnsi="David"/>
          <w:u w:val="single"/>
          <w:shd w:val="clear" w:color="auto" w:fill="FFFFFF"/>
        </w:rPr>
        <w:t xml:space="preserve"> </w:t>
      </w:r>
      <w:r w:rsidR="00C268CA" w:rsidRPr="00AF5CED">
        <w:rPr>
          <w:rFonts w:ascii="David" w:hAnsi="David"/>
          <w:b/>
          <w:bCs/>
          <w:u w:val="single"/>
          <w:shd w:val="clear" w:color="auto" w:fill="FFFFFF"/>
          <w:rtl/>
        </w:rPr>
        <w:t>יצחק נ' מדינת ישראל</w:t>
      </w:r>
      <w:r w:rsidR="00C268CA" w:rsidRPr="00AF5CED">
        <w:rPr>
          <w:rFonts w:ascii="David" w:hAnsi="David"/>
          <w:u w:val="single"/>
          <w:shd w:val="clear" w:color="auto" w:fill="FFFFFF"/>
          <w:rtl/>
        </w:rPr>
        <w:t>,</w:t>
      </w:r>
      <w:r w:rsidR="00C268CA" w:rsidRPr="00AF5CED">
        <w:rPr>
          <w:rFonts w:ascii="David" w:hAnsi="David"/>
          <w:shd w:val="clear" w:color="auto" w:fill="FFFFFF"/>
        </w:rPr>
        <w:t xml:space="preserve"> </w:t>
      </w:r>
      <w:r w:rsidR="00C268CA" w:rsidRPr="00AF5CED">
        <w:rPr>
          <w:rFonts w:ascii="David" w:hAnsi="David"/>
          <w:shd w:val="clear" w:color="auto" w:fill="FFFFFF"/>
          <w:rtl/>
        </w:rPr>
        <w:t>נדחו ערעור ובקשת רשות ערעור של מי שהחזיק כ-150 גרם</w:t>
      </w:r>
      <w:r>
        <w:rPr>
          <w:rFonts w:ascii="David" w:hAnsi="David"/>
          <w:shd w:val="clear" w:color="auto" w:fill="FFFFFF"/>
          <w:rtl/>
        </w:rPr>
        <w:t xml:space="preserve"> </w:t>
      </w:r>
      <w:r w:rsidR="00C268CA" w:rsidRPr="00AF5CED">
        <w:rPr>
          <w:rStyle w:val="term2"/>
          <w:rFonts w:ascii="David" w:hAnsi="David"/>
          <w:rtl/>
        </w:rPr>
        <w:t xml:space="preserve">קנבוס. בית המשפט קבע כי </w:t>
      </w:r>
      <w:r w:rsidR="00C268CA" w:rsidRPr="00AF5CED">
        <w:rPr>
          <w:rStyle w:val="term2"/>
          <w:rFonts w:ascii="David" w:hAnsi="David"/>
          <w:b/>
          <w:bCs/>
          <w:rtl/>
        </w:rPr>
        <w:t xml:space="preserve">מתחם העונש ההולם נע בין מאסר מותנה </w:t>
      </w:r>
      <w:r w:rsidR="00C268CA" w:rsidRPr="00AF5CED">
        <w:rPr>
          <w:rFonts w:ascii="David" w:hAnsi="David"/>
          <w:b/>
          <w:bCs/>
          <w:rtl/>
        </w:rPr>
        <w:t>ו</w:t>
      </w:r>
      <w:r w:rsidR="00C268CA" w:rsidRPr="00AF5CED">
        <w:rPr>
          <w:rFonts w:ascii="David" w:hAnsi="David"/>
          <w:b/>
          <w:bCs/>
          <w:shd w:val="clear" w:color="auto" w:fill="FFFFFF"/>
          <w:rtl/>
        </w:rPr>
        <w:t>עד 10 חודשי מאסר בפועל.</w:t>
      </w:r>
      <w:r w:rsidR="00C268CA" w:rsidRPr="00AF5CED">
        <w:rPr>
          <w:rFonts w:ascii="David" w:hAnsi="David"/>
          <w:shd w:val="clear" w:color="auto" w:fill="FFFFFF"/>
          <w:rtl/>
        </w:rPr>
        <w:t xml:space="preserve"> על הנאשם, נעדר עבר פלילי, הושתו מאסרים מותנים, צו מבחן, של"צ, פסילה על תנאי, התחייבות וקנס. הערעור שהוגש נדחה.</w:t>
      </w:r>
    </w:p>
    <w:p w14:paraId="4AB2F32B" w14:textId="77777777" w:rsidR="00C268CA" w:rsidRPr="00AF5CED" w:rsidRDefault="00C268CA" w:rsidP="00C268CA">
      <w:pPr>
        <w:spacing w:line="360" w:lineRule="auto"/>
        <w:ind w:left="720"/>
        <w:rPr>
          <w:rFonts w:ascii="David" w:hAnsi="David"/>
          <w:rtl/>
        </w:rPr>
      </w:pPr>
    </w:p>
    <w:p w14:paraId="4E279DC6" w14:textId="77777777" w:rsidR="00C268CA" w:rsidRPr="00AF5CED" w:rsidRDefault="00BB58C2" w:rsidP="00C268CA">
      <w:pPr>
        <w:spacing w:line="360" w:lineRule="auto"/>
        <w:ind w:left="720"/>
        <w:jc w:val="both"/>
        <w:rPr>
          <w:rFonts w:ascii="David" w:hAnsi="David"/>
          <w:rtl/>
        </w:rPr>
      </w:pPr>
      <w:hyperlink r:id="rId41" w:history="1">
        <w:r w:rsidRPr="00BB58C2">
          <w:rPr>
            <w:rFonts w:ascii="David" w:hAnsi="David"/>
            <w:color w:val="0000FF"/>
            <w:u w:val="single"/>
            <w:rtl/>
          </w:rPr>
          <w:t>ת"פ (שלום ק"ג) 45623-11-20</w:t>
        </w:r>
      </w:hyperlink>
      <w:r w:rsidR="00C268CA" w:rsidRPr="00AF5CED">
        <w:rPr>
          <w:rFonts w:ascii="David" w:hAnsi="David"/>
          <w:rtl/>
        </w:rPr>
        <w:t xml:space="preserve"> </w:t>
      </w:r>
      <w:r w:rsidR="00C268CA" w:rsidRPr="00AF5CED">
        <w:rPr>
          <w:rFonts w:ascii="David" w:hAnsi="David"/>
          <w:b/>
          <w:bCs/>
          <w:rtl/>
        </w:rPr>
        <w:t>מדינת ישראל נ' עזרא טקלה</w:t>
      </w:r>
      <w:r w:rsidR="00C268CA" w:rsidRPr="00AF5CED">
        <w:rPr>
          <w:rFonts w:ascii="David" w:hAnsi="David"/>
          <w:rtl/>
        </w:rPr>
        <w:t xml:space="preserve">, הנאשם הודה והורשע ב-2 עבירות החזקת סמים לצריכה עצמית. הנאשם החזיק בביתו 38.19 גרם קנאבוס לצריכה עצמית ובהזדמנות אחרת החזיק 0.0328 גרם קוקאין לצריכה עצמית. בית המשפט קבע כי </w:t>
      </w:r>
      <w:r w:rsidR="00C268CA" w:rsidRPr="00AF5CED">
        <w:rPr>
          <w:rFonts w:ascii="David" w:hAnsi="David"/>
          <w:b/>
          <w:bCs/>
          <w:rtl/>
        </w:rPr>
        <w:t>מתחם העונש ההולם נע בין ענישה צופה פני עתיד ועד מספר חודשי מאסר אשר יכול שירוצו בעבודות שירות, לצד ענישה נלווית</w:t>
      </w:r>
      <w:r w:rsidR="00C268CA" w:rsidRPr="00AF5CED">
        <w:rPr>
          <w:rFonts w:ascii="David" w:hAnsi="David"/>
          <w:rtl/>
        </w:rPr>
        <w:t xml:space="preserve">. בית המשפט גזר על הנאשם, נעדר עבר פלילי, מע"ת, קנס בסך 1,500 ₪, התחייבות בסך 1,500 ₪ ופסילה על תנאי. </w:t>
      </w:r>
    </w:p>
    <w:p w14:paraId="60DC9702" w14:textId="77777777" w:rsidR="00C268CA" w:rsidRPr="00AF5CED" w:rsidRDefault="00C268CA" w:rsidP="00C268CA">
      <w:pPr>
        <w:spacing w:line="360" w:lineRule="auto"/>
        <w:ind w:left="720"/>
        <w:rPr>
          <w:rFonts w:ascii="David" w:hAnsi="David"/>
          <w:rtl/>
        </w:rPr>
      </w:pPr>
    </w:p>
    <w:p w14:paraId="099A1F04" w14:textId="77777777" w:rsidR="00C268CA" w:rsidRPr="00AF5CED" w:rsidRDefault="00C268CA" w:rsidP="00C268CA">
      <w:pPr>
        <w:spacing w:line="360" w:lineRule="auto"/>
        <w:ind w:firstLine="720"/>
        <w:rPr>
          <w:rFonts w:ascii="David" w:hAnsi="David"/>
          <w:b/>
          <w:bCs/>
          <w:rtl/>
        </w:rPr>
      </w:pPr>
      <w:r w:rsidRPr="00AF5CED">
        <w:rPr>
          <w:rFonts w:ascii="David" w:hAnsi="David"/>
          <w:b/>
          <w:bCs/>
          <w:rtl/>
        </w:rPr>
        <w:t xml:space="preserve">בעבירת הפרעה לשוטר במילוי תפקידו: </w:t>
      </w:r>
    </w:p>
    <w:p w14:paraId="78A49685" w14:textId="77777777" w:rsidR="00C268CA" w:rsidRPr="00AF5CED" w:rsidRDefault="00C268CA" w:rsidP="00C268CA">
      <w:pPr>
        <w:spacing w:line="360" w:lineRule="auto"/>
        <w:ind w:left="793"/>
        <w:rPr>
          <w:rFonts w:ascii="David" w:hAnsi="David"/>
          <w:rtl/>
        </w:rPr>
      </w:pPr>
      <w:r w:rsidRPr="00AF5CED">
        <w:rPr>
          <w:rFonts w:ascii="David" w:hAnsi="David"/>
          <w:rtl/>
        </w:rPr>
        <w:t xml:space="preserve">למדיניות הענישה הנוהגת, ניתנה התייחסות </w:t>
      </w:r>
      <w:r w:rsidRPr="00AF5CED">
        <w:rPr>
          <w:rFonts w:ascii="David" w:hAnsi="David"/>
          <w:u w:val="single"/>
          <w:rtl/>
        </w:rPr>
        <w:t>ב</w:t>
      </w:r>
      <w:hyperlink r:id="rId42" w:history="1">
        <w:r w:rsidR="00BB58C2" w:rsidRPr="00BB58C2">
          <w:rPr>
            <w:rFonts w:ascii="David" w:hAnsi="David"/>
            <w:color w:val="0000FF"/>
            <w:u w:val="single"/>
            <w:rtl/>
          </w:rPr>
          <w:t>ת"פ (ק"ג) 13053-08-19</w:t>
        </w:r>
      </w:hyperlink>
      <w:r w:rsidRPr="00AF5CED">
        <w:rPr>
          <w:rFonts w:ascii="David" w:hAnsi="David"/>
          <w:u w:val="single"/>
          <w:rtl/>
        </w:rPr>
        <w:t xml:space="preserve"> </w:t>
      </w:r>
      <w:r w:rsidRPr="00AF5CED">
        <w:rPr>
          <w:rFonts w:ascii="David" w:hAnsi="David"/>
          <w:b/>
          <w:bCs/>
          <w:u w:val="single"/>
          <w:rtl/>
        </w:rPr>
        <w:t>מדינת ישראל נ' שחר דורון</w:t>
      </w:r>
      <w:r w:rsidRPr="00AF5CED">
        <w:rPr>
          <w:rFonts w:ascii="David" w:hAnsi="David"/>
          <w:b/>
          <w:bCs/>
          <w:rtl/>
        </w:rPr>
        <w:t>:</w:t>
      </w:r>
      <w:r w:rsidRPr="00AF5CED">
        <w:rPr>
          <w:rFonts w:ascii="David" w:hAnsi="David"/>
          <w:rtl/>
        </w:rPr>
        <w:t xml:space="preserve"> שם נקבע, כי מתחם העונש לעבירה נע בין ענישה צופה פני עתיד ועד כשנה מאסר,</w:t>
      </w:r>
      <w:r w:rsidR="00BB58C2">
        <w:rPr>
          <w:rFonts w:ascii="David" w:hAnsi="David"/>
          <w:rtl/>
        </w:rPr>
        <w:t xml:space="preserve"> </w:t>
      </w:r>
      <w:r w:rsidRPr="00AF5CED">
        <w:rPr>
          <w:rFonts w:ascii="David" w:hAnsi="David"/>
          <w:shd w:val="clear" w:color="auto" w:fill="FAFAFA"/>
          <w:rtl/>
        </w:rPr>
        <w:t>בכפוף לנסיבות המקרה וחומרתו</w:t>
      </w:r>
      <w:r w:rsidRPr="00AF5CED">
        <w:rPr>
          <w:rFonts w:ascii="David" w:hAnsi="David"/>
          <w:rtl/>
        </w:rPr>
        <w:t>.</w:t>
      </w:r>
    </w:p>
    <w:p w14:paraId="5D2F63C0" w14:textId="77777777" w:rsidR="00C268CA" w:rsidRPr="00AF5CED" w:rsidRDefault="00C268CA" w:rsidP="00C268CA">
      <w:pPr>
        <w:spacing w:line="360" w:lineRule="auto"/>
        <w:ind w:left="793"/>
        <w:rPr>
          <w:rFonts w:ascii="David" w:hAnsi="David"/>
          <w:rtl/>
        </w:rPr>
      </w:pPr>
    </w:p>
    <w:p w14:paraId="7E12AB44" w14:textId="77777777" w:rsidR="00C268CA" w:rsidRPr="00AF5CED" w:rsidRDefault="00C268CA" w:rsidP="00C268CA">
      <w:pPr>
        <w:pStyle w:val="45"/>
        <w:spacing w:line="360" w:lineRule="auto"/>
        <w:jc w:val="both"/>
        <w:rPr>
          <w:rFonts w:ascii="David" w:hAnsi="David"/>
        </w:rPr>
      </w:pPr>
      <w:r w:rsidRPr="00AF5CED">
        <w:rPr>
          <w:rFonts w:ascii="David" w:hAnsi="David"/>
          <w:u w:val="single"/>
          <w:rtl/>
        </w:rPr>
        <w:t>וב</w:t>
      </w:r>
      <w:hyperlink r:id="rId43" w:history="1">
        <w:r w:rsidR="00BB58C2" w:rsidRPr="00BB58C2">
          <w:rPr>
            <w:rFonts w:ascii="David" w:hAnsi="David"/>
            <w:color w:val="0000FF"/>
            <w:u w:val="single"/>
            <w:rtl/>
          </w:rPr>
          <w:t>ת"פ 64874-10-21</w:t>
        </w:r>
      </w:hyperlink>
      <w:r w:rsidRPr="00AF5CED">
        <w:rPr>
          <w:rFonts w:ascii="David" w:hAnsi="David"/>
          <w:u w:val="single"/>
          <w:rtl/>
        </w:rPr>
        <w:t xml:space="preserve"> </w:t>
      </w:r>
      <w:r w:rsidRPr="00AF5CED">
        <w:rPr>
          <w:rFonts w:ascii="David" w:hAnsi="David"/>
          <w:b/>
          <w:bCs/>
          <w:u w:val="single"/>
          <w:rtl/>
        </w:rPr>
        <w:t>מדינת ישראל נ' פלוני</w:t>
      </w:r>
      <w:r w:rsidRPr="00AF5CED">
        <w:rPr>
          <w:rFonts w:ascii="David" w:hAnsi="David"/>
          <w:u w:val="single"/>
          <w:rtl/>
        </w:rPr>
        <w:t xml:space="preserve"> (20.07.22)-</w:t>
      </w:r>
      <w:r w:rsidRPr="00AF5CED">
        <w:rPr>
          <w:rFonts w:ascii="David" w:hAnsi="David"/>
          <w:rtl/>
        </w:rPr>
        <w:t xml:space="preserve"> הנאשם הורשע על יסוד הודאתו, בעבירה של </w:t>
      </w:r>
      <w:r w:rsidRPr="00AF5CED">
        <w:rPr>
          <w:rFonts w:ascii="David" w:hAnsi="David"/>
          <w:u w:val="single"/>
          <w:rtl/>
        </w:rPr>
        <w:t>תקיפת סתם בן זוג</w:t>
      </w:r>
      <w:r w:rsidRPr="00AF5CED">
        <w:rPr>
          <w:rFonts w:ascii="David" w:hAnsi="David"/>
          <w:rtl/>
        </w:rPr>
        <w:t xml:space="preserve"> ובעבירה של </w:t>
      </w:r>
      <w:r w:rsidRPr="00AF5CED">
        <w:rPr>
          <w:rFonts w:ascii="David" w:hAnsi="David"/>
          <w:u w:val="single"/>
          <w:rtl/>
        </w:rPr>
        <w:t>הפרעה לשוטר במילוי תפקידו.</w:t>
      </w:r>
      <w:r w:rsidRPr="00AF5CED">
        <w:rPr>
          <w:rFonts w:ascii="David" w:hAnsi="David"/>
          <w:rtl/>
        </w:rPr>
        <w:t xml:space="preserve"> במועד המתואר בכתב האישום המתוקן, היו הנאשם והמתלוננת נשואים והתגוררו יחד באשדוד. במועד המפורט בכתב האישום התפתח ויכוח בין הנאשם למתלוננת כשהיא סירבה לתת לנאשם את המפתח לדירה. הנאשם בתגובה, ניסה לקחת ממנה את המפתח בכוח עד אשר נפלה לרצפה. המתלוננת נמלטה מהדירה. בהמשך בניסיון לאתר את הנאשם שוחח שוטר עם הנאשם והוא ניתק השיחה. לאחר מכן, איתרו שוטרים את הנאשם, כשהגיעו לבית אחותו טרק הנאשם את הדלת בפני השוטרים וניסה למנוע מהשוטרים לשים עליו אזיקים. </w:t>
      </w:r>
      <w:r w:rsidRPr="00AF5CED">
        <w:rPr>
          <w:rFonts w:ascii="David" w:hAnsi="David"/>
          <w:b/>
          <w:bCs/>
          <w:rtl/>
        </w:rPr>
        <w:t xml:space="preserve">בית המשפט קבע מתחם העונש ההולם נע בין מאסר מותנה ועד ל-8 חודשי מאסר בפועל, לצד ענישה נלווית. </w:t>
      </w:r>
      <w:r w:rsidRPr="00AF5CED">
        <w:rPr>
          <w:rFonts w:ascii="David" w:hAnsi="David"/>
          <w:rtl/>
        </w:rPr>
        <w:t xml:space="preserve">בית המשפט הורה על ביטול הרשעתו של הנאשם והטיל על הנאשם צו של"צ בהיקף של 140 שעות והתחייבות כספית על סך 5,000 ₪. </w:t>
      </w:r>
    </w:p>
    <w:p w14:paraId="2D414CD6" w14:textId="77777777" w:rsidR="00C268CA" w:rsidRDefault="00C268CA" w:rsidP="00C268CA">
      <w:pPr>
        <w:spacing w:line="360" w:lineRule="auto"/>
        <w:ind w:left="793"/>
        <w:rPr>
          <w:rFonts w:ascii="David" w:hAnsi="David"/>
          <w:rtl/>
        </w:rPr>
      </w:pPr>
      <w:r w:rsidRPr="00AF5CED">
        <w:rPr>
          <w:rFonts w:ascii="David" w:hAnsi="David"/>
          <w:rtl/>
        </w:rPr>
        <w:t xml:space="preserve">וראה גם קביעתו של בית המשפט </w:t>
      </w:r>
      <w:r w:rsidRPr="00AF5CED">
        <w:rPr>
          <w:rFonts w:ascii="David" w:hAnsi="David"/>
          <w:u w:val="single"/>
          <w:rtl/>
        </w:rPr>
        <w:t>ב</w:t>
      </w:r>
      <w:hyperlink r:id="rId44" w:history="1">
        <w:r w:rsidR="00BB58C2" w:rsidRPr="00BB58C2">
          <w:rPr>
            <w:rFonts w:ascii="David" w:hAnsi="David"/>
            <w:color w:val="0000FF"/>
            <w:u w:val="single"/>
            <w:rtl/>
          </w:rPr>
          <w:t>עפ"ג (תל-אביב) 4487-08-20</w:t>
        </w:r>
      </w:hyperlink>
      <w:r w:rsidRPr="00AF5CED">
        <w:rPr>
          <w:rFonts w:ascii="David" w:hAnsi="David"/>
          <w:u w:val="single"/>
          <w:rtl/>
        </w:rPr>
        <w:t xml:space="preserve"> </w:t>
      </w:r>
      <w:r w:rsidRPr="00AF5CED">
        <w:rPr>
          <w:rFonts w:ascii="David" w:hAnsi="David"/>
          <w:b/>
          <w:bCs/>
          <w:u w:val="single"/>
          <w:rtl/>
        </w:rPr>
        <w:t xml:space="preserve">הידרו נ' מדינת ישראל ואח' </w:t>
      </w:r>
      <w:r w:rsidRPr="00AF5CED">
        <w:rPr>
          <w:rFonts w:ascii="David" w:hAnsi="David"/>
          <w:u w:val="single"/>
          <w:rtl/>
        </w:rPr>
        <w:t>(24.1.21)</w:t>
      </w:r>
      <w:r w:rsidRPr="00AF5CED">
        <w:rPr>
          <w:rFonts w:ascii="David" w:hAnsi="David"/>
          <w:rtl/>
        </w:rPr>
        <w:t>, לעניין מתחם העבירה הנע בין מאסר מותנה ל-8 חודשי מאסר שיכול וירוצו בעבודות שירות.</w:t>
      </w:r>
    </w:p>
    <w:p w14:paraId="3D2D6E68" w14:textId="77777777" w:rsidR="00C268CA" w:rsidRPr="00AF5CED" w:rsidRDefault="00C268CA" w:rsidP="00C268CA">
      <w:pPr>
        <w:spacing w:line="360" w:lineRule="auto"/>
        <w:ind w:left="793"/>
        <w:rPr>
          <w:rFonts w:ascii="David" w:hAnsi="David"/>
          <w:rtl/>
        </w:rPr>
      </w:pPr>
    </w:p>
    <w:p w14:paraId="12F15C42" w14:textId="77777777" w:rsidR="00C268CA" w:rsidRDefault="00C268CA" w:rsidP="00C268CA">
      <w:pPr>
        <w:pStyle w:val="aa"/>
        <w:numPr>
          <w:ilvl w:val="0"/>
          <w:numId w:val="2"/>
        </w:numPr>
        <w:spacing w:line="360" w:lineRule="auto"/>
        <w:jc w:val="both"/>
        <w:rPr>
          <w:rFonts w:ascii="David" w:hAnsi="David" w:cs="David"/>
          <w:sz w:val="24"/>
          <w:szCs w:val="24"/>
        </w:rPr>
      </w:pPr>
      <w:r w:rsidRPr="00AF5CED">
        <w:rPr>
          <w:rFonts w:ascii="David" w:hAnsi="David" w:cs="David"/>
          <w:sz w:val="24"/>
          <w:szCs w:val="24"/>
          <w:rtl/>
        </w:rPr>
        <w:t>לאחר שנדרשתי למכלול השיקולים הרלוונטיים ובהתאם לתיקון 113 ל</w:t>
      </w:r>
      <w:hyperlink r:id="rId45" w:history="1">
        <w:r w:rsidR="00BB58C2" w:rsidRPr="00BB58C2">
          <w:rPr>
            <w:rFonts w:ascii="David" w:hAnsi="David" w:cs="David"/>
            <w:color w:val="0000FF"/>
            <w:sz w:val="24"/>
            <w:szCs w:val="24"/>
            <w:u w:val="single"/>
            <w:rtl/>
          </w:rPr>
          <w:t>חוק העונשין</w:t>
        </w:r>
      </w:hyperlink>
      <w:r w:rsidRPr="00AF5CED">
        <w:rPr>
          <w:rFonts w:ascii="David" w:hAnsi="David" w:cs="David"/>
          <w:sz w:val="24"/>
          <w:szCs w:val="24"/>
          <w:rtl/>
        </w:rPr>
        <w:t xml:space="preserve"> (סעיף </w:t>
      </w:r>
      <w:hyperlink r:id="rId46" w:history="1">
        <w:r w:rsidR="00A25507" w:rsidRPr="00A25507">
          <w:rPr>
            <w:rStyle w:val="Hyperlink"/>
            <w:rFonts w:ascii="David" w:hAnsi="David" w:cs="David"/>
            <w:sz w:val="24"/>
            <w:szCs w:val="24"/>
            <w:rtl/>
          </w:rPr>
          <w:t>40 יג'</w:t>
        </w:r>
      </w:hyperlink>
      <w:r w:rsidRPr="00AF5CED">
        <w:rPr>
          <w:rFonts w:ascii="David" w:hAnsi="David" w:cs="David"/>
          <w:sz w:val="24"/>
          <w:szCs w:val="24"/>
          <w:rtl/>
        </w:rPr>
        <w:t xml:space="preserve">) לרבות למדיניות הענישה הנוהגת במקרים דומים, אני קובעת כי מתחם העונש ההולם </w:t>
      </w:r>
      <w:r w:rsidRPr="00AF5CED">
        <w:rPr>
          <w:rFonts w:ascii="David" w:hAnsi="David" w:cs="David"/>
          <w:b/>
          <w:bCs/>
          <w:sz w:val="24"/>
          <w:szCs w:val="24"/>
          <w:rtl/>
        </w:rPr>
        <w:t>לכל עבירה בנפרד</w:t>
      </w:r>
      <w:r w:rsidRPr="00AF5CED">
        <w:rPr>
          <w:rFonts w:ascii="David" w:hAnsi="David" w:cs="David"/>
          <w:sz w:val="24"/>
          <w:szCs w:val="24"/>
          <w:rtl/>
        </w:rPr>
        <w:t xml:space="preserve"> נע בין מאסר על תנאי ועד לתקופת מאסר קצרה,  יחד עם  מאסר מותנה לצד רכיבי ענישה נוספים. </w:t>
      </w:r>
    </w:p>
    <w:p w14:paraId="506D0699" w14:textId="77777777" w:rsidR="00C268CA" w:rsidRDefault="00C268CA" w:rsidP="00C268CA">
      <w:pPr>
        <w:pStyle w:val="aa"/>
        <w:spacing w:line="360" w:lineRule="auto"/>
        <w:jc w:val="both"/>
        <w:rPr>
          <w:rFonts w:ascii="David" w:hAnsi="David" w:cs="David"/>
          <w:sz w:val="24"/>
          <w:szCs w:val="24"/>
        </w:rPr>
      </w:pPr>
      <w:r>
        <w:rPr>
          <w:rFonts w:ascii="David" w:hAnsi="David" w:cs="David" w:hint="cs"/>
          <w:sz w:val="24"/>
          <w:szCs w:val="24"/>
          <w:rtl/>
        </w:rPr>
        <w:t xml:space="preserve">בהינתן כי קיימות מספר עבירות, שהרי בהצטברותן יחד לא יכולה הענישה להתחיל ממאסר על תנאי ולכן תתחיל הענישה מצו של"צ, יחד עם עונשים נלווים. </w:t>
      </w:r>
    </w:p>
    <w:p w14:paraId="01A30563" w14:textId="77777777" w:rsidR="00C268CA" w:rsidRDefault="00C268CA" w:rsidP="00C268CA">
      <w:pPr>
        <w:pStyle w:val="aa"/>
        <w:spacing w:line="360" w:lineRule="auto"/>
        <w:jc w:val="both"/>
        <w:rPr>
          <w:rFonts w:ascii="David" w:hAnsi="David" w:cs="David"/>
          <w:sz w:val="24"/>
          <w:szCs w:val="24"/>
          <w:rtl/>
        </w:rPr>
      </w:pPr>
      <w:r>
        <w:rPr>
          <w:rFonts w:ascii="David" w:hAnsi="David" w:cs="David" w:hint="cs"/>
          <w:sz w:val="24"/>
          <w:szCs w:val="24"/>
          <w:rtl/>
        </w:rPr>
        <w:t xml:space="preserve">כפי שצוין, נסיבות ביצוע העבירות שביצע הנאשם מצויות ברף התחתון. </w:t>
      </w:r>
    </w:p>
    <w:p w14:paraId="6612465C" w14:textId="77777777" w:rsidR="00C268CA" w:rsidRPr="009A491C" w:rsidRDefault="00C268CA" w:rsidP="00C268CA">
      <w:pPr>
        <w:pStyle w:val="aa"/>
        <w:spacing w:line="360" w:lineRule="auto"/>
        <w:jc w:val="both"/>
        <w:rPr>
          <w:rFonts w:ascii="David" w:hAnsi="David" w:cs="David"/>
          <w:sz w:val="24"/>
          <w:szCs w:val="24"/>
          <w:rtl/>
        </w:rPr>
      </w:pPr>
      <w:r>
        <w:rPr>
          <w:rFonts w:ascii="David" w:hAnsi="David" w:cs="David" w:hint="cs"/>
          <w:sz w:val="24"/>
          <w:szCs w:val="24"/>
          <w:rtl/>
        </w:rPr>
        <w:t xml:space="preserve"> </w:t>
      </w:r>
    </w:p>
    <w:p w14:paraId="66221562" w14:textId="77777777" w:rsidR="00C268CA" w:rsidRPr="00AF5CED" w:rsidRDefault="00C268CA" w:rsidP="00C268CA">
      <w:pPr>
        <w:pStyle w:val="aa"/>
        <w:numPr>
          <w:ilvl w:val="0"/>
          <w:numId w:val="2"/>
        </w:numPr>
        <w:spacing w:line="360" w:lineRule="auto"/>
        <w:jc w:val="both"/>
        <w:rPr>
          <w:rFonts w:ascii="David" w:hAnsi="David" w:cs="David"/>
          <w:sz w:val="24"/>
          <w:szCs w:val="24"/>
          <w:rtl/>
        </w:rPr>
      </w:pPr>
      <w:r w:rsidRPr="00AF5CED">
        <w:rPr>
          <w:rFonts w:ascii="David" w:hAnsi="David" w:cs="David"/>
          <w:sz w:val="24"/>
          <w:szCs w:val="24"/>
          <w:rtl/>
        </w:rPr>
        <w:t>במקרה דנן לא קיימים שיקולים, המצדיקים סטייה מהמתחם לקולא</w:t>
      </w:r>
      <w:r>
        <w:rPr>
          <w:rFonts w:ascii="David" w:hAnsi="David" w:cs="David" w:hint="cs"/>
          <w:sz w:val="24"/>
          <w:szCs w:val="24"/>
          <w:rtl/>
        </w:rPr>
        <w:t xml:space="preserve"> ובהעדר שילובו בהליך טיפולי כפי המופרט בתסקיר</w:t>
      </w:r>
      <w:r w:rsidRPr="00AF5CED">
        <w:rPr>
          <w:rFonts w:ascii="David" w:hAnsi="David" w:cs="David"/>
          <w:sz w:val="24"/>
          <w:szCs w:val="24"/>
          <w:rtl/>
        </w:rPr>
        <w:t xml:space="preserve">. </w:t>
      </w:r>
    </w:p>
    <w:p w14:paraId="449B2D5D" w14:textId="77777777" w:rsidR="00C268CA" w:rsidRPr="00AF5CED" w:rsidRDefault="00C268CA" w:rsidP="00C268CA">
      <w:pPr>
        <w:spacing w:line="360" w:lineRule="auto"/>
        <w:ind w:left="720" w:hanging="720"/>
        <w:rPr>
          <w:rFonts w:ascii="David" w:hAnsi="David"/>
          <w:sz w:val="28"/>
          <w:szCs w:val="28"/>
          <w:u w:val="single"/>
          <w:rtl/>
        </w:rPr>
      </w:pPr>
      <w:r w:rsidRPr="00AF5CED">
        <w:rPr>
          <w:rFonts w:ascii="David" w:hAnsi="David"/>
          <w:sz w:val="28"/>
          <w:szCs w:val="28"/>
          <w:u w:val="single"/>
          <w:rtl/>
        </w:rPr>
        <w:t>העונש ההולם</w:t>
      </w:r>
    </w:p>
    <w:p w14:paraId="10281DAF" w14:textId="77777777" w:rsidR="00C268CA" w:rsidRDefault="00C268CA" w:rsidP="00C268CA">
      <w:pPr>
        <w:spacing w:line="360" w:lineRule="auto"/>
        <w:ind w:left="720" w:hanging="720"/>
        <w:rPr>
          <w:rFonts w:ascii="David" w:hAnsi="David"/>
          <w:rtl/>
        </w:rPr>
      </w:pPr>
      <w:r w:rsidRPr="00AF5CED">
        <w:rPr>
          <w:rFonts w:ascii="David" w:hAnsi="David"/>
          <w:rtl/>
        </w:rPr>
        <w:t xml:space="preserve">19.  </w:t>
      </w:r>
      <w:r w:rsidRPr="00AF5CED">
        <w:rPr>
          <w:rFonts w:ascii="David" w:hAnsi="David"/>
          <w:rtl/>
        </w:rPr>
        <w:tab/>
        <w:t xml:space="preserve">בגזירת העונש המתאים לנאשם, יש להתחשב בנסיבות שאינן קשורות בביצוע העבירה, לפי סעיף </w:t>
      </w:r>
      <w:hyperlink r:id="rId47" w:history="1">
        <w:r w:rsidR="00A25507" w:rsidRPr="00A25507">
          <w:rPr>
            <w:rStyle w:val="Hyperlink"/>
            <w:rFonts w:ascii="David" w:hAnsi="David" w:cs="David"/>
            <w:rtl/>
          </w:rPr>
          <w:t>40 י"א</w:t>
        </w:r>
      </w:hyperlink>
      <w:r w:rsidRPr="00AF5CED">
        <w:rPr>
          <w:rFonts w:ascii="David" w:hAnsi="David"/>
          <w:rtl/>
        </w:rPr>
        <w:t xml:space="preserve"> ל</w:t>
      </w:r>
      <w:hyperlink r:id="rId48" w:history="1">
        <w:r w:rsidR="00BB58C2" w:rsidRPr="00BB58C2">
          <w:rPr>
            <w:rFonts w:ascii="David" w:hAnsi="David"/>
            <w:color w:val="0000FF"/>
            <w:u w:val="single"/>
            <w:rtl/>
          </w:rPr>
          <w:t>חוק העונשין</w:t>
        </w:r>
      </w:hyperlink>
      <w:r w:rsidRPr="00AF5CED">
        <w:rPr>
          <w:rFonts w:ascii="David" w:hAnsi="David"/>
          <w:rtl/>
        </w:rPr>
        <w:t>.</w:t>
      </w:r>
    </w:p>
    <w:p w14:paraId="6E076E54" w14:textId="77777777" w:rsidR="00C268CA" w:rsidRPr="00AF5CED" w:rsidRDefault="00C268CA" w:rsidP="00C268CA">
      <w:pPr>
        <w:spacing w:line="360" w:lineRule="auto"/>
        <w:ind w:left="720" w:hanging="720"/>
        <w:rPr>
          <w:rFonts w:ascii="David" w:hAnsi="David"/>
          <w:rtl/>
        </w:rPr>
      </w:pPr>
    </w:p>
    <w:p w14:paraId="2E208FB7" w14:textId="77777777" w:rsidR="00C268CA" w:rsidRDefault="00C268CA" w:rsidP="00C268CA">
      <w:pPr>
        <w:spacing w:line="360" w:lineRule="auto"/>
        <w:ind w:left="720" w:hanging="720"/>
        <w:rPr>
          <w:rFonts w:ascii="David" w:hAnsi="David"/>
          <w:rtl/>
        </w:rPr>
      </w:pPr>
      <w:r w:rsidRPr="00AF5CED">
        <w:rPr>
          <w:rFonts w:ascii="David" w:hAnsi="David"/>
          <w:rtl/>
        </w:rPr>
        <w:t>20.</w:t>
      </w:r>
      <w:r w:rsidRPr="00AF5CED">
        <w:rPr>
          <w:rFonts w:ascii="David" w:hAnsi="David"/>
          <w:rtl/>
        </w:rPr>
        <w:tab/>
        <w:t xml:space="preserve">במסגרת השיקולים לקולא, נתתי דעתי לכך, שהנאשם נעדר עבר פלילי, הודה, הביע חרטה, קיבל אחריות על מעשיו וחסך בזמן שיפוטי. </w:t>
      </w:r>
    </w:p>
    <w:p w14:paraId="32363B6B" w14:textId="77777777" w:rsidR="00C268CA" w:rsidRPr="00AF5CED" w:rsidRDefault="00C268CA" w:rsidP="00C268CA">
      <w:pPr>
        <w:spacing w:line="360" w:lineRule="auto"/>
        <w:ind w:left="720" w:hanging="720"/>
        <w:rPr>
          <w:rFonts w:ascii="David" w:hAnsi="David"/>
          <w:rtl/>
        </w:rPr>
      </w:pPr>
    </w:p>
    <w:p w14:paraId="65924CD6" w14:textId="77777777" w:rsidR="00C268CA" w:rsidRDefault="00C268CA" w:rsidP="00C268CA">
      <w:pPr>
        <w:spacing w:line="360" w:lineRule="auto"/>
        <w:ind w:left="720" w:hanging="720"/>
        <w:rPr>
          <w:rFonts w:ascii="David" w:hAnsi="David"/>
          <w:rtl/>
        </w:rPr>
      </w:pPr>
      <w:r w:rsidRPr="00AF5CED">
        <w:rPr>
          <w:rFonts w:ascii="David" w:hAnsi="David"/>
          <w:rtl/>
        </w:rPr>
        <w:t xml:space="preserve">21. </w:t>
      </w:r>
      <w:r w:rsidRPr="00AF5CED">
        <w:rPr>
          <w:rFonts w:ascii="David" w:hAnsi="David"/>
          <w:rtl/>
        </w:rPr>
        <w:tab/>
        <w:t xml:space="preserve">עוד הבאתי בחשבון את חלוף הזמן מביצוע העבירות, כ-3 שנים בהן לא נפתחו כנגד הנאשם תיקים נוספים. </w:t>
      </w:r>
    </w:p>
    <w:p w14:paraId="389AAD32" w14:textId="77777777" w:rsidR="00C268CA" w:rsidRPr="00AF5CED" w:rsidRDefault="00C268CA" w:rsidP="00C268CA">
      <w:pPr>
        <w:spacing w:line="360" w:lineRule="auto"/>
        <w:ind w:left="720" w:hanging="720"/>
        <w:rPr>
          <w:rFonts w:ascii="David" w:hAnsi="David"/>
          <w:rtl/>
        </w:rPr>
      </w:pPr>
    </w:p>
    <w:p w14:paraId="20F32FE2" w14:textId="77777777" w:rsidR="00C268CA" w:rsidRDefault="00C268CA" w:rsidP="00C268CA">
      <w:pPr>
        <w:spacing w:line="360" w:lineRule="auto"/>
        <w:ind w:left="720" w:hanging="720"/>
        <w:rPr>
          <w:rFonts w:ascii="David" w:hAnsi="David"/>
          <w:rtl/>
        </w:rPr>
      </w:pPr>
      <w:r w:rsidRPr="00AF5CED">
        <w:rPr>
          <w:rFonts w:ascii="David" w:hAnsi="David"/>
          <w:rtl/>
        </w:rPr>
        <w:t xml:space="preserve">21. </w:t>
      </w:r>
      <w:r w:rsidRPr="00AF5CED">
        <w:rPr>
          <w:rFonts w:ascii="David" w:hAnsi="David"/>
          <w:rtl/>
        </w:rPr>
        <w:tab/>
        <w:t xml:space="preserve">נתתי דעתי בנוסף לנסיבות האישיות של הנאשם, כפי שפורטו בהרחבה בתסקירי שירות המבחן, לגילו הצעיר של הנאשם בעת ביצוע העבירות ולעובדת היותו "בגיר – צעיר"  שבפעל מבלי להבין את מלוא משמעות מעשיו כפי שצוין בתסקיר. </w:t>
      </w:r>
    </w:p>
    <w:p w14:paraId="2C80A6FA" w14:textId="77777777" w:rsidR="00C268CA" w:rsidRPr="00AF5CED" w:rsidRDefault="00C268CA" w:rsidP="00C268CA">
      <w:pPr>
        <w:spacing w:line="360" w:lineRule="auto"/>
        <w:ind w:left="720" w:hanging="720"/>
        <w:rPr>
          <w:rFonts w:ascii="David" w:hAnsi="David"/>
          <w:rtl/>
        </w:rPr>
      </w:pPr>
    </w:p>
    <w:p w14:paraId="5E928F4C" w14:textId="77777777" w:rsidR="00C268CA" w:rsidRDefault="00C268CA" w:rsidP="00C268CA">
      <w:pPr>
        <w:spacing w:line="360" w:lineRule="auto"/>
        <w:ind w:left="720" w:hanging="720"/>
        <w:rPr>
          <w:rFonts w:ascii="David" w:hAnsi="David"/>
          <w:rtl/>
        </w:rPr>
      </w:pPr>
      <w:r w:rsidRPr="00AF5CED">
        <w:rPr>
          <w:rFonts w:ascii="David" w:hAnsi="David"/>
          <w:rtl/>
        </w:rPr>
        <w:t xml:space="preserve">23. </w:t>
      </w:r>
      <w:r w:rsidRPr="00AF5CED">
        <w:rPr>
          <w:rFonts w:ascii="David" w:hAnsi="David"/>
          <w:rtl/>
        </w:rPr>
        <w:tab/>
        <w:t>בין היתר נתתי משקל לדבריו של הנאשם בנוגע לתהליך המשמעותי שעבר, במסגרתו הפסיק להשתמש בסמים (כפי שגם ניתן ללמוד מבדיקות השתן הנקיות שנתן במסגרת מפגשיו בשירות מבחן) לעובדה כי הקים משפחה ושואף לחיות חיים נורמטיביים</w:t>
      </w:r>
      <w:r>
        <w:rPr>
          <w:rFonts w:ascii="David" w:hAnsi="David" w:hint="cs"/>
          <w:rtl/>
        </w:rPr>
        <w:t>, אך מנגד כי הניסיון לשלב הנאשם בקבוצה טיפולית לא צלח</w:t>
      </w:r>
      <w:r w:rsidRPr="00AF5CED">
        <w:rPr>
          <w:rFonts w:ascii="David" w:hAnsi="David"/>
          <w:rtl/>
        </w:rPr>
        <w:t xml:space="preserve">. </w:t>
      </w:r>
    </w:p>
    <w:p w14:paraId="37904594" w14:textId="77777777" w:rsidR="00C268CA" w:rsidRDefault="00C268CA" w:rsidP="00C268CA">
      <w:pPr>
        <w:spacing w:line="360" w:lineRule="auto"/>
        <w:ind w:left="720" w:hanging="720"/>
        <w:rPr>
          <w:rFonts w:ascii="David" w:hAnsi="David"/>
          <w:rtl/>
        </w:rPr>
      </w:pPr>
      <w:r w:rsidRPr="00AF5CED">
        <w:rPr>
          <w:rFonts w:ascii="David" w:hAnsi="David"/>
          <w:rtl/>
        </w:rPr>
        <w:t xml:space="preserve">24.  </w:t>
      </w:r>
      <w:r w:rsidRPr="00AF5CED">
        <w:rPr>
          <w:rFonts w:ascii="David" w:hAnsi="David"/>
          <w:rtl/>
        </w:rPr>
        <w:tab/>
        <w:t xml:space="preserve">מנגד, שקלתי את הצורך להגן על הציבור מפני עבירות אלו וגן את הצורך בהרתעת הנאשם והרתעת הרבים. </w:t>
      </w:r>
    </w:p>
    <w:p w14:paraId="34CA18FB" w14:textId="77777777" w:rsidR="00C268CA" w:rsidRPr="00AF5CED" w:rsidRDefault="00C268CA" w:rsidP="00C268CA">
      <w:pPr>
        <w:spacing w:line="360" w:lineRule="auto"/>
        <w:ind w:left="720" w:hanging="720"/>
        <w:rPr>
          <w:rFonts w:ascii="David" w:hAnsi="David"/>
          <w:rtl/>
        </w:rPr>
      </w:pPr>
    </w:p>
    <w:p w14:paraId="482D2355" w14:textId="77777777" w:rsidR="00C268CA" w:rsidRPr="00AF5CED" w:rsidRDefault="00C268CA" w:rsidP="00C268CA">
      <w:pPr>
        <w:spacing w:line="360" w:lineRule="auto"/>
        <w:ind w:left="720" w:hanging="720"/>
        <w:jc w:val="both"/>
        <w:rPr>
          <w:rFonts w:ascii="David" w:hAnsi="David"/>
          <w:rtl/>
        </w:rPr>
      </w:pPr>
      <w:r w:rsidRPr="00AF5CED">
        <w:rPr>
          <w:rFonts w:ascii="David" w:hAnsi="David"/>
          <w:rtl/>
        </w:rPr>
        <w:t xml:space="preserve">25. </w:t>
      </w:r>
      <w:r w:rsidRPr="00AF5CED">
        <w:rPr>
          <w:rFonts w:ascii="David" w:hAnsi="David"/>
          <w:rtl/>
        </w:rPr>
        <w:tab/>
        <w:t xml:space="preserve">במכלול העבירות ובהצטברותן ובהתייחס לנסיבות האישיות שהובאו בעניין הנאשם, תעמוד הענישה במקרה זה בשליש העליון של תחתית המתחם. משכך לא ניתן יהיה להסתפק בענישה הכוללת מאסר מותנה בלבד מחד ומאידך אין מקום כבקשת המאשימה להטיל על הנאשם עונש מאסר הגם שירוצה בעבודות שירות. מאלו שוכנעתי כי במקרה שבפני יש מקום לאמץ את המלצת שירות המבחן ולהטיל על הנאשם צו של"צ.  </w:t>
      </w:r>
      <w:r w:rsidRPr="00AF5CED">
        <w:rPr>
          <w:rFonts w:ascii="David" w:hAnsi="David"/>
          <w:rtl/>
        </w:rPr>
        <w:tab/>
        <w:t xml:space="preserve"> </w:t>
      </w:r>
    </w:p>
    <w:p w14:paraId="06B15F08" w14:textId="77777777" w:rsidR="00C268CA" w:rsidRPr="00AF5CED" w:rsidRDefault="00C268CA" w:rsidP="00C268CA">
      <w:pPr>
        <w:spacing w:line="360" w:lineRule="auto"/>
        <w:rPr>
          <w:rFonts w:ascii="David" w:hAnsi="David"/>
          <w:b/>
          <w:bCs/>
          <w:sz w:val="28"/>
          <w:szCs w:val="28"/>
          <w:u w:val="single"/>
          <w:rtl/>
        </w:rPr>
      </w:pPr>
      <w:r w:rsidRPr="00AF5CED">
        <w:rPr>
          <w:rFonts w:ascii="David" w:hAnsi="David"/>
          <w:b/>
          <w:bCs/>
          <w:sz w:val="28"/>
          <w:szCs w:val="28"/>
          <w:u w:val="single"/>
          <w:rtl/>
        </w:rPr>
        <w:t>סוף דבר</w:t>
      </w:r>
    </w:p>
    <w:p w14:paraId="5D975FA4" w14:textId="77777777" w:rsidR="00C268CA" w:rsidRPr="00AF5CED" w:rsidRDefault="00C268CA" w:rsidP="00C268CA">
      <w:pPr>
        <w:spacing w:line="360" w:lineRule="auto"/>
        <w:rPr>
          <w:rFonts w:ascii="David" w:hAnsi="David"/>
          <w:rtl/>
        </w:rPr>
      </w:pPr>
      <w:r w:rsidRPr="00AF5CED">
        <w:rPr>
          <w:rFonts w:ascii="David" w:hAnsi="David"/>
          <w:rtl/>
        </w:rPr>
        <w:t>23.</w:t>
      </w:r>
      <w:r w:rsidRPr="00AF5CED">
        <w:rPr>
          <w:rFonts w:ascii="David" w:hAnsi="David"/>
          <w:rtl/>
        </w:rPr>
        <w:tab/>
        <w:t>לפיכך, אני גוזרת על הנאשם את העונשים הבאים:</w:t>
      </w:r>
    </w:p>
    <w:p w14:paraId="133CF717" w14:textId="77777777" w:rsidR="00C268CA" w:rsidRDefault="00C268CA" w:rsidP="00C268CA">
      <w:pPr>
        <w:spacing w:line="360" w:lineRule="auto"/>
        <w:ind w:left="1440" w:hanging="720"/>
        <w:jc w:val="both"/>
        <w:rPr>
          <w:b/>
          <w:bCs/>
          <w:rtl/>
          <w:lang w:eastAsia="he-IL"/>
        </w:rPr>
      </w:pPr>
      <w:r w:rsidRPr="00AF5CED">
        <w:rPr>
          <w:rFonts w:ascii="David" w:hAnsi="David"/>
          <w:rtl/>
        </w:rPr>
        <w:t>א.</w:t>
      </w:r>
      <w:r w:rsidRPr="00AF5CED">
        <w:rPr>
          <w:rFonts w:ascii="David" w:hAnsi="David"/>
          <w:rtl/>
        </w:rPr>
        <w:tab/>
      </w:r>
      <w:r w:rsidRPr="00156A05">
        <w:rPr>
          <w:rFonts w:hint="cs"/>
          <w:b/>
          <w:bCs/>
          <w:rtl/>
          <w:lang w:eastAsia="he-IL"/>
        </w:rPr>
        <w:t>ניתן בזאת צו המורה לנאש</w:t>
      </w:r>
      <w:r>
        <w:rPr>
          <w:rFonts w:hint="cs"/>
          <w:b/>
          <w:bCs/>
          <w:rtl/>
          <w:lang w:eastAsia="he-IL"/>
        </w:rPr>
        <w:t>ם</w:t>
      </w:r>
      <w:r w:rsidRPr="00156A05">
        <w:rPr>
          <w:rFonts w:hint="cs"/>
          <w:b/>
          <w:bCs/>
          <w:rtl/>
          <w:lang w:eastAsia="he-IL"/>
        </w:rPr>
        <w:t xml:space="preserve"> לבצע שירות לתועלת הציבור </w:t>
      </w:r>
      <w:r>
        <w:rPr>
          <w:rFonts w:hint="cs"/>
          <w:b/>
          <w:bCs/>
          <w:rtl/>
          <w:lang w:eastAsia="he-IL"/>
        </w:rPr>
        <w:t xml:space="preserve">בהיקף 200 שעות. </w:t>
      </w:r>
    </w:p>
    <w:p w14:paraId="24DFDF09" w14:textId="77777777" w:rsidR="00C268CA" w:rsidRPr="00410D82" w:rsidRDefault="00C268CA" w:rsidP="00C268CA">
      <w:pPr>
        <w:spacing w:line="360" w:lineRule="auto"/>
        <w:ind w:left="1440"/>
        <w:jc w:val="both"/>
        <w:rPr>
          <w:b/>
          <w:bCs/>
          <w:lang w:eastAsia="he-IL"/>
        </w:rPr>
      </w:pPr>
      <w:r w:rsidRPr="00410D82">
        <w:rPr>
          <w:rFonts w:ascii="David" w:hAnsi="David" w:hint="cs"/>
          <w:b/>
          <w:bCs/>
          <w:rtl/>
        </w:rPr>
        <w:t>שירות המבחן יגיש תכנית לביצוע השעות בתוך 30 יום מהיום לאישור בית המשפט.</w:t>
      </w:r>
      <w:r w:rsidRPr="00410D82">
        <w:rPr>
          <w:rFonts w:hint="cs"/>
          <w:b/>
          <w:bCs/>
          <w:rtl/>
          <w:lang w:eastAsia="he-IL"/>
        </w:rPr>
        <w:t xml:space="preserve"> </w:t>
      </w:r>
    </w:p>
    <w:p w14:paraId="3B7C2028" w14:textId="77777777" w:rsidR="00C268CA" w:rsidRPr="00156A05" w:rsidRDefault="00C268CA" w:rsidP="00C268CA">
      <w:pPr>
        <w:spacing w:line="360" w:lineRule="auto"/>
        <w:ind w:left="1440"/>
        <w:jc w:val="both"/>
        <w:rPr>
          <w:b/>
          <w:bCs/>
          <w:rtl/>
          <w:lang w:eastAsia="he-IL"/>
        </w:rPr>
      </w:pPr>
      <w:r w:rsidRPr="00156A05">
        <w:rPr>
          <w:rFonts w:hint="cs"/>
          <w:b/>
          <w:bCs/>
          <w:rtl/>
          <w:lang w:eastAsia="he-IL"/>
        </w:rPr>
        <w:t>אם יתעורר צורך בשינוי מקום ההשמה, שרות המבחן יעשה כן וידווח לבית המשפט.</w:t>
      </w:r>
    </w:p>
    <w:p w14:paraId="23EA67BD" w14:textId="77777777" w:rsidR="00C268CA" w:rsidRDefault="00C268CA" w:rsidP="00C268CA">
      <w:pPr>
        <w:spacing w:line="360" w:lineRule="auto"/>
        <w:ind w:left="1440"/>
        <w:jc w:val="both"/>
        <w:rPr>
          <w:b/>
          <w:bCs/>
          <w:rtl/>
          <w:lang w:eastAsia="he-IL"/>
        </w:rPr>
      </w:pPr>
      <w:r w:rsidRPr="00156A05">
        <w:rPr>
          <w:rFonts w:hint="cs"/>
          <w:b/>
          <w:bCs/>
          <w:rtl/>
          <w:lang w:eastAsia="he-IL"/>
        </w:rPr>
        <w:t>הנאש</w:t>
      </w:r>
      <w:r>
        <w:rPr>
          <w:rFonts w:hint="cs"/>
          <w:b/>
          <w:bCs/>
          <w:rtl/>
          <w:lang w:eastAsia="he-IL"/>
        </w:rPr>
        <w:t>ם</w:t>
      </w:r>
      <w:r w:rsidRPr="00156A05">
        <w:rPr>
          <w:rFonts w:hint="cs"/>
          <w:b/>
          <w:bCs/>
          <w:rtl/>
          <w:lang w:eastAsia="he-IL"/>
        </w:rPr>
        <w:t xml:space="preserve"> מוזהר</w:t>
      </w:r>
      <w:r>
        <w:rPr>
          <w:rFonts w:hint="cs"/>
          <w:b/>
          <w:bCs/>
          <w:rtl/>
          <w:lang w:eastAsia="he-IL"/>
        </w:rPr>
        <w:t xml:space="preserve"> </w:t>
      </w:r>
      <w:r w:rsidRPr="00156A05">
        <w:rPr>
          <w:rFonts w:hint="cs"/>
          <w:b/>
          <w:bCs/>
          <w:rtl/>
          <w:lang w:eastAsia="he-IL"/>
        </w:rPr>
        <w:t xml:space="preserve">כי אם לא ימולאו תנאי הצו במלואם, ניתן יהיה לבטלו ולהטיל עונש נוסף, בגין העבירות בהן הורשעה, במקום צו השל"צ. </w:t>
      </w:r>
    </w:p>
    <w:p w14:paraId="729A82E4" w14:textId="77777777" w:rsidR="00C268CA" w:rsidRPr="00156A05" w:rsidRDefault="00C268CA" w:rsidP="00C268CA">
      <w:pPr>
        <w:spacing w:line="360" w:lineRule="auto"/>
        <w:ind w:left="1440"/>
        <w:jc w:val="both"/>
        <w:rPr>
          <w:b/>
          <w:bCs/>
          <w:rtl/>
          <w:lang w:eastAsia="he-IL"/>
        </w:rPr>
      </w:pPr>
    </w:p>
    <w:p w14:paraId="2C9C5EBD" w14:textId="77777777" w:rsidR="00C268CA" w:rsidRDefault="00C268CA" w:rsidP="00C268CA">
      <w:pPr>
        <w:spacing w:line="360" w:lineRule="auto"/>
        <w:ind w:left="1440" w:hanging="720"/>
        <w:jc w:val="both"/>
        <w:rPr>
          <w:b/>
          <w:bCs/>
          <w:rtl/>
          <w:lang w:eastAsia="he-IL"/>
        </w:rPr>
      </w:pPr>
      <w:r w:rsidRPr="00BF2293">
        <w:rPr>
          <w:b/>
          <w:bCs/>
          <w:rtl/>
          <w:lang w:eastAsia="he-IL"/>
        </w:rPr>
        <w:t>ב.</w:t>
      </w:r>
      <w:r w:rsidRPr="00BF2293">
        <w:rPr>
          <w:b/>
          <w:bCs/>
          <w:rtl/>
          <w:lang w:eastAsia="he-IL"/>
        </w:rPr>
        <w:tab/>
        <w:t xml:space="preserve">מאסר על תנאי למשך </w:t>
      </w:r>
      <w:r>
        <w:rPr>
          <w:rFonts w:hint="cs"/>
          <w:b/>
          <w:bCs/>
          <w:rtl/>
          <w:lang w:eastAsia="he-IL"/>
        </w:rPr>
        <w:t xml:space="preserve">2  </w:t>
      </w:r>
      <w:r w:rsidRPr="00BF2293">
        <w:rPr>
          <w:b/>
          <w:bCs/>
          <w:rtl/>
          <w:lang w:eastAsia="he-IL"/>
        </w:rPr>
        <w:t xml:space="preserve">חודשים; הנאשם לא </w:t>
      </w:r>
      <w:r w:rsidRPr="00BF2293">
        <w:rPr>
          <w:rFonts w:hint="cs"/>
          <w:b/>
          <w:bCs/>
          <w:rtl/>
          <w:lang w:eastAsia="he-IL"/>
        </w:rPr>
        <w:t>י</w:t>
      </w:r>
      <w:r w:rsidRPr="00BF2293">
        <w:rPr>
          <w:b/>
          <w:bCs/>
          <w:rtl/>
          <w:lang w:eastAsia="he-IL"/>
        </w:rPr>
        <w:t xml:space="preserve">ישא עונש זה אלא אם יעבור בתוך </w:t>
      </w:r>
      <w:r>
        <w:rPr>
          <w:rFonts w:hint="cs"/>
          <w:b/>
          <w:bCs/>
          <w:rtl/>
          <w:lang w:eastAsia="he-IL"/>
        </w:rPr>
        <w:t>שנתיים</w:t>
      </w:r>
      <w:r w:rsidRPr="00BF2293">
        <w:rPr>
          <w:b/>
          <w:bCs/>
          <w:rtl/>
          <w:lang w:eastAsia="he-IL"/>
        </w:rPr>
        <w:t xml:space="preserve"> מהיום </w:t>
      </w:r>
      <w:r w:rsidRPr="00BF2293">
        <w:rPr>
          <w:rFonts w:hint="cs"/>
          <w:b/>
          <w:bCs/>
          <w:rtl/>
          <w:lang w:eastAsia="he-IL"/>
        </w:rPr>
        <w:t>על  אחת ה</w:t>
      </w:r>
      <w:r w:rsidRPr="00BF2293">
        <w:rPr>
          <w:b/>
          <w:bCs/>
          <w:rtl/>
          <w:lang w:eastAsia="he-IL"/>
        </w:rPr>
        <w:t xml:space="preserve">עבירות </w:t>
      </w:r>
      <w:r w:rsidRPr="00BF2293">
        <w:rPr>
          <w:rFonts w:hint="cs"/>
          <w:b/>
          <w:bCs/>
          <w:rtl/>
          <w:lang w:eastAsia="he-IL"/>
        </w:rPr>
        <w:t xml:space="preserve">  בהן הורשע בפסק דין זה</w:t>
      </w:r>
      <w:r w:rsidRPr="00BF2293">
        <w:rPr>
          <w:b/>
          <w:bCs/>
          <w:rtl/>
          <w:lang w:eastAsia="he-IL"/>
        </w:rPr>
        <w:t>.</w:t>
      </w:r>
      <w:r w:rsidRPr="00BF2293">
        <w:rPr>
          <w:rFonts w:hint="cs"/>
          <w:b/>
          <w:bCs/>
          <w:rtl/>
          <w:lang w:eastAsia="he-IL"/>
        </w:rPr>
        <w:t xml:space="preserve">  </w:t>
      </w:r>
    </w:p>
    <w:p w14:paraId="05EB4085" w14:textId="77777777" w:rsidR="00C268CA" w:rsidRPr="00BF2293" w:rsidRDefault="00C268CA" w:rsidP="00C268CA">
      <w:pPr>
        <w:spacing w:line="360" w:lineRule="auto"/>
        <w:ind w:left="1440" w:hanging="720"/>
        <w:jc w:val="both"/>
        <w:rPr>
          <w:b/>
          <w:bCs/>
          <w:lang w:eastAsia="he-IL"/>
        </w:rPr>
      </w:pPr>
    </w:p>
    <w:p w14:paraId="2D16E936" w14:textId="77777777" w:rsidR="00C268CA" w:rsidRPr="00BF2293" w:rsidRDefault="00C268CA" w:rsidP="00C268CA">
      <w:pPr>
        <w:spacing w:line="360" w:lineRule="auto"/>
        <w:ind w:left="1440" w:hanging="720"/>
        <w:jc w:val="both"/>
        <w:rPr>
          <w:b/>
          <w:bCs/>
          <w:lang w:eastAsia="he-IL"/>
        </w:rPr>
      </w:pPr>
      <w:r>
        <w:rPr>
          <w:rFonts w:hint="cs"/>
          <w:b/>
          <w:bCs/>
          <w:rtl/>
          <w:lang w:eastAsia="he-IL"/>
        </w:rPr>
        <w:t>ג.</w:t>
      </w:r>
      <w:r>
        <w:rPr>
          <w:rFonts w:hint="cs"/>
          <w:b/>
          <w:bCs/>
          <w:rtl/>
          <w:lang w:eastAsia="he-IL"/>
        </w:rPr>
        <w:tab/>
      </w:r>
      <w:r w:rsidRPr="00BF2293">
        <w:rPr>
          <w:b/>
          <w:bCs/>
          <w:rtl/>
          <w:lang w:eastAsia="he-IL"/>
        </w:rPr>
        <w:t xml:space="preserve">קנס כספי בסך </w:t>
      </w:r>
      <w:r>
        <w:rPr>
          <w:rFonts w:hint="cs"/>
          <w:b/>
          <w:bCs/>
          <w:rtl/>
          <w:lang w:eastAsia="he-IL"/>
        </w:rPr>
        <w:t xml:space="preserve">1,500 ₪ </w:t>
      </w:r>
      <w:r w:rsidRPr="00BF2293">
        <w:rPr>
          <w:b/>
          <w:bCs/>
          <w:rtl/>
          <w:lang w:eastAsia="he-IL"/>
        </w:rPr>
        <w:t xml:space="preserve"> או </w:t>
      </w:r>
      <w:r>
        <w:rPr>
          <w:rFonts w:hint="cs"/>
          <w:b/>
          <w:bCs/>
          <w:rtl/>
          <w:lang w:eastAsia="he-IL"/>
        </w:rPr>
        <w:t xml:space="preserve">5 </w:t>
      </w:r>
      <w:r w:rsidRPr="00BF2293">
        <w:rPr>
          <w:b/>
          <w:bCs/>
          <w:rtl/>
          <w:lang w:eastAsia="he-IL"/>
        </w:rPr>
        <w:t>ימי מאסר תמורתו.</w:t>
      </w:r>
    </w:p>
    <w:p w14:paraId="62FD8D9D" w14:textId="77777777" w:rsidR="00C268CA" w:rsidRDefault="00C268CA" w:rsidP="00C268CA">
      <w:pPr>
        <w:spacing w:line="360" w:lineRule="auto"/>
        <w:ind w:left="1440"/>
        <w:jc w:val="both"/>
        <w:rPr>
          <w:b/>
          <w:bCs/>
          <w:rtl/>
          <w:lang w:eastAsia="he-IL"/>
        </w:rPr>
      </w:pPr>
      <w:r w:rsidRPr="00BF2293">
        <w:rPr>
          <w:b/>
          <w:bCs/>
          <w:rtl/>
          <w:lang w:eastAsia="he-IL"/>
        </w:rPr>
        <w:t>הקנס ישולם ב</w:t>
      </w:r>
      <w:r>
        <w:rPr>
          <w:rFonts w:hint="cs"/>
          <w:b/>
          <w:bCs/>
          <w:rtl/>
          <w:lang w:eastAsia="he-IL"/>
        </w:rPr>
        <w:t xml:space="preserve">תוך 120 יום מהיום. </w:t>
      </w:r>
      <w:r w:rsidRPr="00BF2293">
        <w:rPr>
          <w:b/>
          <w:bCs/>
          <w:rtl/>
          <w:lang w:eastAsia="he-IL"/>
        </w:rPr>
        <w:t xml:space="preserve"> </w:t>
      </w:r>
    </w:p>
    <w:p w14:paraId="342EA770" w14:textId="77777777" w:rsidR="00C268CA" w:rsidRPr="00BF2293" w:rsidRDefault="00C268CA" w:rsidP="00C268CA">
      <w:pPr>
        <w:spacing w:line="360" w:lineRule="auto"/>
        <w:ind w:left="1440" w:hanging="720"/>
        <w:jc w:val="both"/>
        <w:rPr>
          <w:b/>
          <w:bCs/>
          <w:rtl/>
          <w:lang w:eastAsia="he-IL"/>
        </w:rPr>
      </w:pPr>
    </w:p>
    <w:p w14:paraId="7CDA40A3" w14:textId="77777777" w:rsidR="00C268CA" w:rsidRDefault="00C268CA" w:rsidP="00C268CA">
      <w:pPr>
        <w:spacing w:line="360" w:lineRule="auto"/>
        <w:ind w:left="1440" w:hanging="720"/>
        <w:jc w:val="both"/>
        <w:rPr>
          <w:b/>
          <w:bCs/>
          <w:rtl/>
          <w:lang w:eastAsia="he-IL"/>
        </w:rPr>
      </w:pPr>
      <w:r w:rsidRPr="00BF2293">
        <w:rPr>
          <w:rFonts w:hint="cs"/>
          <w:b/>
          <w:bCs/>
          <w:rtl/>
          <w:lang w:eastAsia="he-IL"/>
        </w:rPr>
        <w:t>ז.</w:t>
      </w:r>
      <w:r w:rsidRPr="00BF2293">
        <w:rPr>
          <w:rFonts w:hint="cs"/>
          <w:b/>
          <w:bCs/>
          <w:rtl/>
          <w:lang w:eastAsia="he-IL"/>
        </w:rPr>
        <w:tab/>
      </w:r>
      <w:r w:rsidRPr="00BF2293">
        <w:rPr>
          <w:b/>
          <w:bCs/>
          <w:rtl/>
          <w:lang w:eastAsia="he-IL"/>
        </w:rPr>
        <w:t xml:space="preserve">פסילה על תנאי מלקבל ומלהחזיק רישיון נהיגה לתקופה בת </w:t>
      </w:r>
      <w:r>
        <w:rPr>
          <w:rFonts w:hint="cs"/>
          <w:b/>
          <w:bCs/>
          <w:rtl/>
          <w:lang w:eastAsia="he-IL"/>
        </w:rPr>
        <w:t>3</w:t>
      </w:r>
      <w:r w:rsidRPr="00BF2293">
        <w:rPr>
          <w:b/>
          <w:bCs/>
          <w:rtl/>
          <w:lang w:eastAsia="he-IL"/>
        </w:rPr>
        <w:t xml:space="preserve"> חודשים ולמשך שלוש שנים באם יעבור הנאשם עבירה על פקודת הסמים.</w:t>
      </w:r>
    </w:p>
    <w:p w14:paraId="5BEE9BF5" w14:textId="77777777" w:rsidR="00C268CA" w:rsidRPr="00BF2293" w:rsidRDefault="00C268CA" w:rsidP="00C268CA">
      <w:pPr>
        <w:spacing w:line="360" w:lineRule="auto"/>
        <w:ind w:left="1440"/>
        <w:jc w:val="both"/>
        <w:rPr>
          <w:b/>
          <w:bCs/>
          <w:rtl/>
          <w:lang w:eastAsia="he-IL"/>
        </w:rPr>
      </w:pPr>
    </w:p>
    <w:p w14:paraId="6BE1F1D3" w14:textId="77777777" w:rsidR="00C268CA" w:rsidRPr="00BF2293" w:rsidRDefault="00C268CA" w:rsidP="00C268CA">
      <w:pPr>
        <w:spacing w:line="360" w:lineRule="auto"/>
        <w:ind w:left="1440" w:hanging="720"/>
        <w:jc w:val="both"/>
        <w:rPr>
          <w:b/>
          <w:bCs/>
          <w:lang w:eastAsia="he-IL"/>
        </w:rPr>
      </w:pPr>
      <w:r>
        <w:rPr>
          <w:rFonts w:hint="cs"/>
          <w:b/>
          <w:bCs/>
          <w:rtl/>
          <w:lang w:eastAsia="he-IL"/>
        </w:rPr>
        <w:t>ח</w:t>
      </w:r>
      <w:r w:rsidRPr="00BF2293">
        <w:rPr>
          <w:b/>
          <w:bCs/>
          <w:rtl/>
          <w:lang w:eastAsia="he-IL"/>
        </w:rPr>
        <w:t>.</w:t>
      </w:r>
      <w:r w:rsidRPr="00BF2293">
        <w:rPr>
          <w:b/>
          <w:bCs/>
          <w:rtl/>
          <w:lang w:eastAsia="he-IL"/>
        </w:rPr>
        <w:tab/>
        <w:t xml:space="preserve">הנאשם </w:t>
      </w:r>
      <w:r>
        <w:rPr>
          <w:rFonts w:hint="cs"/>
          <w:b/>
          <w:bCs/>
          <w:rtl/>
          <w:lang w:eastAsia="he-IL"/>
        </w:rPr>
        <w:t xml:space="preserve">יצהיר בפניי </w:t>
      </w:r>
      <w:r w:rsidRPr="00BF2293">
        <w:rPr>
          <w:b/>
          <w:bCs/>
          <w:rtl/>
          <w:lang w:eastAsia="he-IL"/>
        </w:rPr>
        <w:t xml:space="preserve">על התחייבות בסך 2000 ₪ למשך שנתיים לבל יעבור על עבירות שבהן הורשע. </w:t>
      </w:r>
    </w:p>
    <w:p w14:paraId="5607141A" w14:textId="77777777" w:rsidR="00C268CA" w:rsidRPr="00BF2293" w:rsidRDefault="00C268CA" w:rsidP="00C268CA">
      <w:pPr>
        <w:spacing w:line="360" w:lineRule="auto"/>
        <w:ind w:left="1440"/>
        <w:jc w:val="both"/>
        <w:rPr>
          <w:b/>
          <w:bCs/>
          <w:lang w:eastAsia="he-IL"/>
        </w:rPr>
      </w:pPr>
    </w:p>
    <w:p w14:paraId="689B0B60" w14:textId="77777777" w:rsidR="00C268CA" w:rsidRPr="00BF2293" w:rsidRDefault="00C268CA" w:rsidP="00C268CA">
      <w:pPr>
        <w:spacing w:line="360" w:lineRule="auto"/>
        <w:ind w:left="1440"/>
        <w:jc w:val="both"/>
        <w:rPr>
          <w:b/>
          <w:bCs/>
          <w:lang w:eastAsia="he-IL"/>
        </w:rPr>
      </w:pPr>
      <w:r w:rsidRPr="00BF2293">
        <w:rPr>
          <w:b/>
          <w:bCs/>
          <w:rtl/>
          <w:lang w:eastAsia="he-IL"/>
        </w:rPr>
        <w:t>מוצגים יוחזרו לבעלים, ובהעדרם – יחולטו או יושמדו לפי החלטת קצין ממונה.</w:t>
      </w:r>
    </w:p>
    <w:p w14:paraId="1F104B3A" w14:textId="77777777" w:rsidR="00C268CA" w:rsidRPr="00BB58C2" w:rsidRDefault="00BB58C2" w:rsidP="00C268CA">
      <w:pPr>
        <w:spacing w:line="360" w:lineRule="auto"/>
        <w:ind w:left="720" w:hanging="720"/>
        <w:rPr>
          <w:rFonts w:ascii="David" w:hAnsi="David"/>
          <w:b/>
          <w:bCs/>
          <w:color w:val="FFFFFF"/>
          <w:sz w:val="2"/>
          <w:szCs w:val="2"/>
          <w:rtl/>
        </w:rPr>
      </w:pPr>
      <w:r w:rsidRPr="00BB58C2">
        <w:rPr>
          <w:rFonts w:ascii="David" w:hAnsi="David"/>
          <w:b/>
          <w:bCs/>
          <w:color w:val="FFFFFF"/>
          <w:sz w:val="2"/>
          <w:szCs w:val="2"/>
          <w:rtl/>
        </w:rPr>
        <w:t>5129371</w:t>
      </w:r>
    </w:p>
    <w:p w14:paraId="4F22B262" w14:textId="77777777" w:rsidR="00C268CA" w:rsidRPr="00AF5CED" w:rsidRDefault="00BB58C2" w:rsidP="00C268CA">
      <w:pPr>
        <w:spacing w:line="360" w:lineRule="auto"/>
        <w:ind w:left="720" w:hanging="720"/>
        <w:rPr>
          <w:rFonts w:ascii="David" w:hAnsi="David"/>
          <w:b/>
          <w:bCs/>
          <w:sz w:val="26"/>
          <w:szCs w:val="26"/>
          <w:rtl/>
        </w:rPr>
      </w:pPr>
      <w:r w:rsidRPr="00BB58C2">
        <w:rPr>
          <w:rFonts w:ascii="David" w:hAnsi="David"/>
          <w:b/>
          <w:bCs/>
          <w:color w:val="FFFFFF"/>
          <w:sz w:val="2"/>
          <w:szCs w:val="2"/>
          <w:rtl/>
        </w:rPr>
        <w:t>54678313</w:t>
      </w:r>
      <w:r w:rsidR="00C268CA" w:rsidRPr="00AF5CED">
        <w:rPr>
          <w:rFonts w:ascii="David" w:hAnsi="David"/>
          <w:b/>
          <w:bCs/>
          <w:rtl/>
        </w:rPr>
        <w:t xml:space="preserve">זכות ערעור כדין תוך 45 ימים. </w:t>
      </w:r>
    </w:p>
    <w:p w14:paraId="012229EE" w14:textId="77777777" w:rsidR="00C268CA" w:rsidRDefault="00C268CA" w:rsidP="00C268CA">
      <w:pPr>
        <w:spacing w:line="360" w:lineRule="auto"/>
        <w:jc w:val="both"/>
        <w:rPr>
          <w:rFonts w:ascii="David" w:hAnsi="David"/>
          <w:b/>
          <w:bCs/>
          <w:sz w:val="26"/>
          <w:szCs w:val="26"/>
          <w:rtl/>
        </w:rPr>
      </w:pPr>
    </w:p>
    <w:p w14:paraId="16AF3826" w14:textId="77777777" w:rsidR="00C268CA" w:rsidRPr="00AF5CED" w:rsidRDefault="00BB58C2" w:rsidP="00C268CA">
      <w:pPr>
        <w:spacing w:line="360" w:lineRule="auto"/>
        <w:jc w:val="both"/>
        <w:rPr>
          <w:rFonts w:ascii="David" w:hAnsi="David"/>
          <w:b/>
          <w:bCs/>
          <w:sz w:val="26"/>
          <w:szCs w:val="26"/>
          <w:rtl/>
        </w:rPr>
      </w:pPr>
      <w:bookmarkStart w:id="8" w:name="Nitan"/>
      <w:r>
        <w:rPr>
          <w:rFonts w:ascii="David" w:hAnsi="David"/>
          <w:b/>
          <w:bCs/>
          <w:sz w:val="26"/>
          <w:szCs w:val="26"/>
          <w:rtl/>
        </w:rPr>
        <w:t xml:space="preserve">ניתן היום,  ג' תמוז תשפ"ד, 09 יולי 2024, בנוכחות הצדדים. </w:t>
      </w:r>
      <w:bookmarkEnd w:id="8"/>
      <w:r w:rsidR="00C268CA" w:rsidRPr="00AF5CED">
        <w:rPr>
          <w:rFonts w:ascii="David" w:hAnsi="David"/>
          <w:b/>
          <w:bCs/>
          <w:sz w:val="26"/>
          <w:szCs w:val="26"/>
          <w:rtl/>
        </w:rPr>
        <w:tab/>
      </w:r>
      <w:r w:rsidR="00C268CA" w:rsidRPr="00AF5CED">
        <w:rPr>
          <w:rFonts w:ascii="David" w:hAnsi="David"/>
          <w:b/>
          <w:bCs/>
          <w:sz w:val="26"/>
          <w:szCs w:val="26"/>
          <w:rtl/>
        </w:rPr>
        <w:tab/>
      </w:r>
      <w:r w:rsidR="00C268CA" w:rsidRPr="00AF5CED">
        <w:rPr>
          <w:rFonts w:ascii="David" w:hAnsi="David"/>
          <w:b/>
          <w:bCs/>
          <w:sz w:val="26"/>
          <w:szCs w:val="26"/>
          <w:rtl/>
        </w:rPr>
        <w:tab/>
      </w:r>
      <w:r w:rsidR="00C268CA" w:rsidRPr="00AF5CED">
        <w:rPr>
          <w:rFonts w:ascii="David" w:hAnsi="David"/>
          <w:b/>
          <w:bCs/>
          <w:sz w:val="26"/>
          <w:szCs w:val="26"/>
          <w:rtl/>
        </w:rPr>
        <w:tab/>
      </w:r>
      <w:r w:rsidR="00C268CA" w:rsidRPr="00AF5CED">
        <w:rPr>
          <w:rFonts w:ascii="David" w:hAnsi="David"/>
          <w:b/>
          <w:bCs/>
          <w:sz w:val="26"/>
          <w:szCs w:val="26"/>
          <w:rtl/>
        </w:rPr>
        <w:tab/>
      </w:r>
      <w:r w:rsidR="00C268CA" w:rsidRPr="00AF5CED">
        <w:rPr>
          <w:rFonts w:ascii="David" w:hAnsi="David"/>
          <w:b/>
          <w:bCs/>
          <w:sz w:val="26"/>
          <w:szCs w:val="26"/>
          <w:rtl/>
        </w:rPr>
        <w:tab/>
      </w:r>
      <w:r w:rsidR="00C268CA" w:rsidRPr="00AF5CED">
        <w:rPr>
          <w:rFonts w:ascii="David" w:hAnsi="David"/>
          <w:b/>
          <w:bCs/>
          <w:sz w:val="26"/>
          <w:szCs w:val="26"/>
          <w:rtl/>
        </w:rPr>
        <w:tab/>
        <w:t xml:space="preserve">         </w:t>
      </w:r>
    </w:p>
    <w:p w14:paraId="5B09D57B" w14:textId="77777777" w:rsidR="00BB58C2" w:rsidRDefault="00BB58C2" w:rsidP="00BB58C2">
      <w:pPr>
        <w:rPr>
          <w:rtl/>
        </w:rPr>
      </w:pPr>
    </w:p>
    <w:p w14:paraId="234FC68F" w14:textId="77777777" w:rsidR="00BB58C2" w:rsidRDefault="00BB58C2" w:rsidP="00BB58C2">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46812946" w14:textId="77777777" w:rsidR="00A25507" w:rsidRPr="00A25507" w:rsidRDefault="00A25507" w:rsidP="00A25507">
      <w:pPr>
        <w:keepNext/>
        <w:rPr>
          <w:rFonts w:ascii="David" w:hAnsi="David"/>
          <w:color w:val="000000"/>
          <w:sz w:val="22"/>
          <w:szCs w:val="22"/>
          <w:rtl/>
        </w:rPr>
      </w:pPr>
    </w:p>
    <w:p w14:paraId="64194DA6" w14:textId="77777777" w:rsidR="00A25507" w:rsidRPr="00A25507" w:rsidRDefault="00A25507" w:rsidP="00A25507">
      <w:pPr>
        <w:keepNext/>
        <w:rPr>
          <w:rFonts w:ascii="David" w:hAnsi="David"/>
          <w:color w:val="000000"/>
          <w:sz w:val="22"/>
          <w:szCs w:val="22"/>
          <w:rtl/>
        </w:rPr>
      </w:pPr>
      <w:r w:rsidRPr="00A25507">
        <w:rPr>
          <w:rFonts w:ascii="David" w:hAnsi="David"/>
          <w:color w:val="000000"/>
          <w:sz w:val="22"/>
          <w:szCs w:val="22"/>
          <w:rtl/>
        </w:rPr>
        <w:t>ליאת שמיר היר 54678313-/</w:t>
      </w:r>
    </w:p>
    <w:p w14:paraId="39C4D6BC" w14:textId="77777777" w:rsidR="00BB58C2" w:rsidRPr="00BB58C2" w:rsidRDefault="00A25507" w:rsidP="00A25507">
      <w:pPr>
        <w:rPr>
          <w:color w:val="0000FF"/>
          <w:u w:val="single"/>
        </w:rPr>
      </w:pPr>
      <w:r w:rsidRPr="00A25507">
        <w:rPr>
          <w:color w:val="000000"/>
          <w:u w:val="single"/>
          <w:rtl/>
        </w:rPr>
        <w:t>נוסח מסמך זה כפוף לשינויי ניסוח ועריכה</w:t>
      </w:r>
    </w:p>
    <w:sectPr w:rsidR="00BB58C2" w:rsidRPr="00BB58C2" w:rsidSect="00A25507">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0203B" w14:textId="77777777" w:rsidR="00B5639E" w:rsidRDefault="00B5639E" w:rsidP="000E2FBB">
      <w:r>
        <w:separator/>
      </w:r>
    </w:p>
  </w:endnote>
  <w:endnote w:type="continuationSeparator" w:id="0">
    <w:p w14:paraId="312208AA" w14:textId="77777777" w:rsidR="00B5639E" w:rsidRDefault="00B5639E" w:rsidP="000E2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18C1B" w14:textId="77777777" w:rsidR="00A25507" w:rsidRDefault="00A25507" w:rsidP="00A2550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68B761" w14:textId="77777777" w:rsidR="00332920" w:rsidRPr="00A25507" w:rsidRDefault="00A25507" w:rsidP="00A25507">
    <w:pPr>
      <w:pStyle w:val="a5"/>
      <w:pBdr>
        <w:top w:val="single" w:sz="4" w:space="1" w:color="auto"/>
        <w:between w:val="single" w:sz="4" w:space="0" w:color="auto"/>
      </w:pBdr>
      <w:spacing w:after="60"/>
      <w:jc w:val="center"/>
      <w:rPr>
        <w:rFonts w:ascii="FrankRuehl" w:hAnsi="FrankRuehl" w:cs="FrankRuehl"/>
        <w:color w:val="000000"/>
      </w:rPr>
    </w:pPr>
    <w:r w:rsidRPr="00A255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77B30" w14:textId="77777777" w:rsidR="00A25507" w:rsidRDefault="00A25507" w:rsidP="00A2550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3F38">
      <w:rPr>
        <w:rFonts w:ascii="FrankRuehl" w:hAnsi="FrankRuehl" w:cs="FrankRuehl"/>
        <w:noProof/>
        <w:rtl/>
      </w:rPr>
      <w:t>1</w:t>
    </w:r>
    <w:r>
      <w:rPr>
        <w:rFonts w:ascii="FrankRuehl" w:hAnsi="FrankRuehl" w:cs="FrankRuehl"/>
        <w:rtl/>
      </w:rPr>
      <w:fldChar w:fldCharType="end"/>
    </w:r>
  </w:p>
  <w:p w14:paraId="617DC810" w14:textId="77777777" w:rsidR="00332920" w:rsidRPr="00A25507" w:rsidRDefault="00A25507" w:rsidP="00A25507">
    <w:pPr>
      <w:pStyle w:val="a5"/>
      <w:pBdr>
        <w:top w:val="single" w:sz="4" w:space="1" w:color="auto"/>
        <w:between w:val="single" w:sz="4" w:space="0" w:color="auto"/>
      </w:pBdr>
      <w:spacing w:after="60"/>
      <w:jc w:val="center"/>
      <w:rPr>
        <w:rFonts w:ascii="FrankRuehl" w:hAnsi="FrankRuehl" w:cs="FrankRuehl"/>
        <w:color w:val="000000"/>
      </w:rPr>
    </w:pPr>
    <w:r w:rsidRPr="00A25507">
      <w:rPr>
        <w:rFonts w:ascii="FrankRuehl" w:hAnsi="FrankRuehl" w:cs="FrankRuehl"/>
        <w:color w:val="000000"/>
      </w:rPr>
      <w:pict w14:anchorId="20CE6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8FFFD" w14:textId="77777777" w:rsidR="00B5639E" w:rsidRDefault="00B5639E" w:rsidP="000E2FBB">
      <w:r>
        <w:separator/>
      </w:r>
    </w:p>
  </w:footnote>
  <w:footnote w:type="continuationSeparator" w:id="0">
    <w:p w14:paraId="298E0F2E" w14:textId="77777777" w:rsidR="00B5639E" w:rsidRDefault="00B5639E" w:rsidP="000E2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B09EE" w14:textId="77777777" w:rsidR="00BB58C2" w:rsidRPr="00A25507" w:rsidRDefault="00A25507" w:rsidP="00A255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35876-12-20</w:t>
    </w:r>
    <w:r>
      <w:rPr>
        <w:rFonts w:ascii="David" w:hAnsi="David"/>
        <w:color w:val="000000"/>
        <w:sz w:val="22"/>
        <w:szCs w:val="22"/>
        <w:rtl/>
      </w:rPr>
      <w:tab/>
      <w:t xml:space="preserve"> מדינת ישראל נ' בן יוסופוב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CF932" w14:textId="77777777" w:rsidR="00BB58C2" w:rsidRPr="00A25507" w:rsidRDefault="00A25507" w:rsidP="00A255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35876-12-20</w:t>
    </w:r>
    <w:r>
      <w:rPr>
        <w:rFonts w:ascii="David" w:hAnsi="David"/>
        <w:color w:val="000000"/>
        <w:sz w:val="22"/>
        <w:szCs w:val="22"/>
        <w:rtl/>
      </w:rPr>
      <w:tab/>
      <w:t xml:space="preserve"> מדינת ישראל נ' בן יוסופוב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41917"/>
    <w:multiLevelType w:val="hybridMultilevel"/>
    <w:tmpl w:val="88CC8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266E2E"/>
    <w:multiLevelType w:val="hybridMultilevel"/>
    <w:tmpl w:val="F236C778"/>
    <w:lvl w:ilvl="0" w:tplc="E4AC4732">
      <w:start w:val="1"/>
      <w:numFmt w:val="decimal"/>
      <w:lvlText w:val="%1."/>
      <w:lvlJc w:val="left"/>
      <w:pPr>
        <w:ind w:left="720" w:hanging="720"/>
      </w:pPr>
      <w:rPr>
        <w:b w:val="0"/>
        <w:bCs w:val="0"/>
        <w:lang w:val="en-US"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75597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1290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68CA"/>
    <w:rsid w:val="000E2FBB"/>
    <w:rsid w:val="00153F38"/>
    <w:rsid w:val="00165553"/>
    <w:rsid w:val="001B5A3B"/>
    <w:rsid w:val="00290D68"/>
    <w:rsid w:val="00332920"/>
    <w:rsid w:val="004241A4"/>
    <w:rsid w:val="0085560C"/>
    <w:rsid w:val="009D4E5A"/>
    <w:rsid w:val="00A25507"/>
    <w:rsid w:val="00A5508B"/>
    <w:rsid w:val="00B5639E"/>
    <w:rsid w:val="00B66E01"/>
    <w:rsid w:val="00BB58C2"/>
    <w:rsid w:val="00C21E2B"/>
    <w:rsid w:val="00C26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F07AE4"/>
  <w15:chartTrackingRefBased/>
  <w15:docId w15:val="{E82ED70B-3A81-4970-B1D1-E645F48C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68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68CA"/>
    <w:pPr>
      <w:tabs>
        <w:tab w:val="center" w:pos="4153"/>
        <w:tab w:val="right" w:pos="8306"/>
      </w:tabs>
    </w:pPr>
  </w:style>
  <w:style w:type="character" w:customStyle="1" w:styleId="a4">
    <w:name w:val="כותרת עליונה תו"/>
    <w:link w:val="a3"/>
    <w:rsid w:val="00C268CA"/>
    <w:rPr>
      <w:rFonts w:ascii="Times New Roman" w:eastAsia="Times New Roman" w:hAnsi="Times New Roman" w:cs="David"/>
      <w:sz w:val="24"/>
      <w:szCs w:val="24"/>
    </w:rPr>
  </w:style>
  <w:style w:type="paragraph" w:styleId="a5">
    <w:name w:val="footer"/>
    <w:basedOn w:val="a"/>
    <w:link w:val="a6"/>
    <w:rsid w:val="00C268CA"/>
    <w:pPr>
      <w:tabs>
        <w:tab w:val="center" w:pos="4153"/>
        <w:tab w:val="right" w:pos="8306"/>
      </w:tabs>
    </w:pPr>
  </w:style>
  <w:style w:type="character" w:customStyle="1" w:styleId="a6">
    <w:name w:val="כותרת תחתונה תו"/>
    <w:link w:val="a5"/>
    <w:rsid w:val="00C268CA"/>
    <w:rPr>
      <w:rFonts w:ascii="Times New Roman" w:eastAsia="Times New Roman" w:hAnsi="Times New Roman" w:cs="David"/>
      <w:sz w:val="24"/>
      <w:szCs w:val="24"/>
    </w:rPr>
  </w:style>
  <w:style w:type="table" w:styleId="a7">
    <w:name w:val="Table Grid"/>
    <w:basedOn w:val="a1"/>
    <w:rsid w:val="00C268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68CA"/>
  </w:style>
  <w:style w:type="character" w:styleId="Hyperlink">
    <w:name w:val="Hyperlink"/>
    <w:rsid w:val="00C268CA"/>
    <w:rPr>
      <w:rFonts w:ascii="Times New Roman" w:hAnsi="Times New Roman" w:cs="Times New Roman" w:hint="default"/>
      <w:color w:val="0000FF"/>
      <w:u w:val="single"/>
    </w:rPr>
  </w:style>
  <w:style w:type="character" w:customStyle="1" w:styleId="a9">
    <w:name w:val="פיסקת רשימה תו"/>
    <w:link w:val="aa"/>
    <w:locked/>
    <w:rsid w:val="00C268CA"/>
  </w:style>
  <w:style w:type="paragraph" w:styleId="aa">
    <w:name w:val="List Paragraph"/>
    <w:basedOn w:val="a"/>
    <w:link w:val="a9"/>
    <w:qFormat/>
    <w:rsid w:val="00C268CA"/>
    <w:pPr>
      <w:spacing w:after="160" w:line="254" w:lineRule="auto"/>
      <w:ind w:left="720"/>
      <w:contextualSpacing/>
    </w:pPr>
    <w:rPr>
      <w:rFonts w:ascii="Calibri" w:eastAsia="Calibri" w:hAnsi="Calibri" w:cs="Arial"/>
      <w:sz w:val="22"/>
      <w:szCs w:val="22"/>
    </w:rPr>
  </w:style>
  <w:style w:type="paragraph" w:customStyle="1" w:styleId="45">
    <w:name w:val="פיסקת רשימה45"/>
    <w:basedOn w:val="a"/>
    <w:rsid w:val="00C268CA"/>
    <w:pPr>
      <w:ind w:left="720"/>
      <w:contextualSpacing/>
    </w:pPr>
  </w:style>
  <w:style w:type="character" w:customStyle="1" w:styleId="term2">
    <w:name w:val="term_2"/>
    <w:rsid w:val="00C2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243323" TargetMode="External"/><Relationship Id="rId39" Type="http://schemas.openxmlformats.org/officeDocument/2006/relationships/hyperlink" Target="http://www.nevo.co.il/case/22931307" TargetMode="External"/><Relationship Id="rId21" Type="http://schemas.openxmlformats.org/officeDocument/2006/relationships/hyperlink" Target="http://www.nevo.co.il/case/27275784" TargetMode="External"/><Relationship Id="rId34" Type="http://schemas.openxmlformats.org/officeDocument/2006/relationships/hyperlink" Target="http://www.nevo.co.il/case/21004548" TargetMode="External"/><Relationship Id="rId42" Type="http://schemas.openxmlformats.org/officeDocument/2006/relationships/hyperlink" Target="http://www.nevo.co.il/case/25932004" TargetMode="External"/><Relationship Id="rId47" Type="http://schemas.openxmlformats.org/officeDocument/2006/relationships/hyperlink" Target="http://www.nevo.co.il/law/70301/40ja"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581078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0616018"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28710074"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275" TargetMode="External"/><Relationship Id="rId19" Type="http://schemas.openxmlformats.org/officeDocument/2006/relationships/hyperlink" Target="http://www.nevo.co.il/case/28199659" TargetMode="External"/><Relationship Id="rId31" Type="http://schemas.openxmlformats.org/officeDocument/2006/relationships/hyperlink" Target="http://www.nevo.co.il/case/7688113" TargetMode="External"/><Relationship Id="rId44" Type="http://schemas.openxmlformats.org/officeDocument/2006/relationships/hyperlink" Target="http://www.nevo.co.il/case/26894064"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8199659" TargetMode="External"/><Relationship Id="rId30" Type="http://schemas.openxmlformats.org/officeDocument/2006/relationships/hyperlink" Target="http://www.nevo.co.il/case/16941543" TargetMode="External"/><Relationship Id="rId35" Type="http://schemas.openxmlformats.org/officeDocument/2006/relationships/hyperlink" Target="http://www.nevo.co.il/law/70301/40b" TargetMode="External"/><Relationship Id="rId43" Type="http://schemas.openxmlformats.org/officeDocument/2006/relationships/hyperlink" Target="http://www.nevo.co.il/case/28041222"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40b"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27275784" TargetMode="External"/><Relationship Id="rId33" Type="http://schemas.openxmlformats.org/officeDocument/2006/relationships/hyperlink" Target="http://www.nevo.co.il/case/2065484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40jc" TargetMode="External"/><Relationship Id="rId20" Type="http://schemas.openxmlformats.org/officeDocument/2006/relationships/hyperlink" Target="http://www.nevo.co.il/law/70301/275" TargetMode="External"/><Relationship Id="rId41" Type="http://schemas.openxmlformats.org/officeDocument/2006/relationships/hyperlink" Target="http://www.nevo.co.il/case/2716910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6180864" TargetMode="External"/><Relationship Id="rId36" Type="http://schemas.openxmlformats.org/officeDocument/2006/relationships/hyperlink" Target="http://www.nevo.co.il/law/7030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3117</Words>
  <Characters>15586</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18666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393227</vt:i4>
      </vt:variant>
      <vt:variant>
        <vt:i4>117</vt:i4>
      </vt:variant>
      <vt:variant>
        <vt:i4>0</vt:i4>
      </vt:variant>
      <vt:variant>
        <vt:i4>5</vt:i4>
      </vt:variant>
      <vt:variant>
        <vt:lpwstr>http://www.nevo.co.il/law/70301/40jc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3670139</vt:i4>
      </vt:variant>
      <vt:variant>
        <vt:i4>111</vt:i4>
      </vt:variant>
      <vt:variant>
        <vt:i4>0</vt:i4>
      </vt:variant>
      <vt:variant>
        <vt:i4>5</vt:i4>
      </vt:variant>
      <vt:variant>
        <vt:lpwstr>http://www.nevo.co.il/case/26894064</vt:lpwstr>
      </vt:variant>
      <vt:variant>
        <vt:lpwstr/>
      </vt:variant>
      <vt:variant>
        <vt:i4>3211386</vt:i4>
      </vt:variant>
      <vt:variant>
        <vt:i4>108</vt:i4>
      </vt:variant>
      <vt:variant>
        <vt:i4>0</vt:i4>
      </vt:variant>
      <vt:variant>
        <vt:i4>5</vt:i4>
      </vt:variant>
      <vt:variant>
        <vt:lpwstr>http://www.nevo.co.il/case/28041222</vt:lpwstr>
      </vt:variant>
      <vt:variant>
        <vt:lpwstr/>
      </vt:variant>
      <vt:variant>
        <vt:i4>3735666</vt:i4>
      </vt:variant>
      <vt:variant>
        <vt:i4>105</vt:i4>
      </vt:variant>
      <vt:variant>
        <vt:i4>0</vt:i4>
      </vt:variant>
      <vt:variant>
        <vt:i4>5</vt:i4>
      </vt:variant>
      <vt:variant>
        <vt:lpwstr>http://www.nevo.co.il/case/25932004</vt:lpwstr>
      </vt:variant>
      <vt:variant>
        <vt:lpwstr/>
      </vt:variant>
      <vt:variant>
        <vt:i4>3801204</vt:i4>
      </vt:variant>
      <vt:variant>
        <vt:i4>102</vt:i4>
      </vt:variant>
      <vt:variant>
        <vt:i4>0</vt:i4>
      </vt:variant>
      <vt:variant>
        <vt:i4>5</vt:i4>
      </vt:variant>
      <vt:variant>
        <vt:lpwstr>http://www.nevo.co.il/case/27169106</vt:lpwstr>
      </vt:variant>
      <vt:variant>
        <vt:lpwstr/>
      </vt:variant>
      <vt:variant>
        <vt:i4>3276925</vt:i4>
      </vt:variant>
      <vt:variant>
        <vt:i4>99</vt:i4>
      </vt:variant>
      <vt:variant>
        <vt:i4>0</vt:i4>
      </vt:variant>
      <vt:variant>
        <vt:i4>5</vt:i4>
      </vt:variant>
      <vt:variant>
        <vt:lpwstr>http://www.nevo.co.il/case/28710074</vt:lpwstr>
      </vt:variant>
      <vt:variant>
        <vt:lpwstr/>
      </vt:variant>
      <vt:variant>
        <vt:i4>3801206</vt:i4>
      </vt:variant>
      <vt:variant>
        <vt:i4>96</vt:i4>
      </vt:variant>
      <vt:variant>
        <vt:i4>0</vt:i4>
      </vt:variant>
      <vt:variant>
        <vt:i4>5</vt:i4>
      </vt:variant>
      <vt:variant>
        <vt:lpwstr>http://www.nevo.co.il/case/22931307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3276912</vt:i4>
      </vt:variant>
      <vt:variant>
        <vt:i4>81</vt:i4>
      </vt:variant>
      <vt:variant>
        <vt:i4>0</vt:i4>
      </vt:variant>
      <vt:variant>
        <vt:i4>5</vt:i4>
      </vt:variant>
      <vt:variant>
        <vt:lpwstr>http://www.nevo.co.il/case/21004548</vt:lpwstr>
      </vt:variant>
      <vt:variant>
        <vt:lpwstr/>
      </vt:variant>
      <vt:variant>
        <vt:i4>3407993</vt:i4>
      </vt:variant>
      <vt:variant>
        <vt:i4>78</vt:i4>
      </vt:variant>
      <vt:variant>
        <vt:i4>0</vt:i4>
      </vt:variant>
      <vt:variant>
        <vt:i4>5</vt:i4>
      </vt:variant>
      <vt:variant>
        <vt:lpwstr>http://www.nevo.co.il/case/20654846</vt:lpwstr>
      </vt:variant>
      <vt:variant>
        <vt:lpwstr/>
      </vt:variant>
      <vt:variant>
        <vt:i4>3342453</vt:i4>
      </vt:variant>
      <vt:variant>
        <vt:i4>75</vt:i4>
      </vt:variant>
      <vt:variant>
        <vt:i4>0</vt:i4>
      </vt:variant>
      <vt:variant>
        <vt:i4>5</vt:i4>
      </vt:variant>
      <vt:variant>
        <vt:lpwstr>http://www.nevo.co.il/case/20616018</vt:lpwstr>
      </vt:variant>
      <vt:variant>
        <vt:lpwstr/>
      </vt:variant>
      <vt:variant>
        <vt:i4>3997819</vt:i4>
      </vt:variant>
      <vt:variant>
        <vt:i4>72</vt:i4>
      </vt:variant>
      <vt:variant>
        <vt:i4>0</vt:i4>
      </vt:variant>
      <vt:variant>
        <vt:i4>5</vt:i4>
      </vt:variant>
      <vt:variant>
        <vt:lpwstr>http://www.nevo.co.il/case/7688113</vt:lpwstr>
      </vt:variant>
      <vt:variant>
        <vt:lpwstr/>
      </vt:variant>
      <vt:variant>
        <vt:i4>3997811</vt:i4>
      </vt:variant>
      <vt:variant>
        <vt:i4>69</vt:i4>
      </vt:variant>
      <vt:variant>
        <vt:i4>0</vt:i4>
      </vt:variant>
      <vt:variant>
        <vt:i4>5</vt:i4>
      </vt:variant>
      <vt:variant>
        <vt:lpwstr>http://www.nevo.co.il/case/16941543</vt:lpwstr>
      </vt:variant>
      <vt:variant>
        <vt:lpwstr/>
      </vt:variant>
      <vt:variant>
        <vt:i4>3276916</vt:i4>
      </vt:variant>
      <vt:variant>
        <vt:i4>66</vt:i4>
      </vt:variant>
      <vt:variant>
        <vt:i4>0</vt:i4>
      </vt:variant>
      <vt:variant>
        <vt:i4>5</vt:i4>
      </vt:variant>
      <vt:variant>
        <vt:lpwstr>http://www.nevo.co.il/case/5810781</vt:lpwstr>
      </vt:variant>
      <vt:variant>
        <vt:lpwstr/>
      </vt:variant>
      <vt:variant>
        <vt:i4>3276915</vt:i4>
      </vt:variant>
      <vt:variant>
        <vt:i4>63</vt:i4>
      </vt:variant>
      <vt:variant>
        <vt:i4>0</vt:i4>
      </vt:variant>
      <vt:variant>
        <vt:i4>5</vt:i4>
      </vt:variant>
      <vt:variant>
        <vt:lpwstr>http://www.nevo.co.il/case/6180864</vt:lpwstr>
      </vt:variant>
      <vt:variant>
        <vt:lpwstr/>
      </vt:variant>
      <vt:variant>
        <vt:i4>4128883</vt:i4>
      </vt:variant>
      <vt:variant>
        <vt:i4>60</vt:i4>
      </vt:variant>
      <vt:variant>
        <vt:i4>0</vt:i4>
      </vt:variant>
      <vt:variant>
        <vt:i4>5</vt:i4>
      </vt:variant>
      <vt:variant>
        <vt:lpwstr>http://www.nevo.co.il/case/28199659</vt:lpwstr>
      </vt:variant>
      <vt:variant>
        <vt:lpwstr/>
      </vt:variant>
      <vt:variant>
        <vt:i4>3211380</vt:i4>
      </vt:variant>
      <vt:variant>
        <vt:i4>57</vt:i4>
      </vt:variant>
      <vt:variant>
        <vt:i4>0</vt:i4>
      </vt:variant>
      <vt:variant>
        <vt:i4>5</vt:i4>
      </vt:variant>
      <vt:variant>
        <vt:lpwstr>http://www.nevo.co.il/case/27243323</vt:lpwstr>
      </vt:variant>
      <vt:variant>
        <vt:lpwstr/>
      </vt:variant>
      <vt:variant>
        <vt:i4>3997811</vt:i4>
      </vt:variant>
      <vt:variant>
        <vt:i4>54</vt:i4>
      </vt:variant>
      <vt:variant>
        <vt:i4>0</vt:i4>
      </vt:variant>
      <vt:variant>
        <vt:i4>5</vt:i4>
      </vt:variant>
      <vt:variant>
        <vt:lpwstr>http://www.nevo.co.il/case/27275784</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3997811</vt:i4>
      </vt:variant>
      <vt:variant>
        <vt:i4>42</vt:i4>
      </vt:variant>
      <vt:variant>
        <vt:i4>0</vt:i4>
      </vt:variant>
      <vt:variant>
        <vt:i4>5</vt:i4>
      </vt:variant>
      <vt:variant>
        <vt:lpwstr>http://www.nevo.co.il/case/27275784</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4128883</vt:i4>
      </vt:variant>
      <vt:variant>
        <vt:i4>36</vt:i4>
      </vt:variant>
      <vt:variant>
        <vt:i4>0</vt:i4>
      </vt:variant>
      <vt:variant>
        <vt:i4>5</vt:i4>
      </vt:variant>
      <vt:variant>
        <vt:lpwstr>http://www.nevo.co.il/case/28199659</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35876;55652;64089</vt:lpwstr>
  </property>
  <property fmtid="{D5CDD505-2E9C-101B-9397-08002B2CF9AE}" pid="6" name="NEWPARTB">
    <vt:lpwstr>12;12;12</vt:lpwstr>
  </property>
  <property fmtid="{D5CDD505-2E9C-101B-9397-08002B2CF9AE}" pid="7" name="NEWPARTC">
    <vt:lpwstr>20;21;20</vt:lpwstr>
  </property>
  <property fmtid="{D5CDD505-2E9C-101B-9397-08002B2CF9AE}" pid="8" name="APPELLANT">
    <vt:lpwstr>מדינת ישראל</vt:lpwstr>
  </property>
  <property fmtid="{D5CDD505-2E9C-101B-9397-08002B2CF9AE}" pid="9" name="APPELLEE">
    <vt:lpwstr>בן יוסופוב</vt:lpwstr>
  </property>
  <property fmtid="{D5CDD505-2E9C-101B-9397-08002B2CF9AE}" pid="10" name="LAWYER">
    <vt:lpwstr/>
  </property>
  <property fmtid="{D5CDD505-2E9C-101B-9397-08002B2CF9AE}" pid="11" name="JUDGE">
    <vt:lpwstr>ליאת שמיר היר</vt:lpwstr>
  </property>
  <property fmtid="{D5CDD505-2E9C-101B-9397-08002B2CF9AE}" pid="12" name="CITY">
    <vt:lpwstr>ק"ג</vt:lpwstr>
  </property>
  <property fmtid="{D5CDD505-2E9C-101B-9397-08002B2CF9AE}" pid="13" name="DATE">
    <vt:lpwstr>20240709</vt:lpwstr>
  </property>
  <property fmtid="{D5CDD505-2E9C-101B-9397-08002B2CF9AE}" pid="14" name="TYPE_N_DATE">
    <vt:lpwstr>38020240709</vt:lpwstr>
  </property>
  <property fmtid="{D5CDD505-2E9C-101B-9397-08002B2CF9AE}" pid="15" name="WORDNUMPAGES">
    <vt:lpwstr>10</vt:lpwstr>
  </property>
  <property fmtid="{D5CDD505-2E9C-101B-9397-08002B2CF9AE}" pid="16" name="TYPE_ABS_DATE">
    <vt:lpwstr>380020240709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28199659:2;27275784:2;27243323;6180864;5810781;16941543;7688113;20616018;20654846;21004548;22931307;28710074;27169106;25932004;28041222;26894064</vt:lpwstr>
  </property>
  <property fmtid="{D5CDD505-2E9C-101B-9397-08002B2CF9AE}" pid="36" name="LAWLISTTMP1">
    <vt:lpwstr>70301/379;275;040b;040i;40jc;40ja</vt:lpwstr>
  </property>
  <property fmtid="{D5CDD505-2E9C-101B-9397-08002B2CF9AE}" pid="37" name="LAWLISTTMP2">
    <vt:lpwstr>4216/007.a;007.c</vt:lpwstr>
  </property>
</Properties>
</file>